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DE68F4">
      <w:pPr>
        <w:autoSpaceDE w:val="0"/>
        <w:autoSpaceDN w:val="0"/>
        <w:spacing w:line="720" w:lineRule="exact"/>
        <w:jc w:val="center"/>
        <w:rPr>
          <w:rFonts w:hint="eastAsia" w:ascii="仿宋" w:hAnsi="仿宋" w:eastAsia="仿宋" w:cs="仿宋"/>
          <w:b/>
          <w:bCs/>
          <w:color w:val="auto"/>
          <w:sz w:val="48"/>
          <w:szCs w:val="48"/>
          <w:highlight w:val="none"/>
        </w:rPr>
      </w:pPr>
      <w:bookmarkStart w:id="2068" w:name="_GoBack"/>
      <w:bookmarkEnd w:id="2068"/>
      <w:r>
        <w:rPr>
          <w:rFonts w:hint="eastAsia" w:ascii="仿宋" w:hAnsi="仿宋" w:eastAsia="仿宋" w:cs="仿宋"/>
          <w:b/>
          <w:bCs/>
          <w:color w:val="auto"/>
          <w:kern w:val="200"/>
          <w:sz w:val="72"/>
          <w:szCs w:val="72"/>
          <w:highlight w:val="none"/>
          <w:u w:val="none"/>
          <w:lang w:eastAsia="zh-CN"/>
        </w:rPr>
        <w:t>驻马店市中医院病房改造及能力提升项目</w:t>
      </w:r>
      <w:r>
        <w:rPr>
          <w:rFonts w:hint="eastAsia" w:ascii="仿宋" w:hAnsi="仿宋" w:eastAsia="仿宋" w:cs="仿宋"/>
          <w:b/>
          <w:bCs/>
          <w:color w:val="auto"/>
          <w:w w:val="80"/>
          <w:kern w:val="200"/>
          <w:sz w:val="72"/>
          <w:szCs w:val="72"/>
          <w:highlight w:val="none"/>
          <w:u w:val="none"/>
          <w:lang w:eastAsia="zh-CN"/>
        </w:rPr>
        <w:t>（</w:t>
      </w:r>
      <w:r>
        <w:rPr>
          <w:rFonts w:hint="eastAsia" w:ascii="仿宋" w:hAnsi="仿宋" w:eastAsia="仿宋" w:cs="仿宋"/>
          <w:b/>
          <w:bCs/>
          <w:color w:val="auto"/>
          <w:w w:val="80"/>
          <w:kern w:val="200"/>
          <w:sz w:val="72"/>
          <w:szCs w:val="72"/>
          <w:highlight w:val="none"/>
          <w:u w:val="none"/>
          <w:lang w:val="en-US" w:eastAsia="zh-CN"/>
        </w:rPr>
        <w:t>1-3标段）</w:t>
      </w:r>
    </w:p>
    <w:p w14:paraId="5FFF71E1">
      <w:pPr>
        <w:rPr>
          <w:rFonts w:hint="eastAsia" w:ascii="宋体" w:hAnsi="宋体" w:cs="宋体"/>
          <w:b/>
          <w:bCs/>
          <w:color w:val="auto"/>
          <w:sz w:val="96"/>
          <w:szCs w:val="96"/>
          <w:highlight w:val="none"/>
        </w:rPr>
      </w:pPr>
    </w:p>
    <w:p w14:paraId="4FF846F3">
      <w:pPr>
        <w:jc w:val="center"/>
        <w:rPr>
          <w:rFonts w:hint="eastAsia" w:ascii="宋体" w:hAnsi="宋体" w:cs="宋体"/>
          <w:b/>
          <w:color w:val="auto"/>
          <w:sz w:val="28"/>
          <w:szCs w:val="28"/>
          <w:highlight w:val="none"/>
        </w:rPr>
      </w:pPr>
      <w:r>
        <w:rPr>
          <w:rFonts w:hint="eastAsia" w:ascii="仿宋" w:hAnsi="仿宋" w:eastAsia="仿宋" w:cs="仿宋"/>
          <w:b/>
          <w:bCs/>
          <w:color w:val="auto"/>
          <w:sz w:val="72"/>
          <w:szCs w:val="72"/>
          <w:highlight w:val="none"/>
        </w:rPr>
        <w:t>招 标 文 件</w:t>
      </w:r>
      <w:r>
        <w:rPr>
          <w:rFonts w:hint="eastAsia" w:ascii="仿宋" w:hAnsi="仿宋" w:eastAsia="仿宋" w:cs="仿宋"/>
          <w:b/>
          <w:bCs/>
          <w:color w:val="auto"/>
          <w:sz w:val="96"/>
          <w:szCs w:val="96"/>
          <w:highlight w:val="none"/>
        </w:rPr>
        <w:t xml:space="preserve"> </w:t>
      </w:r>
    </w:p>
    <w:p w14:paraId="06725E0C">
      <w:pPr>
        <w:jc w:val="center"/>
        <w:rPr>
          <w:rFonts w:hint="eastAsia" w:ascii="仿宋" w:hAnsi="仿宋" w:eastAsia="仿宋" w:cs="仿宋"/>
          <w:b/>
          <w:color w:val="auto"/>
          <w:sz w:val="30"/>
          <w:szCs w:val="30"/>
          <w:highlight w:val="none"/>
          <w:lang w:val="en-US" w:eastAsia="zh-CN"/>
        </w:rPr>
      </w:pPr>
      <w:r>
        <w:rPr>
          <w:rFonts w:hint="eastAsia" w:ascii="宋体" w:hAnsi="宋体" w:eastAsia="宋体" w:cs="宋体"/>
          <w:b/>
          <w:color w:val="auto"/>
          <w:sz w:val="36"/>
          <w:szCs w:val="36"/>
          <w:highlight w:val="none"/>
          <w:lang w:eastAsia="zh-CN"/>
        </w:rPr>
        <w:drawing>
          <wp:anchor distT="0" distB="0" distL="114300" distR="114300" simplePos="0" relativeHeight="251663360" behindDoc="0" locked="0" layoutInCell="1" allowOverlap="1">
            <wp:simplePos x="0" y="0"/>
            <wp:positionH relativeFrom="column">
              <wp:posOffset>1438910</wp:posOffset>
            </wp:positionH>
            <wp:positionV relativeFrom="page">
              <wp:posOffset>4145280</wp:posOffset>
            </wp:positionV>
            <wp:extent cx="3400425" cy="2962275"/>
            <wp:effectExtent l="0" t="0" r="9525" b="9525"/>
            <wp:wrapSquare wrapText="bothSides"/>
            <wp:docPr id="9"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logo"/>
                    <pic:cNvPicPr>
                      <a:picLocks noChangeAspect="1"/>
                    </pic:cNvPicPr>
                  </pic:nvPicPr>
                  <pic:blipFill>
                    <a:blip r:embed="rId16"/>
                    <a:stretch>
                      <a:fillRect/>
                    </a:stretch>
                  </pic:blipFill>
                  <pic:spPr>
                    <a:xfrm>
                      <a:off x="0" y="0"/>
                      <a:ext cx="3400425" cy="2962275"/>
                    </a:xfrm>
                    <a:prstGeom prst="rect">
                      <a:avLst/>
                    </a:prstGeom>
                    <a:noFill/>
                    <a:ln>
                      <a:noFill/>
                    </a:ln>
                  </pic:spPr>
                </pic:pic>
              </a:graphicData>
            </a:graphic>
          </wp:anchor>
        </w:drawing>
      </w:r>
      <w:r>
        <w:rPr>
          <w:rFonts w:hint="eastAsia" w:ascii="仿宋" w:hAnsi="仿宋" w:eastAsia="仿宋" w:cs="仿宋"/>
          <w:b/>
          <w:color w:val="auto"/>
          <w:sz w:val="30"/>
          <w:szCs w:val="30"/>
          <w:highlight w:val="none"/>
          <w:lang w:eastAsia="zh-CN"/>
        </w:rPr>
        <w:t>项目编号</w:t>
      </w:r>
      <w:r>
        <w:rPr>
          <w:rFonts w:hint="eastAsia" w:ascii="仿宋" w:hAnsi="仿宋" w:eastAsia="仿宋" w:cs="仿宋"/>
          <w:b/>
          <w:color w:val="auto"/>
          <w:sz w:val="30"/>
          <w:szCs w:val="30"/>
          <w:highlight w:val="none"/>
        </w:rPr>
        <w:t>：</w:t>
      </w:r>
      <w:r>
        <w:rPr>
          <w:rFonts w:hint="eastAsia" w:ascii="仿宋" w:hAnsi="仿宋" w:eastAsia="仿宋" w:cs="仿宋"/>
          <w:b/>
          <w:color w:val="auto"/>
          <w:sz w:val="30"/>
          <w:szCs w:val="30"/>
          <w:highlight w:val="none"/>
          <w:lang w:val="en-US" w:eastAsia="zh-CN"/>
        </w:rPr>
        <w:t xml:space="preserve">ZMD2026-034 </w:t>
      </w:r>
    </w:p>
    <w:p w14:paraId="38CF354E">
      <w:pPr>
        <w:ind w:firstLine="420"/>
        <w:rPr>
          <w:rFonts w:hint="eastAsia" w:ascii="宋体" w:hAnsi="宋体" w:cs="宋体"/>
          <w:color w:val="auto"/>
          <w:highlight w:val="none"/>
        </w:rPr>
      </w:pPr>
    </w:p>
    <w:p w14:paraId="1A00E16C">
      <w:pPr>
        <w:ind w:firstLine="600"/>
        <w:jc w:val="center"/>
        <w:rPr>
          <w:rFonts w:hint="eastAsia"/>
          <w:color w:val="auto"/>
          <w:highlight w:val="none"/>
        </w:rPr>
      </w:pPr>
    </w:p>
    <w:p w14:paraId="79D3B7CF">
      <w:pPr>
        <w:pStyle w:val="56"/>
        <w:rPr>
          <w:rFonts w:hint="eastAsia"/>
          <w:color w:val="auto"/>
          <w:highlight w:val="none"/>
        </w:rPr>
      </w:pPr>
    </w:p>
    <w:p w14:paraId="35E7A559">
      <w:pPr>
        <w:pStyle w:val="56"/>
        <w:rPr>
          <w:rFonts w:hint="eastAsia"/>
          <w:color w:val="auto"/>
          <w:highlight w:val="none"/>
        </w:rPr>
      </w:pPr>
    </w:p>
    <w:p w14:paraId="070B52F2">
      <w:pPr>
        <w:pStyle w:val="56"/>
        <w:rPr>
          <w:rFonts w:hint="eastAsia"/>
          <w:color w:val="auto"/>
          <w:highlight w:val="none"/>
        </w:rPr>
      </w:pPr>
    </w:p>
    <w:p w14:paraId="5D69168B">
      <w:pPr>
        <w:pStyle w:val="56"/>
        <w:rPr>
          <w:rFonts w:hint="eastAsia"/>
          <w:color w:val="auto"/>
          <w:highlight w:val="none"/>
        </w:rPr>
      </w:pPr>
    </w:p>
    <w:p w14:paraId="52B0ACB3">
      <w:pPr>
        <w:pStyle w:val="56"/>
        <w:rPr>
          <w:rFonts w:hint="eastAsia"/>
          <w:color w:val="auto"/>
          <w:highlight w:val="none"/>
        </w:rPr>
      </w:pPr>
    </w:p>
    <w:p w14:paraId="20246FBE">
      <w:pPr>
        <w:pStyle w:val="56"/>
        <w:rPr>
          <w:rFonts w:hint="eastAsia"/>
          <w:color w:val="auto"/>
          <w:highlight w:val="none"/>
        </w:rPr>
      </w:pPr>
    </w:p>
    <w:p w14:paraId="7015F5A9">
      <w:pPr>
        <w:pStyle w:val="56"/>
        <w:rPr>
          <w:rFonts w:hint="eastAsia"/>
          <w:color w:val="auto"/>
          <w:highlight w:val="none"/>
        </w:rPr>
      </w:pPr>
    </w:p>
    <w:p w14:paraId="643311E8">
      <w:pPr>
        <w:pStyle w:val="56"/>
        <w:ind w:left="0" w:leftChars="0" w:firstLine="0" w:firstLineChars="0"/>
        <w:rPr>
          <w:rFonts w:hint="eastAsia"/>
          <w:color w:val="auto"/>
          <w:highlight w:val="none"/>
        </w:rPr>
      </w:pPr>
    </w:p>
    <w:p w14:paraId="1D8A6BC3">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textAlignment w:val="auto"/>
        <w:rPr>
          <w:rFonts w:hint="eastAsia" w:ascii="仿宋" w:hAnsi="仿宋" w:eastAsia="仿宋" w:cs="仿宋"/>
          <w:b/>
          <w:bCs/>
          <w:color w:val="auto"/>
          <w:sz w:val="32"/>
          <w:szCs w:val="32"/>
          <w:highlight w:val="none"/>
        </w:rPr>
      </w:pPr>
    </w:p>
    <w:p w14:paraId="1D54C2CB">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textAlignment w:val="auto"/>
        <w:rPr>
          <w:rFonts w:hint="eastAsia" w:ascii="仿宋" w:hAnsi="仿宋" w:eastAsia="仿宋" w:cs="仿宋"/>
          <w:b/>
          <w:bCs/>
          <w:color w:val="auto"/>
          <w:sz w:val="32"/>
          <w:szCs w:val="32"/>
          <w:highlight w:val="none"/>
        </w:rPr>
      </w:pPr>
    </w:p>
    <w:p w14:paraId="5ABB7139">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textAlignment w:val="auto"/>
        <w:rPr>
          <w:rFonts w:hint="eastAsia" w:ascii="仿宋" w:hAnsi="仿宋" w:eastAsia="仿宋" w:cs="仿宋"/>
          <w:b/>
          <w:bCs/>
          <w:color w:val="auto"/>
          <w:sz w:val="32"/>
          <w:szCs w:val="32"/>
          <w:highlight w:val="none"/>
        </w:rPr>
      </w:pPr>
    </w:p>
    <w:p w14:paraId="5E7B2EFB">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textAlignment w:val="auto"/>
        <w:rPr>
          <w:rFonts w:hint="eastAsia" w:ascii="仿宋" w:hAnsi="仿宋" w:eastAsia="仿宋" w:cs="仿宋"/>
          <w:b/>
          <w:bCs/>
          <w:color w:val="auto"/>
          <w:sz w:val="32"/>
          <w:szCs w:val="32"/>
          <w:highlight w:val="none"/>
        </w:rPr>
      </w:pPr>
    </w:p>
    <w:p w14:paraId="50C0748E">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textAlignment w:val="auto"/>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招标人：</w:t>
      </w:r>
      <w:r>
        <w:rPr>
          <w:rFonts w:hint="eastAsia" w:ascii="仿宋" w:hAnsi="仿宋" w:eastAsia="仿宋" w:cs="仿宋"/>
          <w:b/>
          <w:bCs/>
          <w:color w:val="auto"/>
          <w:sz w:val="32"/>
          <w:szCs w:val="32"/>
          <w:highlight w:val="none"/>
          <w:lang w:eastAsia="zh-CN"/>
        </w:rPr>
        <w:t>驻马店市中医院</w:t>
      </w:r>
    </w:p>
    <w:p w14:paraId="4015C605">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textAlignment w:val="auto"/>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招标代理机构：</w:t>
      </w:r>
      <w:r>
        <w:rPr>
          <w:rFonts w:hint="eastAsia" w:ascii="仿宋" w:hAnsi="仿宋" w:eastAsia="仿宋" w:cs="仿宋"/>
          <w:b/>
          <w:bCs/>
          <w:color w:val="auto"/>
          <w:sz w:val="32"/>
          <w:szCs w:val="32"/>
          <w:highlight w:val="none"/>
          <w:lang w:eastAsia="zh-CN"/>
        </w:rPr>
        <w:t>河南博研信众招标代理有限责任公司</w:t>
      </w:r>
    </w:p>
    <w:p w14:paraId="230241E5">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jc w:val="center"/>
        <w:textAlignment w:val="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二〇二六年</w:t>
      </w:r>
      <w:r>
        <w:rPr>
          <w:rFonts w:hint="eastAsia" w:ascii="仿宋" w:hAnsi="仿宋" w:eastAsia="仿宋" w:cs="仿宋"/>
          <w:b/>
          <w:bCs/>
          <w:color w:val="auto"/>
          <w:sz w:val="32"/>
          <w:szCs w:val="32"/>
          <w:highlight w:val="none"/>
          <w:lang w:val="en-US" w:eastAsia="zh-CN"/>
        </w:rPr>
        <w:t>八</w:t>
      </w:r>
      <w:r>
        <w:rPr>
          <w:rFonts w:hint="eastAsia" w:ascii="仿宋" w:hAnsi="仿宋" w:eastAsia="仿宋" w:cs="仿宋"/>
          <w:b/>
          <w:bCs/>
          <w:color w:val="auto"/>
          <w:sz w:val="32"/>
          <w:szCs w:val="32"/>
          <w:highlight w:val="none"/>
        </w:rPr>
        <w:t>月编制</w:t>
      </w:r>
    </w:p>
    <w:p w14:paraId="3FB1F20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b/>
          <w:bCs/>
          <w:color w:val="auto"/>
          <w:sz w:val="36"/>
          <w:szCs w:val="36"/>
          <w:highlight w:val="none"/>
        </w:rPr>
        <w:sectPr>
          <w:headerReference r:id="rId4" w:type="first"/>
          <w:footerReference r:id="rId5" w:type="first"/>
          <w:headerReference r:id="rId3" w:type="default"/>
          <w:pgSz w:w="11906" w:h="16838"/>
          <w:pgMar w:top="1418" w:right="1555" w:bottom="1418" w:left="1531" w:header="851" w:footer="992" w:gutter="0"/>
          <w:pgNumType w:fmt="decimal" w:start="1"/>
          <w:cols w:space="720" w:num="1"/>
          <w:titlePg/>
          <w:docGrid w:type="lines" w:linePitch="312" w:charSpace="0"/>
        </w:sectPr>
      </w:pPr>
      <w:bookmarkStart w:id="0" w:name="_Toc19608"/>
    </w:p>
    <w:bookmarkEnd w:id="0"/>
    <w:p w14:paraId="26111F54">
      <w:pPr>
        <w:spacing w:line="400" w:lineRule="exact"/>
        <w:ind w:right="-34" w:rightChars="-16"/>
        <w:jc w:val="center"/>
        <w:rPr>
          <w:rFonts w:hint="eastAsia" w:ascii="仿宋" w:hAnsi="仿宋" w:eastAsia="仿宋" w:cs="仿宋"/>
          <w:color w:val="auto"/>
          <w:sz w:val="36"/>
          <w:szCs w:val="36"/>
          <w:highlight w:val="none"/>
        </w:rPr>
      </w:pPr>
      <w:r>
        <w:rPr>
          <w:rFonts w:hint="eastAsia" w:ascii="仿宋" w:hAnsi="仿宋" w:eastAsia="仿宋" w:cs="仿宋"/>
          <w:b/>
          <w:color w:val="auto"/>
          <w:sz w:val="36"/>
          <w:szCs w:val="36"/>
          <w:highlight w:val="none"/>
        </w:rPr>
        <w:t>招标代理项目部人员组成</w:t>
      </w:r>
    </w:p>
    <w:p w14:paraId="71E90A7E">
      <w:pPr>
        <w:pStyle w:val="19"/>
        <w:tabs>
          <w:tab w:val="right" w:leader="dot" w:pos="8296"/>
        </w:tabs>
        <w:spacing w:line="600" w:lineRule="exact"/>
        <w:jc w:val="center"/>
        <w:rPr>
          <w:rFonts w:ascii="宋体" w:hAnsi="宋体" w:cs="宋体"/>
          <w:color w:val="auto"/>
          <w:sz w:val="28"/>
          <w:szCs w:val="28"/>
          <w:highlight w:val="none"/>
        </w:rPr>
      </w:pPr>
    </w:p>
    <w:p w14:paraId="7164340B">
      <w:pPr>
        <w:keepNext w:val="0"/>
        <w:keepLines w:val="0"/>
        <w:pageBreakBefore w:val="0"/>
        <w:widowControl w:val="0"/>
        <w:numPr>
          <w:ilvl w:val="0"/>
          <w:numId w:val="0"/>
        </w:numPr>
        <w:tabs>
          <w:tab w:val="left" w:pos="899"/>
        </w:tabs>
        <w:kinsoku/>
        <w:wordWrap/>
        <w:overflowPunct/>
        <w:topLinePunct w:val="0"/>
        <w:autoSpaceDE/>
        <w:autoSpaceDN/>
        <w:bidi w:val="0"/>
        <w:adjustRightInd/>
        <w:snapToGrid/>
        <w:spacing w:line="600" w:lineRule="exact"/>
        <w:ind w:left="901" w:leftChars="0" w:right="0" w:rightChars="0"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kern w:val="2"/>
          <w:sz w:val="32"/>
          <w:szCs w:val="32"/>
          <w:highlight w:val="none"/>
          <w:lang w:val="en-US" w:eastAsia="zh-CN" w:bidi="ar-SA"/>
        </w:rPr>
        <w:t>一、项目负责人</w:t>
      </w:r>
      <w:r>
        <w:rPr>
          <w:rFonts w:hint="eastAsia" w:ascii="仿宋" w:hAnsi="仿宋" w:eastAsia="仿宋" w:cs="仿宋"/>
          <w:color w:val="auto"/>
          <w:kern w:val="2"/>
          <w:sz w:val="32"/>
          <w:szCs w:val="32"/>
          <w:highlight w:val="none"/>
          <w:u w:val="single"/>
          <w:lang w:val="en-US" w:eastAsia="zh-CN" w:bidi="ar-SA"/>
        </w:rPr>
        <w:t>宋悦（建设类注册执业（职业）资格证号：豫241141457112）</w:t>
      </w:r>
    </w:p>
    <w:p w14:paraId="1865ADB3">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textAlignment w:val="auto"/>
        <w:rPr>
          <w:rFonts w:hint="eastAsia" w:ascii="仿宋" w:hAnsi="仿宋" w:eastAsia="仿宋" w:cs="仿宋"/>
          <w:color w:val="auto"/>
          <w:sz w:val="32"/>
          <w:szCs w:val="32"/>
          <w:highlight w:val="none"/>
        </w:rPr>
      </w:pPr>
    </w:p>
    <w:p w14:paraId="41669CAE">
      <w:pPr>
        <w:keepNext w:val="0"/>
        <w:keepLines w:val="0"/>
        <w:pageBreakBefore w:val="0"/>
        <w:widowControl w:val="0"/>
        <w:numPr>
          <w:ilvl w:val="0"/>
          <w:numId w:val="0"/>
        </w:numPr>
        <w:tabs>
          <w:tab w:val="left" w:pos="899"/>
        </w:tabs>
        <w:kinsoku/>
        <w:wordWrap/>
        <w:overflowPunct/>
        <w:topLinePunct w:val="0"/>
        <w:autoSpaceDE/>
        <w:autoSpaceDN/>
        <w:bidi w:val="0"/>
        <w:adjustRightInd/>
        <w:snapToGrid/>
        <w:spacing w:line="600" w:lineRule="exact"/>
        <w:ind w:left="899" w:leftChars="0" w:right="0" w:rightChars="0"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kern w:val="2"/>
          <w:sz w:val="32"/>
          <w:szCs w:val="32"/>
          <w:highlight w:val="none"/>
          <w:lang w:val="en-US" w:eastAsia="zh-CN" w:bidi="ar-SA"/>
        </w:rPr>
        <w:t>二、</w:t>
      </w:r>
      <w:r>
        <w:rPr>
          <w:rFonts w:hint="eastAsia" w:ascii="仿宋" w:hAnsi="仿宋" w:eastAsia="仿宋" w:cs="仿宋"/>
          <w:color w:val="auto"/>
          <w:sz w:val="32"/>
          <w:szCs w:val="32"/>
          <w:highlight w:val="none"/>
        </w:rPr>
        <w:t>其他人员</w:t>
      </w:r>
    </w:p>
    <w:p w14:paraId="11A9D815">
      <w:pPr>
        <w:keepNext w:val="0"/>
        <w:keepLines w:val="0"/>
        <w:pageBreakBefore w:val="0"/>
        <w:widowControl w:val="0"/>
        <w:numPr>
          <w:ilvl w:val="0"/>
          <w:numId w:val="0"/>
        </w:numPr>
        <w:tabs>
          <w:tab w:val="left" w:pos="899"/>
        </w:tabs>
        <w:kinsoku/>
        <w:wordWrap/>
        <w:overflowPunct/>
        <w:topLinePunct w:val="0"/>
        <w:autoSpaceDE/>
        <w:autoSpaceDN/>
        <w:bidi w:val="0"/>
        <w:adjustRightInd/>
        <w:snapToGrid/>
        <w:spacing w:line="600" w:lineRule="exact"/>
        <w:ind w:left="901" w:leftChars="0" w:right="0" w:rightChars="0" w:firstLine="640" w:firstLineChars="200"/>
        <w:textAlignment w:val="auto"/>
        <w:rPr>
          <w:rFonts w:hint="eastAsia" w:ascii="仿宋" w:hAnsi="仿宋" w:eastAsia="仿宋" w:cs="仿宋"/>
          <w:color w:val="auto"/>
          <w:kern w:val="2"/>
          <w:sz w:val="32"/>
          <w:szCs w:val="32"/>
          <w:highlight w:val="none"/>
          <w:u w:val="single"/>
          <w:lang w:val="en-US" w:eastAsia="zh-CN" w:bidi="ar-SA"/>
        </w:rPr>
      </w:pPr>
      <w:r>
        <w:rPr>
          <w:rFonts w:hint="eastAsia" w:ascii="仿宋" w:hAnsi="仿宋" w:eastAsia="仿宋" w:cs="仿宋"/>
          <w:color w:val="auto"/>
          <w:kern w:val="2"/>
          <w:sz w:val="32"/>
          <w:szCs w:val="32"/>
          <w:highlight w:val="none"/>
          <w:lang w:val="en-US" w:eastAsia="zh-CN" w:bidi="ar-SA"/>
        </w:rPr>
        <w:t xml:space="preserve"> 1、姓名：</w:t>
      </w:r>
      <w:r>
        <w:rPr>
          <w:rFonts w:hint="eastAsia" w:ascii="仿宋" w:hAnsi="仿宋" w:eastAsia="仿宋" w:cs="仿宋"/>
          <w:color w:val="auto"/>
          <w:kern w:val="2"/>
          <w:sz w:val="32"/>
          <w:szCs w:val="32"/>
          <w:highlight w:val="none"/>
          <w:u w:val="single"/>
          <w:lang w:val="en-US" w:eastAsia="zh-CN" w:bidi="ar-SA"/>
        </w:rPr>
        <w:t>徐秋云   Z45020240157（职业资格或岗位证号）</w:t>
      </w:r>
    </w:p>
    <w:p w14:paraId="5D1C8A43">
      <w:pPr>
        <w:keepNext w:val="0"/>
        <w:keepLines w:val="0"/>
        <w:pageBreakBefore w:val="0"/>
        <w:widowControl w:val="0"/>
        <w:numPr>
          <w:ilvl w:val="0"/>
          <w:numId w:val="0"/>
        </w:numPr>
        <w:tabs>
          <w:tab w:val="left" w:pos="899"/>
        </w:tabs>
        <w:kinsoku/>
        <w:wordWrap/>
        <w:overflowPunct/>
        <w:topLinePunct w:val="0"/>
        <w:autoSpaceDE/>
        <w:autoSpaceDN/>
        <w:bidi w:val="0"/>
        <w:adjustRightInd/>
        <w:snapToGrid/>
        <w:spacing w:line="600" w:lineRule="exact"/>
        <w:ind w:left="901" w:leftChars="0" w:right="0" w:rightChars="0" w:firstLine="640" w:firstLineChars="200"/>
        <w:textAlignment w:val="auto"/>
        <w:rPr>
          <w:rFonts w:hint="eastAsia" w:ascii="仿宋" w:hAnsi="仿宋" w:eastAsia="仿宋" w:cs="仿宋"/>
          <w:color w:val="auto"/>
          <w:kern w:val="2"/>
          <w:sz w:val="32"/>
          <w:szCs w:val="32"/>
          <w:highlight w:val="none"/>
          <w:u w:val="single"/>
          <w:lang w:val="en-US" w:eastAsia="zh-CN" w:bidi="ar-SA"/>
        </w:rPr>
      </w:pPr>
      <w:r>
        <w:rPr>
          <w:rFonts w:hint="eastAsia" w:ascii="仿宋" w:hAnsi="仿宋" w:eastAsia="仿宋" w:cs="仿宋"/>
          <w:color w:val="auto"/>
          <w:kern w:val="2"/>
          <w:sz w:val="32"/>
          <w:szCs w:val="32"/>
          <w:highlight w:val="none"/>
          <w:lang w:val="en-US" w:eastAsia="zh-CN" w:bidi="ar-SA"/>
        </w:rPr>
        <w:t xml:space="preserve"> 2、姓名：</w:t>
      </w:r>
      <w:r>
        <w:rPr>
          <w:rFonts w:hint="eastAsia" w:ascii="仿宋" w:hAnsi="仿宋" w:eastAsia="仿宋" w:cs="仿宋"/>
          <w:color w:val="auto"/>
          <w:kern w:val="2"/>
          <w:sz w:val="32"/>
          <w:szCs w:val="32"/>
          <w:highlight w:val="none"/>
          <w:u w:val="single"/>
          <w:lang w:val="en-US" w:eastAsia="zh-CN" w:bidi="ar-SA"/>
        </w:rPr>
        <w:t>毕松超   Z45020240156（职业资格或岗位证号）</w:t>
      </w:r>
    </w:p>
    <w:p w14:paraId="479E4935">
      <w:pPr>
        <w:tabs>
          <w:tab w:val="left" w:pos="3187"/>
          <w:tab w:val="left" w:pos="4039"/>
        </w:tabs>
        <w:spacing w:before="100" w:beforeAutospacing="1" w:after="100" w:afterAutospacing="1" w:line="360" w:lineRule="auto"/>
        <w:jc w:val="center"/>
        <w:rPr>
          <w:rFonts w:hint="eastAsia" w:ascii="仿宋" w:hAnsi="仿宋" w:eastAsia="仿宋" w:cs="仿宋"/>
          <w:color w:val="auto"/>
          <w:sz w:val="24"/>
          <w:highlight w:val="none"/>
        </w:rPr>
      </w:pPr>
      <w:r>
        <w:rPr>
          <w:rFonts w:eastAsia="仿宋_GB2312"/>
          <w:color w:val="auto"/>
          <w:sz w:val="24"/>
          <w:highlight w:val="none"/>
        </w:rPr>
        <w:br w:type="page"/>
      </w:r>
      <w:bookmarkStart w:id="1" w:name="_Toc31882"/>
      <w:bookmarkStart w:id="2" w:name="_Toc21411"/>
      <w:bookmarkStart w:id="3" w:name="_Toc18560"/>
      <w:bookmarkStart w:id="4" w:name="_Toc20104"/>
      <w:bookmarkStart w:id="5" w:name="_Toc1818"/>
      <w:bookmarkStart w:id="6" w:name="_Toc25880"/>
      <w:bookmarkStart w:id="7" w:name="_Toc27366"/>
      <w:bookmarkStart w:id="8" w:name="_Toc28547"/>
      <w:bookmarkStart w:id="9" w:name="_Toc7531"/>
      <w:bookmarkStart w:id="10" w:name="_Toc11909"/>
      <w:bookmarkStart w:id="11" w:name="_Toc28248"/>
      <w:bookmarkStart w:id="12" w:name="_Toc27705"/>
      <w:bookmarkStart w:id="13" w:name="_Toc27667"/>
      <w:bookmarkStart w:id="14" w:name="_Toc30119"/>
      <w:bookmarkStart w:id="15" w:name="_Toc21870"/>
      <w:bookmarkStart w:id="16" w:name="_Toc7676"/>
      <w:bookmarkStart w:id="17" w:name="_Toc245"/>
      <w:bookmarkStart w:id="18" w:name="_Toc17215"/>
      <w:bookmarkStart w:id="19" w:name="_Toc24918"/>
      <w:bookmarkStart w:id="20" w:name="_Toc32016"/>
      <w:bookmarkStart w:id="21" w:name="_Toc24511"/>
      <w:bookmarkStart w:id="22" w:name="_Toc19858"/>
      <w:bookmarkStart w:id="23" w:name="_Toc13799"/>
      <w:bookmarkStart w:id="24" w:name="_Toc2666"/>
      <w:bookmarkStart w:id="25" w:name="_Toc24168"/>
      <w:r>
        <w:rPr>
          <w:rFonts w:hint="eastAsia" w:ascii="仿宋" w:hAnsi="仿宋" w:eastAsia="仿宋" w:cs="仿宋"/>
          <w:color w:val="auto"/>
          <w:sz w:val="44"/>
          <w:szCs w:val="44"/>
          <w:highlight w:val="none"/>
        </w:rPr>
        <w:t>目  录</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p w14:paraId="69E1F155">
      <w:pPr>
        <w:pStyle w:val="19"/>
        <w:tabs>
          <w:tab w:val="right" w:leader="dot" w:pos="8820"/>
        </w:tabs>
        <w:rPr>
          <w:color w:val="auto"/>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TOC \o "1-3" \h \u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_Toc11224 </w:instrText>
      </w:r>
      <w:r>
        <w:rPr>
          <w:rFonts w:hint="eastAsia" w:ascii="仿宋" w:hAnsi="仿宋" w:eastAsia="仿宋" w:cs="仿宋"/>
          <w:color w:val="auto"/>
          <w:highlight w:val="none"/>
        </w:rPr>
        <w:fldChar w:fldCharType="separate"/>
      </w:r>
      <w:r>
        <w:rPr>
          <w:rFonts w:eastAsia="黑体"/>
          <w:color w:val="auto"/>
          <w:szCs w:val="52"/>
          <w:highlight w:val="none"/>
        </w:rPr>
        <w:t>第一卷</w:t>
      </w:r>
      <w:r>
        <w:rPr>
          <w:color w:val="auto"/>
          <w:highlight w:val="none"/>
        </w:rPr>
        <w:tab/>
      </w:r>
      <w:r>
        <w:rPr>
          <w:color w:val="auto"/>
          <w:highlight w:val="none"/>
        </w:rPr>
        <w:fldChar w:fldCharType="begin"/>
      </w:r>
      <w:r>
        <w:rPr>
          <w:color w:val="auto"/>
          <w:highlight w:val="none"/>
        </w:rPr>
        <w:instrText xml:space="preserve"> PAGEREF _Toc11224 \h </w:instrText>
      </w:r>
      <w:r>
        <w:rPr>
          <w:color w:val="auto"/>
          <w:highlight w:val="none"/>
        </w:rPr>
        <w:fldChar w:fldCharType="separate"/>
      </w:r>
      <w:r>
        <w:rPr>
          <w:color w:val="auto"/>
          <w:highlight w:val="none"/>
        </w:rPr>
        <w:t>5</w:t>
      </w:r>
      <w:r>
        <w:rPr>
          <w:color w:val="auto"/>
          <w:highlight w:val="none"/>
        </w:rPr>
        <w:fldChar w:fldCharType="end"/>
      </w:r>
      <w:r>
        <w:rPr>
          <w:rFonts w:hint="eastAsia" w:ascii="仿宋" w:hAnsi="仿宋" w:eastAsia="仿宋" w:cs="仿宋"/>
          <w:color w:val="auto"/>
          <w:highlight w:val="none"/>
        </w:rPr>
        <w:fldChar w:fldCharType="end"/>
      </w:r>
    </w:p>
    <w:p w14:paraId="5AA68998">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_Toc26111 </w:instrText>
      </w:r>
      <w:r>
        <w:rPr>
          <w:rFonts w:hint="eastAsia" w:ascii="仿宋" w:hAnsi="仿宋" w:eastAsia="仿宋" w:cs="仿宋"/>
          <w:color w:val="auto"/>
          <w:highlight w:val="none"/>
        </w:rPr>
        <w:fldChar w:fldCharType="separate"/>
      </w:r>
      <w:r>
        <w:rPr>
          <w:rFonts w:eastAsia="黑体"/>
          <w:color w:val="auto"/>
          <w:szCs w:val="52"/>
          <w:highlight w:val="none"/>
        </w:rPr>
        <w:t>第一章  招标公告</w:t>
      </w:r>
      <w:r>
        <w:rPr>
          <w:color w:val="auto"/>
          <w:highlight w:val="none"/>
        </w:rPr>
        <w:tab/>
      </w:r>
      <w:r>
        <w:rPr>
          <w:color w:val="auto"/>
          <w:highlight w:val="none"/>
        </w:rPr>
        <w:fldChar w:fldCharType="begin"/>
      </w:r>
      <w:r>
        <w:rPr>
          <w:color w:val="auto"/>
          <w:highlight w:val="none"/>
        </w:rPr>
        <w:instrText xml:space="preserve"> PAGEREF _Toc26111 \h </w:instrText>
      </w:r>
      <w:r>
        <w:rPr>
          <w:color w:val="auto"/>
          <w:highlight w:val="none"/>
        </w:rPr>
        <w:fldChar w:fldCharType="separate"/>
      </w:r>
      <w:r>
        <w:rPr>
          <w:color w:val="auto"/>
          <w:highlight w:val="none"/>
        </w:rPr>
        <w:t>6</w:t>
      </w:r>
      <w:r>
        <w:rPr>
          <w:color w:val="auto"/>
          <w:highlight w:val="none"/>
        </w:rPr>
        <w:fldChar w:fldCharType="end"/>
      </w:r>
      <w:r>
        <w:rPr>
          <w:rFonts w:hint="eastAsia" w:ascii="仿宋" w:hAnsi="仿宋" w:eastAsia="仿宋" w:cs="仿宋"/>
          <w:color w:val="auto"/>
          <w:highlight w:val="none"/>
        </w:rPr>
        <w:fldChar w:fldCharType="end"/>
      </w:r>
    </w:p>
    <w:p w14:paraId="2C18A877">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_Toc27830 </w:instrText>
      </w:r>
      <w:r>
        <w:rPr>
          <w:rFonts w:hint="eastAsia" w:ascii="仿宋" w:hAnsi="仿宋" w:eastAsia="仿宋" w:cs="仿宋"/>
          <w:color w:val="auto"/>
          <w:highlight w:val="none"/>
        </w:rPr>
        <w:fldChar w:fldCharType="separate"/>
      </w:r>
      <w:r>
        <w:rPr>
          <w:rFonts w:eastAsia="黑体"/>
          <w:color w:val="auto"/>
          <w:szCs w:val="52"/>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_Toc27830 \h </w:instrText>
      </w:r>
      <w:r>
        <w:rPr>
          <w:color w:val="auto"/>
          <w:highlight w:val="none"/>
        </w:rPr>
        <w:fldChar w:fldCharType="separate"/>
      </w:r>
      <w:r>
        <w:rPr>
          <w:color w:val="auto"/>
          <w:highlight w:val="none"/>
        </w:rPr>
        <w:t>19</w:t>
      </w:r>
      <w:r>
        <w:rPr>
          <w:color w:val="auto"/>
          <w:highlight w:val="none"/>
        </w:rPr>
        <w:fldChar w:fldCharType="end"/>
      </w:r>
      <w:r>
        <w:rPr>
          <w:rFonts w:hint="eastAsia" w:ascii="仿宋" w:hAnsi="仿宋" w:eastAsia="仿宋" w:cs="仿宋"/>
          <w:color w:val="auto"/>
          <w:highlight w:val="none"/>
        </w:rPr>
        <w:fldChar w:fldCharType="end"/>
      </w:r>
    </w:p>
    <w:p w14:paraId="26F0B926">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_Toc12861 </w:instrText>
      </w:r>
      <w:r>
        <w:rPr>
          <w:rFonts w:hint="eastAsia" w:ascii="仿宋" w:hAnsi="仿宋" w:eastAsia="仿宋" w:cs="仿宋"/>
          <w:color w:val="auto"/>
          <w:highlight w:val="none"/>
        </w:rPr>
        <w:fldChar w:fldCharType="separate"/>
      </w:r>
      <w:r>
        <w:rPr>
          <w:rFonts w:eastAsia="黑体"/>
          <w:color w:val="auto"/>
          <w:szCs w:val="28"/>
          <w:highlight w:val="none"/>
        </w:rPr>
        <w:t>投标人须知前附表</w:t>
      </w:r>
      <w:r>
        <w:rPr>
          <w:color w:val="auto"/>
          <w:highlight w:val="none"/>
        </w:rPr>
        <w:tab/>
      </w:r>
      <w:r>
        <w:rPr>
          <w:color w:val="auto"/>
          <w:highlight w:val="none"/>
        </w:rPr>
        <w:fldChar w:fldCharType="begin"/>
      </w:r>
      <w:r>
        <w:rPr>
          <w:color w:val="auto"/>
          <w:highlight w:val="none"/>
        </w:rPr>
        <w:instrText xml:space="preserve"> PAGEREF _Toc12861 \h </w:instrText>
      </w:r>
      <w:r>
        <w:rPr>
          <w:color w:val="auto"/>
          <w:highlight w:val="none"/>
        </w:rPr>
        <w:fldChar w:fldCharType="separate"/>
      </w:r>
      <w:r>
        <w:rPr>
          <w:color w:val="auto"/>
          <w:highlight w:val="none"/>
        </w:rPr>
        <w:t>20</w:t>
      </w:r>
      <w:r>
        <w:rPr>
          <w:color w:val="auto"/>
          <w:highlight w:val="none"/>
        </w:rPr>
        <w:fldChar w:fldCharType="end"/>
      </w:r>
      <w:r>
        <w:rPr>
          <w:rFonts w:hint="eastAsia" w:ascii="仿宋" w:hAnsi="仿宋" w:eastAsia="仿宋" w:cs="仿宋"/>
          <w:color w:val="auto"/>
          <w:highlight w:val="none"/>
        </w:rPr>
        <w:fldChar w:fldCharType="end"/>
      </w:r>
    </w:p>
    <w:p w14:paraId="5768AFE5">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_Toc10520 </w:instrText>
      </w:r>
      <w:r>
        <w:rPr>
          <w:rFonts w:hint="eastAsia" w:ascii="仿宋" w:hAnsi="仿宋" w:eastAsia="仿宋" w:cs="仿宋"/>
          <w:color w:val="auto"/>
          <w:highlight w:val="none"/>
        </w:rPr>
        <w:fldChar w:fldCharType="separate"/>
      </w:r>
      <w:r>
        <w:rPr>
          <w:rFonts w:ascii="Times New Roman" w:hAnsi="Times New Roman"/>
          <w:color w:val="auto"/>
          <w:szCs w:val="28"/>
          <w:highlight w:val="none"/>
        </w:rPr>
        <w:t>附件：定标办法</w:t>
      </w:r>
      <w:r>
        <w:rPr>
          <w:color w:val="auto"/>
          <w:highlight w:val="none"/>
        </w:rPr>
        <w:tab/>
      </w:r>
      <w:r>
        <w:rPr>
          <w:color w:val="auto"/>
          <w:highlight w:val="none"/>
        </w:rPr>
        <w:fldChar w:fldCharType="begin"/>
      </w:r>
      <w:r>
        <w:rPr>
          <w:color w:val="auto"/>
          <w:highlight w:val="none"/>
        </w:rPr>
        <w:instrText xml:space="preserve"> PAGEREF _Toc10520 \h </w:instrText>
      </w:r>
      <w:r>
        <w:rPr>
          <w:color w:val="auto"/>
          <w:highlight w:val="none"/>
        </w:rPr>
        <w:fldChar w:fldCharType="separate"/>
      </w:r>
      <w:r>
        <w:rPr>
          <w:color w:val="auto"/>
          <w:highlight w:val="none"/>
        </w:rPr>
        <w:t>34</w:t>
      </w:r>
      <w:r>
        <w:rPr>
          <w:color w:val="auto"/>
          <w:highlight w:val="none"/>
        </w:rPr>
        <w:fldChar w:fldCharType="end"/>
      </w:r>
      <w:r>
        <w:rPr>
          <w:rFonts w:hint="eastAsia" w:ascii="仿宋" w:hAnsi="仿宋" w:eastAsia="仿宋" w:cs="仿宋"/>
          <w:color w:val="auto"/>
          <w:highlight w:val="none"/>
        </w:rPr>
        <w:fldChar w:fldCharType="end"/>
      </w:r>
    </w:p>
    <w:p w14:paraId="6E6165EA">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_Toc12517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1．总则</w:t>
      </w:r>
      <w:r>
        <w:rPr>
          <w:color w:val="auto"/>
          <w:highlight w:val="none"/>
        </w:rPr>
        <w:tab/>
      </w:r>
      <w:r>
        <w:rPr>
          <w:color w:val="auto"/>
          <w:highlight w:val="none"/>
        </w:rPr>
        <w:fldChar w:fldCharType="begin"/>
      </w:r>
      <w:r>
        <w:rPr>
          <w:color w:val="auto"/>
          <w:highlight w:val="none"/>
        </w:rPr>
        <w:instrText xml:space="preserve"> PAGEREF _Toc12517 \h </w:instrText>
      </w:r>
      <w:r>
        <w:rPr>
          <w:color w:val="auto"/>
          <w:highlight w:val="none"/>
        </w:rPr>
        <w:fldChar w:fldCharType="separate"/>
      </w:r>
      <w:r>
        <w:rPr>
          <w:color w:val="auto"/>
          <w:highlight w:val="none"/>
        </w:rPr>
        <w:t>39</w:t>
      </w:r>
      <w:r>
        <w:rPr>
          <w:color w:val="auto"/>
          <w:highlight w:val="none"/>
        </w:rPr>
        <w:fldChar w:fldCharType="end"/>
      </w:r>
      <w:r>
        <w:rPr>
          <w:rFonts w:hint="eastAsia" w:ascii="仿宋" w:hAnsi="仿宋" w:eastAsia="仿宋" w:cs="仿宋"/>
          <w:color w:val="auto"/>
          <w:highlight w:val="none"/>
        </w:rPr>
        <w:fldChar w:fldCharType="end"/>
      </w:r>
    </w:p>
    <w:p w14:paraId="6E774D4C">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_Toc19541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1.1 项目概况</w:t>
      </w:r>
      <w:r>
        <w:rPr>
          <w:color w:val="auto"/>
          <w:highlight w:val="none"/>
        </w:rPr>
        <w:tab/>
      </w:r>
      <w:r>
        <w:rPr>
          <w:color w:val="auto"/>
          <w:highlight w:val="none"/>
        </w:rPr>
        <w:fldChar w:fldCharType="begin"/>
      </w:r>
      <w:r>
        <w:rPr>
          <w:color w:val="auto"/>
          <w:highlight w:val="none"/>
        </w:rPr>
        <w:instrText xml:space="preserve"> PAGEREF _Toc19541 \h </w:instrText>
      </w:r>
      <w:r>
        <w:rPr>
          <w:color w:val="auto"/>
          <w:highlight w:val="none"/>
        </w:rPr>
        <w:fldChar w:fldCharType="separate"/>
      </w:r>
      <w:r>
        <w:rPr>
          <w:color w:val="auto"/>
          <w:highlight w:val="none"/>
        </w:rPr>
        <w:t>39</w:t>
      </w:r>
      <w:r>
        <w:rPr>
          <w:color w:val="auto"/>
          <w:highlight w:val="none"/>
        </w:rPr>
        <w:fldChar w:fldCharType="end"/>
      </w:r>
      <w:r>
        <w:rPr>
          <w:rFonts w:hint="eastAsia" w:ascii="仿宋" w:hAnsi="仿宋" w:eastAsia="仿宋" w:cs="仿宋"/>
          <w:color w:val="auto"/>
          <w:highlight w:val="none"/>
        </w:rPr>
        <w:fldChar w:fldCharType="end"/>
      </w:r>
    </w:p>
    <w:p w14:paraId="01D89C1D">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_Toc27170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1.2 资金来源和落实情况</w:t>
      </w:r>
      <w:r>
        <w:rPr>
          <w:color w:val="auto"/>
          <w:highlight w:val="none"/>
        </w:rPr>
        <w:tab/>
      </w:r>
      <w:r>
        <w:rPr>
          <w:color w:val="auto"/>
          <w:highlight w:val="none"/>
        </w:rPr>
        <w:fldChar w:fldCharType="begin"/>
      </w:r>
      <w:r>
        <w:rPr>
          <w:color w:val="auto"/>
          <w:highlight w:val="none"/>
        </w:rPr>
        <w:instrText xml:space="preserve"> PAGEREF _Toc27170 \h </w:instrText>
      </w:r>
      <w:r>
        <w:rPr>
          <w:color w:val="auto"/>
          <w:highlight w:val="none"/>
        </w:rPr>
        <w:fldChar w:fldCharType="separate"/>
      </w:r>
      <w:r>
        <w:rPr>
          <w:color w:val="auto"/>
          <w:highlight w:val="none"/>
        </w:rPr>
        <w:t>39</w:t>
      </w:r>
      <w:r>
        <w:rPr>
          <w:color w:val="auto"/>
          <w:highlight w:val="none"/>
        </w:rPr>
        <w:fldChar w:fldCharType="end"/>
      </w:r>
      <w:r>
        <w:rPr>
          <w:rFonts w:hint="eastAsia" w:ascii="仿宋" w:hAnsi="仿宋" w:eastAsia="仿宋" w:cs="仿宋"/>
          <w:color w:val="auto"/>
          <w:highlight w:val="none"/>
        </w:rPr>
        <w:fldChar w:fldCharType="end"/>
      </w:r>
    </w:p>
    <w:p w14:paraId="672784A3">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_Toc2302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1.3 招标范围、计划工期和质量要求</w:t>
      </w:r>
      <w:r>
        <w:rPr>
          <w:color w:val="auto"/>
          <w:highlight w:val="none"/>
        </w:rPr>
        <w:tab/>
      </w:r>
      <w:r>
        <w:rPr>
          <w:color w:val="auto"/>
          <w:highlight w:val="none"/>
        </w:rPr>
        <w:fldChar w:fldCharType="begin"/>
      </w:r>
      <w:r>
        <w:rPr>
          <w:color w:val="auto"/>
          <w:highlight w:val="none"/>
        </w:rPr>
        <w:instrText xml:space="preserve"> PAGEREF _Toc2302 \h </w:instrText>
      </w:r>
      <w:r>
        <w:rPr>
          <w:color w:val="auto"/>
          <w:highlight w:val="none"/>
        </w:rPr>
        <w:fldChar w:fldCharType="separate"/>
      </w:r>
      <w:r>
        <w:rPr>
          <w:color w:val="auto"/>
          <w:highlight w:val="none"/>
        </w:rPr>
        <w:t>39</w:t>
      </w:r>
      <w:r>
        <w:rPr>
          <w:color w:val="auto"/>
          <w:highlight w:val="none"/>
        </w:rPr>
        <w:fldChar w:fldCharType="end"/>
      </w:r>
      <w:r>
        <w:rPr>
          <w:rFonts w:hint="eastAsia" w:ascii="仿宋" w:hAnsi="仿宋" w:eastAsia="仿宋" w:cs="仿宋"/>
          <w:color w:val="auto"/>
          <w:highlight w:val="none"/>
        </w:rPr>
        <w:fldChar w:fldCharType="end"/>
      </w:r>
    </w:p>
    <w:p w14:paraId="25C0A004">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_Toc3739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1.4 投标人资格要求（适用于资格后审的）</w:t>
      </w:r>
      <w:r>
        <w:rPr>
          <w:color w:val="auto"/>
          <w:highlight w:val="none"/>
        </w:rPr>
        <w:tab/>
      </w:r>
      <w:r>
        <w:rPr>
          <w:color w:val="auto"/>
          <w:highlight w:val="none"/>
        </w:rPr>
        <w:fldChar w:fldCharType="begin"/>
      </w:r>
      <w:r>
        <w:rPr>
          <w:color w:val="auto"/>
          <w:highlight w:val="none"/>
        </w:rPr>
        <w:instrText xml:space="preserve"> PAGEREF _Toc3739 \h </w:instrText>
      </w:r>
      <w:r>
        <w:rPr>
          <w:color w:val="auto"/>
          <w:highlight w:val="none"/>
        </w:rPr>
        <w:fldChar w:fldCharType="separate"/>
      </w:r>
      <w:r>
        <w:rPr>
          <w:color w:val="auto"/>
          <w:highlight w:val="none"/>
        </w:rPr>
        <w:t>39</w:t>
      </w:r>
      <w:r>
        <w:rPr>
          <w:color w:val="auto"/>
          <w:highlight w:val="none"/>
        </w:rPr>
        <w:fldChar w:fldCharType="end"/>
      </w:r>
      <w:r>
        <w:rPr>
          <w:rFonts w:hint="eastAsia" w:ascii="仿宋" w:hAnsi="仿宋" w:eastAsia="仿宋" w:cs="仿宋"/>
          <w:color w:val="auto"/>
          <w:highlight w:val="none"/>
        </w:rPr>
        <w:fldChar w:fldCharType="end"/>
      </w:r>
    </w:p>
    <w:p w14:paraId="392C6E0E">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_Toc15973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1.5 费用承担</w:t>
      </w:r>
      <w:r>
        <w:rPr>
          <w:color w:val="auto"/>
          <w:highlight w:val="none"/>
        </w:rPr>
        <w:tab/>
      </w:r>
      <w:r>
        <w:rPr>
          <w:color w:val="auto"/>
          <w:highlight w:val="none"/>
        </w:rPr>
        <w:fldChar w:fldCharType="begin"/>
      </w:r>
      <w:r>
        <w:rPr>
          <w:color w:val="auto"/>
          <w:highlight w:val="none"/>
        </w:rPr>
        <w:instrText xml:space="preserve"> PAGEREF _Toc15973 \h </w:instrText>
      </w:r>
      <w:r>
        <w:rPr>
          <w:color w:val="auto"/>
          <w:highlight w:val="none"/>
        </w:rPr>
        <w:fldChar w:fldCharType="separate"/>
      </w:r>
      <w:r>
        <w:rPr>
          <w:color w:val="auto"/>
          <w:highlight w:val="none"/>
        </w:rPr>
        <w:t>41</w:t>
      </w:r>
      <w:r>
        <w:rPr>
          <w:color w:val="auto"/>
          <w:highlight w:val="none"/>
        </w:rPr>
        <w:fldChar w:fldCharType="end"/>
      </w:r>
      <w:r>
        <w:rPr>
          <w:rFonts w:hint="eastAsia" w:ascii="仿宋" w:hAnsi="仿宋" w:eastAsia="仿宋" w:cs="仿宋"/>
          <w:color w:val="auto"/>
          <w:highlight w:val="none"/>
        </w:rPr>
        <w:fldChar w:fldCharType="end"/>
      </w:r>
    </w:p>
    <w:p w14:paraId="2A3E2C5D">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_Toc30615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1.6 保密</w:t>
      </w:r>
      <w:r>
        <w:rPr>
          <w:color w:val="auto"/>
          <w:highlight w:val="none"/>
        </w:rPr>
        <w:tab/>
      </w:r>
      <w:r>
        <w:rPr>
          <w:color w:val="auto"/>
          <w:highlight w:val="none"/>
        </w:rPr>
        <w:fldChar w:fldCharType="begin"/>
      </w:r>
      <w:r>
        <w:rPr>
          <w:color w:val="auto"/>
          <w:highlight w:val="none"/>
        </w:rPr>
        <w:instrText xml:space="preserve"> PAGEREF _Toc30615 \h </w:instrText>
      </w:r>
      <w:r>
        <w:rPr>
          <w:color w:val="auto"/>
          <w:highlight w:val="none"/>
        </w:rPr>
        <w:fldChar w:fldCharType="separate"/>
      </w:r>
      <w:r>
        <w:rPr>
          <w:color w:val="auto"/>
          <w:highlight w:val="none"/>
        </w:rPr>
        <w:t>41</w:t>
      </w:r>
      <w:r>
        <w:rPr>
          <w:color w:val="auto"/>
          <w:highlight w:val="none"/>
        </w:rPr>
        <w:fldChar w:fldCharType="end"/>
      </w:r>
      <w:r>
        <w:rPr>
          <w:rFonts w:hint="eastAsia" w:ascii="仿宋" w:hAnsi="仿宋" w:eastAsia="仿宋" w:cs="仿宋"/>
          <w:color w:val="auto"/>
          <w:highlight w:val="none"/>
        </w:rPr>
        <w:fldChar w:fldCharType="end"/>
      </w:r>
    </w:p>
    <w:p w14:paraId="634266C3">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_Toc4864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1.7 语言文字</w:t>
      </w:r>
      <w:r>
        <w:rPr>
          <w:color w:val="auto"/>
          <w:highlight w:val="none"/>
        </w:rPr>
        <w:tab/>
      </w:r>
      <w:r>
        <w:rPr>
          <w:color w:val="auto"/>
          <w:highlight w:val="none"/>
        </w:rPr>
        <w:fldChar w:fldCharType="begin"/>
      </w:r>
      <w:r>
        <w:rPr>
          <w:color w:val="auto"/>
          <w:highlight w:val="none"/>
        </w:rPr>
        <w:instrText xml:space="preserve"> PAGEREF _Toc4864 \h </w:instrText>
      </w:r>
      <w:r>
        <w:rPr>
          <w:color w:val="auto"/>
          <w:highlight w:val="none"/>
        </w:rPr>
        <w:fldChar w:fldCharType="separate"/>
      </w:r>
      <w:r>
        <w:rPr>
          <w:color w:val="auto"/>
          <w:highlight w:val="none"/>
        </w:rPr>
        <w:t>41</w:t>
      </w:r>
      <w:r>
        <w:rPr>
          <w:color w:val="auto"/>
          <w:highlight w:val="none"/>
        </w:rPr>
        <w:fldChar w:fldCharType="end"/>
      </w:r>
      <w:r>
        <w:rPr>
          <w:rFonts w:hint="eastAsia" w:ascii="仿宋" w:hAnsi="仿宋" w:eastAsia="仿宋" w:cs="仿宋"/>
          <w:color w:val="auto"/>
          <w:highlight w:val="none"/>
        </w:rPr>
        <w:fldChar w:fldCharType="end"/>
      </w:r>
    </w:p>
    <w:p w14:paraId="5B78C320">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_Toc18872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1.8 计量单位</w:t>
      </w:r>
      <w:r>
        <w:rPr>
          <w:color w:val="auto"/>
          <w:highlight w:val="none"/>
        </w:rPr>
        <w:tab/>
      </w:r>
      <w:r>
        <w:rPr>
          <w:color w:val="auto"/>
          <w:highlight w:val="none"/>
        </w:rPr>
        <w:fldChar w:fldCharType="begin"/>
      </w:r>
      <w:r>
        <w:rPr>
          <w:color w:val="auto"/>
          <w:highlight w:val="none"/>
        </w:rPr>
        <w:instrText xml:space="preserve"> PAGEREF _Toc18872 \h </w:instrText>
      </w:r>
      <w:r>
        <w:rPr>
          <w:color w:val="auto"/>
          <w:highlight w:val="none"/>
        </w:rPr>
        <w:fldChar w:fldCharType="separate"/>
      </w:r>
      <w:r>
        <w:rPr>
          <w:color w:val="auto"/>
          <w:highlight w:val="none"/>
        </w:rPr>
        <w:t>41</w:t>
      </w:r>
      <w:r>
        <w:rPr>
          <w:color w:val="auto"/>
          <w:highlight w:val="none"/>
        </w:rPr>
        <w:fldChar w:fldCharType="end"/>
      </w:r>
      <w:r>
        <w:rPr>
          <w:rFonts w:hint="eastAsia" w:ascii="仿宋" w:hAnsi="仿宋" w:eastAsia="仿宋" w:cs="仿宋"/>
          <w:color w:val="auto"/>
          <w:highlight w:val="none"/>
        </w:rPr>
        <w:fldChar w:fldCharType="end"/>
      </w:r>
    </w:p>
    <w:p w14:paraId="305246F6">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_Toc12516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1.9 踏勘现场</w:t>
      </w:r>
      <w:r>
        <w:rPr>
          <w:color w:val="auto"/>
          <w:highlight w:val="none"/>
        </w:rPr>
        <w:tab/>
      </w:r>
      <w:r>
        <w:rPr>
          <w:color w:val="auto"/>
          <w:highlight w:val="none"/>
        </w:rPr>
        <w:fldChar w:fldCharType="begin"/>
      </w:r>
      <w:r>
        <w:rPr>
          <w:color w:val="auto"/>
          <w:highlight w:val="none"/>
        </w:rPr>
        <w:instrText xml:space="preserve"> PAGEREF _Toc12516 \h </w:instrText>
      </w:r>
      <w:r>
        <w:rPr>
          <w:color w:val="auto"/>
          <w:highlight w:val="none"/>
        </w:rPr>
        <w:fldChar w:fldCharType="separate"/>
      </w:r>
      <w:r>
        <w:rPr>
          <w:color w:val="auto"/>
          <w:highlight w:val="none"/>
        </w:rPr>
        <w:t>41</w:t>
      </w:r>
      <w:r>
        <w:rPr>
          <w:color w:val="auto"/>
          <w:highlight w:val="none"/>
        </w:rPr>
        <w:fldChar w:fldCharType="end"/>
      </w:r>
      <w:r>
        <w:rPr>
          <w:rFonts w:hint="eastAsia" w:ascii="仿宋" w:hAnsi="仿宋" w:eastAsia="仿宋" w:cs="仿宋"/>
          <w:color w:val="auto"/>
          <w:highlight w:val="none"/>
        </w:rPr>
        <w:fldChar w:fldCharType="end"/>
      </w:r>
    </w:p>
    <w:p w14:paraId="4D06FEF4">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_Toc9939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1.10 分包</w:t>
      </w:r>
      <w:r>
        <w:rPr>
          <w:color w:val="auto"/>
          <w:highlight w:val="none"/>
        </w:rPr>
        <w:tab/>
      </w:r>
      <w:r>
        <w:rPr>
          <w:color w:val="auto"/>
          <w:highlight w:val="none"/>
        </w:rPr>
        <w:fldChar w:fldCharType="begin"/>
      </w:r>
      <w:r>
        <w:rPr>
          <w:color w:val="auto"/>
          <w:highlight w:val="none"/>
        </w:rPr>
        <w:instrText xml:space="preserve"> PAGEREF _Toc9939 \h </w:instrText>
      </w:r>
      <w:r>
        <w:rPr>
          <w:color w:val="auto"/>
          <w:highlight w:val="none"/>
        </w:rPr>
        <w:fldChar w:fldCharType="separate"/>
      </w:r>
      <w:r>
        <w:rPr>
          <w:color w:val="auto"/>
          <w:highlight w:val="none"/>
        </w:rPr>
        <w:t>41</w:t>
      </w:r>
      <w:r>
        <w:rPr>
          <w:color w:val="auto"/>
          <w:highlight w:val="none"/>
        </w:rPr>
        <w:fldChar w:fldCharType="end"/>
      </w:r>
      <w:r>
        <w:rPr>
          <w:rFonts w:hint="eastAsia" w:ascii="仿宋" w:hAnsi="仿宋" w:eastAsia="仿宋" w:cs="仿宋"/>
          <w:color w:val="auto"/>
          <w:highlight w:val="none"/>
        </w:rPr>
        <w:fldChar w:fldCharType="end"/>
      </w:r>
    </w:p>
    <w:p w14:paraId="664F6CB4">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_Toc6753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1.11 偏离</w:t>
      </w:r>
      <w:r>
        <w:rPr>
          <w:color w:val="auto"/>
          <w:highlight w:val="none"/>
        </w:rPr>
        <w:tab/>
      </w:r>
      <w:r>
        <w:rPr>
          <w:color w:val="auto"/>
          <w:highlight w:val="none"/>
        </w:rPr>
        <w:fldChar w:fldCharType="begin"/>
      </w:r>
      <w:r>
        <w:rPr>
          <w:color w:val="auto"/>
          <w:highlight w:val="none"/>
        </w:rPr>
        <w:instrText xml:space="preserve"> PAGEREF _Toc6753 \h </w:instrText>
      </w:r>
      <w:r>
        <w:rPr>
          <w:color w:val="auto"/>
          <w:highlight w:val="none"/>
        </w:rPr>
        <w:fldChar w:fldCharType="separate"/>
      </w:r>
      <w:r>
        <w:rPr>
          <w:color w:val="auto"/>
          <w:highlight w:val="none"/>
        </w:rPr>
        <w:t>42</w:t>
      </w:r>
      <w:r>
        <w:rPr>
          <w:color w:val="auto"/>
          <w:highlight w:val="none"/>
        </w:rPr>
        <w:fldChar w:fldCharType="end"/>
      </w:r>
      <w:r>
        <w:rPr>
          <w:rFonts w:hint="eastAsia" w:ascii="仿宋" w:hAnsi="仿宋" w:eastAsia="仿宋" w:cs="仿宋"/>
          <w:color w:val="auto"/>
          <w:highlight w:val="none"/>
        </w:rPr>
        <w:fldChar w:fldCharType="end"/>
      </w:r>
    </w:p>
    <w:p w14:paraId="4D061E5B">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_Toc30872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2．招标文件</w:t>
      </w:r>
      <w:r>
        <w:rPr>
          <w:color w:val="auto"/>
          <w:highlight w:val="none"/>
        </w:rPr>
        <w:tab/>
      </w:r>
      <w:r>
        <w:rPr>
          <w:color w:val="auto"/>
          <w:highlight w:val="none"/>
        </w:rPr>
        <w:fldChar w:fldCharType="begin"/>
      </w:r>
      <w:r>
        <w:rPr>
          <w:color w:val="auto"/>
          <w:highlight w:val="none"/>
        </w:rPr>
        <w:instrText xml:space="preserve"> PAGEREF _Toc30872 \h </w:instrText>
      </w:r>
      <w:r>
        <w:rPr>
          <w:color w:val="auto"/>
          <w:highlight w:val="none"/>
        </w:rPr>
        <w:fldChar w:fldCharType="separate"/>
      </w:r>
      <w:r>
        <w:rPr>
          <w:color w:val="auto"/>
          <w:highlight w:val="none"/>
        </w:rPr>
        <w:t>42</w:t>
      </w:r>
      <w:r>
        <w:rPr>
          <w:color w:val="auto"/>
          <w:highlight w:val="none"/>
        </w:rPr>
        <w:fldChar w:fldCharType="end"/>
      </w:r>
      <w:r>
        <w:rPr>
          <w:rFonts w:hint="eastAsia" w:ascii="仿宋" w:hAnsi="仿宋" w:eastAsia="仿宋" w:cs="仿宋"/>
          <w:color w:val="auto"/>
          <w:highlight w:val="none"/>
        </w:rPr>
        <w:fldChar w:fldCharType="end"/>
      </w:r>
    </w:p>
    <w:p w14:paraId="367408CD">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_Toc18553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2.1 招标文件的组成</w:t>
      </w:r>
      <w:r>
        <w:rPr>
          <w:color w:val="auto"/>
          <w:highlight w:val="none"/>
        </w:rPr>
        <w:tab/>
      </w:r>
      <w:r>
        <w:rPr>
          <w:color w:val="auto"/>
          <w:highlight w:val="none"/>
        </w:rPr>
        <w:fldChar w:fldCharType="begin"/>
      </w:r>
      <w:r>
        <w:rPr>
          <w:color w:val="auto"/>
          <w:highlight w:val="none"/>
        </w:rPr>
        <w:instrText xml:space="preserve"> PAGEREF _Toc18553 \h </w:instrText>
      </w:r>
      <w:r>
        <w:rPr>
          <w:color w:val="auto"/>
          <w:highlight w:val="none"/>
        </w:rPr>
        <w:fldChar w:fldCharType="separate"/>
      </w:r>
      <w:r>
        <w:rPr>
          <w:color w:val="auto"/>
          <w:highlight w:val="none"/>
        </w:rPr>
        <w:t>42</w:t>
      </w:r>
      <w:r>
        <w:rPr>
          <w:color w:val="auto"/>
          <w:highlight w:val="none"/>
        </w:rPr>
        <w:fldChar w:fldCharType="end"/>
      </w:r>
      <w:r>
        <w:rPr>
          <w:rFonts w:hint="eastAsia" w:ascii="仿宋" w:hAnsi="仿宋" w:eastAsia="仿宋" w:cs="仿宋"/>
          <w:color w:val="auto"/>
          <w:highlight w:val="none"/>
        </w:rPr>
        <w:fldChar w:fldCharType="end"/>
      </w:r>
    </w:p>
    <w:p w14:paraId="2FF5FC09">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_Toc6582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2.2 招标文件的澄清</w:t>
      </w:r>
      <w:r>
        <w:rPr>
          <w:color w:val="auto"/>
          <w:highlight w:val="none"/>
        </w:rPr>
        <w:tab/>
      </w:r>
      <w:r>
        <w:rPr>
          <w:color w:val="auto"/>
          <w:highlight w:val="none"/>
        </w:rPr>
        <w:fldChar w:fldCharType="begin"/>
      </w:r>
      <w:r>
        <w:rPr>
          <w:color w:val="auto"/>
          <w:highlight w:val="none"/>
        </w:rPr>
        <w:instrText xml:space="preserve"> PAGEREF _Toc6582 \h </w:instrText>
      </w:r>
      <w:r>
        <w:rPr>
          <w:color w:val="auto"/>
          <w:highlight w:val="none"/>
        </w:rPr>
        <w:fldChar w:fldCharType="separate"/>
      </w:r>
      <w:r>
        <w:rPr>
          <w:color w:val="auto"/>
          <w:highlight w:val="none"/>
        </w:rPr>
        <w:t>42</w:t>
      </w:r>
      <w:r>
        <w:rPr>
          <w:color w:val="auto"/>
          <w:highlight w:val="none"/>
        </w:rPr>
        <w:fldChar w:fldCharType="end"/>
      </w:r>
      <w:r>
        <w:rPr>
          <w:rFonts w:hint="eastAsia" w:ascii="仿宋" w:hAnsi="仿宋" w:eastAsia="仿宋" w:cs="仿宋"/>
          <w:color w:val="auto"/>
          <w:highlight w:val="none"/>
        </w:rPr>
        <w:fldChar w:fldCharType="end"/>
      </w:r>
    </w:p>
    <w:p w14:paraId="30F47F29">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_Toc8720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2.3 招标文件的修改</w:t>
      </w:r>
      <w:r>
        <w:rPr>
          <w:color w:val="auto"/>
          <w:highlight w:val="none"/>
        </w:rPr>
        <w:tab/>
      </w:r>
      <w:r>
        <w:rPr>
          <w:color w:val="auto"/>
          <w:highlight w:val="none"/>
        </w:rPr>
        <w:fldChar w:fldCharType="begin"/>
      </w:r>
      <w:r>
        <w:rPr>
          <w:color w:val="auto"/>
          <w:highlight w:val="none"/>
        </w:rPr>
        <w:instrText xml:space="preserve"> PAGEREF _Toc8720 \h </w:instrText>
      </w:r>
      <w:r>
        <w:rPr>
          <w:color w:val="auto"/>
          <w:highlight w:val="none"/>
        </w:rPr>
        <w:fldChar w:fldCharType="separate"/>
      </w:r>
      <w:r>
        <w:rPr>
          <w:color w:val="auto"/>
          <w:highlight w:val="none"/>
        </w:rPr>
        <w:t>43</w:t>
      </w:r>
      <w:r>
        <w:rPr>
          <w:color w:val="auto"/>
          <w:highlight w:val="none"/>
        </w:rPr>
        <w:fldChar w:fldCharType="end"/>
      </w:r>
      <w:r>
        <w:rPr>
          <w:rFonts w:hint="eastAsia" w:ascii="仿宋" w:hAnsi="仿宋" w:eastAsia="仿宋" w:cs="仿宋"/>
          <w:color w:val="auto"/>
          <w:highlight w:val="none"/>
        </w:rPr>
        <w:fldChar w:fldCharType="end"/>
      </w:r>
    </w:p>
    <w:p w14:paraId="56642D90">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_Toc6339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2.4 招标文件的异议</w:t>
      </w:r>
      <w:r>
        <w:rPr>
          <w:color w:val="auto"/>
          <w:highlight w:val="none"/>
        </w:rPr>
        <w:tab/>
      </w:r>
      <w:r>
        <w:rPr>
          <w:color w:val="auto"/>
          <w:highlight w:val="none"/>
        </w:rPr>
        <w:fldChar w:fldCharType="begin"/>
      </w:r>
      <w:r>
        <w:rPr>
          <w:color w:val="auto"/>
          <w:highlight w:val="none"/>
        </w:rPr>
        <w:instrText xml:space="preserve"> PAGEREF _Toc6339 \h </w:instrText>
      </w:r>
      <w:r>
        <w:rPr>
          <w:color w:val="auto"/>
          <w:highlight w:val="none"/>
        </w:rPr>
        <w:fldChar w:fldCharType="separate"/>
      </w:r>
      <w:r>
        <w:rPr>
          <w:color w:val="auto"/>
          <w:highlight w:val="none"/>
        </w:rPr>
        <w:t>43</w:t>
      </w:r>
      <w:r>
        <w:rPr>
          <w:color w:val="auto"/>
          <w:highlight w:val="none"/>
        </w:rPr>
        <w:fldChar w:fldCharType="end"/>
      </w:r>
      <w:r>
        <w:rPr>
          <w:rFonts w:hint="eastAsia" w:ascii="仿宋" w:hAnsi="仿宋" w:eastAsia="仿宋" w:cs="仿宋"/>
          <w:color w:val="auto"/>
          <w:highlight w:val="none"/>
        </w:rPr>
        <w:fldChar w:fldCharType="end"/>
      </w:r>
    </w:p>
    <w:p w14:paraId="6AF394F0">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_Toc14748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3．投标文件</w:t>
      </w:r>
      <w:r>
        <w:rPr>
          <w:color w:val="auto"/>
          <w:highlight w:val="none"/>
        </w:rPr>
        <w:tab/>
      </w:r>
      <w:r>
        <w:rPr>
          <w:color w:val="auto"/>
          <w:highlight w:val="none"/>
        </w:rPr>
        <w:fldChar w:fldCharType="begin"/>
      </w:r>
      <w:r>
        <w:rPr>
          <w:color w:val="auto"/>
          <w:highlight w:val="none"/>
        </w:rPr>
        <w:instrText xml:space="preserve"> PAGEREF _Toc14748 \h </w:instrText>
      </w:r>
      <w:r>
        <w:rPr>
          <w:color w:val="auto"/>
          <w:highlight w:val="none"/>
        </w:rPr>
        <w:fldChar w:fldCharType="separate"/>
      </w:r>
      <w:r>
        <w:rPr>
          <w:color w:val="auto"/>
          <w:highlight w:val="none"/>
        </w:rPr>
        <w:t>43</w:t>
      </w:r>
      <w:r>
        <w:rPr>
          <w:color w:val="auto"/>
          <w:highlight w:val="none"/>
        </w:rPr>
        <w:fldChar w:fldCharType="end"/>
      </w:r>
      <w:r>
        <w:rPr>
          <w:rFonts w:hint="eastAsia" w:ascii="仿宋" w:hAnsi="仿宋" w:eastAsia="仿宋" w:cs="仿宋"/>
          <w:color w:val="auto"/>
          <w:highlight w:val="none"/>
        </w:rPr>
        <w:fldChar w:fldCharType="end"/>
      </w:r>
    </w:p>
    <w:p w14:paraId="27EEE31E">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_Toc27562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3.1 投标文件的组成</w:t>
      </w:r>
      <w:r>
        <w:rPr>
          <w:color w:val="auto"/>
          <w:highlight w:val="none"/>
        </w:rPr>
        <w:tab/>
      </w:r>
      <w:r>
        <w:rPr>
          <w:color w:val="auto"/>
          <w:highlight w:val="none"/>
        </w:rPr>
        <w:fldChar w:fldCharType="begin"/>
      </w:r>
      <w:r>
        <w:rPr>
          <w:color w:val="auto"/>
          <w:highlight w:val="none"/>
        </w:rPr>
        <w:instrText xml:space="preserve"> PAGEREF _Toc27562 \h </w:instrText>
      </w:r>
      <w:r>
        <w:rPr>
          <w:color w:val="auto"/>
          <w:highlight w:val="none"/>
        </w:rPr>
        <w:fldChar w:fldCharType="separate"/>
      </w:r>
      <w:r>
        <w:rPr>
          <w:color w:val="auto"/>
          <w:highlight w:val="none"/>
        </w:rPr>
        <w:t>43</w:t>
      </w:r>
      <w:r>
        <w:rPr>
          <w:color w:val="auto"/>
          <w:highlight w:val="none"/>
        </w:rPr>
        <w:fldChar w:fldCharType="end"/>
      </w:r>
      <w:r>
        <w:rPr>
          <w:rFonts w:hint="eastAsia" w:ascii="仿宋" w:hAnsi="仿宋" w:eastAsia="仿宋" w:cs="仿宋"/>
          <w:color w:val="auto"/>
          <w:highlight w:val="none"/>
        </w:rPr>
        <w:fldChar w:fldCharType="end"/>
      </w:r>
    </w:p>
    <w:p w14:paraId="1FF4F96E">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_Toc28002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3.2 投标报价</w:t>
      </w:r>
      <w:r>
        <w:rPr>
          <w:color w:val="auto"/>
          <w:highlight w:val="none"/>
        </w:rPr>
        <w:tab/>
      </w:r>
      <w:r>
        <w:rPr>
          <w:color w:val="auto"/>
          <w:highlight w:val="none"/>
        </w:rPr>
        <w:fldChar w:fldCharType="begin"/>
      </w:r>
      <w:r>
        <w:rPr>
          <w:color w:val="auto"/>
          <w:highlight w:val="none"/>
        </w:rPr>
        <w:instrText xml:space="preserve"> PAGEREF _Toc28002 \h </w:instrText>
      </w:r>
      <w:r>
        <w:rPr>
          <w:color w:val="auto"/>
          <w:highlight w:val="none"/>
        </w:rPr>
        <w:fldChar w:fldCharType="separate"/>
      </w:r>
      <w:r>
        <w:rPr>
          <w:color w:val="auto"/>
          <w:highlight w:val="none"/>
        </w:rPr>
        <w:t>44</w:t>
      </w:r>
      <w:r>
        <w:rPr>
          <w:color w:val="auto"/>
          <w:highlight w:val="none"/>
        </w:rPr>
        <w:fldChar w:fldCharType="end"/>
      </w:r>
      <w:r>
        <w:rPr>
          <w:rFonts w:hint="eastAsia" w:ascii="仿宋" w:hAnsi="仿宋" w:eastAsia="仿宋" w:cs="仿宋"/>
          <w:color w:val="auto"/>
          <w:highlight w:val="none"/>
        </w:rPr>
        <w:fldChar w:fldCharType="end"/>
      </w:r>
    </w:p>
    <w:p w14:paraId="121BE0E9">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_Toc24449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3.3 投标有效期</w:t>
      </w:r>
      <w:r>
        <w:rPr>
          <w:color w:val="auto"/>
          <w:highlight w:val="none"/>
        </w:rPr>
        <w:tab/>
      </w:r>
      <w:r>
        <w:rPr>
          <w:color w:val="auto"/>
          <w:highlight w:val="none"/>
        </w:rPr>
        <w:fldChar w:fldCharType="begin"/>
      </w:r>
      <w:r>
        <w:rPr>
          <w:color w:val="auto"/>
          <w:highlight w:val="none"/>
        </w:rPr>
        <w:instrText xml:space="preserve"> PAGEREF _Toc24449 \h </w:instrText>
      </w:r>
      <w:r>
        <w:rPr>
          <w:color w:val="auto"/>
          <w:highlight w:val="none"/>
        </w:rPr>
        <w:fldChar w:fldCharType="separate"/>
      </w:r>
      <w:r>
        <w:rPr>
          <w:color w:val="auto"/>
          <w:highlight w:val="none"/>
        </w:rPr>
        <w:t>44</w:t>
      </w:r>
      <w:r>
        <w:rPr>
          <w:color w:val="auto"/>
          <w:highlight w:val="none"/>
        </w:rPr>
        <w:fldChar w:fldCharType="end"/>
      </w:r>
      <w:r>
        <w:rPr>
          <w:rFonts w:hint="eastAsia" w:ascii="仿宋" w:hAnsi="仿宋" w:eastAsia="仿宋" w:cs="仿宋"/>
          <w:color w:val="auto"/>
          <w:highlight w:val="none"/>
        </w:rPr>
        <w:fldChar w:fldCharType="end"/>
      </w:r>
    </w:p>
    <w:p w14:paraId="5F47EFED">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_Toc9856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3.4 投标保证金</w:t>
      </w:r>
      <w:r>
        <w:rPr>
          <w:color w:val="auto"/>
          <w:highlight w:val="none"/>
        </w:rPr>
        <w:tab/>
      </w:r>
      <w:r>
        <w:rPr>
          <w:color w:val="auto"/>
          <w:highlight w:val="none"/>
        </w:rPr>
        <w:fldChar w:fldCharType="begin"/>
      </w:r>
      <w:r>
        <w:rPr>
          <w:color w:val="auto"/>
          <w:highlight w:val="none"/>
        </w:rPr>
        <w:instrText xml:space="preserve"> PAGEREF _Toc9856 \h </w:instrText>
      </w:r>
      <w:r>
        <w:rPr>
          <w:color w:val="auto"/>
          <w:highlight w:val="none"/>
        </w:rPr>
        <w:fldChar w:fldCharType="separate"/>
      </w:r>
      <w:r>
        <w:rPr>
          <w:color w:val="auto"/>
          <w:highlight w:val="none"/>
        </w:rPr>
        <w:t>44</w:t>
      </w:r>
      <w:r>
        <w:rPr>
          <w:color w:val="auto"/>
          <w:highlight w:val="none"/>
        </w:rPr>
        <w:fldChar w:fldCharType="end"/>
      </w:r>
      <w:r>
        <w:rPr>
          <w:rFonts w:hint="eastAsia" w:ascii="仿宋" w:hAnsi="仿宋" w:eastAsia="仿宋" w:cs="仿宋"/>
          <w:color w:val="auto"/>
          <w:highlight w:val="none"/>
        </w:rPr>
        <w:fldChar w:fldCharType="end"/>
      </w:r>
    </w:p>
    <w:p w14:paraId="7A6DC9D1">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_Toc12257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3.5 资格审查资料</w:t>
      </w:r>
      <w:r>
        <w:rPr>
          <w:color w:val="auto"/>
          <w:highlight w:val="none"/>
        </w:rPr>
        <w:tab/>
      </w:r>
      <w:r>
        <w:rPr>
          <w:color w:val="auto"/>
          <w:highlight w:val="none"/>
        </w:rPr>
        <w:fldChar w:fldCharType="begin"/>
      </w:r>
      <w:r>
        <w:rPr>
          <w:color w:val="auto"/>
          <w:highlight w:val="none"/>
        </w:rPr>
        <w:instrText xml:space="preserve"> PAGEREF _Toc12257 \h </w:instrText>
      </w:r>
      <w:r>
        <w:rPr>
          <w:color w:val="auto"/>
          <w:highlight w:val="none"/>
        </w:rPr>
        <w:fldChar w:fldCharType="separate"/>
      </w:r>
      <w:r>
        <w:rPr>
          <w:color w:val="auto"/>
          <w:highlight w:val="none"/>
        </w:rPr>
        <w:t>45</w:t>
      </w:r>
      <w:r>
        <w:rPr>
          <w:color w:val="auto"/>
          <w:highlight w:val="none"/>
        </w:rPr>
        <w:fldChar w:fldCharType="end"/>
      </w:r>
      <w:r>
        <w:rPr>
          <w:rFonts w:hint="eastAsia" w:ascii="仿宋" w:hAnsi="仿宋" w:eastAsia="仿宋" w:cs="仿宋"/>
          <w:color w:val="auto"/>
          <w:highlight w:val="none"/>
        </w:rPr>
        <w:fldChar w:fldCharType="end"/>
      </w:r>
    </w:p>
    <w:p w14:paraId="4C7AF6CC">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_Toc5455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3.6 备选投标方案</w:t>
      </w:r>
      <w:r>
        <w:rPr>
          <w:color w:val="auto"/>
          <w:highlight w:val="none"/>
        </w:rPr>
        <w:tab/>
      </w:r>
      <w:r>
        <w:rPr>
          <w:color w:val="auto"/>
          <w:highlight w:val="none"/>
        </w:rPr>
        <w:fldChar w:fldCharType="begin"/>
      </w:r>
      <w:r>
        <w:rPr>
          <w:color w:val="auto"/>
          <w:highlight w:val="none"/>
        </w:rPr>
        <w:instrText xml:space="preserve"> PAGEREF _Toc5455 \h </w:instrText>
      </w:r>
      <w:r>
        <w:rPr>
          <w:color w:val="auto"/>
          <w:highlight w:val="none"/>
        </w:rPr>
        <w:fldChar w:fldCharType="separate"/>
      </w:r>
      <w:r>
        <w:rPr>
          <w:color w:val="auto"/>
          <w:highlight w:val="none"/>
        </w:rPr>
        <w:t>45</w:t>
      </w:r>
      <w:r>
        <w:rPr>
          <w:color w:val="auto"/>
          <w:highlight w:val="none"/>
        </w:rPr>
        <w:fldChar w:fldCharType="end"/>
      </w:r>
      <w:r>
        <w:rPr>
          <w:rFonts w:hint="eastAsia" w:ascii="仿宋" w:hAnsi="仿宋" w:eastAsia="仿宋" w:cs="仿宋"/>
          <w:color w:val="auto"/>
          <w:highlight w:val="none"/>
        </w:rPr>
        <w:fldChar w:fldCharType="end"/>
      </w:r>
    </w:p>
    <w:p w14:paraId="3CC1B819">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_Toc9439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3.7 投标文件的编制</w:t>
      </w:r>
      <w:r>
        <w:rPr>
          <w:color w:val="auto"/>
          <w:highlight w:val="none"/>
        </w:rPr>
        <w:tab/>
      </w:r>
      <w:r>
        <w:rPr>
          <w:color w:val="auto"/>
          <w:highlight w:val="none"/>
        </w:rPr>
        <w:fldChar w:fldCharType="begin"/>
      </w:r>
      <w:r>
        <w:rPr>
          <w:color w:val="auto"/>
          <w:highlight w:val="none"/>
        </w:rPr>
        <w:instrText xml:space="preserve"> PAGEREF _Toc9439 \h </w:instrText>
      </w:r>
      <w:r>
        <w:rPr>
          <w:color w:val="auto"/>
          <w:highlight w:val="none"/>
        </w:rPr>
        <w:fldChar w:fldCharType="separate"/>
      </w:r>
      <w:r>
        <w:rPr>
          <w:color w:val="auto"/>
          <w:highlight w:val="none"/>
        </w:rPr>
        <w:t>46</w:t>
      </w:r>
      <w:r>
        <w:rPr>
          <w:color w:val="auto"/>
          <w:highlight w:val="none"/>
        </w:rPr>
        <w:fldChar w:fldCharType="end"/>
      </w:r>
      <w:r>
        <w:rPr>
          <w:rFonts w:hint="eastAsia" w:ascii="仿宋" w:hAnsi="仿宋" w:eastAsia="仿宋" w:cs="仿宋"/>
          <w:color w:val="auto"/>
          <w:highlight w:val="none"/>
        </w:rPr>
        <w:fldChar w:fldCharType="end"/>
      </w:r>
    </w:p>
    <w:p w14:paraId="331DA2D6">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_Toc32222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4．投标</w:t>
      </w:r>
      <w:r>
        <w:rPr>
          <w:color w:val="auto"/>
          <w:highlight w:val="none"/>
        </w:rPr>
        <w:tab/>
      </w:r>
      <w:r>
        <w:rPr>
          <w:color w:val="auto"/>
          <w:highlight w:val="none"/>
        </w:rPr>
        <w:fldChar w:fldCharType="begin"/>
      </w:r>
      <w:r>
        <w:rPr>
          <w:color w:val="auto"/>
          <w:highlight w:val="none"/>
        </w:rPr>
        <w:instrText xml:space="preserve"> PAGEREF _Toc32222 \h </w:instrText>
      </w:r>
      <w:r>
        <w:rPr>
          <w:color w:val="auto"/>
          <w:highlight w:val="none"/>
        </w:rPr>
        <w:fldChar w:fldCharType="separate"/>
      </w:r>
      <w:r>
        <w:rPr>
          <w:color w:val="auto"/>
          <w:highlight w:val="none"/>
        </w:rPr>
        <w:t>46</w:t>
      </w:r>
      <w:r>
        <w:rPr>
          <w:color w:val="auto"/>
          <w:highlight w:val="none"/>
        </w:rPr>
        <w:fldChar w:fldCharType="end"/>
      </w:r>
      <w:r>
        <w:rPr>
          <w:rFonts w:hint="eastAsia" w:ascii="仿宋" w:hAnsi="仿宋" w:eastAsia="仿宋" w:cs="仿宋"/>
          <w:color w:val="auto"/>
          <w:highlight w:val="none"/>
        </w:rPr>
        <w:fldChar w:fldCharType="end"/>
      </w:r>
    </w:p>
    <w:p w14:paraId="45A7F36D">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_Toc3643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4.1 投标文件的加密</w:t>
      </w:r>
      <w:r>
        <w:rPr>
          <w:color w:val="auto"/>
          <w:highlight w:val="none"/>
        </w:rPr>
        <w:tab/>
      </w:r>
      <w:r>
        <w:rPr>
          <w:color w:val="auto"/>
          <w:highlight w:val="none"/>
        </w:rPr>
        <w:fldChar w:fldCharType="begin"/>
      </w:r>
      <w:r>
        <w:rPr>
          <w:color w:val="auto"/>
          <w:highlight w:val="none"/>
        </w:rPr>
        <w:instrText xml:space="preserve"> PAGEREF _Toc3643 \h </w:instrText>
      </w:r>
      <w:r>
        <w:rPr>
          <w:color w:val="auto"/>
          <w:highlight w:val="none"/>
        </w:rPr>
        <w:fldChar w:fldCharType="separate"/>
      </w:r>
      <w:r>
        <w:rPr>
          <w:color w:val="auto"/>
          <w:highlight w:val="none"/>
        </w:rPr>
        <w:t>46</w:t>
      </w:r>
      <w:r>
        <w:rPr>
          <w:color w:val="auto"/>
          <w:highlight w:val="none"/>
        </w:rPr>
        <w:fldChar w:fldCharType="end"/>
      </w:r>
      <w:r>
        <w:rPr>
          <w:rFonts w:hint="eastAsia" w:ascii="仿宋" w:hAnsi="仿宋" w:eastAsia="仿宋" w:cs="仿宋"/>
          <w:color w:val="auto"/>
          <w:highlight w:val="none"/>
        </w:rPr>
        <w:fldChar w:fldCharType="end"/>
      </w:r>
    </w:p>
    <w:p w14:paraId="46D27D70">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_Toc15428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4.2 投标文件的递交</w:t>
      </w:r>
      <w:r>
        <w:rPr>
          <w:color w:val="auto"/>
          <w:highlight w:val="none"/>
        </w:rPr>
        <w:tab/>
      </w:r>
      <w:r>
        <w:rPr>
          <w:color w:val="auto"/>
          <w:highlight w:val="none"/>
        </w:rPr>
        <w:fldChar w:fldCharType="begin"/>
      </w:r>
      <w:r>
        <w:rPr>
          <w:color w:val="auto"/>
          <w:highlight w:val="none"/>
        </w:rPr>
        <w:instrText xml:space="preserve"> PAGEREF _Toc15428 \h </w:instrText>
      </w:r>
      <w:r>
        <w:rPr>
          <w:color w:val="auto"/>
          <w:highlight w:val="none"/>
        </w:rPr>
        <w:fldChar w:fldCharType="separate"/>
      </w:r>
      <w:r>
        <w:rPr>
          <w:color w:val="auto"/>
          <w:highlight w:val="none"/>
        </w:rPr>
        <w:t>46</w:t>
      </w:r>
      <w:r>
        <w:rPr>
          <w:color w:val="auto"/>
          <w:highlight w:val="none"/>
        </w:rPr>
        <w:fldChar w:fldCharType="end"/>
      </w:r>
      <w:r>
        <w:rPr>
          <w:rFonts w:hint="eastAsia" w:ascii="仿宋" w:hAnsi="仿宋" w:eastAsia="仿宋" w:cs="仿宋"/>
          <w:color w:val="auto"/>
          <w:highlight w:val="none"/>
        </w:rPr>
        <w:fldChar w:fldCharType="end"/>
      </w:r>
    </w:p>
    <w:p w14:paraId="20C91E3D">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_Toc16697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4.3 投标文件的修改与撤回</w:t>
      </w:r>
      <w:r>
        <w:rPr>
          <w:color w:val="auto"/>
          <w:highlight w:val="none"/>
        </w:rPr>
        <w:tab/>
      </w:r>
      <w:r>
        <w:rPr>
          <w:color w:val="auto"/>
          <w:highlight w:val="none"/>
        </w:rPr>
        <w:fldChar w:fldCharType="begin"/>
      </w:r>
      <w:r>
        <w:rPr>
          <w:color w:val="auto"/>
          <w:highlight w:val="none"/>
        </w:rPr>
        <w:instrText xml:space="preserve"> PAGEREF _Toc16697 \h </w:instrText>
      </w:r>
      <w:r>
        <w:rPr>
          <w:color w:val="auto"/>
          <w:highlight w:val="none"/>
        </w:rPr>
        <w:fldChar w:fldCharType="separate"/>
      </w:r>
      <w:r>
        <w:rPr>
          <w:color w:val="auto"/>
          <w:highlight w:val="none"/>
        </w:rPr>
        <w:t>46</w:t>
      </w:r>
      <w:r>
        <w:rPr>
          <w:color w:val="auto"/>
          <w:highlight w:val="none"/>
        </w:rPr>
        <w:fldChar w:fldCharType="end"/>
      </w:r>
      <w:r>
        <w:rPr>
          <w:rFonts w:hint="eastAsia" w:ascii="仿宋" w:hAnsi="仿宋" w:eastAsia="仿宋" w:cs="仿宋"/>
          <w:color w:val="auto"/>
          <w:highlight w:val="none"/>
        </w:rPr>
        <w:fldChar w:fldCharType="end"/>
      </w:r>
    </w:p>
    <w:p w14:paraId="33A076DF">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_Toc16350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5．开标</w:t>
      </w:r>
      <w:r>
        <w:rPr>
          <w:color w:val="auto"/>
          <w:highlight w:val="none"/>
        </w:rPr>
        <w:tab/>
      </w:r>
      <w:r>
        <w:rPr>
          <w:color w:val="auto"/>
          <w:highlight w:val="none"/>
        </w:rPr>
        <w:fldChar w:fldCharType="begin"/>
      </w:r>
      <w:r>
        <w:rPr>
          <w:color w:val="auto"/>
          <w:highlight w:val="none"/>
        </w:rPr>
        <w:instrText xml:space="preserve"> PAGEREF _Toc16350 \h </w:instrText>
      </w:r>
      <w:r>
        <w:rPr>
          <w:color w:val="auto"/>
          <w:highlight w:val="none"/>
        </w:rPr>
        <w:fldChar w:fldCharType="separate"/>
      </w:r>
      <w:r>
        <w:rPr>
          <w:color w:val="auto"/>
          <w:highlight w:val="none"/>
        </w:rPr>
        <w:t>47</w:t>
      </w:r>
      <w:r>
        <w:rPr>
          <w:color w:val="auto"/>
          <w:highlight w:val="none"/>
        </w:rPr>
        <w:fldChar w:fldCharType="end"/>
      </w:r>
      <w:r>
        <w:rPr>
          <w:rFonts w:hint="eastAsia" w:ascii="仿宋" w:hAnsi="仿宋" w:eastAsia="仿宋" w:cs="仿宋"/>
          <w:color w:val="auto"/>
          <w:highlight w:val="none"/>
        </w:rPr>
        <w:fldChar w:fldCharType="end"/>
      </w:r>
    </w:p>
    <w:p w14:paraId="3C6E360A">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_Toc11093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5.1 开标时间和地点</w:t>
      </w:r>
      <w:r>
        <w:rPr>
          <w:color w:val="auto"/>
          <w:highlight w:val="none"/>
        </w:rPr>
        <w:tab/>
      </w:r>
      <w:r>
        <w:rPr>
          <w:color w:val="auto"/>
          <w:highlight w:val="none"/>
        </w:rPr>
        <w:fldChar w:fldCharType="begin"/>
      </w:r>
      <w:r>
        <w:rPr>
          <w:color w:val="auto"/>
          <w:highlight w:val="none"/>
        </w:rPr>
        <w:instrText xml:space="preserve"> PAGEREF _Toc11093 \h </w:instrText>
      </w:r>
      <w:r>
        <w:rPr>
          <w:color w:val="auto"/>
          <w:highlight w:val="none"/>
        </w:rPr>
        <w:fldChar w:fldCharType="separate"/>
      </w:r>
      <w:r>
        <w:rPr>
          <w:color w:val="auto"/>
          <w:highlight w:val="none"/>
        </w:rPr>
        <w:t>47</w:t>
      </w:r>
      <w:r>
        <w:rPr>
          <w:color w:val="auto"/>
          <w:highlight w:val="none"/>
        </w:rPr>
        <w:fldChar w:fldCharType="end"/>
      </w:r>
      <w:r>
        <w:rPr>
          <w:rFonts w:hint="eastAsia" w:ascii="仿宋" w:hAnsi="仿宋" w:eastAsia="仿宋" w:cs="仿宋"/>
          <w:color w:val="auto"/>
          <w:highlight w:val="none"/>
        </w:rPr>
        <w:fldChar w:fldCharType="end"/>
      </w:r>
    </w:p>
    <w:p w14:paraId="7DC5EAB5">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_Toc17134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5.2 开标程序</w:t>
      </w:r>
      <w:r>
        <w:rPr>
          <w:color w:val="auto"/>
          <w:highlight w:val="none"/>
        </w:rPr>
        <w:tab/>
      </w:r>
      <w:r>
        <w:rPr>
          <w:color w:val="auto"/>
          <w:highlight w:val="none"/>
        </w:rPr>
        <w:fldChar w:fldCharType="begin"/>
      </w:r>
      <w:r>
        <w:rPr>
          <w:color w:val="auto"/>
          <w:highlight w:val="none"/>
        </w:rPr>
        <w:instrText xml:space="preserve"> PAGEREF _Toc17134 \h </w:instrText>
      </w:r>
      <w:r>
        <w:rPr>
          <w:color w:val="auto"/>
          <w:highlight w:val="none"/>
        </w:rPr>
        <w:fldChar w:fldCharType="separate"/>
      </w:r>
      <w:r>
        <w:rPr>
          <w:color w:val="auto"/>
          <w:highlight w:val="none"/>
        </w:rPr>
        <w:t>47</w:t>
      </w:r>
      <w:r>
        <w:rPr>
          <w:color w:val="auto"/>
          <w:highlight w:val="none"/>
        </w:rPr>
        <w:fldChar w:fldCharType="end"/>
      </w:r>
      <w:r>
        <w:rPr>
          <w:rFonts w:hint="eastAsia" w:ascii="仿宋" w:hAnsi="仿宋" w:eastAsia="仿宋" w:cs="仿宋"/>
          <w:color w:val="auto"/>
          <w:highlight w:val="none"/>
        </w:rPr>
        <w:fldChar w:fldCharType="end"/>
      </w:r>
    </w:p>
    <w:p w14:paraId="79C3B6AD">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_Toc32156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5.3 开标异议</w:t>
      </w:r>
      <w:r>
        <w:rPr>
          <w:color w:val="auto"/>
          <w:highlight w:val="none"/>
        </w:rPr>
        <w:tab/>
      </w:r>
      <w:r>
        <w:rPr>
          <w:color w:val="auto"/>
          <w:highlight w:val="none"/>
        </w:rPr>
        <w:fldChar w:fldCharType="begin"/>
      </w:r>
      <w:r>
        <w:rPr>
          <w:color w:val="auto"/>
          <w:highlight w:val="none"/>
        </w:rPr>
        <w:instrText xml:space="preserve"> PAGEREF _Toc32156 \h </w:instrText>
      </w:r>
      <w:r>
        <w:rPr>
          <w:color w:val="auto"/>
          <w:highlight w:val="none"/>
        </w:rPr>
        <w:fldChar w:fldCharType="separate"/>
      </w:r>
      <w:r>
        <w:rPr>
          <w:color w:val="auto"/>
          <w:highlight w:val="none"/>
        </w:rPr>
        <w:t>47</w:t>
      </w:r>
      <w:r>
        <w:rPr>
          <w:color w:val="auto"/>
          <w:highlight w:val="none"/>
        </w:rPr>
        <w:fldChar w:fldCharType="end"/>
      </w:r>
      <w:r>
        <w:rPr>
          <w:rFonts w:hint="eastAsia" w:ascii="仿宋" w:hAnsi="仿宋" w:eastAsia="仿宋" w:cs="仿宋"/>
          <w:color w:val="auto"/>
          <w:highlight w:val="none"/>
        </w:rPr>
        <w:fldChar w:fldCharType="end"/>
      </w:r>
    </w:p>
    <w:p w14:paraId="2BA4879C">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_Toc9795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6．评标</w:t>
      </w:r>
      <w:r>
        <w:rPr>
          <w:color w:val="auto"/>
          <w:highlight w:val="none"/>
        </w:rPr>
        <w:tab/>
      </w:r>
      <w:r>
        <w:rPr>
          <w:color w:val="auto"/>
          <w:highlight w:val="none"/>
        </w:rPr>
        <w:fldChar w:fldCharType="begin"/>
      </w:r>
      <w:r>
        <w:rPr>
          <w:color w:val="auto"/>
          <w:highlight w:val="none"/>
        </w:rPr>
        <w:instrText xml:space="preserve"> PAGEREF _Toc9795 \h </w:instrText>
      </w:r>
      <w:r>
        <w:rPr>
          <w:color w:val="auto"/>
          <w:highlight w:val="none"/>
        </w:rPr>
        <w:fldChar w:fldCharType="separate"/>
      </w:r>
      <w:r>
        <w:rPr>
          <w:color w:val="auto"/>
          <w:highlight w:val="none"/>
        </w:rPr>
        <w:t>47</w:t>
      </w:r>
      <w:r>
        <w:rPr>
          <w:color w:val="auto"/>
          <w:highlight w:val="none"/>
        </w:rPr>
        <w:fldChar w:fldCharType="end"/>
      </w:r>
      <w:r>
        <w:rPr>
          <w:rFonts w:hint="eastAsia" w:ascii="仿宋" w:hAnsi="仿宋" w:eastAsia="仿宋" w:cs="仿宋"/>
          <w:color w:val="auto"/>
          <w:highlight w:val="none"/>
        </w:rPr>
        <w:fldChar w:fldCharType="end"/>
      </w:r>
    </w:p>
    <w:p w14:paraId="39E16AE5">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_Toc14804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6.1 评标委员会</w:t>
      </w:r>
      <w:r>
        <w:rPr>
          <w:color w:val="auto"/>
          <w:highlight w:val="none"/>
        </w:rPr>
        <w:tab/>
      </w:r>
      <w:r>
        <w:rPr>
          <w:color w:val="auto"/>
          <w:highlight w:val="none"/>
        </w:rPr>
        <w:fldChar w:fldCharType="begin"/>
      </w:r>
      <w:r>
        <w:rPr>
          <w:color w:val="auto"/>
          <w:highlight w:val="none"/>
        </w:rPr>
        <w:instrText xml:space="preserve"> PAGEREF _Toc14804 \h </w:instrText>
      </w:r>
      <w:r>
        <w:rPr>
          <w:color w:val="auto"/>
          <w:highlight w:val="none"/>
        </w:rPr>
        <w:fldChar w:fldCharType="separate"/>
      </w:r>
      <w:r>
        <w:rPr>
          <w:color w:val="auto"/>
          <w:highlight w:val="none"/>
        </w:rPr>
        <w:t>47</w:t>
      </w:r>
      <w:r>
        <w:rPr>
          <w:color w:val="auto"/>
          <w:highlight w:val="none"/>
        </w:rPr>
        <w:fldChar w:fldCharType="end"/>
      </w:r>
      <w:r>
        <w:rPr>
          <w:rFonts w:hint="eastAsia" w:ascii="仿宋" w:hAnsi="仿宋" w:eastAsia="仿宋" w:cs="仿宋"/>
          <w:color w:val="auto"/>
          <w:highlight w:val="none"/>
        </w:rPr>
        <w:fldChar w:fldCharType="end"/>
      </w:r>
    </w:p>
    <w:p w14:paraId="3EBD1B37">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6.2 评标原则</w:t>
      </w:r>
      <w:r>
        <w:rPr>
          <w:color w:val="auto"/>
          <w:highlight w:val="none"/>
        </w:rPr>
        <w:tab/>
      </w:r>
      <w:r>
        <w:rPr>
          <w:color w:val="auto"/>
          <w:highlight w:val="none"/>
        </w:rPr>
        <w:fldChar w:fldCharType="begin"/>
      </w:r>
      <w:r>
        <w:rPr>
          <w:color w:val="auto"/>
          <w:highlight w:val="none"/>
        </w:rPr>
        <w:instrText xml:space="preserve"> PAGEREF _Toc16 \h </w:instrText>
      </w:r>
      <w:r>
        <w:rPr>
          <w:color w:val="auto"/>
          <w:highlight w:val="none"/>
        </w:rPr>
        <w:fldChar w:fldCharType="separate"/>
      </w:r>
      <w:r>
        <w:rPr>
          <w:color w:val="auto"/>
          <w:highlight w:val="none"/>
        </w:rPr>
        <w:t>48</w:t>
      </w:r>
      <w:r>
        <w:rPr>
          <w:color w:val="auto"/>
          <w:highlight w:val="none"/>
        </w:rPr>
        <w:fldChar w:fldCharType="end"/>
      </w:r>
      <w:r>
        <w:rPr>
          <w:rFonts w:hint="eastAsia" w:ascii="仿宋" w:hAnsi="仿宋" w:eastAsia="仿宋" w:cs="仿宋"/>
          <w:color w:val="auto"/>
          <w:highlight w:val="none"/>
        </w:rPr>
        <w:fldChar w:fldCharType="end"/>
      </w:r>
    </w:p>
    <w:p w14:paraId="22A2A2D3">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_Toc17216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6.3 评标</w:t>
      </w:r>
      <w:r>
        <w:rPr>
          <w:color w:val="auto"/>
          <w:highlight w:val="none"/>
        </w:rPr>
        <w:tab/>
      </w:r>
      <w:r>
        <w:rPr>
          <w:color w:val="auto"/>
          <w:highlight w:val="none"/>
        </w:rPr>
        <w:fldChar w:fldCharType="begin"/>
      </w:r>
      <w:r>
        <w:rPr>
          <w:color w:val="auto"/>
          <w:highlight w:val="none"/>
        </w:rPr>
        <w:instrText xml:space="preserve"> PAGEREF _Toc17216 \h </w:instrText>
      </w:r>
      <w:r>
        <w:rPr>
          <w:color w:val="auto"/>
          <w:highlight w:val="none"/>
        </w:rPr>
        <w:fldChar w:fldCharType="separate"/>
      </w:r>
      <w:r>
        <w:rPr>
          <w:color w:val="auto"/>
          <w:highlight w:val="none"/>
        </w:rPr>
        <w:t>48</w:t>
      </w:r>
      <w:r>
        <w:rPr>
          <w:color w:val="auto"/>
          <w:highlight w:val="none"/>
        </w:rPr>
        <w:fldChar w:fldCharType="end"/>
      </w:r>
      <w:r>
        <w:rPr>
          <w:rFonts w:hint="eastAsia" w:ascii="仿宋" w:hAnsi="仿宋" w:eastAsia="仿宋" w:cs="仿宋"/>
          <w:color w:val="auto"/>
          <w:highlight w:val="none"/>
        </w:rPr>
        <w:fldChar w:fldCharType="end"/>
      </w:r>
    </w:p>
    <w:p w14:paraId="7D1B6981">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_Toc11763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6.4 评标报告审查</w:t>
      </w:r>
      <w:r>
        <w:rPr>
          <w:color w:val="auto"/>
          <w:highlight w:val="none"/>
        </w:rPr>
        <w:tab/>
      </w:r>
      <w:r>
        <w:rPr>
          <w:color w:val="auto"/>
          <w:highlight w:val="none"/>
        </w:rPr>
        <w:fldChar w:fldCharType="begin"/>
      </w:r>
      <w:r>
        <w:rPr>
          <w:color w:val="auto"/>
          <w:highlight w:val="none"/>
        </w:rPr>
        <w:instrText xml:space="preserve"> PAGEREF _Toc11763 \h </w:instrText>
      </w:r>
      <w:r>
        <w:rPr>
          <w:color w:val="auto"/>
          <w:highlight w:val="none"/>
        </w:rPr>
        <w:fldChar w:fldCharType="separate"/>
      </w:r>
      <w:r>
        <w:rPr>
          <w:color w:val="auto"/>
          <w:highlight w:val="none"/>
        </w:rPr>
        <w:t>48</w:t>
      </w:r>
      <w:r>
        <w:rPr>
          <w:color w:val="auto"/>
          <w:highlight w:val="none"/>
        </w:rPr>
        <w:fldChar w:fldCharType="end"/>
      </w:r>
      <w:r>
        <w:rPr>
          <w:rFonts w:hint="eastAsia" w:ascii="仿宋" w:hAnsi="仿宋" w:eastAsia="仿宋" w:cs="仿宋"/>
          <w:color w:val="auto"/>
          <w:highlight w:val="none"/>
        </w:rPr>
        <w:fldChar w:fldCharType="end"/>
      </w:r>
    </w:p>
    <w:p w14:paraId="6B8E6BB7">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_Toc12101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7．合同授予</w:t>
      </w:r>
      <w:r>
        <w:rPr>
          <w:color w:val="auto"/>
          <w:highlight w:val="none"/>
        </w:rPr>
        <w:tab/>
      </w:r>
      <w:r>
        <w:rPr>
          <w:color w:val="auto"/>
          <w:highlight w:val="none"/>
        </w:rPr>
        <w:fldChar w:fldCharType="begin"/>
      </w:r>
      <w:r>
        <w:rPr>
          <w:color w:val="auto"/>
          <w:highlight w:val="none"/>
        </w:rPr>
        <w:instrText xml:space="preserve"> PAGEREF _Toc12101 \h </w:instrText>
      </w:r>
      <w:r>
        <w:rPr>
          <w:color w:val="auto"/>
          <w:highlight w:val="none"/>
        </w:rPr>
        <w:fldChar w:fldCharType="separate"/>
      </w:r>
      <w:r>
        <w:rPr>
          <w:color w:val="auto"/>
          <w:highlight w:val="none"/>
        </w:rPr>
        <w:t>49</w:t>
      </w:r>
      <w:r>
        <w:rPr>
          <w:color w:val="auto"/>
          <w:highlight w:val="none"/>
        </w:rPr>
        <w:fldChar w:fldCharType="end"/>
      </w:r>
      <w:r>
        <w:rPr>
          <w:rFonts w:hint="eastAsia" w:ascii="仿宋" w:hAnsi="仿宋" w:eastAsia="仿宋" w:cs="仿宋"/>
          <w:color w:val="auto"/>
          <w:highlight w:val="none"/>
        </w:rPr>
        <w:fldChar w:fldCharType="end"/>
      </w:r>
    </w:p>
    <w:p w14:paraId="4E33D36B">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_Toc3198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7.1 中标候选人公示</w:t>
      </w:r>
      <w:r>
        <w:rPr>
          <w:color w:val="auto"/>
          <w:highlight w:val="none"/>
        </w:rPr>
        <w:tab/>
      </w:r>
      <w:r>
        <w:rPr>
          <w:color w:val="auto"/>
          <w:highlight w:val="none"/>
        </w:rPr>
        <w:fldChar w:fldCharType="begin"/>
      </w:r>
      <w:r>
        <w:rPr>
          <w:color w:val="auto"/>
          <w:highlight w:val="none"/>
        </w:rPr>
        <w:instrText xml:space="preserve"> PAGEREF _Toc3198 \h </w:instrText>
      </w:r>
      <w:r>
        <w:rPr>
          <w:color w:val="auto"/>
          <w:highlight w:val="none"/>
        </w:rPr>
        <w:fldChar w:fldCharType="separate"/>
      </w:r>
      <w:r>
        <w:rPr>
          <w:color w:val="auto"/>
          <w:highlight w:val="none"/>
        </w:rPr>
        <w:t>49</w:t>
      </w:r>
      <w:r>
        <w:rPr>
          <w:color w:val="auto"/>
          <w:highlight w:val="none"/>
        </w:rPr>
        <w:fldChar w:fldCharType="end"/>
      </w:r>
      <w:r>
        <w:rPr>
          <w:rFonts w:hint="eastAsia" w:ascii="仿宋" w:hAnsi="仿宋" w:eastAsia="仿宋" w:cs="仿宋"/>
          <w:color w:val="auto"/>
          <w:highlight w:val="none"/>
        </w:rPr>
        <w:fldChar w:fldCharType="end"/>
      </w:r>
    </w:p>
    <w:p w14:paraId="6D2A084A">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_Toc8434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7.2 评标结果异议</w:t>
      </w:r>
      <w:r>
        <w:rPr>
          <w:color w:val="auto"/>
          <w:highlight w:val="none"/>
        </w:rPr>
        <w:tab/>
      </w:r>
      <w:r>
        <w:rPr>
          <w:color w:val="auto"/>
          <w:highlight w:val="none"/>
        </w:rPr>
        <w:fldChar w:fldCharType="begin"/>
      </w:r>
      <w:r>
        <w:rPr>
          <w:color w:val="auto"/>
          <w:highlight w:val="none"/>
        </w:rPr>
        <w:instrText xml:space="preserve"> PAGEREF _Toc8434 \h </w:instrText>
      </w:r>
      <w:r>
        <w:rPr>
          <w:color w:val="auto"/>
          <w:highlight w:val="none"/>
        </w:rPr>
        <w:fldChar w:fldCharType="separate"/>
      </w:r>
      <w:r>
        <w:rPr>
          <w:color w:val="auto"/>
          <w:highlight w:val="none"/>
        </w:rPr>
        <w:t>49</w:t>
      </w:r>
      <w:r>
        <w:rPr>
          <w:color w:val="auto"/>
          <w:highlight w:val="none"/>
        </w:rPr>
        <w:fldChar w:fldCharType="end"/>
      </w:r>
      <w:r>
        <w:rPr>
          <w:rFonts w:hint="eastAsia" w:ascii="仿宋" w:hAnsi="仿宋" w:eastAsia="仿宋" w:cs="仿宋"/>
          <w:color w:val="auto"/>
          <w:highlight w:val="none"/>
        </w:rPr>
        <w:fldChar w:fldCharType="end"/>
      </w:r>
    </w:p>
    <w:p w14:paraId="0D89FB4A">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_Toc12328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7.3 中标候选人履约能力审查</w:t>
      </w:r>
      <w:r>
        <w:rPr>
          <w:color w:val="auto"/>
          <w:highlight w:val="none"/>
        </w:rPr>
        <w:tab/>
      </w:r>
      <w:r>
        <w:rPr>
          <w:color w:val="auto"/>
          <w:highlight w:val="none"/>
        </w:rPr>
        <w:fldChar w:fldCharType="begin"/>
      </w:r>
      <w:r>
        <w:rPr>
          <w:color w:val="auto"/>
          <w:highlight w:val="none"/>
        </w:rPr>
        <w:instrText xml:space="preserve"> PAGEREF _Toc12328 \h </w:instrText>
      </w:r>
      <w:r>
        <w:rPr>
          <w:color w:val="auto"/>
          <w:highlight w:val="none"/>
        </w:rPr>
        <w:fldChar w:fldCharType="separate"/>
      </w:r>
      <w:r>
        <w:rPr>
          <w:color w:val="auto"/>
          <w:highlight w:val="none"/>
        </w:rPr>
        <w:t>49</w:t>
      </w:r>
      <w:r>
        <w:rPr>
          <w:color w:val="auto"/>
          <w:highlight w:val="none"/>
        </w:rPr>
        <w:fldChar w:fldCharType="end"/>
      </w:r>
      <w:r>
        <w:rPr>
          <w:rFonts w:hint="eastAsia" w:ascii="仿宋" w:hAnsi="仿宋" w:eastAsia="仿宋" w:cs="仿宋"/>
          <w:color w:val="auto"/>
          <w:highlight w:val="none"/>
        </w:rPr>
        <w:fldChar w:fldCharType="end"/>
      </w:r>
    </w:p>
    <w:p w14:paraId="074DD3E4">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_Toc27139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7.4 定标</w:t>
      </w:r>
      <w:r>
        <w:rPr>
          <w:color w:val="auto"/>
          <w:highlight w:val="none"/>
        </w:rPr>
        <w:tab/>
      </w:r>
      <w:r>
        <w:rPr>
          <w:color w:val="auto"/>
          <w:highlight w:val="none"/>
        </w:rPr>
        <w:fldChar w:fldCharType="begin"/>
      </w:r>
      <w:r>
        <w:rPr>
          <w:color w:val="auto"/>
          <w:highlight w:val="none"/>
        </w:rPr>
        <w:instrText xml:space="preserve"> PAGEREF _Toc27139 \h </w:instrText>
      </w:r>
      <w:r>
        <w:rPr>
          <w:color w:val="auto"/>
          <w:highlight w:val="none"/>
        </w:rPr>
        <w:fldChar w:fldCharType="separate"/>
      </w:r>
      <w:r>
        <w:rPr>
          <w:color w:val="auto"/>
          <w:highlight w:val="none"/>
        </w:rPr>
        <w:t>49</w:t>
      </w:r>
      <w:r>
        <w:rPr>
          <w:color w:val="auto"/>
          <w:highlight w:val="none"/>
        </w:rPr>
        <w:fldChar w:fldCharType="end"/>
      </w:r>
      <w:r>
        <w:rPr>
          <w:rFonts w:hint="eastAsia" w:ascii="仿宋" w:hAnsi="仿宋" w:eastAsia="仿宋" w:cs="仿宋"/>
          <w:color w:val="auto"/>
          <w:highlight w:val="none"/>
        </w:rPr>
        <w:fldChar w:fldCharType="end"/>
      </w:r>
    </w:p>
    <w:p w14:paraId="39B9CAF5">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_Toc24176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7.5 中标通知</w:t>
      </w:r>
      <w:r>
        <w:rPr>
          <w:color w:val="auto"/>
          <w:highlight w:val="none"/>
        </w:rPr>
        <w:tab/>
      </w:r>
      <w:r>
        <w:rPr>
          <w:color w:val="auto"/>
          <w:highlight w:val="none"/>
        </w:rPr>
        <w:fldChar w:fldCharType="begin"/>
      </w:r>
      <w:r>
        <w:rPr>
          <w:color w:val="auto"/>
          <w:highlight w:val="none"/>
        </w:rPr>
        <w:instrText xml:space="preserve"> PAGEREF _Toc24176 \h </w:instrText>
      </w:r>
      <w:r>
        <w:rPr>
          <w:color w:val="auto"/>
          <w:highlight w:val="none"/>
        </w:rPr>
        <w:fldChar w:fldCharType="separate"/>
      </w:r>
      <w:r>
        <w:rPr>
          <w:color w:val="auto"/>
          <w:highlight w:val="none"/>
        </w:rPr>
        <w:t>49</w:t>
      </w:r>
      <w:r>
        <w:rPr>
          <w:color w:val="auto"/>
          <w:highlight w:val="none"/>
        </w:rPr>
        <w:fldChar w:fldCharType="end"/>
      </w:r>
      <w:r>
        <w:rPr>
          <w:rFonts w:hint="eastAsia" w:ascii="仿宋" w:hAnsi="仿宋" w:eastAsia="仿宋" w:cs="仿宋"/>
          <w:color w:val="auto"/>
          <w:highlight w:val="none"/>
        </w:rPr>
        <w:fldChar w:fldCharType="end"/>
      </w:r>
    </w:p>
    <w:p w14:paraId="32E75918">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_Toc20957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7.5 中标结果公示（评定分离项目）</w:t>
      </w:r>
      <w:r>
        <w:rPr>
          <w:color w:val="auto"/>
          <w:highlight w:val="none"/>
        </w:rPr>
        <w:tab/>
      </w:r>
      <w:r>
        <w:rPr>
          <w:color w:val="auto"/>
          <w:highlight w:val="none"/>
        </w:rPr>
        <w:fldChar w:fldCharType="begin"/>
      </w:r>
      <w:r>
        <w:rPr>
          <w:color w:val="auto"/>
          <w:highlight w:val="none"/>
        </w:rPr>
        <w:instrText xml:space="preserve"> PAGEREF _Toc20957 \h </w:instrText>
      </w:r>
      <w:r>
        <w:rPr>
          <w:color w:val="auto"/>
          <w:highlight w:val="none"/>
        </w:rPr>
        <w:fldChar w:fldCharType="separate"/>
      </w:r>
      <w:r>
        <w:rPr>
          <w:color w:val="auto"/>
          <w:highlight w:val="none"/>
        </w:rPr>
        <w:t>49</w:t>
      </w:r>
      <w:r>
        <w:rPr>
          <w:color w:val="auto"/>
          <w:highlight w:val="none"/>
        </w:rPr>
        <w:fldChar w:fldCharType="end"/>
      </w:r>
      <w:r>
        <w:rPr>
          <w:rFonts w:hint="eastAsia" w:ascii="仿宋" w:hAnsi="仿宋" w:eastAsia="仿宋" w:cs="仿宋"/>
          <w:color w:val="auto"/>
          <w:highlight w:val="none"/>
        </w:rPr>
        <w:fldChar w:fldCharType="end"/>
      </w:r>
    </w:p>
    <w:p w14:paraId="4E89FE50">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_Toc8549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7.6 履约保证金</w:t>
      </w:r>
      <w:r>
        <w:rPr>
          <w:color w:val="auto"/>
          <w:highlight w:val="none"/>
        </w:rPr>
        <w:tab/>
      </w:r>
      <w:r>
        <w:rPr>
          <w:color w:val="auto"/>
          <w:highlight w:val="none"/>
        </w:rPr>
        <w:fldChar w:fldCharType="begin"/>
      </w:r>
      <w:r>
        <w:rPr>
          <w:color w:val="auto"/>
          <w:highlight w:val="none"/>
        </w:rPr>
        <w:instrText xml:space="preserve"> PAGEREF _Toc8549 \h </w:instrText>
      </w:r>
      <w:r>
        <w:rPr>
          <w:color w:val="auto"/>
          <w:highlight w:val="none"/>
        </w:rPr>
        <w:fldChar w:fldCharType="separate"/>
      </w:r>
      <w:r>
        <w:rPr>
          <w:color w:val="auto"/>
          <w:highlight w:val="none"/>
        </w:rPr>
        <w:t>50</w:t>
      </w:r>
      <w:r>
        <w:rPr>
          <w:color w:val="auto"/>
          <w:highlight w:val="none"/>
        </w:rPr>
        <w:fldChar w:fldCharType="end"/>
      </w:r>
      <w:r>
        <w:rPr>
          <w:rFonts w:hint="eastAsia" w:ascii="仿宋" w:hAnsi="仿宋" w:eastAsia="仿宋" w:cs="仿宋"/>
          <w:color w:val="auto"/>
          <w:highlight w:val="none"/>
        </w:rPr>
        <w:fldChar w:fldCharType="end"/>
      </w:r>
    </w:p>
    <w:p w14:paraId="508A1B1B">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_Toc8598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7.7 签订合同</w:t>
      </w:r>
      <w:r>
        <w:rPr>
          <w:color w:val="auto"/>
          <w:highlight w:val="none"/>
        </w:rPr>
        <w:tab/>
      </w:r>
      <w:r>
        <w:rPr>
          <w:color w:val="auto"/>
          <w:highlight w:val="none"/>
        </w:rPr>
        <w:fldChar w:fldCharType="begin"/>
      </w:r>
      <w:r>
        <w:rPr>
          <w:color w:val="auto"/>
          <w:highlight w:val="none"/>
        </w:rPr>
        <w:instrText xml:space="preserve"> PAGEREF _Toc8598 \h </w:instrText>
      </w:r>
      <w:r>
        <w:rPr>
          <w:color w:val="auto"/>
          <w:highlight w:val="none"/>
        </w:rPr>
        <w:fldChar w:fldCharType="separate"/>
      </w:r>
      <w:r>
        <w:rPr>
          <w:color w:val="auto"/>
          <w:highlight w:val="none"/>
        </w:rPr>
        <w:t>50</w:t>
      </w:r>
      <w:r>
        <w:rPr>
          <w:color w:val="auto"/>
          <w:highlight w:val="none"/>
        </w:rPr>
        <w:fldChar w:fldCharType="end"/>
      </w:r>
      <w:r>
        <w:rPr>
          <w:rFonts w:hint="eastAsia" w:ascii="仿宋" w:hAnsi="仿宋" w:eastAsia="仿宋" w:cs="仿宋"/>
          <w:color w:val="auto"/>
          <w:highlight w:val="none"/>
        </w:rPr>
        <w:fldChar w:fldCharType="end"/>
      </w:r>
    </w:p>
    <w:p w14:paraId="288920C5">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_Toc20505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8．重新招标和不再招标</w:t>
      </w:r>
      <w:r>
        <w:rPr>
          <w:color w:val="auto"/>
          <w:highlight w:val="none"/>
        </w:rPr>
        <w:tab/>
      </w:r>
      <w:r>
        <w:rPr>
          <w:color w:val="auto"/>
          <w:highlight w:val="none"/>
        </w:rPr>
        <w:fldChar w:fldCharType="begin"/>
      </w:r>
      <w:r>
        <w:rPr>
          <w:color w:val="auto"/>
          <w:highlight w:val="none"/>
        </w:rPr>
        <w:instrText xml:space="preserve"> PAGEREF _Toc20505 \h </w:instrText>
      </w:r>
      <w:r>
        <w:rPr>
          <w:color w:val="auto"/>
          <w:highlight w:val="none"/>
        </w:rPr>
        <w:fldChar w:fldCharType="separate"/>
      </w:r>
      <w:r>
        <w:rPr>
          <w:color w:val="auto"/>
          <w:highlight w:val="none"/>
        </w:rPr>
        <w:t>50</w:t>
      </w:r>
      <w:r>
        <w:rPr>
          <w:color w:val="auto"/>
          <w:highlight w:val="none"/>
        </w:rPr>
        <w:fldChar w:fldCharType="end"/>
      </w:r>
      <w:r>
        <w:rPr>
          <w:rFonts w:hint="eastAsia" w:ascii="仿宋" w:hAnsi="仿宋" w:eastAsia="仿宋" w:cs="仿宋"/>
          <w:color w:val="auto"/>
          <w:highlight w:val="none"/>
        </w:rPr>
        <w:fldChar w:fldCharType="end"/>
      </w:r>
    </w:p>
    <w:p w14:paraId="2366522B">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_Toc1274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8.1 重新招标</w:t>
      </w:r>
      <w:r>
        <w:rPr>
          <w:color w:val="auto"/>
          <w:highlight w:val="none"/>
        </w:rPr>
        <w:tab/>
      </w:r>
      <w:r>
        <w:rPr>
          <w:color w:val="auto"/>
          <w:highlight w:val="none"/>
        </w:rPr>
        <w:fldChar w:fldCharType="begin"/>
      </w:r>
      <w:r>
        <w:rPr>
          <w:color w:val="auto"/>
          <w:highlight w:val="none"/>
        </w:rPr>
        <w:instrText xml:space="preserve"> PAGEREF _Toc1274 \h </w:instrText>
      </w:r>
      <w:r>
        <w:rPr>
          <w:color w:val="auto"/>
          <w:highlight w:val="none"/>
        </w:rPr>
        <w:fldChar w:fldCharType="separate"/>
      </w:r>
      <w:r>
        <w:rPr>
          <w:color w:val="auto"/>
          <w:highlight w:val="none"/>
        </w:rPr>
        <w:t>50</w:t>
      </w:r>
      <w:r>
        <w:rPr>
          <w:color w:val="auto"/>
          <w:highlight w:val="none"/>
        </w:rPr>
        <w:fldChar w:fldCharType="end"/>
      </w:r>
      <w:r>
        <w:rPr>
          <w:rFonts w:hint="eastAsia" w:ascii="仿宋" w:hAnsi="仿宋" w:eastAsia="仿宋" w:cs="仿宋"/>
          <w:color w:val="auto"/>
          <w:highlight w:val="none"/>
        </w:rPr>
        <w:fldChar w:fldCharType="end"/>
      </w:r>
    </w:p>
    <w:p w14:paraId="3EA7EF59">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_Toc31756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8.2 不再招标</w:t>
      </w:r>
      <w:r>
        <w:rPr>
          <w:color w:val="auto"/>
          <w:highlight w:val="none"/>
        </w:rPr>
        <w:tab/>
      </w:r>
      <w:r>
        <w:rPr>
          <w:color w:val="auto"/>
          <w:highlight w:val="none"/>
        </w:rPr>
        <w:fldChar w:fldCharType="begin"/>
      </w:r>
      <w:r>
        <w:rPr>
          <w:color w:val="auto"/>
          <w:highlight w:val="none"/>
        </w:rPr>
        <w:instrText xml:space="preserve"> PAGEREF _Toc31756 \h </w:instrText>
      </w:r>
      <w:r>
        <w:rPr>
          <w:color w:val="auto"/>
          <w:highlight w:val="none"/>
        </w:rPr>
        <w:fldChar w:fldCharType="separate"/>
      </w:r>
      <w:r>
        <w:rPr>
          <w:color w:val="auto"/>
          <w:highlight w:val="none"/>
        </w:rPr>
        <w:t>51</w:t>
      </w:r>
      <w:r>
        <w:rPr>
          <w:color w:val="auto"/>
          <w:highlight w:val="none"/>
        </w:rPr>
        <w:fldChar w:fldCharType="end"/>
      </w:r>
      <w:r>
        <w:rPr>
          <w:rFonts w:hint="eastAsia" w:ascii="仿宋" w:hAnsi="仿宋" w:eastAsia="仿宋" w:cs="仿宋"/>
          <w:color w:val="auto"/>
          <w:highlight w:val="none"/>
        </w:rPr>
        <w:fldChar w:fldCharType="end"/>
      </w:r>
    </w:p>
    <w:p w14:paraId="4A2CC22B">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_Toc4326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9．纪律和监督</w:t>
      </w:r>
      <w:r>
        <w:rPr>
          <w:color w:val="auto"/>
          <w:highlight w:val="none"/>
        </w:rPr>
        <w:tab/>
      </w:r>
      <w:r>
        <w:rPr>
          <w:color w:val="auto"/>
          <w:highlight w:val="none"/>
        </w:rPr>
        <w:fldChar w:fldCharType="begin"/>
      </w:r>
      <w:r>
        <w:rPr>
          <w:color w:val="auto"/>
          <w:highlight w:val="none"/>
        </w:rPr>
        <w:instrText xml:space="preserve"> PAGEREF _Toc4326 \h </w:instrText>
      </w:r>
      <w:r>
        <w:rPr>
          <w:color w:val="auto"/>
          <w:highlight w:val="none"/>
        </w:rPr>
        <w:fldChar w:fldCharType="separate"/>
      </w:r>
      <w:r>
        <w:rPr>
          <w:color w:val="auto"/>
          <w:highlight w:val="none"/>
        </w:rPr>
        <w:t>51</w:t>
      </w:r>
      <w:r>
        <w:rPr>
          <w:color w:val="auto"/>
          <w:highlight w:val="none"/>
        </w:rPr>
        <w:fldChar w:fldCharType="end"/>
      </w:r>
      <w:r>
        <w:rPr>
          <w:rFonts w:hint="eastAsia" w:ascii="仿宋" w:hAnsi="仿宋" w:eastAsia="仿宋" w:cs="仿宋"/>
          <w:color w:val="auto"/>
          <w:highlight w:val="none"/>
        </w:rPr>
        <w:fldChar w:fldCharType="end"/>
      </w:r>
    </w:p>
    <w:p w14:paraId="55BCD898">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_Toc29333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9.1 对招标人的纪律要求</w:t>
      </w:r>
      <w:r>
        <w:rPr>
          <w:color w:val="auto"/>
          <w:highlight w:val="none"/>
        </w:rPr>
        <w:tab/>
      </w:r>
      <w:r>
        <w:rPr>
          <w:color w:val="auto"/>
          <w:highlight w:val="none"/>
        </w:rPr>
        <w:fldChar w:fldCharType="begin"/>
      </w:r>
      <w:r>
        <w:rPr>
          <w:color w:val="auto"/>
          <w:highlight w:val="none"/>
        </w:rPr>
        <w:instrText xml:space="preserve"> PAGEREF _Toc29333 \h </w:instrText>
      </w:r>
      <w:r>
        <w:rPr>
          <w:color w:val="auto"/>
          <w:highlight w:val="none"/>
        </w:rPr>
        <w:fldChar w:fldCharType="separate"/>
      </w:r>
      <w:r>
        <w:rPr>
          <w:color w:val="auto"/>
          <w:highlight w:val="none"/>
        </w:rPr>
        <w:t>51</w:t>
      </w:r>
      <w:r>
        <w:rPr>
          <w:color w:val="auto"/>
          <w:highlight w:val="none"/>
        </w:rPr>
        <w:fldChar w:fldCharType="end"/>
      </w:r>
      <w:r>
        <w:rPr>
          <w:rFonts w:hint="eastAsia" w:ascii="仿宋" w:hAnsi="仿宋" w:eastAsia="仿宋" w:cs="仿宋"/>
          <w:color w:val="auto"/>
          <w:highlight w:val="none"/>
        </w:rPr>
        <w:fldChar w:fldCharType="end"/>
      </w:r>
    </w:p>
    <w:p w14:paraId="28C810D8">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_Toc384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9.2 对投标人的纪律要求</w:t>
      </w:r>
      <w:r>
        <w:rPr>
          <w:color w:val="auto"/>
          <w:highlight w:val="none"/>
        </w:rPr>
        <w:tab/>
      </w:r>
      <w:r>
        <w:rPr>
          <w:color w:val="auto"/>
          <w:highlight w:val="none"/>
        </w:rPr>
        <w:fldChar w:fldCharType="begin"/>
      </w:r>
      <w:r>
        <w:rPr>
          <w:color w:val="auto"/>
          <w:highlight w:val="none"/>
        </w:rPr>
        <w:instrText xml:space="preserve"> PAGEREF _Toc384 \h </w:instrText>
      </w:r>
      <w:r>
        <w:rPr>
          <w:color w:val="auto"/>
          <w:highlight w:val="none"/>
        </w:rPr>
        <w:fldChar w:fldCharType="separate"/>
      </w:r>
      <w:r>
        <w:rPr>
          <w:color w:val="auto"/>
          <w:highlight w:val="none"/>
        </w:rPr>
        <w:t>51</w:t>
      </w:r>
      <w:r>
        <w:rPr>
          <w:color w:val="auto"/>
          <w:highlight w:val="none"/>
        </w:rPr>
        <w:fldChar w:fldCharType="end"/>
      </w:r>
      <w:r>
        <w:rPr>
          <w:rFonts w:hint="eastAsia" w:ascii="仿宋" w:hAnsi="仿宋" w:eastAsia="仿宋" w:cs="仿宋"/>
          <w:color w:val="auto"/>
          <w:highlight w:val="none"/>
        </w:rPr>
        <w:fldChar w:fldCharType="end"/>
      </w:r>
    </w:p>
    <w:p w14:paraId="6E63CCF2">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_Toc15047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9.3 对评标委员会成员的纪律要求</w:t>
      </w:r>
      <w:r>
        <w:rPr>
          <w:color w:val="auto"/>
          <w:highlight w:val="none"/>
        </w:rPr>
        <w:tab/>
      </w:r>
      <w:r>
        <w:rPr>
          <w:color w:val="auto"/>
          <w:highlight w:val="none"/>
        </w:rPr>
        <w:fldChar w:fldCharType="begin"/>
      </w:r>
      <w:r>
        <w:rPr>
          <w:color w:val="auto"/>
          <w:highlight w:val="none"/>
        </w:rPr>
        <w:instrText xml:space="preserve"> PAGEREF _Toc15047 \h </w:instrText>
      </w:r>
      <w:r>
        <w:rPr>
          <w:color w:val="auto"/>
          <w:highlight w:val="none"/>
        </w:rPr>
        <w:fldChar w:fldCharType="separate"/>
      </w:r>
      <w:r>
        <w:rPr>
          <w:color w:val="auto"/>
          <w:highlight w:val="none"/>
        </w:rPr>
        <w:t>51</w:t>
      </w:r>
      <w:r>
        <w:rPr>
          <w:color w:val="auto"/>
          <w:highlight w:val="none"/>
        </w:rPr>
        <w:fldChar w:fldCharType="end"/>
      </w:r>
      <w:r>
        <w:rPr>
          <w:rFonts w:hint="eastAsia" w:ascii="仿宋" w:hAnsi="仿宋" w:eastAsia="仿宋" w:cs="仿宋"/>
          <w:color w:val="auto"/>
          <w:highlight w:val="none"/>
        </w:rPr>
        <w:fldChar w:fldCharType="end"/>
      </w:r>
    </w:p>
    <w:p w14:paraId="3974A7D4">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_Toc5897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9.4 对与评标活动有关的工作人员的纪律要求</w:t>
      </w:r>
      <w:r>
        <w:rPr>
          <w:color w:val="auto"/>
          <w:highlight w:val="none"/>
        </w:rPr>
        <w:tab/>
      </w:r>
      <w:r>
        <w:rPr>
          <w:color w:val="auto"/>
          <w:highlight w:val="none"/>
        </w:rPr>
        <w:fldChar w:fldCharType="begin"/>
      </w:r>
      <w:r>
        <w:rPr>
          <w:color w:val="auto"/>
          <w:highlight w:val="none"/>
        </w:rPr>
        <w:instrText xml:space="preserve"> PAGEREF _Toc5897 \h </w:instrText>
      </w:r>
      <w:r>
        <w:rPr>
          <w:color w:val="auto"/>
          <w:highlight w:val="none"/>
        </w:rPr>
        <w:fldChar w:fldCharType="separate"/>
      </w:r>
      <w:r>
        <w:rPr>
          <w:color w:val="auto"/>
          <w:highlight w:val="none"/>
        </w:rPr>
        <w:t>51</w:t>
      </w:r>
      <w:r>
        <w:rPr>
          <w:color w:val="auto"/>
          <w:highlight w:val="none"/>
        </w:rPr>
        <w:fldChar w:fldCharType="end"/>
      </w:r>
      <w:r>
        <w:rPr>
          <w:rFonts w:hint="eastAsia" w:ascii="仿宋" w:hAnsi="仿宋" w:eastAsia="仿宋" w:cs="仿宋"/>
          <w:color w:val="auto"/>
          <w:highlight w:val="none"/>
        </w:rPr>
        <w:fldChar w:fldCharType="end"/>
      </w:r>
    </w:p>
    <w:p w14:paraId="4CCA6DBB">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_Toc31602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9.5 投诉</w:t>
      </w:r>
      <w:r>
        <w:rPr>
          <w:color w:val="auto"/>
          <w:highlight w:val="none"/>
        </w:rPr>
        <w:tab/>
      </w:r>
      <w:r>
        <w:rPr>
          <w:color w:val="auto"/>
          <w:highlight w:val="none"/>
        </w:rPr>
        <w:fldChar w:fldCharType="begin"/>
      </w:r>
      <w:r>
        <w:rPr>
          <w:color w:val="auto"/>
          <w:highlight w:val="none"/>
        </w:rPr>
        <w:instrText xml:space="preserve"> PAGEREF _Toc31602 \h </w:instrText>
      </w:r>
      <w:r>
        <w:rPr>
          <w:color w:val="auto"/>
          <w:highlight w:val="none"/>
        </w:rPr>
        <w:fldChar w:fldCharType="separate"/>
      </w:r>
      <w:r>
        <w:rPr>
          <w:color w:val="auto"/>
          <w:highlight w:val="none"/>
        </w:rPr>
        <w:t>51</w:t>
      </w:r>
      <w:r>
        <w:rPr>
          <w:color w:val="auto"/>
          <w:highlight w:val="none"/>
        </w:rPr>
        <w:fldChar w:fldCharType="end"/>
      </w:r>
      <w:r>
        <w:rPr>
          <w:rFonts w:hint="eastAsia" w:ascii="仿宋" w:hAnsi="仿宋" w:eastAsia="仿宋" w:cs="仿宋"/>
          <w:color w:val="auto"/>
          <w:highlight w:val="none"/>
        </w:rPr>
        <w:fldChar w:fldCharType="end"/>
      </w:r>
    </w:p>
    <w:p w14:paraId="1161B607">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_Toc28251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4"/>
          <w:highlight w:val="none"/>
        </w:rPr>
        <w:t>10.需要补充的其他内容</w:t>
      </w:r>
      <w:r>
        <w:rPr>
          <w:color w:val="auto"/>
          <w:highlight w:val="none"/>
        </w:rPr>
        <w:tab/>
      </w:r>
      <w:r>
        <w:rPr>
          <w:color w:val="auto"/>
          <w:highlight w:val="none"/>
        </w:rPr>
        <w:fldChar w:fldCharType="begin"/>
      </w:r>
      <w:r>
        <w:rPr>
          <w:color w:val="auto"/>
          <w:highlight w:val="none"/>
        </w:rPr>
        <w:instrText xml:space="preserve"> PAGEREF _Toc28251 \h </w:instrText>
      </w:r>
      <w:r>
        <w:rPr>
          <w:color w:val="auto"/>
          <w:highlight w:val="none"/>
        </w:rPr>
        <w:fldChar w:fldCharType="separate"/>
      </w:r>
      <w:r>
        <w:rPr>
          <w:color w:val="auto"/>
          <w:highlight w:val="none"/>
        </w:rPr>
        <w:t>52</w:t>
      </w:r>
      <w:r>
        <w:rPr>
          <w:color w:val="auto"/>
          <w:highlight w:val="none"/>
        </w:rPr>
        <w:fldChar w:fldCharType="end"/>
      </w:r>
      <w:r>
        <w:rPr>
          <w:rFonts w:hint="eastAsia" w:ascii="仿宋" w:hAnsi="仿宋" w:eastAsia="仿宋" w:cs="仿宋"/>
          <w:color w:val="auto"/>
          <w:highlight w:val="none"/>
        </w:rPr>
        <w:fldChar w:fldCharType="end"/>
      </w:r>
    </w:p>
    <w:p w14:paraId="31D43A84">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_Toc21031 </w:instrText>
      </w:r>
      <w:r>
        <w:rPr>
          <w:rFonts w:hint="eastAsia" w:ascii="仿宋" w:hAnsi="仿宋" w:eastAsia="仿宋" w:cs="仿宋"/>
          <w:color w:val="auto"/>
          <w:highlight w:val="none"/>
        </w:rPr>
        <w:fldChar w:fldCharType="separate"/>
      </w:r>
      <w:r>
        <w:rPr>
          <w:rFonts w:eastAsia="黑体"/>
          <w:color w:val="auto"/>
          <w:szCs w:val="52"/>
          <w:highlight w:val="none"/>
        </w:rPr>
        <w:t>第三章  评标办法（综合评估法）</w:t>
      </w:r>
      <w:r>
        <w:rPr>
          <w:color w:val="auto"/>
          <w:highlight w:val="none"/>
        </w:rPr>
        <w:tab/>
      </w:r>
      <w:r>
        <w:rPr>
          <w:color w:val="auto"/>
          <w:highlight w:val="none"/>
        </w:rPr>
        <w:fldChar w:fldCharType="begin"/>
      </w:r>
      <w:r>
        <w:rPr>
          <w:color w:val="auto"/>
          <w:highlight w:val="none"/>
        </w:rPr>
        <w:instrText xml:space="preserve"> PAGEREF _Toc21031 \h </w:instrText>
      </w:r>
      <w:r>
        <w:rPr>
          <w:color w:val="auto"/>
          <w:highlight w:val="none"/>
        </w:rPr>
        <w:fldChar w:fldCharType="separate"/>
      </w:r>
      <w:r>
        <w:rPr>
          <w:color w:val="auto"/>
          <w:highlight w:val="none"/>
        </w:rPr>
        <w:t>60</w:t>
      </w:r>
      <w:r>
        <w:rPr>
          <w:color w:val="auto"/>
          <w:highlight w:val="none"/>
        </w:rPr>
        <w:fldChar w:fldCharType="end"/>
      </w:r>
      <w:r>
        <w:rPr>
          <w:rFonts w:hint="eastAsia" w:ascii="仿宋" w:hAnsi="仿宋" w:eastAsia="仿宋" w:cs="仿宋"/>
          <w:color w:val="auto"/>
          <w:highlight w:val="none"/>
        </w:rPr>
        <w:fldChar w:fldCharType="end"/>
      </w:r>
    </w:p>
    <w:p w14:paraId="7E7FDA97">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_Toc23130 </w:instrText>
      </w:r>
      <w:r>
        <w:rPr>
          <w:rFonts w:hint="eastAsia" w:ascii="仿宋" w:hAnsi="仿宋" w:eastAsia="仿宋" w:cs="仿宋"/>
          <w:color w:val="auto"/>
          <w:highlight w:val="none"/>
        </w:rPr>
        <w:fldChar w:fldCharType="separate"/>
      </w:r>
      <w:r>
        <w:rPr>
          <w:rFonts w:eastAsia="黑体"/>
          <w:color w:val="auto"/>
          <w:szCs w:val="28"/>
          <w:highlight w:val="none"/>
        </w:rPr>
        <w:t>评标办法前附表</w:t>
      </w:r>
      <w:r>
        <w:rPr>
          <w:color w:val="auto"/>
          <w:highlight w:val="none"/>
        </w:rPr>
        <w:tab/>
      </w:r>
      <w:r>
        <w:rPr>
          <w:color w:val="auto"/>
          <w:highlight w:val="none"/>
        </w:rPr>
        <w:fldChar w:fldCharType="begin"/>
      </w:r>
      <w:r>
        <w:rPr>
          <w:color w:val="auto"/>
          <w:highlight w:val="none"/>
        </w:rPr>
        <w:instrText xml:space="preserve"> PAGEREF _Toc23130 \h </w:instrText>
      </w:r>
      <w:r>
        <w:rPr>
          <w:color w:val="auto"/>
          <w:highlight w:val="none"/>
        </w:rPr>
        <w:fldChar w:fldCharType="separate"/>
      </w:r>
      <w:r>
        <w:rPr>
          <w:color w:val="auto"/>
          <w:highlight w:val="none"/>
        </w:rPr>
        <w:t>61</w:t>
      </w:r>
      <w:r>
        <w:rPr>
          <w:color w:val="auto"/>
          <w:highlight w:val="none"/>
        </w:rPr>
        <w:fldChar w:fldCharType="end"/>
      </w:r>
      <w:r>
        <w:rPr>
          <w:rFonts w:hint="eastAsia" w:ascii="仿宋" w:hAnsi="仿宋" w:eastAsia="仿宋" w:cs="仿宋"/>
          <w:color w:val="auto"/>
          <w:highlight w:val="none"/>
        </w:rPr>
        <w:fldChar w:fldCharType="end"/>
      </w:r>
    </w:p>
    <w:p w14:paraId="2ABAFAB7">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_Toc11118 </w:instrText>
      </w:r>
      <w:r>
        <w:rPr>
          <w:rFonts w:hint="eastAsia" w:ascii="仿宋" w:hAnsi="仿宋" w:eastAsia="仿宋" w:cs="仿宋"/>
          <w:color w:val="auto"/>
          <w:highlight w:val="none"/>
        </w:rPr>
        <w:fldChar w:fldCharType="separate"/>
      </w:r>
      <w:r>
        <w:rPr>
          <w:rFonts w:hint="eastAsia" w:ascii="仿宋" w:hAnsi="仿宋" w:eastAsia="仿宋" w:cs="仿宋"/>
          <w:bCs/>
          <w:color w:val="auto"/>
          <w:kern w:val="0"/>
          <w:highlight w:val="none"/>
        </w:rPr>
        <w:t>1.评标方法</w:t>
      </w:r>
      <w:r>
        <w:rPr>
          <w:color w:val="auto"/>
          <w:highlight w:val="none"/>
        </w:rPr>
        <w:tab/>
      </w:r>
      <w:r>
        <w:rPr>
          <w:color w:val="auto"/>
          <w:highlight w:val="none"/>
        </w:rPr>
        <w:fldChar w:fldCharType="begin"/>
      </w:r>
      <w:r>
        <w:rPr>
          <w:color w:val="auto"/>
          <w:highlight w:val="none"/>
        </w:rPr>
        <w:instrText xml:space="preserve"> PAGEREF _Toc11118 \h </w:instrText>
      </w:r>
      <w:r>
        <w:rPr>
          <w:color w:val="auto"/>
          <w:highlight w:val="none"/>
        </w:rPr>
        <w:fldChar w:fldCharType="separate"/>
      </w:r>
      <w:r>
        <w:rPr>
          <w:color w:val="auto"/>
          <w:highlight w:val="none"/>
        </w:rPr>
        <w:t>68</w:t>
      </w:r>
      <w:r>
        <w:rPr>
          <w:color w:val="auto"/>
          <w:highlight w:val="none"/>
        </w:rPr>
        <w:fldChar w:fldCharType="end"/>
      </w:r>
      <w:r>
        <w:rPr>
          <w:rFonts w:hint="eastAsia" w:ascii="仿宋" w:hAnsi="仿宋" w:eastAsia="仿宋" w:cs="仿宋"/>
          <w:color w:val="auto"/>
          <w:highlight w:val="none"/>
        </w:rPr>
        <w:fldChar w:fldCharType="end"/>
      </w:r>
    </w:p>
    <w:p w14:paraId="1D2DE614">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_Toc11738 </w:instrText>
      </w:r>
      <w:r>
        <w:rPr>
          <w:rFonts w:hint="eastAsia" w:ascii="仿宋" w:hAnsi="仿宋" w:eastAsia="仿宋" w:cs="仿宋"/>
          <w:color w:val="auto"/>
          <w:highlight w:val="none"/>
        </w:rPr>
        <w:fldChar w:fldCharType="separate"/>
      </w:r>
      <w:r>
        <w:rPr>
          <w:rFonts w:hint="eastAsia" w:ascii="仿宋" w:hAnsi="仿宋" w:eastAsia="仿宋" w:cs="仿宋"/>
          <w:bCs/>
          <w:color w:val="auto"/>
          <w:kern w:val="0"/>
          <w:highlight w:val="none"/>
        </w:rPr>
        <w:t>2.评审标准</w:t>
      </w:r>
      <w:r>
        <w:rPr>
          <w:color w:val="auto"/>
          <w:highlight w:val="none"/>
        </w:rPr>
        <w:tab/>
      </w:r>
      <w:r>
        <w:rPr>
          <w:color w:val="auto"/>
          <w:highlight w:val="none"/>
        </w:rPr>
        <w:fldChar w:fldCharType="begin"/>
      </w:r>
      <w:r>
        <w:rPr>
          <w:color w:val="auto"/>
          <w:highlight w:val="none"/>
        </w:rPr>
        <w:instrText xml:space="preserve"> PAGEREF _Toc11738 \h </w:instrText>
      </w:r>
      <w:r>
        <w:rPr>
          <w:color w:val="auto"/>
          <w:highlight w:val="none"/>
        </w:rPr>
        <w:fldChar w:fldCharType="separate"/>
      </w:r>
      <w:r>
        <w:rPr>
          <w:color w:val="auto"/>
          <w:highlight w:val="none"/>
        </w:rPr>
        <w:t>68</w:t>
      </w:r>
      <w:r>
        <w:rPr>
          <w:color w:val="auto"/>
          <w:highlight w:val="none"/>
        </w:rPr>
        <w:fldChar w:fldCharType="end"/>
      </w:r>
      <w:r>
        <w:rPr>
          <w:rFonts w:hint="eastAsia" w:ascii="仿宋" w:hAnsi="仿宋" w:eastAsia="仿宋" w:cs="仿宋"/>
          <w:color w:val="auto"/>
          <w:highlight w:val="none"/>
        </w:rPr>
        <w:fldChar w:fldCharType="end"/>
      </w:r>
    </w:p>
    <w:p w14:paraId="38F6C0D2">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_Toc8651 </w:instrText>
      </w:r>
      <w:r>
        <w:rPr>
          <w:rFonts w:hint="eastAsia" w:ascii="仿宋" w:hAnsi="仿宋" w:eastAsia="仿宋" w:cs="仿宋"/>
          <w:color w:val="auto"/>
          <w:highlight w:val="none"/>
        </w:rPr>
        <w:fldChar w:fldCharType="separate"/>
      </w:r>
      <w:r>
        <w:rPr>
          <w:rFonts w:hint="eastAsia" w:ascii="仿宋" w:hAnsi="仿宋" w:eastAsia="仿宋" w:cs="仿宋"/>
          <w:bCs/>
          <w:color w:val="auto"/>
          <w:kern w:val="0"/>
          <w:highlight w:val="none"/>
        </w:rPr>
        <w:t>3.评标程序</w:t>
      </w:r>
      <w:r>
        <w:rPr>
          <w:color w:val="auto"/>
          <w:highlight w:val="none"/>
        </w:rPr>
        <w:tab/>
      </w:r>
      <w:r>
        <w:rPr>
          <w:color w:val="auto"/>
          <w:highlight w:val="none"/>
        </w:rPr>
        <w:fldChar w:fldCharType="begin"/>
      </w:r>
      <w:r>
        <w:rPr>
          <w:color w:val="auto"/>
          <w:highlight w:val="none"/>
        </w:rPr>
        <w:instrText xml:space="preserve"> PAGEREF _Toc8651 \h </w:instrText>
      </w:r>
      <w:r>
        <w:rPr>
          <w:color w:val="auto"/>
          <w:highlight w:val="none"/>
        </w:rPr>
        <w:fldChar w:fldCharType="separate"/>
      </w:r>
      <w:r>
        <w:rPr>
          <w:color w:val="auto"/>
          <w:highlight w:val="none"/>
        </w:rPr>
        <w:t>68</w:t>
      </w:r>
      <w:r>
        <w:rPr>
          <w:color w:val="auto"/>
          <w:highlight w:val="none"/>
        </w:rPr>
        <w:fldChar w:fldCharType="end"/>
      </w:r>
      <w:r>
        <w:rPr>
          <w:rFonts w:hint="eastAsia" w:ascii="仿宋" w:hAnsi="仿宋" w:eastAsia="仿宋" w:cs="仿宋"/>
          <w:color w:val="auto"/>
          <w:highlight w:val="none"/>
        </w:rPr>
        <w:fldChar w:fldCharType="end"/>
      </w:r>
    </w:p>
    <w:p w14:paraId="5799993E">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_Toc4738 </w:instrText>
      </w:r>
      <w:r>
        <w:rPr>
          <w:rFonts w:hint="eastAsia" w:ascii="仿宋" w:hAnsi="仿宋" w:eastAsia="仿宋" w:cs="仿宋"/>
          <w:color w:val="auto"/>
          <w:highlight w:val="none"/>
        </w:rPr>
        <w:fldChar w:fldCharType="separate"/>
      </w:r>
      <w:r>
        <w:rPr>
          <w:rFonts w:eastAsia="黑体"/>
          <w:color w:val="auto"/>
          <w:szCs w:val="52"/>
          <w:highlight w:val="none"/>
        </w:rPr>
        <w:t>第四章  合同条款及格式</w:t>
      </w:r>
      <w:r>
        <w:rPr>
          <w:color w:val="auto"/>
          <w:highlight w:val="none"/>
        </w:rPr>
        <w:tab/>
      </w:r>
      <w:r>
        <w:rPr>
          <w:color w:val="auto"/>
          <w:highlight w:val="none"/>
        </w:rPr>
        <w:fldChar w:fldCharType="begin"/>
      </w:r>
      <w:r>
        <w:rPr>
          <w:color w:val="auto"/>
          <w:highlight w:val="none"/>
        </w:rPr>
        <w:instrText xml:space="preserve"> PAGEREF _Toc4738 \h </w:instrText>
      </w:r>
      <w:r>
        <w:rPr>
          <w:color w:val="auto"/>
          <w:highlight w:val="none"/>
        </w:rPr>
        <w:fldChar w:fldCharType="separate"/>
      </w:r>
      <w:r>
        <w:rPr>
          <w:color w:val="auto"/>
          <w:highlight w:val="none"/>
        </w:rPr>
        <w:t>71</w:t>
      </w:r>
      <w:r>
        <w:rPr>
          <w:color w:val="auto"/>
          <w:highlight w:val="none"/>
        </w:rPr>
        <w:fldChar w:fldCharType="end"/>
      </w:r>
      <w:r>
        <w:rPr>
          <w:rFonts w:hint="eastAsia" w:ascii="仿宋" w:hAnsi="仿宋" w:eastAsia="仿宋" w:cs="仿宋"/>
          <w:color w:val="auto"/>
          <w:highlight w:val="none"/>
        </w:rPr>
        <w:fldChar w:fldCharType="end"/>
      </w:r>
    </w:p>
    <w:p w14:paraId="0626E1B0">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_Toc8616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一、工程概况</w:t>
      </w:r>
      <w:r>
        <w:rPr>
          <w:color w:val="auto"/>
          <w:highlight w:val="none"/>
        </w:rPr>
        <w:tab/>
      </w:r>
      <w:r>
        <w:rPr>
          <w:color w:val="auto"/>
          <w:highlight w:val="none"/>
        </w:rPr>
        <w:fldChar w:fldCharType="begin"/>
      </w:r>
      <w:r>
        <w:rPr>
          <w:color w:val="auto"/>
          <w:highlight w:val="none"/>
        </w:rPr>
        <w:instrText xml:space="preserve"> PAGEREF _Toc8616 \h </w:instrText>
      </w:r>
      <w:r>
        <w:rPr>
          <w:color w:val="auto"/>
          <w:highlight w:val="none"/>
        </w:rPr>
        <w:fldChar w:fldCharType="separate"/>
      </w:r>
      <w:r>
        <w:rPr>
          <w:color w:val="auto"/>
          <w:highlight w:val="none"/>
        </w:rPr>
        <w:t>73</w:t>
      </w:r>
      <w:r>
        <w:rPr>
          <w:color w:val="auto"/>
          <w:highlight w:val="none"/>
        </w:rPr>
        <w:fldChar w:fldCharType="end"/>
      </w:r>
      <w:r>
        <w:rPr>
          <w:rFonts w:hint="eastAsia" w:ascii="仿宋" w:hAnsi="仿宋" w:eastAsia="仿宋" w:cs="仿宋"/>
          <w:color w:val="auto"/>
          <w:highlight w:val="none"/>
        </w:rPr>
        <w:fldChar w:fldCharType="end"/>
      </w:r>
    </w:p>
    <w:p w14:paraId="70524F55">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_Toc29508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二、合同工期</w:t>
      </w:r>
      <w:r>
        <w:rPr>
          <w:color w:val="auto"/>
          <w:highlight w:val="none"/>
        </w:rPr>
        <w:tab/>
      </w:r>
      <w:r>
        <w:rPr>
          <w:color w:val="auto"/>
          <w:highlight w:val="none"/>
        </w:rPr>
        <w:fldChar w:fldCharType="begin"/>
      </w:r>
      <w:r>
        <w:rPr>
          <w:color w:val="auto"/>
          <w:highlight w:val="none"/>
        </w:rPr>
        <w:instrText xml:space="preserve"> PAGEREF _Toc29508 \h </w:instrText>
      </w:r>
      <w:r>
        <w:rPr>
          <w:color w:val="auto"/>
          <w:highlight w:val="none"/>
        </w:rPr>
        <w:fldChar w:fldCharType="separate"/>
      </w:r>
      <w:r>
        <w:rPr>
          <w:color w:val="auto"/>
          <w:highlight w:val="none"/>
        </w:rPr>
        <w:t>73</w:t>
      </w:r>
      <w:r>
        <w:rPr>
          <w:color w:val="auto"/>
          <w:highlight w:val="none"/>
        </w:rPr>
        <w:fldChar w:fldCharType="end"/>
      </w:r>
      <w:r>
        <w:rPr>
          <w:rFonts w:hint="eastAsia" w:ascii="仿宋" w:hAnsi="仿宋" w:eastAsia="仿宋" w:cs="仿宋"/>
          <w:color w:val="auto"/>
          <w:highlight w:val="none"/>
        </w:rPr>
        <w:fldChar w:fldCharType="end"/>
      </w:r>
    </w:p>
    <w:p w14:paraId="7B3FF78B">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_Toc21792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三、质量标准</w:t>
      </w:r>
      <w:r>
        <w:rPr>
          <w:color w:val="auto"/>
          <w:highlight w:val="none"/>
        </w:rPr>
        <w:tab/>
      </w:r>
      <w:r>
        <w:rPr>
          <w:color w:val="auto"/>
          <w:highlight w:val="none"/>
        </w:rPr>
        <w:fldChar w:fldCharType="begin"/>
      </w:r>
      <w:r>
        <w:rPr>
          <w:color w:val="auto"/>
          <w:highlight w:val="none"/>
        </w:rPr>
        <w:instrText xml:space="preserve"> PAGEREF _Toc21792 \h </w:instrText>
      </w:r>
      <w:r>
        <w:rPr>
          <w:color w:val="auto"/>
          <w:highlight w:val="none"/>
        </w:rPr>
        <w:fldChar w:fldCharType="separate"/>
      </w:r>
      <w:r>
        <w:rPr>
          <w:color w:val="auto"/>
          <w:highlight w:val="none"/>
        </w:rPr>
        <w:t>73</w:t>
      </w:r>
      <w:r>
        <w:rPr>
          <w:color w:val="auto"/>
          <w:highlight w:val="none"/>
        </w:rPr>
        <w:fldChar w:fldCharType="end"/>
      </w:r>
      <w:r>
        <w:rPr>
          <w:rFonts w:hint="eastAsia" w:ascii="仿宋" w:hAnsi="仿宋" w:eastAsia="仿宋" w:cs="仿宋"/>
          <w:color w:val="auto"/>
          <w:highlight w:val="none"/>
        </w:rPr>
        <w:fldChar w:fldCharType="end"/>
      </w:r>
    </w:p>
    <w:p w14:paraId="07588AAC">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_Toc27389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四、签约合同价与合同价格形式</w:t>
      </w:r>
      <w:r>
        <w:rPr>
          <w:color w:val="auto"/>
          <w:highlight w:val="none"/>
        </w:rPr>
        <w:tab/>
      </w:r>
      <w:r>
        <w:rPr>
          <w:color w:val="auto"/>
          <w:highlight w:val="none"/>
        </w:rPr>
        <w:fldChar w:fldCharType="begin"/>
      </w:r>
      <w:r>
        <w:rPr>
          <w:color w:val="auto"/>
          <w:highlight w:val="none"/>
        </w:rPr>
        <w:instrText xml:space="preserve"> PAGEREF _Toc27389 \h </w:instrText>
      </w:r>
      <w:r>
        <w:rPr>
          <w:color w:val="auto"/>
          <w:highlight w:val="none"/>
        </w:rPr>
        <w:fldChar w:fldCharType="separate"/>
      </w:r>
      <w:r>
        <w:rPr>
          <w:color w:val="auto"/>
          <w:highlight w:val="none"/>
        </w:rPr>
        <w:t>73</w:t>
      </w:r>
      <w:r>
        <w:rPr>
          <w:color w:val="auto"/>
          <w:highlight w:val="none"/>
        </w:rPr>
        <w:fldChar w:fldCharType="end"/>
      </w:r>
      <w:r>
        <w:rPr>
          <w:rFonts w:hint="eastAsia" w:ascii="仿宋" w:hAnsi="仿宋" w:eastAsia="仿宋" w:cs="仿宋"/>
          <w:color w:val="auto"/>
          <w:highlight w:val="none"/>
        </w:rPr>
        <w:fldChar w:fldCharType="end"/>
      </w:r>
    </w:p>
    <w:p w14:paraId="77C2C80D">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_Toc28556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五、项目经理</w:t>
      </w:r>
      <w:r>
        <w:rPr>
          <w:color w:val="auto"/>
          <w:highlight w:val="none"/>
        </w:rPr>
        <w:tab/>
      </w:r>
      <w:r>
        <w:rPr>
          <w:color w:val="auto"/>
          <w:highlight w:val="none"/>
        </w:rPr>
        <w:fldChar w:fldCharType="begin"/>
      </w:r>
      <w:r>
        <w:rPr>
          <w:color w:val="auto"/>
          <w:highlight w:val="none"/>
        </w:rPr>
        <w:instrText xml:space="preserve"> PAGEREF _Toc28556 \h </w:instrText>
      </w:r>
      <w:r>
        <w:rPr>
          <w:color w:val="auto"/>
          <w:highlight w:val="none"/>
        </w:rPr>
        <w:fldChar w:fldCharType="separate"/>
      </w:r>
      <w:r>
        <w:rPr>
          <w:color w:val="auto"/>
          <w:highlight w:val="none"/>
        </w:rPr>
        <w:t>74</w:t>
      </w:r>
      <w:r>
        <w:rPr>
          <w:color w:val="auto"/>
          <w:highlight w:val="none"/>
        </w:rPr>
        <w:fldChar w:fldCharType="end"/>
      </w:r>
      <w:r>
        <w:rPr>
          <w:rFonts w:hint="eastAsia" w:ascii="仿宋" w:hAnsi="仿宋" w:eastAsia="仿宋" w:cs="仿宋"/>
          <w:color w:val="auto"/>
          <w:highlight w:val="none"/>
        </w:rPr>
        <w:fldChar w:fldCharType="end"/>
      </w:r>
    </w:p>
    <w:p w14:paraId="0E28D84E">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_Toc22202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六、合同文件构成</w:t>
      </w:r>
      <w:r>
        <w:rPr>
          <w:color w:val="auto"/>
          <w:highlight w:val="none"/>
        </w:rPr>
        <w:tab/>
      </w:r>
      <w:r>
        <w:rPr>
          <w:color w:val="auto"/>
          <w:highlight w:val="none"/>
        </w:rPr>
        <w:fldChar w:fldCharType="begin"/>
      </w:r>
      <w:r>
        <w:rPr>
          <w:color w:val="auto"/>
          <w:highlight w:val="none"/>
        </w:rPr>
        <w:instrText xml:space="preserve"> PAGEREF _Toc22202 \h </w:instrText>
      </w:r>
      <w:r>
        <w:rPr>
          <w:color w:val="auto"/>
          <w:highlight w:val="none"/>
        </w:rPr>
        <w:fldChar w:fldCharType="separate"/>
      </w:r>
      <w:r>
        <w:rPr>
          <w:color w:val="auto"/>
          <w:highlight w:val="none"/>
        </w:rPr>
        <w:t>74</w:t>
      </w:r>
      <w:r>
        <w:rPr>
          <w:color w:val="auto"/>
          <w:highlight w:val="none"/>
        </w:rPr>
        <w:fldChar w:fldCharType="end"/>
      </w:r>
      <w:r>
        <w:rPr>
          <w:rFonts w:hint="eastAsia" w:ascii="仿宋" w:hAnsi="仿宋" w:eastAsia="仿宋" w:cs="仿宋"/>
          <w:color w:val="auto"/>
          <w:highlight w:val="none"/>
        </w:rPr>
        <w:fldChar w:fldCharType="end"/>
      </w:r>
    </w:p>
    <w:p w14:paraId="76A1EE77">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_Toc31509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七、承诺</w:t>
      </w:r>
      <w:r>
        <w:rPr>
          <w:color w:val="auto"/>
          <w:highlight w:val="none"/>
        </w:rPr>
        <w:tab/>
      </w:r>
      <w:r>
        <w:rPr>
          <w:color w:val="auto"/>
          <w:highlight w:val="none"/>
        </w:rPr>
        <w:fldChar w:fldCharType="begin"/>
      </w:r>
      <w:r>
        <w:rPr>
          <w:color w:val="auto"/>
          <w:highlight w:val="none"/>
        </w:rPr>
        <w:instrText xml:space="preserve"> PAGEREF _Toc31509 \h </w:instrText>
      </w:r>
      <w:r>
        <w:rPr>
          <w:color w:val="auto"/>
          <w:highlight w:val="none"/>
        </w:rPr>
        <w:fldChar w:fldCharType="separate"/>
      </w:r>
      <w:r>
        <w:rPr>
          <w:color w:val="auto"/>
          <w:highlight w:val="none"/>
        </w:rPr>
        <w:t>74</w:t>
      </w:r>
      <w:r>
        <w:rPr>
          <w:color w:val="auto"/>
          <w:highlight w:val="none"/>
        </w:rPr>
        <w:fldChar w:fldCharType="end"/>
      </w:r>
      <w:r>
        <w:rPr>
          <w:rFonts w:hint="eastAsia" w:ascii="仿宋" w:hAnsi="仿宋" w:eastAsia="仿宋" w:cs="仿宋"/>
          <w:color w:val="auto"/>
          <w:highlight w:val="none"/>
        </w:rPr>
        <w:fldChar w:fldCharType="end"/>
      </w:r>
    </w:p>
    <w:p w14:paraId="1FA0FBFE">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_Toc26945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八、词语含义</w:t>
      </w:r>
      <w:r>
        <w:rPr>
          <w:color w:val="auto"/>
          <w:highlight w:val="none"/>
        </w:rPr>
        <w:tab/>
      </w:r>
      <w:r>
        <w:rPr>
          <w:color w:val="auto"/>
          <w:highlight w:val="none"/>
        </w:rPr>
        <w:fldChar w:fldCharType="begin"/>
      </w:r>
      <w:r>
        <w:rPr>
          <w:color w:val="auto"/>
          <w:highlight w:val="none"/>
        </w:rPr>
        <w:instrText xml:space="preserve"> PAGEREF _Toc26945 \h </w:instrText>
      </w:r>
      <w:r>
        <w:rPr>
          <w:color w:val="auto"/>
          <w:highlight w:val="none"/>
        </w:rPr>
        <w:fldChar w:fldCharType="separate"/>
      </w:r>
      <w:r>
        <w:rPr>
          <w:color w:val="auto"/>
          <w:highlight w:val="none"/>
        </w:rPr>
        <w:t>75</w:t>
      </w:r>
      <w:r>
        <w:rPr>
          <w:color w:val="auto"/>
          <w:highlight w:val="none"/>
        </w:rPr>
        <w:fldChar w:fldCharType="end"/>
      </w:r>
      <w:r>
        <w:rPr>
          <w:rFonts w:hint="eastAsia" w:ascii="仿宋" w:hAnsi="仿宋" w:eastAsia="仿宋" w:cs="仿宋"/>
          <w:color w:val="auto"/>
          <w:highlight w:val="none"/>
        </w:rPr>
        <w:fldChar w:fldCharType="end"/>
      </w:r>
    </w:p>
    <w:p w14:paraId="799BCDF8">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_Toc4655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九、签订时间</w:t>
      </w:r>
      <w:r>
        <w:rPr>
          <w:color w:val="auto"/>
          <w:highlight w:val="none"/>
        </w:rPr>
        <w:tab/>
      </w:r>
      <w:r>
        <w:rPr>
          <w:color w:val="auto"/>
          <w:highlight w:val="none"/>
        </w:rPr>
        <w:fldChar w:fldCharType="begin"/>
      </w:r>
      <w:r>
        <w:rPr>
          <w:color w:val="auto"/>
          <w:highlight w:val="none"/>
        </w:rPr>
        <w:instrText xml:space="preserve"> PAGEREF _Toc4655 \h </w:instrText>
      </w:r>
      <w:r>
        <w:rPr>
          <w:color w:val="auto"/>
          <w:highlight w:val="none"/>
        </w:rPr>
        <w:fldChar w:fldCharType="separate"/>
      </w:r>
      <w:r>
        <w:rPr>
          <w:color w:val="auto"/>
          <w:highlight w:val="none"/>
        </w:rPr>
        <w:t>75</w:t>
      </w:r>
      <w:r>
        <w:rPr>
          <w:color w:val="auto"/>
          <w:highlight w:val="none"/>
        </w:rPr>
        <w:fldChar w:fldCharType="end"/>
      </w:r>
      <w:r>
        <w:rPr>
          <w:rFonts w:hint="eastAsia" w:ascii="仿宋" w:hAnsi="仿宋" w:eastAsia="仿宋" w:cs="仿宋"/>
          <w:color w:val="auto"/>
          <w:highlight w:val="none"/>
        </w:rPr>
        <w:fldChar w:fldCharType="end"/>
      </w:r>
    </w:p>
    <w:p w14:paraId="6902E1BC">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_Toc28035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十、签订地点</w:t>
      </w:r>
      <w:r>
        <w:rPr>
          <w:color w:val="auto"/>
          <w:highlight w:val="none"/>
        </w:rPr>
        <w:tab/>
      </w:r>
      <w:r>
        <w:rPr>
          <w:color w:val="auto"/>
          <w:highlight w:val="none"/>
        </w:rPr>
        <w:fldChar w:fldCharType="begin"/>
      </w:r>
      <w:r>
        <w:rPr>
          <w:color w:val="auto"/>
          <w:highlight w:val="none"/>
        </w:rPr>
        <w:instrText xml:space="preserve"> PAGEREF _Toc28035 \h </w:instrText>
      </w:r>
      <w:r>
        <w:rPr>
          <w:color w:val="auto"/>
          <w:highlight w:val="none"/>
        </w:rPr>
        <w:fldChar w:fldCharType="separate"/>
      </w:r>
      <w:r>
        <w:rPr>
          <w:color w:val="auto"/>
          <w:highlight w:val="none"/>
        </w:rPr>
        <w:t>75</w:t>
      </w:r>
      <w:r>
        <w:rPr>
          <w:color w:val="auto"/>
          <w:highlight w:val="none"/>
        </w:rPr>
        <w:fldChar w:fldCharType="end"/>
      </w:r>
      <w:r>
        <w:rPr>
          <w:rFonts w:hint="eastAsia" w:ascii="仿宋" w:hAnsi="仿宋" w:eastAsia="仿宋" w:cs="仿宋"/>
          <w:color w:val="auto"/>
          <w:highlight w:val="none"/>
        </w:rPr>
        <w:fldChar w:fldCharType="end"/>
      </w:r>
    </w:p>
    <w:p w14:paraId="48A50510">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_Toc2018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十一、补充协议</w:t>
      </w:r>
      <w:r>
        <w:rPr>
          <w:color w:val="auto"/>
          <w:highlight w:val="none"/>
        </w:rPr>
        <w:tab/>
      </w:r>
      <w:r>
        <w:rPr>
          <w:color w:val="auto"/>
          <w:highlight w:val="none"/>
        </w:rPr>
        <w:fldChar w:fldCharType="begin"/>
      </w:r>
      <w:r>
        <w:rPr>
          <w:color w:val="auto"/>
          <w:highlight w:val="none"/>
        </w:rPr>
        <w:instrText xml:space="preserve"> PAGEREF _Toc2018 \h </w:instrText>
      </w:r>
      <w:r>
        <w:rPr>
          <w:color w:val="auto"/>
          <w:highlight w:val="none"/>
        </w:rPr>
        <w:fldChar w:fldCharType="separate"/>
      </w:r>
      <w:r>
        <w:rPr>
          <w:color w:val="auto"/>
          <w:highlight w:val="none"/>
        </w:rPr>
        <w:t>75</w:t>
      </w:r>
      <w:r>
        <w:rPr>
          <w:color w:val="auto"/>
          <w:highlight w:val="none"/>
        </w:rPr>
        <w:fldChar w:fldCharType="end"/>
      </w:r>
      <w:r>
        <w:rPr>
          <w:rFonts w:hint="eastAsia" w:ascii="仿宋" w:hAnsi="仿宋" w:eastAsia="仿宋" w:cs="仿宋"/>
          <w:color w:val="auto"/>
          <w:highlight w:val="none"/>
        </w:rPr>
        <w:fldChar w:fldCharType="end"/>
      </w:r>
    </w:p>
    <w:p w14:paraId="4A7F2083">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_Toc26529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十二、合同生效</w:t>
      </w:r>
      <w:r>
        <w:rPr>
          <w:color w:val="auto"/>
          <w:highlight w:val="none"/>
        </w:rPr>
        <w:tab/>
      </w:r>
      <w:r>
        <w:rPr>
          <w:color w:val="auto"/>
          <w:highlight w:val="none"/>
        </w:rPr>
        <w:fldChar w:fldCharType="begin"/>
      </w:r>
      <w:r>
        <w:rPr>
          <w:color w:val="auto"/>
          <w:highlight w:val="none"/>
        </w:rPr>
        <w:instrText xml:space="preserve"> PAGEREF _Toc26529 \h </w:instrText>
      </w:r>
      <w:r>
        <w:rPr>
          <w:color w:val="auto"/>
          <w:highlight w:val="none"/>
        </w:rPr>
        <w:fldChar w:fldCharType="separate"/>
      </w:r>
      <w:r>
        <w:rPr>
          <w:color w:val="auto"/>
          <w:highlight w:val="none"/>
        </w:rPr>
        <w:t>75</w:t>
      </w:r>
      <w:r>
        <w:rPr>
          <w:color w:val="auto"/>
          <w:highlight w:val="none"/>
        </w:rPr>
        <w:fldChar w:fldCharType="end"/>
      </w:r>
      <w:r>
        <w:rPr>
          <w:rFonts w:hint="eastAsia" w:ascii="仿宋" w:hAnsi="仿宋" w:eastAsia="仿宋" w:cs="仿宋"/>
          <w:color w:val="auto"/>
          <w:highlight w:val="none"/>
        </w:rPr>
        <w:fldChar w:fldCharType="end"/>
      </w:r>
    </w:p>
    <w:p w14:paraId="7FEF5EF9">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_Toc24576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十三、合同份数</w:t>
      </w:r>
      <w:r>
        <w:rPr>
          <w:color w:val="auto"/>
          <w:highlight w:val="none"/>
        </w:rPr>
        <w:tab/>
      </w:r>
      <w:r>
        <w:rPr>
          <w:color w:val="auto"/>
          <w:highlight w:val="none"/>
        </w:rPr>
        <w:fldChar w:fldCharType="begin"/>
      </w:r>
      <w:r>
        <w:rPr>
          <w:color w:val="auto"/>
          <w:highlight w:val="none"/>
        </w:rPr>
        <w:instrText xml:space="preserve"> PAGEREF _Toc24576 \h </w:instrText>
      </w:r>
      <w:r>
        <w:rPr>
          <w:color w:val="auto"/>
          <w:highlight w:val="none"/>
        </w:rPr>
        <w:fldChar w:fldCharType="separate"/>
      </w:r>
      <w:r>
        <w:rPr>
          <w:color w:val="auto"/>
          <w:highlight w:val="none"/>
        </w:rPr>
        <w:t>75</w:t>
      </w:r>
      <w:r>
        <w:rPr>
          <w:color w:val="auto"/>
          <w:highlight w:val="none"/>
        </w:rPr>
        <w:fldChar w:fldCharType="end"/>
      </w:r>
      <w:r>
        <w:rPr>
          <w:rFonts w:hint="eastAsia" w:ascii="仿宋" w:hAnsi="仿宋" w:eastAsia="仿宋" w:cs="仿宋"/>
          <w:color w:val="auto"/>
          <w:highlight w:val="none"/>
        </w:rPr>
        <w:fldChar w:fldCharType="end"/>
      </w:r>
    </w:p>
    <w:p w14:paraId="1D9E8F7A">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_Toc889 </w:instrText>
      </w:r>
      <w:r>
        <w:rPr>
          <w:rFonts w:hint="eastAsia" w:ascii="仿宋" w:hAnsi="仿宋" w:eastAsia="仿宋" w:cs="仿宋"/>
          <w:color w:val="auto"/>
          <w:highlight w:val="none"/>
        </w:rPr>
        <w:fldChar w:fldCharType="separate"/>
      </w:r>
      <w:r>
        <w:rPr>
          <w:rFonts w:ascii="Times New Roman" w:hAnsi="Times New Roman" w:eastAsia="黑体"/>
          <w:color w:val="auto"/>
          <w:szCs w:val="30"/>
          <w:highlight w:val="none"/>
        </w:rPr>
        <w:t>11-1：材料暂估价表</w:t>
      </w:r>
      <w:r>
        <w:rPr>
          <w:color w:val="auto"/>
          <w:highlight w:val="none"/>
        </w:rPr>
        <w:tab/>
      </w:r>
      <w:r>
        <w:rPr>
          <w:color w:val="auto"/>
          <w:highlight w:val="none"/>
        </w:rPr>
        <w:fldChar w:fldCharType="begin"/>
      </w:r>
      <w:r>
        <w:rPr>
          <w:color w:val="auto"/>
          <w:highlight w:val="none"/>
        </w:rPr>
        <w:instrText xml:space="preserve"> PAGEREF _Toc889 \h </w:instrText>
      </w:r>
      <w:r>
        <w:rPr>
          <w:color w:val="auto"/>
          <w:highlight w:val="none"/>
        </w:rPr>
        <w:fldChar w:fldCharType="separate"/>
      </w:r>
      <w:r>
        <w:rPr>
          <w:color w:val="auto"/>
          <w:highlight w:val="none"/>
        </w:rPr>
        <w:t>115</w:t>
      </w:r>
      <w:r>
        <w:rPr>
          <w:color w:val="auto"/>
          <w:highlight w:val="none"/>
        </w:rPr>
        <w:fldChar w:fldCharType="end"/>
      </w:r>
      <w:r>
        <w:rPr>
          <w:rFonts w:hint="eastAsia" w:ascii="仿宋" w:hAnsi="仿宋" w:eastAsia="仿宋" w:cs="仿宋"/>
          <w:color w:val="auto"/>
          <w:highlight w:val="none"/>
        </w:rPr>
        <w:fldChar w:fldCharType="end"/>
      </w:r>
    </w:p>
    <w:p w14:paraId="542ADE10">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_Toc14590 </w:instrText>
      </w:r>
      <w:r>
        <w:rPr>
          <w:rFonts w:hint="eastAsia" w:ascii="仿宋" w:hAnsi="仿宋" w:eastAsia="仿宋" w:cs="仿宋"/>
          <w:color w:val="auto"/>
          <w:highlight w:val="none"/>
        </w:rPr>
        <w:fldChar w:fldCharType="separate"/>
      </w:r>
      <w:r>
        <w:rPr>
          <w:rFonts w:eastAsia="黑体"/>
          <w:color w:val="auto"/>
          <w:szCs w:val="52"/>
          <w:highlight w:val="none"/>
        </w:rPr>
        <w:t>第五章  工程量清单</w:t>
      </w:r>
      <w:r>
        <w:rPr>
          <w:color w:val="auto"/>
          <w:highlight w:val="none"/>
        </w:rPr>
        <w:tab/>
      </w:r>
      <w:r>
        <w:rPr>
          <w:color w:val="auto"/>
          <w:highlight w:val="none"/>
        </w:rPr>
        <w:fldChar w:fldCharType="begin"/>
      </w:r>
      <w:r>
        <w:rPr>
          <w:color w:val="auto"/>
          <w:highlight w:val="none"/>
        </w:rPr>
        <w:instrText xml:space="preserve"> PAGEREF _Toc14590 \h </w:instrText>
      </w:r>
      <w:r>
        <w:rPr>
          <w:color w:val="auto"/>
          <w:highlight w:val="none"/>
        </w:rPr>
        <w:fldChar w:fldCharType="separate"/>
      </w:r>
      <w:r>
        <w:rPr>
          <w:color w:val="auto"/>
          <w:highlight w:val="none"/>
        </w:rPr>
        <w:t>118</w:t>
      </w:r>
      <w:r>
        <w:rPr>
          <w:color w:val="auto"/>
          <w:highlight w:val="none"/>
        </w:rPr>
        <w:fldChar w:fldCharType="end"/>
      </w:r>
      <w:r>
        <w:rPr>
          <w:rFonts w:hint="eastAsia" w:ascii="仿宋" w:hAnsi="仿宋" w:eastAsia="仿宋" w:cs="仿宋"/>
          <w:color w:val="auto"/>
          <w:highlight w:val="none"/>
        </w:rPr>
        <w:fldChar w:fldCharType="end"/>
      </w:r>
    </w:p>
    <w:p w14:paraId="40442520">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_Toc10131 </w:instrText>
      </w:r>
      <w:r>
        <w:rPr>
          <w:rFonts w:hint="eastAsia" w:ascii="仿宋" w:hAnsi="仿宋" w:eastAsia="仿宋" w:cs="仿宋"/>
          <w:color w:val="auto"/>
          <w:highlight w:val="none"/>
        </w:rPr>
        <w:fldChar w:fldCharType="separate"/>
      </w:r>
      <w:r>
        <w:rPr>
          <w:rFonts w:eastAsia="黑体"/>
          <w:color w:val="auto"/>
          <w:szCs w:val="52"/>
          <w:highlight w:val="none"/>
        </w:rPr>
        <w:t>第二卷</w:t>
      </w:r>
      <w:r>
        <w:rPr>
          <w:color w:val="auto"/>
          <w:highlight w:val="none"/>
        </w:rPr>
        <w:tab/>
      </w:r>
      <w:r>
        <w:rPr>
          <w:color w:val="auto"/>
          <w:highlight w:val="none"/>
        </w:rPr>
        <w:fldChar w:fldCharType="begin"/>
      </w:r>
      <w:r>
        <w:rPr>
          <w:color w:val="auto"/>
          <w:highlight w:val="none"/>
        </w:rPr>
        <w:instrText xml:space="preserve"> PAGEREF _Toc10131 \h </w:instrText>
      </w:r>
      <w:r>
        <w:rPr>
          <w:color w:val="auto"/>
          <w:highlight w:val="none"/>
        </w:rPr>
        <w:fldChar w:fldCharType="separate"/>
      </w:r>
      <w:r>
        <w:rPr>
          <w:color w:val="auto"/>
          <w:highlight w:val="none"/>
        </w:rPr>
        <w:t>126</w:t>
      </w:r>
      <w:r>
        <w:rPr>
          <w:color w:val="auto"/>
          <w:highlight w:val="none"/>
        </w:rPr>
        <w:fldChar w:fldCharType="end"/>
      </w:r>
      <w:r>
        <w:rPr>
          <w:rFonts w:hint="eastAsia" w:ascii="仿宋" w:hAnsi="仿宋" w:eastAsia="仿宋" w:cs="仿宋"/>
          <w:color w:val="auto"/>
          <w:highlight w:val="none"/>
        </w:rPr>
        <w:fldChar w:fldCharType="end"/>
      </w:r>
    </w:p>
    <w:p w14:paraId="554202E6">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_Toc8601 </w:instrText>
      </w:r>
      <w:r>
        <w:rPr>
          <w:rFonts w:hint="eastAsia" w:ascii="仿宋" w:hAnsi="仿宋" w:eastAsia="仿宋" w:cs="仿宋"/>
          <w:color w:val="auto"/>
          <w:highlight w:val="none"/>
        </w:rPr>
        <w:fldChar w:fldCharType="separate"/>
      </w:r>
      <w:r>
        <w:rPr>
          <w:rFonts w:eastAsia="黑体"/>
          <w:color w:val="auto"/>
          <w:szCs w:val="52"/>
          <w:highlight w:val="none"/>
        </w:rPr>
        <w:t>第六章  图  纸</w:t>
      </w:r>
      <w:r>
        <w:rPr>
          <w:color w:val="auto"/>
          <w:highlight w:val="none"/>
        </w:rPr>
        <w:tab/>
      </w:r>
      <w:r>
        <w:rPr>
          <w:color w:val="auto"/>
          <w:highlight w:val="none"/>
        </w:rPr>
        <w:fldChar w:fldCharType="begin"/>
      </w:r>
      <w:r>
        <w:rPr>
          <w:color w:val="auto"/>
          <w:highlight w:val="none"/>
        </w:rPr>
        <w:instrText xml:space="preserve"> PAGEREF _Toc8601 \h </w:instrText>
      </w:r>
      <w:r>
        <w:rPr>
          <w:color w:val="auto"/>
          <w:highlight w:val="none"/>
        </w:rPr>
        <w:fldChar w:fldCharType="separate"/>
      </w:r>
      <w:r>
        <w:rPr>
          <w:color w:val="auto"/>
          <w:highlight w:val="none"/>
        </w:rPr>
        <w:t>129</w:t>
      </w:r>
      <w:r>
        <w:rPr>
          <w:color w:val="auto"/>
          <w:highlight w:val="none"/>
        </w:rPr>
        <w:fldChar w:fldCharType="end"/>
      </w:r>
      <w:r>
        <w:rPr>
          <w:rFonts w:hint="eastAsia" w:ascii="仿宋" w:hAnsi="仿宋" w:eastAsia="仿宋" w:cs="仿宋"/>
          <w:color w:val="auto"/>
          <w:highlight w:val="none"/>
        </w:rPr>
        <w:fldChar w:fldCharType="end"/>
      </w:r>
    </w:p>
    <w:p w14:paraId="27EC16F1">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_Toc18595 </w:instrText>
      </w:r>
      <w:r>
        <w:rPr>
          <w:rFonts w:hint="eastAsia" w:ascii="仿宋" w:hAnsi="仿宋" w:eastAsia="仿宋" w:cs="仿宋"/>
          <w:color w:val="auto"/>
          <w:highlight w:val="none"/>
        </w:rPr>
        <w:fldChar w:fldCharType="separate"/>
      </w:r>
      <w:r>
        <w:rPr>
          <w:rFonts w:eastAsia="黑体"/>
          <w:color w:val="auto"/>
          <w:szCs w:val="52"/>
          <w:highlight w:val="none"/>
        </w:rPr>
        <w:t>第三卷</w:t>
      </w:r>
      <w:r>
        <w:rPr>
          <w:color w:val="auto"/>
          <w:highlight w:val="none"/>
        </w:rPr>
        <w:tab/>
      </w:r>
      <w:r>
        <w:rPr>
          <w:color w:val="auto"/>
          <w:highlight w:val="none"/>
        </w:rPr>
        <w:fldChar w:fldCharType="begin"/>
      </w:r>
      <w:r>
        <w:rPr>
          <w:color w:val="auto"/>
          <w:highlight w:val="none"/>
        </w:rPr>
        <w:instrText xml:space="preserve"> PAGEREF _Toc18595 \h </w:instrText>
      </w:r>
      <w:r>
        <w:rPr>
          <w:color w:val="auto"/>
          <w:highlight w:val="none"/>
        </w:rPr>
        <w:fldChar w:fldCharType="separate"/>
      </w:r>
      <w:r>
        <w:rPr>
          <w:color w:val="auto"/>
          <w:highlight w:val="none"/>
        </w:rPr>
        <w:t>131</w:t>
      </w:r>
      <w:r>
        <w:rPr>
          <w:color w:val="auto"/>
          <w:highlight w:val="none"/>
        </w:rPr>
        <w:fldChar w:fldCharType="end"/>
      </w:r>
      <w:r>
        <w:rPr>
          <w:rFonts w:hint="eastAsia" w:ascii="仿宋" w:hAnsi="仿宋" w:eastAsia="仿宋" w:cs="仿宋"/>
          <w:color w:val="auto"/>
          <w:highlight w:val="none"/>
        </w:rPr>
        <w:fldChar w:fldCharType="end"/>
      </w:r>
    </w:p>
    <w:p w14:paraId="685F31CE">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_Toc8419 </w:instrText>
      </w:r>
      <w:r>
        <w:rPr>
          <w:rFonts w:hint="eastAsia" w:ascii="仿宋" w:hAnsi="仿宋" w:eastAsia="仿宋" w:cs="仿宋"/>
          <w:color w:val="auto"/>
          <w:highlight w:val="none"/>
        </w:rPr>
        <w:fldChar w:fldCharType="separate"/>
      </w:r>
      <w:r>
        <w:rPr>
          <w:rFonts w:hint="eastAsia" w:eastAsia="黑体"/>
          <w:color w:val="auto"/>
          <w:szCs w:val="52"/>
          <w:highlight w:val="none"/>
        </w:rPr>
        <w:t xml:space="preserve">第七章 </w:t>
      </w:r>
      <w:r>
        <w:rPr>
          <w:rFonts w:eastAsia="黑体"/>
          <w:color w:val="auto"/>
          <w:szCs w:val="52"/>
          <w:highlight w:val="none"/>
        </w:rPr>
        <w:t>技术标准和要求</w:t>
      </w:r>
      <w:r>
        <w:rPr>
          <w:color w:val="auto"/>
          <w:highlight w:val="none"/>
        </w:rPr>
        <w:tab/>
      </w:r>
      <w:r>
        <w:rPr>
          <w:color w:val="auto"/>
          <w:highlight w:val="none"/>
        </w:rPr>
        <w:fldChar w:fldCharType="begin"/>
      </w:r>
      <w:r>
        <w:rPr>
          <w:color w:val="auto"/>
          <w:highlight w:val="none"/>
        </w:rPr>
        <w:instrText xml:space="preserve"> PAGEREF _Toc8419 \h </w:instrText>
      </w:r>
      <w:r>
        <w:rPr>
          <w:color w:val="auto"/>
          <w:highlight w:val="none"/>
        </w:rPr>
        <w:fldChar w:fldCharType="separate"/>
      </w:r>
      <w:r>
        <w:rPr>
          <w:color w:val="auto"/>
          <w:highlight w:val="none"/>
        </w:rPr>
        <w:t>132</w:t>
      </w:r>
      <w:r>
        <w:rPr>
          <w:color w:val="auto"/>
          <w:highlight w:val="none"/>
        </w:rPr>
        <w:fldChar w:fldCharType="end"/>
      </w:r>
      <w:r>
        <w:rPr>
          <w:rFonts w:hint="eastAsia" w:ascii="仿宋" w:hAnsi="仿宋" w:eastAsia="仿宋" w:cs="仿宋"/>
          <w:color w:val="auto"/>
          <w:highlight w:val="none"/>
        </w:rPr>
        <w:fldChar w:fldCharType="end"/>
      </w:r>
    </w:p>
    <w:p w14:paraId="46B5A2B1">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_Toc18938 </w:instrText>
      </w:r>
      <w:r>
        <w:rPr>
          <w:rFonts w:hint="eastAsia" w:ascii="仿宋" w:hAnsi="仿宋" w:eastAsia="仿宋" w:cs="仿宋"/>
          <w:color w:val="auto"/>
          <w:highlight w:val="none"/>
        </w:rPr>
        <w:fldChar w:fldCharType="separate"/>
      </w:r>
      <w:r>
        <w:rPr>
          <w:rFonts w:ascii="宋体" w:hAnsi="宋体" w:eastAsia="宋体" w:cs="宋体"/>
          <w:color w:val="auto"/>
          <w:spacing w:val="8"/>
          <w:szCs w:val="28"/>
          <w:highlight w:val="none"/>
        </w:rPr>
        <w:t>1、依据设计文件的要求，本招标工程项目的材料、设备、施工须达到现行中华人民共和国以及省、</w:t>
      </w:r>
      <w:r>
        <w:rPr>
          <w:rFonts w:ascii="宋体" w:hAnsi="宋体" w:eastAsia="宋体" w:cs="宋体"/>
          <w:color w:val="auto"/>
          <w:spacing w:val="-45"/>
          <w:szCs w:val="28"/>
          <w:highlight w:val="none"/>
        </w:rPr>
        <w:t xml:space="preserve"> </w:t>
      </w:r>
      <w:r>
        <w:rPr>
          <w:rFonts w:ascii="宋体" w:hAnsi="宋体" w:eastAsia="宋体" w:cs="宋体"/>
          <w:color w:val="auto"/>
          <w:spacing w:val="8"/>
          <w:szCs w:val="28"/>
          <w:highlight w:val="none"/>
        </w:rPr>
        <w:t>自治区、直</w:t>
      </w:r>
      <w:r>
        <w:rPr>
          <w:rFonts w:ascii="宋体" w:hAnsi="宋体" w:eastAsia="宋体" w:cs="宋体"/>
          <w:color w:val="auto"/>
          <w:spacing w:val="9"/>
          <w:szCs w:val="28"/>
          <w:highlight w:val="none"/>
        </w:rPr>
        <w:t>辖市或行业的工程建设标准、规范的要求。</w:t>
      </w:r>
      <w:r>
        <w:rPr>
          <w:color w:val="auto"/>
          <w:highlight w:val="none"/>
        </w:rPr>
        <w:tab/>
      </w:r>
      <w:r>
        <w:rPr>
          <w:color w:val="auto"/>
          <w:highlight w:val="none"/>
        </w:rPr>
        <w:fldChar w:fldCharType="begin"/>
      </w:r>
      <w:r>
        <w:rPr>
          <w:color w:val="auto"/>
          <w:highlight w:val="none"/>
        </w:rPr>
        <w:instrText xml:space="preserve"> PAGEREF _Toc18938 \h </w:instrText>
      </w:r>
      <w:r>
        <w:rPr>
          <w:color w:val="auto"/>
          <w:highlight w:val="none"/>
        </w:rPr>
        <w:fldChar w:fldCharType="separate"/>
      </w:r>
      <w:r>
        <w:rPr>
          <w:color w:val="auto"/>
          <w:highlight w:val="none"/>
        </w:rPr>
        <w:t>132</w:t>
      </w:r>
      <w:r>
        <w:rPr>
          <w:color w:val="auto"/>
          <w:highlight w:val="none"/>
        </w:rPr>
        <w:fldChar w:fldCharType="end"/>
      </w:r>
      <w:r>
        <w:rPr>
          <w:rFonts w:hint="eastAsia" w:ascii="仿宋" w:hAnsi="仿宋" w:eastAsia="仿宋" w:cs="仿宋"/>
          <w:color w:val="auto"/>
          <w:highlight w:val="none"/>
        </w:rPr>
        <w:fldChar w:fldCharType="end"/>
      </w:r>
    </w:p>
    <w:p w14:paraId="66957D64">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_Toc11105 </w:instrText>
      </w:r>
      <w:r>
        <w:rPr>
          <w:rFonts w:hint="eastAsia" w:ascii="仿宋" w:hAnsi="仿宋" w:eastAsia="仿宋" w:cs="仿宋"/>
          <w:color w:val="auto"/>
          <w:highlight w:val="none"/>
        </w:rPr>
        <w:fldChar w:fldCharType="separate"/>
      </w:r>
      <w:r>
        <w:rPr>
          <w:rFonts w:eastAsia="黑体"/>
          <w:color w:val="auto"/>
          <w:szCs w:val="52"/>
          <w:highlight w:val="none"/>
        </w:rPr>
        <w:t>第四卷</w:t>
      </w:r>
      <w:r>
        <w:rPr>
          <w:color w:val="auto"/>
          <w:highlight w:val="none"/>
        </w:rPr>
        <w:tab/>
      </w:r>
      <w:r>
        <w:rPr>
          <w:color w:val="auto"/>
          <w:highlight w:val="none"/>
        </w:rPr>
        <w:fldChar w:fldCharType="begin"/>
      </w:r>
      <w:r>
        <w:rPr>
          <w:color w:val="auto"/>
          <w:highlight w:val="none"/>
        </w:rPr>
        <w:instrText xml:space="preserve"> PAGEREF _Toc11105 \h </w:instrText>
      </w:r>
      <w:r>
        <w:rPr>
          <w:color w:val="auto"/>
          <w:highlight w:val="none"/>
        </w:rPr>
        <w:fldChar w:fldCharType="separate"/>
      </w:r>
      <w:r>
        <w:rPr>
          <w:color w:val="auto"/>
          <w:highlight w:val="none"/>
        </w:rPr>
        <w:t>133</w:t>
      </w:r>
      <w:r>
        <w:rPr>
          <w:color w:val="auto"/>
          <w:highlight w:val="none"/>
        </w:rPr>
        <w:fldChar w:fldCharType="end"/>
      </w:r>
      <w:r>
        <w:rPr>
          <w:rFonts w:hint="eastAsia" w:ascii="仿宋" w:hAnsi="仿宋" w:eastAsia="仿宋" w:cs="仿宋"/>
          <w:color w:val="auto"/>
          <w:highlight w:val="none"/>
        </w:rPr>
        <w:fldChar w:fldCharType="end"/>
      </w:r>
    </w:p>
    <w:p w14:paraId="28063153">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_Toc23191 </w:instrText>
      </w:r>
      <w:r>
        <w:rPr>
          <w:rFonts w:hint="eastAsia" w:ascii="仿宋" w:hAnsi="仿宋" w:eastAsia="仿宋" w:cs="仿宋"/>
          <w:color w:val="auto"/>
          <w:highlight w:val="none"/>
        </w:rPr>
        <w:fldChar w:fldCharType="separate"/>
      </w:r>
      <w:r>
        <w:rPr>
          <w:rFonts w:hint="eastAsia" w:eastAsia="黑体"/>
          <w:color w:val="auto"/>
          <w:szCs w:val="52"/>
          <w:highlight w:val="none"/>
        </w:rPr>
        <w:t xml:space="preserve">第八章 </w:t>
      </w:r>
      <w:r>
        <w:rPr>
          <w:rFonts w:eastAsia="黑体"/>
          <w:color w:val="auto"/>
          <w:szCs w:val="52"/>
          <w:highlight w:val="none"/>
        </w:rPr>
        <w:t>投标文件格式</w:t>
      </w:r>
      <w:r>
        <w:rPr>
          <w:color w:val="auto"/>
          <w:highlight w:val="none"/>
        </w:rPr>
        <w:tab/>
      </w:r>
      <w:r>
        <w:rPr>
          <w:color w:val="auto"/>
          <w:highlight w:val="none"/>
        </w:rPr>
        <w:fldChar w:fldCharType="begin"/>
      </w:r>
      <w:r>
        <w:rPr>
          <w:color w:val="auto"/>
          <w:highlight w:val="none"/>
        </w:rPr>
        <w:instrText xml:space="preserve"> PAGEREF _Toc23191 \h </w:instrText>
      </w:r>
      <w:r>
        <w:rPr>
          <w:color w:val="auto"/>
          <w:highlight w:val="none"/>
        </w:rPr>
        <w:fldChar w:fldCharType="separate"/>
      </w:r>
      <w:r>
        <w:rPr>
          <w:color w:val="auto"/>
          <w:highlight w:val="none"/>
        </w:rPr>
        <w:t>134</w:t>
      </w:r>
      <w:r>
        <w:rPr>
          <w:color w:val="auto"/>
          <w:highlight w:val="none"/>
        </w:rPr>
        <w:fldChar w:fldCharType="end"/>
      </w:r>
      <w:r>
        <w:rPr>
          <w:rFonts w:hint="eastAsia" w:ascii="仿宋" w:hAnsi="仿宋" w:eastAsia="仿宋" w:cs="仿宋"/>
          <w:color w:val="auto"/>
          <w:highlight w:val="none"/>
        </w:rPr>
        <w:fldChar w:fldCharType="end"/>
      </w:r>
    </w:p>
    <w:p w14:paraId="5A7DFD89">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_Toc22110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一、投标函及投标函附录</w:t>
      </w:r>
      <w:r>
        <w:rPr>
          <w:color w:val="auto"/>
          <w:highlight w:val="none"/>
        </w:rPr>
        <w:tab/>
      </w:r>
      <w:r>
        <w:rPr>
          <w:color w:val="auto"/>
          <w:highlight w:val="none"/>
        </w:rPr>
        <w:fldChar w:fldCharType="begin"/>
      </w:r>
      <w:r>
        <w:rPr>
          <w:color w:val="auto"/>
          <w:highlight w:val="none"/>
        </w:rPr>
        <w:instrText xml:space="preserve"> PAGEREF _Toc22110 \h </w:instrText>
      </w:r>
      <w:r>
        <w:rPr>
          <w:color w:val="auto"/>
          <w:highlight w:val="none"/>
        </w:rPr>
        <w:fldChar w:fldCharType="separate"/>
      </w:r>
      <w:r>
        <w:rPr>
          <w:color w:val="auto"/>
          <w:highlight w:val="none"/>
        </w:rPr>
        <w:t>137</w:t>
      </w:r>
      <w:r>
        <w:rPr>
          <w:color w:val="auto"/>
          <w:highlight w:val="none"/>
        </w:rPr>
        <w:fldChar w:fldCharType="end"/>
      </w:r>
      <w:r>
        <w:rPr>
          <w:rFonts w:hint="eastAsia" w:ascii="仿宋" w:hAnsi="仿宋" w:eastAsia="仿宋" w:cs="仿宋"/>
          <w:color w:val="auto"/>
          <w:highlight w:val="none"/>
        </w:rPr>
        <w:fldChar w:fldCharType="end"/>
      </w:r>
    </w:p>
    <w:p w14:paraId="255BB992">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_Toc31680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（一）投标函</w:t>
      </w:r>
      <w:r>
        <w:rPr>
          <w:color w:val="auto"/>
          <w:highlight w:val="none"/>
        </w:rPr>
        <w:tab/>
      </w:r>
      <w:r>
        <w:rPr>
          <w:color w:val="auto"/>
          <w:highlight w:val="none"/>
        </w:rPr>
        <w:fldChar w:fldCharType="begin"/>
      </w:r>
      <w:r>
        <w:rPr>
          <w:color w:val="auto"/>
          <w:highlight w:val="none"/>
        </w:rPr>
        <w:instrText xml:space="preserve"> PAGEREF _Toc31680 \h </w:instrText>
      </w:r>
      <w:r>
        <w:rPr>
          <w:color w:val="auto"/>
          <w:highlight w:val="none"/>
        </w:rPr>
        <w:fldChar w:fldCharType="separate"/>
      </w:r>
      <w:r>
        <w:rPr>
          <w:color w:val="auto"/>
          <w:highlight w:val="none"/>
        </w:rPr>
        <w:t>137</w:t>
      </w:r>
      <w:r>
        <w:rPr>
          <w:color w:val="auto"/>
          <w:highlight w:val="none"/>
        </w:rPr>
        <w:fldChar w:fldCharType="end"/>
      </w:r>
      <w:r>
        <w:rPr>
          <w:rFonts w:hint="eastAsia" w:ascii="仿宋" w:hAnsi="仿宋" w:eastAsia="仿宋" w:cs="仿宋"/>
          <w:color w:val="auto"/>
          <w:highlight w:val="none"/>
        </w:rPr>
        <w:fldChar w:fldCharType="end"/>
      </w:r>
    </w:p>
    <w:p w14:paraId="711BAAFD">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_Toc25254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8"/>
          <w:highlight w:val="none"/>
        </w:rPr>
        <w:t>（二）投标函附录</w:t>
      </w:r>
      <w:r>
        <w:rPr>
          <w:color w:val="auto"/>
          <w:highlight w:val="none"/>
        </w:rPr>
        <w:tab/>
      </w:r>
      <w:r>
        <w:rPr>
          <w:color w:val="auto"/>
          <w:highlight w:val="none"/>
        </w:rPr>
        <w:fldChar w:fldCharType="begin"/>
      </w:r>
      <w:r>
        <w:rPr>
          <w:color w:val="auto"/>
          <w:highlight w:val="none"/>
        </w:rPr>
        <w:instrText xml:space="preserve"> PAGEREF _Toc25254 \h </w:instrText>
      </w:r>
      <w:r>
        <w:rPr>
          <w:color w:val="auto"/>
          <w:highlight w:val="none"/>
        </w:rPr>
        <w:fldChar w:fldCharType="separate"/>
      </w:r>
      <w:r>
        <w:rPr>
          <w:color w:val="auto"/>
          <w:highlight w:val="none"/>
        </w:rPr>
        <w:t>139</w:t>
      </w:r>
      <w:r>
        <w:rPr>
          <w:color w:val="auto"/>
          <w:highlight w:val="none"/>
        </w:rPr>
        <w:fldChar w:fldCharType="end"/>
      </w:r>
      <w:r>
        <w:rPr>
          <w:rFonts w:hint="eastAsia" w:ascii="仿宋" w:hAnsi="仿宋" w:eastAsia="仿宋" w:cs="仿宋"/>
          <w:color w:val="auto"/>
          <w:highlight w:val="none"/>
        </w:rPr>
        <w:fldChar w:fldCharType="end"/>
      </w:r>
    </w:p>
    <w:p w14:paraId="3B8AE17F">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_Toc1344 </w:instrText>
      </w:r>
      <w:r>
        <w:rPr>
          <w:rFonts w:hint="eastAsia" w:ascii="仿宋" w:hAnsi="仿宋" w:eastAsia="仿宋" w:cs="仿宋"/>
          <w:color w:val="auto"/>
          <w:highlight w:val="none"/>
        </w:rPr>
        <w:fldChar w:fldCharType="separate"/>
      </w:r>
      <w:r>
        <w:rPr>
          <w:rFonts w:hint="eastAsia" w:ascii="仿宋" w:hAnsi="仿宋" w:eastAsia="仿宋" w:cs="仿宋"/>
          <w:bCs/>
          <w:color w:val="auto"/>
          <w:highlight w:val="none"/>
        </w:rPr>
        <w:t>二、法定代表人身份证明</w:t>
      </w:r>
      <w:r>
        <w:rPr>
          <w:color w:val="auto"/>
          <w:highlight w:val="none"/>
        </w:rPr>
        <w:tab/>
      </w:r>
      <w:r>
        <w:rPr>
          <w:color w:val="auto"/>
          <w:highlight w:val="none"/>
        </w:rPr>
        <w:fldChar w:fldCharType="begin"/>
      </w:r>
      <w:r>
        <w:rPr>
          <w:color w:val="auto"/>
          <w:highlight w:val="none"/>
        </w:rPr>
        <w:instrText xml:space="preserve"> PAGEREF _Toc1344 \h </w:instrText>
      </w:r>
      <w:r>
        <w:rPr>
          <w:color w:val="auto"/>
          <w:highlight w:val="none"/>
        </w:rPr>
        <w:fldChar w:fldCharType="separate"/>
      </w:r>
      <w:r>
        <w:rPr>
          <w:color w:val="auto"/>
          <w:highlight w:val="none"/>
        </w:rPr>
        <w:t>140</w:t>
      </w:r>
      <w:r>
        <w:rPr>
          <w:color w:val="auto"/>
          <w:highlight w:val="none"/>
        </w:rPr>
        <w:fldChar w:fldCharType="end"/>
      </w:r>
      <w:r>
        <w:rPr>
          <w:rFonts w:hint="eastAsia" w:ascii="仿宋" w:hAnsi="仿宋" w:eastAsia="仿宋" w:cs="仿宋"/>
          <w:color w:val="auto"/>
          <w:highlight w:val="none"/>
        </w:rPr>
        <w:fldChar w:fldCharType="end"/>
      </w:r>
    </w:p>
    <w:p w14:paraId="1188C693">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_Toc16961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二、授权委托书</w:t>
      </w:r>
      <w:r>
        <w:rPr>
          <w:color w:val="auto"/>
          <w:highlight w:val="none"/>
        </w:rPr>
        <w:tab/>
      </w:r>
      <w:r>
        <w:rPr>
          <w:color w:val="auto"/>
          <w:highlight w:val="none"/>
        </w:rPr>
        <w:fldChar w:fldCharType="begin"/>
      </w:r>
      <w:r>
        <w:rPr>
          <w:color w:val="auto"/>
          <w:highlight w:val="none"/>
        </w:rPr>
        <w:instrText xml:space="preserve"> PAGEREF _Toc16961 \h </w:instrText>
      </w:r>
      <w:r>
        <w:rPr>
          <w:color w:val="auto"/>
          <w:highlight w:val="none"/>
        </w:rPr>
        <w:fldChar w:fldCharType="separate"/>
      </w:r>
      <w:r>
        <w:rPr>
          <w:color w:val="auto"/>
          <w:highlight w:val="none"/>
        </w:rPr>
        <w:t>141</w:t>
      </w:r>
      <w:r>
        <w:rPr>
          <w:color w:val="auto"/>
          <w:highlight w:val="none"/>
        </w:rPr>
        <w:fldChar w:fldCharType="end"/>
      </w:r>
      <w:r>
        <w:rPr>
          <w:rFonts w:hint="eastAsia" w:ascii="仿宋" w:hAnsi="仿宋" w:eastAsia="仿宋" w:cs="仿宋"/>
          <w:color w:val="auto"/>
          <w:highlight w:val="none"/>
        </w:rPr>
        <w:fldChar w:fldCharType="end"/>
      </w:r>
    </w:p>
    <w:p w14:paraId="7C7F657F">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_Toc23744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三、投标保证金</w:t>
      </w:r>
      <w:r>
        <w:rPr>
          <w:color w:val="auto"/>
          <w:highlight w:val="none"/>
        </w:rPr>
        <w:tab/>
      </w:r>
      <w:r>
        <w:rPr>
          <w:color w:val="auto"/>
          <w:highlight w:val="none"/>
        </w:rPr>
        <w:fldChar w:fldCharType="begin"/>
      </w:r>
      <w:r>
        <w:rPr>
          <w:color w:val="auto"/>
          <w:highlight w:val="none"/>
        </w:rPr>
        <w:instrText xml:space="preserve"> PAGEREF _Toc23744 \h </w:instrText>
      </w:r>
      <w:r>
        <w:rPr>
          <w:color w:val="auto"/>
          <w:highlight w:val="none"/>
        </w:rPr>
        <w:fldChar w:fldCharType="separate"/>
      </w:r>
      <w:r>
        <w:rPr>
          <w:color w:val="auto"/>
          <w:highlight w:val="none"/>
        </w:rPr>
        <w:t>142</w:t>
      </w:r>
      <w:r>
        <w:rPr>
          <w:color w:val="auto"/>
          <w:highlight w:val="none"/>
        </w:rPr>
        <w:fldChar w:fldCharType="end"/>
      </w:r>
      <w:r>
        <w:rPr>
          <w:rFonts w:hint="eastAsia" w:ascii="仿宋" w:hAnsi="仿宋" w:eastAsia="仿宋" w:cs="仿宋"/>
          <w:color w:val="auto"/>
          <w:highlight w:val="none"/>
        </w:rPr>
        <w:fldChar w:fldCharType="end"/>
      </w:r>
    </w:p>
    <w:p w14:paraId="1D8A0277">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_Toc6380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四、已标价工程量清单</w:t>
      </w:r>
      <w:r>
        <w:rPr>
          <w:color w:val="auto"/>
          <w:highlight w:val="none"/>
        </w:rPr>
        <w:tab/>
      </w:r>
      <w:r>
        <w:rPr>
          <w:color w:val="auto"/>
          <w:highlight w:val="none"/>
        </w:rPr>
        <w:fldChar w:fldCharType="begin"/>
      </w:r>
      <w:r>
        <w:rPr>
          <w:color w:val="auto"/>
          <w:highlight w:val="none"/>
        </w:rPr>
        <w:instrText xml:space="preserve"> PAGEREF _Toc6380 \h </w:instrText>
      </w:r>
      <w:r>
        <w:rPr>
          <w:color w:val="auto"/>
          <w:highlight w:val="none"/>
        </w:rPr>
        <w:fldChar w:fldCharType="separate"/>
      </w:r>
      <w:r>
        <w:rPr>
          <w:color w:val="auto"/>
          <w:highlight w:val="none"/>
        </w:rPr>
        <w:t>143</w:t>
      </w:r>
      <w:r>
        <w:rPr>
          <w:color w:val="auto"/>
          <w:highlight w:val="none"/>
        </w:rPr>
        <w:fldChar w:fldCharType="end"/>
      </w:r>
      <w:r>
        <w:rPr>
          <w:rFonts w:hint="eastAsia" w:ascii="仿宋" w:hAnsi="仿宋" w:eastAsia="仿宋" w:cs="仿宋"/>
          <w:color w:val="auto"/>
          <w:highlight w:val="none"/>
        </w:rPr>
        <w:fldChar w:fldCharType="end"/>
      </w:r>
    </w:p>
    <w:p w14:paraId="25717E33">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_Toc222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五</w:t>
      </w:r>
      <w:r>
        <w:rPr>
          <w:rFonts w:ascii="仿宋" w:hAnsi="仿宋" w:eastAsia="仿宋" w:cs="仿宋"/>
          <w:bCs/>
          <w:color w:val="auto"/>
          <w:szCs w:val="28"/>
          <w:highlight w:val="none"/>
        </w:rPr>
        <w:t>、施工组织设计</w:t>
      </w:r>
      <w:r>
        <w:rPr>
          <w:color w:val="auto"/>
          <w:highlight w:val="none"/>
        </w:rPr>
        <w:tab/>
      </w:r>
      <w:r>
        <w:rPr>
          <w:color w:val="auto"/>
          <w:highlight w:val="none"/>
        </w:rPr>
        <w:fldChar w:fldCharType="begin"/>
      </w:r>
      <w:r>
        <w:rPr>
          <w:color w:val="auto"/>
          <w:highlight w:val="none"/>
        </w:rPr>
        <w:instrText xml:space="preserve"> PAGEREF _Toc222 \h </w:instrText>
      </w:r>
      <w:r>
        <w:rPr>
          <w:color w:val="auto"/>
          <w:highlight w:val="none"/>
        </w:rPr>
        <w:fldChar w:fldCharType="separate"/>
      </w:r>
      <w:r>
        <w:rPr>
          <w:color w:val="auto"/>
          <w:highlight w:val="none"/>
        </w:rPr>
        <w:t>144</w:t>
      </w:r>
      <w:r>
        <w:rPr>
          <w:color w:val="auto"/>
          <w:highlight w:val="none"/>
        </w:rPr>
        <w:fldChar w:fldCharType="end"/>
      </w:r>
      <w:r>
        <w:rPr>
          <w:rFonts w:hint="eastAsia" w:ascii="仿宋" w:hAnsi="仿宋" w:eastAsia="仿宋" w:cs="仿宋"/>
          <w:color w:val="auto"/>
          <w:highlight w:val="none"/>
        </w:rPr>
        <w:fldChar w:fldCharType="end"/>
      </w:r>
    </w:p>
    <w:p w14:paraId="7AF68B26">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_Toc30041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六、项目管理机构</w:t>
      </w:r>
      <w:r>
        <w:rPr>
          <w:color w:val="auto"/>
          <w:highlight w:val="none"/>
        </w:rPr>
        <w:tab/>
      </w:r>
      <w:r>
        <w:rPr>
          <w:color w:val="auto"/>
          <w:highlight w:val="none"/>
        </w:rPr>
        <w:fldChar w:fldCharType="begin"/>
      </w:r>
      <w:r>
        <w:rPr>
          <w:color w:val="auto"/>
          <w:highlight w:val="none"/>
        </w:rPr>
        <w:instrText xml:space="preserve"> PAGEREF _Toc30041 \h </w:instrText>
      </w:r>
      <w:r>
        <w:rPr>
          <w:color w:val="auto"/>
          <w:highlight w:val="none"/>
        </w:rPr>
        <w:fldChar w:fldCharType="separate"/>
      </w:r>
      <w:r>
        <w:rPr>
          <w:color w:val="auto"/>
          <w:highlight w:val="none"/>
        </w:rPr>
        <w:t>151</w:t>
      </w:r>
      <w:r>
        <w:rPr>
          <w:color w:val="auto"/>
          <w:highlight w:val="none"/>
        </w:rPr>
        <w:fldChar w:fldCharType="end"/>
      </w:r>
      <w:r>
        <w:rPr>
          <w:rFonts w:hint="eastAsia" w:ascii="仿宋" w:hAnsi="仿宋" w:eastAsia="仿宋" w:cs="仿宋"/>
          <w:color w:val="auto"/>
          <w:highlight w:val="none"/>
        </w:rPr>
        <w:fldChar w:fldCharType="end"/>
      </w:r>
    </w:p>
    <w:p w14:paraId="7DAECB06">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_Toc19940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七、资格审查资料</w:t>
      </w:r>
      <w:r>
        <w:rPr>
          <w:color w:val="auto"/>
          <w:highlight w:val="none"/>
        </w:rPr>
        <w:tab/>
      </w:r>
      <w:r>
        <w:rPr>
          <w:color w:val="auto"/>
          <w:highlight w:val="none"/>
        </w:rPr>
        <w:fldChar w:fldCharType="begin"/>
      </w:r>
      <w:r>
        <w:rPr>
          <w:color w:val="auto"/>
          <w:highlight w:val="none"/>
        </w:rPr>
        <w:instrText xml:space="preserve"> PAGEREF _Toc19940 \h </w:instrText>
      </w:r>
      <w:r>
        <w:rPr>
          <w:color w:val="auto"/>
          <w:highlight w:val="none"/>
        </w:rPr>
        <w:fldChar w:fldCharType="separate"/>
      </w:r>
      <w:r>
        <w:rPr>
          <w:color w:val="auto"/>
          <w:highlight w:val="none"/>
        </w:rPr>
        <w:t>155</w:t>
      </w:r>
      <w:r>
        <w:rPr>
          <w:color w:val="auto"/>
          <w:highlight w:val="none"/>
        </w:rPr>
        <w:fldChar w:fldCharType="end"/>
      </w:r>
      <w:r>
        <w:rPr>
          <w:rFonts w:hint="eastAsia" w:ascii="仿宋" w:hAnsi="仿宋" w:eastAsia="仿宋" w:cs="仿宋"/>
          <w:color w:val="auto"/>
          <w:highlight w:val="none"/>
        </w:rPr>
        <w:fldChar w:fldCharType="end"/>
      </w:r>
    </w:p>
    <w:p w14:paraId="7E34F639">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_Toc12676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（一）投标人基本情况表</w:t>
      </w:r>
      <w:r>
        <w:rPr>
          <w:color w:val="auto"/>
          <w:highlight w:val="none"/>
        </w:rPr>
        <w:tab/>
      </w:r>
      <w:r>
        <w:rPr>
          <w:color w:val="auto"/>
          <w:highlight w:val="none"/>
        </w:rPr>
        <w:fldChar w:fldCharType="begin"/>
      </w:r>
      <w:r>
        <w:rPr>
          <w:color w:val="auto"/>
          <w:highlight w:val="none"/>
        </w:rPr>
        <w:instrText xml:space="preserve"> PAGEREF _Toc12676 \h </w:instrText>
      </w:r>
      <w:r>
        <w:rPr>
          <w:color w:val="auto"/>
          <w:highlight w:val="none"/>
        </w:rPr>
        <w:fldChar w:fldCharType="separate"/>
      </w:r>
      <w:r>
        <w:rPr>
          <w:color w:val="auto"/>
          <w:highlight w:val="none"/>
        </w:rPr>
        <w:t>155</w:t>
      </w:r>
      <w:r>
        <w:rPr>
          <w:color w:val="auto"/>
          <w:highlight w:val="none"/>
        </w:rPr>
        <w:fldChar w:fldCharType="end"/>
      </w:r>
      <w:r>
        <w:rPr>
          <w:rFonts w:hint="eastAsia" w:ascii="仿宋" w:hAnsi="仿宋" w:eastAsia="仿宋" w:cs="仿宋"/>
          <w:color w:val="auto"/>
          <w:highlight w:val="none"/>
        </w:rPr>
        <w:fldChar w:fldCharType="end"/>
      </w:r>
    </w:p>
    <w:p w14:paraId="480AE0C7">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_Toc20814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（二）财务要求</w:t>
      </w:r>
      <w:r>
        <w:rPr>
          <w:color w:val="auto"/>
          <w:highlight w:val="none"/>
        </w:rPr>
        <w:tab/>
      </w:r>
      <w:r>
        <w:rPr>
          <w:color w:val="auto"/>
          <w:highlight w:val="none"/>
        </w:rPr>
        <w:fldChar w:fldCharType="begin"/>
      </w:r>
      <w:r>
        <w:rPr>
          <w:color w:val="auto"/>
          <w:highlight w:val="none"/>
        </w:rPr>
        <w:instrText xml:space="preserve"> PAGEREF _Toc20814 \h </w:instrText>
      </w:r>
      <w:r>
        <w:rPr>
          <w:color w:val="auto"/>
          <w:highlight w:val="none"/>
        </w:rPr>
        <w:fldChar w:fldCharType="separate"/>
      </w:r>
      <w:r>
        <w:rPr>
          <w:color w:val="auto"/>
          <w:highlight w:val="none"/>
        </w:rPr>
        <w:t>156</w:t>
      </w:r>
      <w:r>
        <w:rPr>
          <w:color w:val="auto"/>
          <w:highlight w:val="none"/>
        </w:rPr>
        <w:fldChar w:fldCharType="end"/>
      </w:r>
      <w:r>
        <w:rPr>
          <w:rFonts w:hint="eastAsia" w:ascii="仿宋" w:hAnsi="仿宋" w:eastAsia="仿宋" w:cs="仿宋"/>
          <w:color w:val="auto"/>
          <w:highlight w:val="none"/>
        </w:rPr>
        <w:fldChar w:fldCharType="end"/>
      </w:r>
    </w:p>
    <w:p w14:paraId="7E96AC01">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_Toc27274 </w:instrText>
      </w:r>
      <w:r>
        <w:rPr>
          <w:rFonts w:hint="eastAsia" w:ascii="仿宋" w:hAnsi="仿宋" w:eastAsia="仿宋" w:cs="仿宋"/>
          <w:color w:val="auto"/>
          <w:highlight w:val="none"/>
        </w:rPr>
        <w:fldChar w:fldCharType="separate"/>
      </w:r>
      <w:r>
        <w:rPr>
          <w:rFonts w:hint="eastAsia" w:ascii="仿宋" w:hAnsi="仿宋" w:eastAsia="仿宋" w:cs="仿宋"/>
          <w:bCs/>
          <w:color w:val="auto"/>
          <w:highlight w:val="none"/>
        </w:rPr>
        <w:t>（三）近年完成的类似项目情况表</w:t>
      </w:r>
      <w:r>
        <w:rPr>
          <w:color w:val="auto"/>
          <w:highlight w:val="none"/>
        </w:rPr>
        <w:tab/>
      </w:r>
      <w:r>
        <w:rPr>
          <w:color w:val="auto"/>
          <w:highlight w:val="none"/>
        </w:rPr>
        <w:fldChar w:fldCharType="begin"/>
      </w:r>
      <w:r>
        <w:rPr>
          <w:color w:val="auto"/>
          <w:highlight w:val="none"/>
        </w:rPr>
        <w:instrText xml:space="preserve"> PAGEREF _Toc27274 \h </w:instrText>
      </w:r>
      <w:r>
        <w:rPr>
          <w:color w:val="auto"/>
          <w:highlight w:val="none"/>
        </w:rPr>
        <w:fldChar w:fldCharType="separate"/>
      </w:r>
      <w:r>
        <w:rPr>
          <w:color w:val="auto"/>
          <w:highlight w:val="none"/>
        </w:rPr>
        <w:t>157</w:t>
      </w:r>
      <w:r>
        <w:rPr>
          <w:color w:val="auto"/>
          <w:highlight w:val="none"/>
        </w:rPr>
        <w:fldChar w:fldCharType="end"/>
      </w:r>
      <w:r>
        <w:rPr>
          <w:rFonts w:hint="eastAsia" w:ascii="仿宋" w:hAnsi="仿宋" w:eastAsia="仿宋" w:cs="仿宋"/>
          <w:color w:val="auto"/>
          <w:highlight w:val="none"/>
        </w:rPr>
        <w:fldChar w:fldCharType="end"/>
      </w:r>
    </w:p>
    <w:p w14:paraId="1EDFB5E6">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_Toc10892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（四）正在施工的和新承接的项目情况表</w:t>
      </w:r>
      <w:r>
        <w:rPr>
          <w:color w:val="auto"/>
          <w:highlight w:val="none"/>
        </w:rPr>
        <w:tab/>
      </w:r>
      <w:r>
        <w:rPr>
          <w:color w:val="auto"/>
          <w:highlight w:val="none"/>
        </w:rPr>
        <w:fldChar w:fldCharType="begin"/>
      </w:r>
      <w:r>
        <w:rPr>
          <w:color w:val="auto"/>
          <w:highlight w:val="none"/>
        </w:rPr>
        <w:instrText xml:space="preserve"> PAGEREF _Toc10892 \h </w:instrText>
      </w:r>
      <w:r>
        <w:rPr>
          <w:color w:val="auto"/>
          <w:highlight w:val="none"/>
        </w:rPr>
        <w:fldChar w:fldCharType="separate"/>
      </w:r>
      <w:r>
        <w:rPr>
          <w:color w:val="auto"/>
          <w:highlight w:val="none"/>
        </w:rPr>
        <w:t>158</w:t>
      </w:r>
      <w:r>
        <w:rPr>
          <w:color w:val="auto"/>
          <w:highlight w:val="none"/>
        </w:rPr>
        <w:fldChar w:fldCharType="end"/>
      </w:r>
      <w:r>
        <w:rPr>
          <w:rFonts w:hint="eastAsia" w:ascii="仿宋" w:hAnsi="仿宋" w:eastAsia="仿宋" w:cs="仿宋"/>
          <w:color w:val="auto"/>
          <w:highlight w:val="none"/>
        </w:rPr>
        <w:fldChar w:fldCharType="end"/>
      </w:r>
    </w:p>
    <w:p w14:paraId="42806259">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_Toc22962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（五）信誉要求</w:t>
      </w:r>
      <w:r>
        <w:rPr>
          <w:color w:val="auto"/>
          <w:highlight w:val="none"/>
        </w:rPr>
        <w:tab/>
      </w:r>
      <w:r>
        <w:rPr>
          <w:color w:val="auto"/>
          <w:highlight w:val="none"/>
        </w:rPr>
        <w:fldChar w:fldCharType="begin"/>
      </w:r>
      <w:r>
        <w:rPr>
          <w:color w:val="auto"/>
          <w:highlight w:val="none"/>
        </w:rPr>
        <w:instrText xml:space="preserve"> PAGEREF _Toc22962 \h </w:instrText>
      </w:r>
      <w:r>
        <w:rPr>
          <w:color w:val="auto"/>
          <w:highlight w:val="none"/>
        </w:rPr>
        <w:fldChar w:fldCharType="separate"/>
      </w:r>
      <w:r>
        <w:rPr>
          <w:color w:val="auto"/>
          <w:highlight w:val="none"/>
        </w:rPr>
        <w:t>159</w:t>
      </w:r>
      <w:r>
        <w:rPr>
          <w:color w:val="auto"/>
          <w:highlight w:val="none"/>
        </w:rPr>
        <w:fldChar w:fldCharType="end"/>
      </w:r>
      <w:r>
        <w:rPr>
          <w:rFonts w:hint="eastAsia" w:ascii="仿宋" w:hAnsi="仿宋" w:eastAsia="仿宋" w:cs="仿宋"/>
          <w:color w:val="auto"/>
          <w:highlight w:val="none"/>
        </w:rPr>
        <w:fldChar w:fldCharType="end"/>
      </w:r>
    </w:p>
    <w:p w14:paraId="638B85A6">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_Toc12589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(六）其他要求的证明材料</w:t>
      </w:r>
      <w:r>
        <w:rPr>
          <w:color w:val="auto"/>
          <w:highlight w:val="none"/>
        </w:rPr>
        <w:tab/>
      </w:r>
      <w:r>
        <w:rPr>
          <w:color w:val="auto"/>
          <w:highlight w:val="none"/>
        </w:rPr>
        <w:fldChar w:fldCharType="begin"/>
      </w:r>
      <w:r>
        <w:rPr>
          <w:color w:val="auto"/>
          <w:highlight w:val="none"/>
        </w:rPr>
        <w:instrText xml:space="preserve"> PAGEREF _Toc12589 \h </w:instrText>
      </w:r>
      <w:r>
        <w:rPr>
          <w:color w:val="auto"/>
          <w:highlight w:val="none"/>
        </w:rPr>
        <w:fldChar w:fldCharType="separate"/>
      </w:r>
      <w:r>
        <w:rPr>
          <w:color w:val="auto"/>
          <w:highlight w:val="none"/>
        </w:rPr>
        <w:t>160</w:t>
      </w:r>
      <w:r>
        <w:rPr>
          <w:color w:val="auto"/>
          <w:highlight w:val="none"/>
        </w:rPr>
        <w:fldChar w:fldCharType="end"/>
      </w:r>
      <w:r>
        <w:rPr>
          <w:rFonts w:hint="eastAsia" w:ascii="仿宋" w:hAnsi="仿宋" w:eastAsia="仿宋" w:cs="仿宋"/>
          <w:color w:val="auto"/>
          <w:highlight w:val="none"/>
        </w:rPr>
        <w:fldChar w:fldCharType="end"/>
      </w:r>
    </w:p>
    <w:p w14:paraId="739D81C7">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_Toc14629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lang w:val="en-US" w:eastAsia="zh-CN"/>
        </w:rPr>
        <w:t>八、</w:t>
      </w:r>
      <w:r>
        <w:rPr>
          <w:rFonts w:hint="eastAsia" w:ascii="仿宋" w:hAnsi="仿宋" w:eastAsia="仿宋" w:cs="仿宋"/>
          <w:bCs/>
          <w:color w:val="auto"/>
          <w:szCs w:val="28"/>
          <w:highlight w:val="none"/>
        </w:rPr>
        <w:t>其他资料</w:t>
      </w:r>
      <w:r>
        <w:rPr>
          <w:color w:val="auto"/>
          <w:highlight w:val="none"/>
        </w:rPr>
        <w:tab/>
      </w:r>
      <w:r>
        <w:rPr>
          <w:color w:val="auto"/>
          <w:highlight w:val="none"/>
        </w:rPr>
        <w:fldChar w:fldCharType="begin"/>
      </w:r>
      <w:r>
        <w:rPr>
          <w:color w:val="auto"/>
          <w:highlight w:val="none"/>
        </w:rPr>
        <w:instrText xml:space="preserve"> PAGEREF _Toc14629 \h </w:instrText>
      </w:r>
      <w:r>
        <w:rPr>
          <w:color w:val="auto"/>
          <w:highlight w:val="none"/>
        </w:rPr>
        <w:fldChar w:fldCharType="separate"/>
      </w:r>
      <w:r>
        <w:rPr>
          <w:color w:val="auto"/>
          <w:highlight w:val="none"/>
        </w:rPr>
        <w:t>163</w:t>
      </w:r>
      <w:r>
        <w:rPr>
          <w:color w:val="auto"/>
          <w:highlight w:val="none"/>
        </w:rPr>
        <w:fldChar w:fldCharType="end"/>
      </w:r>
      <w:r>
        <w:rPr>
          <w:rFonts w:hint="eastAsia" w:ascii="仿宋" w:hAnsi="仿宋" w:eastAsia="仿宋" w:cs="仿宋"/>
          <w:color w:val="auto"/>
          <w:highlight w:val="none"/>
        </w:rPr>
        <w:fldChar w:fldCharType="end"/>
      </w:r>
    </w:p>
    <w:p w14:paraId="0F6877D5">
      <w:pPr>
        <w:pStyle w:val="21"/>
        <w:tabs>
          <w:tab w:val="right" w:leader="dot" w:pos="8820"/>
        </w:tabs>
        <w:spacing w:line="400" w:lineRule="exact"/>
        <w:rPr>
          <w:color w:val="auto"/>
          <w:sz w:val="18"/>
          <w:szCs w:val="18"/>
          <w:highlight w:val="none"/>
        </w:rPr>
      </w:pPr>
      <w:r>
        <w:rPr>
          <w:rFonts w:hint="eastAsia" w:ascii="仿宋" w:hAnsi="仿宋" w:eastAsia="仿宋" w:cs="仿宋"/>
          <w:color w:val="auto"/>
          <w:highlight w:val="none"/>
        </w:rPr>
        <w:fldChar w:fldCharType="end"/>
      </w:r>
    </w:p>
    <w:p w14:paraId="485E5723">
      <w:pPr>
        <w:rPr>
          <w:color w:val="auto"/>
          <w:highlight w:val="none"/>
        </w:rPr>
      </w:pPr>
      <w:bookmarkStart w:id="26" w:name="_Toc9914"/>
      <w:bookmarkStart w:id="27" w:name="_Toc25921"/>
      <w:bookmarkStart w:id="28" w:name="_Toc10371"/>
    </w:p>
    <w:p w14:paraId="7E7640F9">
      <w:pPr>
        <w:jc w:val="left"/>
        <w:rPr>
          <w:color w:val="auto"/>
          <w:highlight w:val="none"/>
        </w:rPr>
        <w:sectPr>
          <w:footerReference r:id="rId7" w:type="first"/>
          <w:footerReference r:id="rId6" w:type="default"/>
          <w:pgSz w:w="11906" w:h="16838"/>
          <w:pgMar w:top="1418" w:right="1555" w:bottom="1418" w:left="1531" w:header="851" w:footer="992" w:gutter="0"/>
          <w:pgNumType w:fmt="decimal" w:start="1"/>
          <w:cols w:space="720" w:num="1"/>
          <w:titlePg/>
          <w:docGrid w:type="lines" w:linePitch="312" w:charSpace="0"/>
        </w:sectPr>
      </w:pPr>
      <w:bookmarkStart w:id="29" w:name="_Toc14605"/>
    </w:p>
    <w:p w14:paraId="4C72EC6F">
      <w:pPr>
        <w:jc w:val="left"/>
        <w:rPr>
          <w:color w:val="auto"/>
          <w:highlight w:val="none"/>
        </w:rPr>
      </w:pPr>
    </w:p>
    <w:p w14:paraId="2654F3A8">
      <w:pPr>
        <w:jc w:val="left"/>
        <w:rPr>
          <w:color w:val="auto"/>
          <w:highlight w:val="none"/>
        </w:rPr>
      </w:pPr>
    </w:p>
    <w:p w14:paraId="385FD882">
      <w:pPr>
        <w:jc w:val="left"/>
        <w:rPr>
          <w:color w:val="auto"/>
          <w:highlight w:val="none"/>
        </w:rPr>
      </w:pPr>
    </w:p>
    <w:p w14:paraId="4255F3A9">
      <w:pPr>
        <w:jc w:val="left"/>
        <w:rPr>
          <w:color w:val="auto"/>
          <w:highlight w:val="none"/>
        </w:rPr>
      </w:pPr>
    </w:p>
    <w:p w14:paraId="166532CE">
      <w:pPr>
        <w:jc w:val="left"/>
        <w:rPr>
          <w:color w:val="auto"/>
          <w:highlight w:val="none"/>
        </w:rPr>
      </w:pPr>
    </w:p>
    <w:p w14:paraId="6489E669">
      <w:pPr>
        <w:jc w:val="left"/>
        <w:rPr>
          <w:color w:val="auto"/>
          <w:highlight w:val="none"/>
        </w:rPr>
      </w:pPr>
    </w:p>
    <w:p w14:paraId="68F0C538">
      <w:pPr>
        <w:jc w:val="left"/>
        <w:rPr>
          <w:color w:val="auto"/>
          <w:highlight w:val="none"/>
        </w:rPr>
      </w:pPr>
    </w:p>
    <w:p w14:paraId="33D3B44E">
      <w:pPr>
        <w:jc w:val="left"/>
        <w:rPr>
          <w:color w:val="auto"/>
          <w:highlight w:val="none"/>
        </w:rPr>
      </w:pPr>
    </w:p>
    <w:p w14:paraId="324EE76C">
      <w:pPr>
        <w:jc w:val="left"/>
        <w:rPr>
          <w:color w:val="auto"/>
          <w:highlight w:val="none"/>
        </w:rPr>
      </w:pPr>
    </w:p>
    <w:p w14:paraId="4BD149D9">
      <w:pPr>
        <w:jc w:val="left"/>
        <w:rPr>
          <w:color w:val="auto"/>
          <w:highlight w:val="none"/>
        </w:rPr>
      </w:pPr>
    </w:p>
    <w:p w14:paraId="3CFB3388">
      <w:pPr>
        <w:jc w:val="left"/>
        <w:rPr>
          <w:color w:val="auto"/>
          <w:highlight w:val="none"/>
        </w:rPr>
      </w:pPr>
    </w:p>
    <w:p w14:paraId="6BFFDD89">
      <w:pPr>
        <w:jc w:val="left"/>
        <w:rPr>
          <w:color w:val="auto"/>
          <w:highlight w:val="none"/>
        </w:rPr>
      </w:pPr>
    </w:p>
    <w:p w14:paraId="14380974">
      <w:pPr>
        <w:jc w:val="left"/>
        <w:rPr>
          <w:color w:val="auto"/>
          <w:highlight w:val="none"/>
        </w:rPr>
      </w:pPr>
    </w:p>
    <w:p w14:paraId="1A5979EC">
      <w:pPr>
        <w:jc w:val="left"/>
        <w:rPr>
          <w:color w:val="auto"/>
          <w:highlight w:val="none"/>
        </w:rPr>
      </w:pPr>
    </w:p>
    <w:p w14:paraId="48F44364">
      <w:pPr>
        <w:jc w:val="left"/>
        <w:rPr>
          <w:color w:val="auto"/>
          <w:highlight w:val="none"/>
        </w:rPr>
      </w:pPr>
    </w:p>
    <w:p w14:paraId="4E8F8F0A">
      <w:pPr>
        <w:jc w:val="left"/>
        <w:rPr>
          <w:color w:val="auto"/>
          <w:highlight w:val="none"/>
        </w:rPr>
      </w:pPr>
    </w:p>
    <w:p w14:paraId="7F4B0427">
      <w:pPr>
        <w:jc w:val="left"/>
        <w:rPr>
          <w:color w:val="auto"/>
          <w:highlight w:val="none"/>
        </w:rPr>
      </w:pPr>
    </w:p>
    <w:p w14:paraId="490D115D">
      <w:pPr>
        <w:jc w:val="left"/>
        <w:rPr>
          <w:color w:val="auto"/>
          <w:highlight w:val="none"/>
        </w:rPr>
      </w:pPr>
    </w:p>
    <w:p w14:paraId="1A8091FD">
      <w:pPr>
        <w:jc w:val="center"/>
        <w:outlineLvl w:val="0"/>
        <w:rPr>
          <w:rFonts w:eastAsia="黑体"/>
          <w:color w:val="auto"/>
          <w:sz w:val="52"/>
          <w:szCs w:val="52"/>
          <w:highlight w:val="none"/>
        </w:rPr>
      </w:pPr>
      <w:bookmarkStart w:id="30" w:name="_Toc29474"/>
      <w:bookmarkStart w:id="31" w:name="_Toc11224"/>
      <w:bookmarkStart w:id="32" w:name="_Toc4583"/>
      <w:bookmarkStart w:id="33" w:name="_Toc20626"/>
      <w:bookmarkStart w:id="34" w:name="_Toc18887"/>
      <w:bookmarkStart w:id="35" w:name="_Toc25322"/>
      <w:bookmarkStart w:id="36" w:name="_Toc14255"/>
      <w:bookmarkStart w:id="37" w:name="_Toc8276"/>
      <w:bookmarkStart w:id="38" w:name="_Toc12388"/>
      <w:bookmarkStart w:id="39" w:name="_Toc21235"/>
      <w:bookmarkStart w:id="40" w:name="_Toc12377"/>
      <w:bookmarkStart w:id="41" w:name="_Toc5860"/>
      <w:r>
        <w:rPr>
          <w:rFonts w:eastAsia="黑体"/>
          <w:color w:val="auto"/>
          <w:sz w:val="52"/>
          <w:szCs w:val="52"/>
          <w:highlight w:val="none"/>
        </w:rPr>
        <w:t>第一卷</w:t>
      </w:r>
      <w:bookmarkEnd w:id="29"/>
      <w:bookmarkEnd w:id="30"/>
      <w:bookmarkEnd w:id="31"/>
      <w:bookmarkEnd w:id="32"/>
      <w:bookmarkEnd w:id="33"/>
      <w:bookmarkEnd w:id="34"/>
      <w:bookmarkEnd w:id="35"/>
      <w:bookmarkEnd w:id="36"/>
      <w:bookmarkEnd w:id="37"/>
      <w:bookmarkEnd w:id="38"/>
      <w:bookmarkEnd w:id="39"/>
      <w:bookmarkEnd w:id="40"/>
      <w:bookmarkEnd w:id="41"/>
    </w:p>
    <w:p w14:paraId="634941D2">
      <w:pPr>
        <w:ind w:firstLine="435"/>
        <w:jc w:val="center"/>
        <w:outlineLvl w:val="9"/>
        <w:rPr>
          <w:rFonts w:eastAsia="黑体"/>
          <w:color w:val="auto"/>
          <w:sz w:val="32"/>
          <w:szCs w:val="32"/>
          <w:highlight w:val="none"/>
        </w:rPr>
      </w:pPr>
      <w:r>
        <w:rPr>
          <w:rFonts w:eastAsia="黑体"/>
          <w:color w:val="auto"/>
          <w:sz w:val="32"/>
          <w:szCs w:val="32"/>
          <w:highlight w:val="none"/>
        </w:rPr>
        <w:br w:type="page"/>
      </w:r>
      <w:bookmarkStart w:id="42" w:name="_Toc26593"/>
      <w:bookmarkStart w:id="43" w:name="_Toc28404"/>
      <w:bookmarkStart w:id="44" w:name="_Toc25799"/>
      <w:bookmarkStart w:id="45" w:name="_Toc1866"/>
      <w:bookmarkStart w:id="46" w:name="_Toc18910"/>
      <w:bookmarkStart w:id="47" w:name="_Toc4457"/>
      <w:bookmarkStart w:id="48" w:name="_Toc28098"/>
      <w:bookmarkStart w:id="49" w:name="_Toc13755"/>
      <w:bookmarkStart w:id="50" w:name="_Toc11752"/>
      <w:bookmarkStart w:id="51" w:name="_Toc9739"/>
      <w:bookmarkStart w:id="52" w:name="_Toc27686"/>
      <w:bookmarkStart w:id="53" w:name="_Toc1700"/>
    </w:p>
    <w:p w14:paraId="4DE6591A">
      <w:pPr>
        <w:ind w:firstLine="435"/>
        <w:jc w:val="center"/>
        <w:outlineLvl w:val="9"/>
        <w:rPr>
          <w:rFonts w:eastAsia="黑体"/>
          <w:color w:val="auto"/>
          <w:sz w:val="32"/>
          <w:szCs w:val="32"/>
          <w:highlight w:val="none"/>
        </w:rPr>
      </w:pPr>
    </w:p>
    <w:p w14:paraId="2D7EBF6C">
      <w:pPr>
        <w:ind w:firstLine="435"/>
        <w:jc w:val="center"/>
        <w:outlineLvl w:val="9"/>
        <w:rPr>
          <w:rFonts w:eastAsia="黑体"/>
          <w:color w:val="auto"/>
          <w:sz w:val="32"/>
          <w:szCs w:val="32"/>
          <w:highlight w:val="none"/>
        </w:rPr>
      </w:pPr>
    </w:p>
    <w:p w14:paraId="5D03AFBA">
      <w:pPr>
        <w:ind w:firstLine="435"/>
        <w:jc w:val="center"/>
        <w:outlineLvl w:val="0"/>
        <w:rPr>
          <w:rFonts w:eastAsia="黑体"/>
          <w:color w:val="auto"/>
          <w:sz w:val="52"/>
          <w:szCs w:val="52"/>
          <w:highlight w:val="none"/>
        </w:rPr>
      </w:pPr>
      <w:bookmarkStart w:id="54" w:name="_Toc26111"/>
      <w:r>
        <w:rPr>
          <w:rFonts w:eastAsia="黑体"/>
          <w:color w:val="auto"/>
          <w:sz w:val="52"/>
          <w:szCs w:val="52"/>
          <w:highlight w:val="none"/>
        </w:rPr>
        <w:t>第一章  招标公告</w:t>
      </w:r>
      <w:bookmarkEnd w:id="42"/>
      <w:bookmarkEnd w:id="43"/>
      <w:bookmarkEnd w:id="44"/>
      <w:bookmarkEnd w:id="45"/>
      <w:bookmarkEnd w:id="46"/>
      <w:bookmarkEnd w:id="47"/>
      <w:bookmarkEnd w:id="48"/>
      <w:bookmarkEnd w:id="49"/>
      <w:bookmarkEnd w:id="50"/>
      <w:bookmarkEnd w:id="51"/>
      <w:bookmarkEnd w:id="52"/>
      <w:bookmarkEnd w:id="53"/>
      <w:bookmarkEnd w:id="54"/>
    </w:p>
    <w:p w14:paraId="65BACF61">
      <w:pPr>
        <w:spacing w:line="360" w:lineRule="auto"/>
        <w:ind w:firstLine="840" w:firstLineChars="400"/>
        <w:jc w:val="center"/>
        <w:rPr>
          <w:rFonts w:hint="eastAsia" w:ascii="仿宋" w:hAnsi="仿宋" w:eastAsia="仿宋" w:cs="仿宋"/>
          <w:b/>
          <w:bCs/>
          <w:color w:val="auto"/>
          <w:sz w:val="36"/>
          <w:szCs w:val="36"/>
          <w:highlight w:val="none"/>
          <w:lang w:eastAsia="zh-CN"/>
        </w:rPr>
      </w:pPr>
      <w:bookmarkStart w:id="55" w:name="OLE_LINK6"/>
      <w:r>
        <w:rPr>
          <w:rFonts w:ascii="Times New Roman" w:hAnsi="Times New Roman" w:eastAsia="黑体" w:cs="Times New Roman"/>
          <w:color w:val="auto"/>
          <w:highlight w:val="none"/>
          <w:u w:val="single"/>
        </w:rPr>
        <w:br w:type="page"/>
      </w:r>
      <w:bookmarkEnd w:id="55"/>
      <w:r>
        <w:rPr>
          <w:rFonts w:hint="eastAsia" w:ascii="仿宋" w:hAnsi="仿宋" w:eastAsia="仿宋" w:cs="仿宋"/>
          <w:b/>
          <w:bCs/>
          <w:color w:val="auto"/>
          <w:sz w:val="36"/>
          <w:szCs w:val="36"/>
          <w:highlight w:val="none"/>
          <w:lang w:eastAsia="zh-CN"/>
        </w:rPr>
        <w:t>驻马店市中医院病房改造及能力提升项目</w:t>
      </w:r>
    </w:p>
    <w:p w14:paraId="61F1A8B3">
      <w:pPr>
        <w:spacing w:line="360" w:lineRule="auto"/>
        <w:ind w:firstLine="3975" w:firstLineChars="1100"/>
        <w:jc w:val="both"/>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t>招标公告</w:t>
      </w:r>
    </w:p>
    <w:p w14:paraId="51DA881A">
      <w:pPr>
        <w:spacing w:line="240" w:lineRule="auto"/>
        <w:ind w:firstLine="0" w:firstLineChars="0"/>
        <w:jc w:val="center"/>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28"/>
          <w:szCs w:val="28"/>
          <w:highlight w:val="none"/>
          <w:lang w:val="en-US" w:eastAsia="zh-CN"/>
        </w:rPr>
        <w:t>项目编号：ZMD2026-034</w:t>
      </w:r>
    </w:p>
    <w:p w14:paraId="4BD0044E">
      <w:pPr>
        <w:spacing w:before="156" w:beforeLines="50" w:after="156" w:afterLines="5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1.招标条件</w:t>
      </w:r>
    </w:p>
    <w:p w14:paraId="05BED7EB">
      <w:pPr>
        <w:keepNext w:val="0"/>
        <w:keepLines w:val="0"/>
        <w:pageBreakBefore w:val="0"/>
        <w:widowControl w:val="0"/>
        <w:kinsoku/>
        <w:wordWrap/>
        <w:overflowPunct/>
        <w:topLinePunct w:val="0"/>
        <w:autoSpaceDE/>
        <w:autoSpaceDN/>
        <w:bidi w:val="0"/>
        <w:adjustRightInd/>
        <w:snapToGrid/>
        <w:spacing w:before="156" w:beforeLines="50" w:after="156" w:afterLines="50" w:line="48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本招标项目驻马店市中医院病房改造及能力提升项目已由驻马店市发展和改革委员会以驻发改审批〔2025〕70号文批准建设，投资项目在线审批监管统一代码：2505-411700-04-02-768049，招标人为驻马店市中医院，建设资金来自</w:t>
      </w:r>
      <w:r>
        <w:rPr>
          <w:rFonts w:hint="eastAsia" w:ascii="仿宋" w:hAnsi="仿宋" w:eastAsia="仿宋" w:cs="仿宋"/>
          <w:color w:val="auto"/>
          <w:kern w:val="2"/>
          <w:sz w:val="24"/>
          <w:szCs w:val="24"/>
          <w:highlight w:val="none"/>
          <w:u w:val="single"/>
          <w:lang w:val="en-US" w:eastAsia="zh-CN" w:bidi="ar-SA"/>
        </w:rPr>
        <w:t>上级政府投资和地方配套及单位自筹解决（已落实）</w:t>
      </w:r>
      <w:r>
        <w:rPr>
          <w:rFonts w:hint="eastAsia" w:ascii="仿宋" w:hAnsi="仿宋" w:eastAsia="仿宋" w:cs="仿宋"/>
          <w:color w:val="auto"/>
          <w:kern w:val="2"/>
          <w:sz w:val="24"/>
          <w:szCs w:val="24"/>
          <w:highlight w:val="none"/>
          <w:lang w:val="en-US" w:eastAsia="zh-CN" w:bidi="ar-SA"/>
        </w:rPr>
        <w:t>，项目出资比例为100%。项目已具备招标条件，现对该项目进行公开招标。</w:t>
      </w:r>
    </w:p>
    <w:p w14:paraId="5649C928">
      <w:pPr>
        <w:spacing w:before="156" w:beforeLines="50" w:after="156" w:afterLines="5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2.项目概况与招标范围</w:t>
      </w:r>
    </w:p>
    <w:p w14:paraId="24902C13">
      <w:pPr>
        <w:pStyle w:val="23"/>
        <w:spacing w:line="360" w:lineRule="auto"/>
        <w:ind w:firstLine="420"/>
        <w:jc w:val="both"/>
        <w:rPr>
          <w:rFonts w:hint="eastAsia" w:ascii="仿宋" w:hAnsi="仿宋" w:eastAsia="仿宋" w:cs="仿宋"/>
          <w:color w:val="auto"/>
          <w:kern w:val="2"/>
          <w:szCs w:val="24"/>
          <w:highlight w:val="none"/>
          <w:lang w:val="en-US" w:bidi="ar-SA"/>
        </w:rPr>
      </w:pPr>
      <w:r>
        <w:rPr>
          <w:rFonts w:hint="eastAsia" w:ascii="仿宋" w:hAnsi="仿宋" w:eastAsia="仿宋" w:cs="仿宋"/>
          <w:color w:val="auto"/>
          <w:szCs w:val="24"/>
          <w:highlight w:val="none"/>
        </w:rPr>
        <w:t>2</w:t>
      </w:r>
      <w:r>
        <w:rPr>
          <w:rFonts w:hint="eastAsia" w:ascii="仿宋" w:hAnsi="仿宋" w:eastAsia="仿宋" w:cs="仿宋"/>
          <w:color w:val="auto"/>
          <w:kern w:val="2"/>
          <w:szCs w:val="24"/>
          <w:highlight w:val="none"/>
          <w:lang w:val="en-US" w:bidi="ar-SA"/>
        </w:rPr>
        <w:t>.1项目名称：</w:t>
      </w:r>
      <w:r>
        <w:rPr>
          <w:rFonts w:hint="eastAsia" w:ascii="仿宋" w:hAnsi="仿宋" w:eastAsia="仿宋" w:cs="仿宋"/>
          <w:color w:val="auto"/>
          <w:kern w:val="2"/>
          <w:szCs w:val="24"/>
          <w:highlight w:val="none"/>
          <w:lang w:val="en-US" w:eastAsia="zh-CN" w:bidi="ar-SA"/>
        </w:rPr>
        <w:t>驻马店市中医院病房改造及能力提升项目</w:t>
      </w:r>
    </w:p>
    <w:p w14:paraId="45FAB87F">
      <w:pPr>
        <w:pStyle w:val="23"/>
        <w:spacing w:line="360" w:lineRule="auto"/>
        <w:ind w:firstLine="420"/>
        <w:jc w:val="both"/>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2.2项目编号：ZMD2026-034 </w:t>
      </w:r>
    </w:p>
    <w:p w14:paraId="0B61CEA3">
      <w:pPr>
        <w:pStyle w:val="23"/>
        <w:spacing w:line="360" w:lineRule="auto"/>
        <w:ind w:firstLine="420"/>
        <w:jc w:val="both"/>
        <w:rPr>
          <w:rFonts w:hint="eastAsia" w:ascii="仿宋" w:hAnsi="仿宋" w:eastAsia="仿宋" w:cs="仿宋"/>
          <w:color w:val="auto"/>
          <w:szCs w:val="24"/>
          <w:highlight w:val="none"/>
          <w:lang w:val="en-US" w:eastAsia="zh-CN"/>
        </w:rPr>
      </w:pPr>
      <w:r>
        <w:rPr>
          <w:rFonts w:hint="eastAsia" w:ascii="仿宋" w:hAnsi="仿宋" w:eastAsia="仿宋" w:cs="仿宋"/>
          <w:color w:val="auto"/>
          <w:kern w:val="0"/>
          <w:sz w:val="24"/>
          <w:szCs w:val="24"/>
          <w:highlight w:val="none"/>
          <w:lang w:val="zh-CN" w:eastAsia="zh-CN" w:bidi="zh-CN"/>
        </w:rPr>
        <w:t>2.3</w:t>
      </w:r>
      <w:r>
        <w:rPr>
          <w:rFonts w:hint="eastAsia" w:ascii="仿宋" w:hAnsi="仿宋" w:eastAsia="仿宋" w:cs="仿宋"/>
          <w:color w:val="auto"/>
          <w:kern w:val="0"/>
          <w:sz w:val="24"/>
          <w:szCs w:val="24"/>
          <w:highlight w:val="none"/>
          <w:lang w:val="en-US" w:eastAsia="zh-CN" w:bidi="zh-CN"/>
        </w:rPr>
        <w:t>建设规模及内容：</w:t>
      </w:r>
      <w:r>
        <w:rPr>
          <w:rFonts w:hint="eastAsia" w:ascii="仿宋" w:hAnsi="仿宋" w:eastAsia="仿宋" w:cs="仿宋"/>
          <w:color w:val="auto"/>
          <w:kern w:val="2"/>
          <w:szCs w:val="24"/>
          <w:highlight w:val="none"/>
          <w:lang w:val="en-US" w:eastAsia="zh-CN" w:bidi="ar-SA"/>
        </w:rPr>
        <w:t>驻马店市中医院病房改造及能力提升项目</w:t>
      </w:r>
      <w:r>
        <w:rPr>
          <w:rFonts w:hint="eastAsia" w:ascii="仿宋" w:hAnsi="仿宋" w:eastAsia="仿宋" w:cs="仿宋"/>
          <w:color w:val="auto"/>
          <w:kern w:val="0"/>
          <w:sz w:val="24"/>
          <w:szCs w:val="24"/>
          <w:highlight w:val="none"/>
          <w:lang w:val="en-US" w:eastAsia="zh-CN" w:bidi="zh-CN"/>
        </w:rPr>
        <w:t>对院区内的外科楼、内科楼、老门诊楼、儿科综合楼等区域进行改造升级，改造总建筑面积26800.00㎡。主要包括:将部分病房由四人间改造成二人间或三人间病房；卫生间提升改造，公共卫生间增设无障碍设施；消防设施改造和整体环境改造；配电盘改造；污水处理设备提升改造；电梯更新改造；中央空调升级改造；护士站改造；地下水网改造；墙面升级改造；更换门窗；PVC地板升级改造；安装紧急呼叫系统等。</w:t>
      </w:r>
    </w:p>
    <w:p w14:paraId="48B45EE9">
      <w:pPr>
        <w:pStyle w:val="23"/>
        <w:spacing w:line="360" w:lineRule="auto"/>
        <w:ind w:firstLine="420"/>
        <w:jc w:val="both"/>
        <w:rPr>
          <w:rFonts w:hint="eastAsia" w:ascii="仿宋" w:hAnsi="仿宋" w:eastAsia="仿宋" w:cs="仿宋"/>
          <w:color w:val="auto"/>
          <w:kern w:val="0"/>
          <w:sz w:val="24"/>
          <w:szCs w:val="24"/>
          <w:highlight w:val="none"/>
          <w:lang w:val="zh-CN" w:eastAsia="zh-CN" w:bidi="zh-CN"/>
        </w:rPr>
      </w:pPr>
      <w:r>
        <w:rPr>
          <w:rFonts w:hint="eastAsia" w:ascii="仿宋" w:hAnsi="仿宋" w:eastAsia="仿宋" w:cs="仿宋"/>
          <w:color w:val="auto"/>
          <w:kern w:val="0"/>
          <w:sz w:val="24"/>
          <w:szCs w:val="24"/>
          <w:highlight w:val="none"/>
          <w:lang w:val="en-US" w:eastAsia="zh-CN" w:bidi="zh-CN"/>
        </w:rPr>
        <w:t xml:space="preserve">2.4 </w:t>
      </w:r>
      <w:r>
        <w:rPr>
          <w:rFonts w:hint="eastAsia" w:ascii="仿宋" w:hAnsi="仿宋" w:eastAsia="仿宋" w:cs="仿宋"/>
          <w:color w:val="auto"/>
          <w:kern w:val="0"/>
          <w:sz w:val="24"/>
          <w:szCs w:val="24"/>
          <w:highlight w:val="none"/>
          <w:lang w:val="zh-CN" w:eastAsia="zh-CN" w:bidi="zh-CN"/>
        </w:rPr>
        <w:t>建设地点：驻马店市中医院</w:t>
      </w:r>
    </w:p>
    <w:p w14:paraId="74629A89">
      <w:pPr>
        <w:pStyle w:val="23"/>
        <w:spacing w:line="360" w:lineRule="auto"/>
        <w:ind w:firstLine="420"/>
        <w:jc w:val="both"/>
        <w:rPr>
          <w:rFonts w:hint="eastAsia" w:ascii="仿宋" w:hAnsi="仿宋" w:eastAsia="仿宋" w:cs="仿宋"/>
          <w:color w:val="auto"/>
          <w:kern w:val="0"/>
          <w:sz w:val="24"/>
          <w:szCs w:val="24"/>
          <w:highlight w:val="none"/>
          <w:lang w:val="zh-CN" w:eastAsia="zh-CN" w:bidi="zh-CN"/>
        </w:rPr>
      </w:pPr>
      <w:r>
        <w:rPr>
          <w:rFonts w:hint="eastAsia" w:ascii="仿宋" w:hAnsi="仿宋" w:eastAsia="仿宋" w:cs="仿宋"/>
          <w:color w:val="auto"/>
          <w:kern w:val="0"/>
          <w:sz w:val="24"/>
          <w:szCs w:val="24"/>
          <w:highlight w:val="none"/>
          <w:lang w:val="zh-CN" w:eastAsia="zh-CN" w:bidi="zh-CN"/>
        </w:rPr>
        <w:t>2.</w:t>
      </w:r>
      <w:r>
        <w:rPr>
          <w:rFonts w:hint="eastAsia" w:ascii="仿宋" w:hAnsi="仿宋" w:eastAsia="仿宋" w:cs="仿宋"/>
          <w:color w:val="auto"/>
          <w:kern w:val="0"/>
          <w:sz w:val="24"/>
          <w:szCs w:val="24"/>
          <w:highlight w:val="none"/>
          <w:lang w:val="en-US" w:eastAsia="zh-CN" w:bidi="zh-CN"/>
        </w:rPr>
        <w:t>5</w:t>
      </w:r>
      <w:r>
        <w:rPr>
          <w:rFonts w:hint="eastAsia" w:ascii="仿宋" w:hAnsi="仿宋" w:eastAsia="仿宋" w:cs="仿宋"/>
          <w:color w:val="auto"/>
          <w:kern w:val="0"/>
          <w:sz w:val="24"/>
          <w:szCs w:val="24"/>
          <w:highlight w:val="none"/>
          <w:lang w:val="zh-CN" w:eastAsia="zh-CN" w:bidi="zh-CN"/>
        </w:rPr>
        <w:t>最高投标限价：</w:t>
      </w:r>
    </w:p>
    <w:p w14:paraId="19D8B52F">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1标段：11076522.08元</w:t>
      </w:r>
    </w:p>
    <w:p w14:paraId="4D743550">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2标段：7516517.25元</w:t>
      </w:r>
    </w:p>
    <w:p w14:paraId="1629539B">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3标段：8655965.59元</w:t>
      </w:r>
    </w:p>
    <w:p w14:paraId="268A2D8F">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4标段：5073968.33元</w:t>
      </w:r>
    </w:p>
    <w:p w14:paraId="59FEF7FE">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5标段：5711646.99元</w:t>
      </w:r>
    </w:p>
    <w:p w14:paraId="68938C77">
      <w:pPr>
        <w:spacing w:line="360" w:lineRule="auto"/>
        <w:ind w:firstLine="420"/>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2.</w:t>
      </w:r>
      <w:r>
        <w:rPr>
          <w:rFonts w:hint="eastAsia" w:ascii="仿宋" w:hAnsi="仿宋" w:eastAsia="仿宋" w:cs="仿宋"/>
          <w:b w:val="0"/>
          <w:bCs w:val="0"/>
          <w:color w:val="auto"/>
          <w:sz w:val="24"/>
          <w:highlight w:val="none"/>
          <w:lang w:val="en-US" w:eastAsia="zh-CN"/>
        </w:rPr>
        <w:t>6</w:t>
      </w:r>
      <w:r>
        <w:rPr>
          <w:rFonts w:hint="eastAsia" w:ascii="仿宋" w:hAnsi="仿宋" w:eastAsia="仿宋" w:cs="仿宋"/>
          <w:b w:val="0"/>
          <w:bCs w:val="0"/>
          <w:color w:val="auto"/>
          <w:sz w:val="24"/>
          <w:highlight w:val="none"/>
        </w:rPr>
        <w:t>招标范围：</w:t>
      </w:r>
    </w:p>
    <w:p w14:paraId="708AE4ED">
      <w:pPr>
        <w:spacing w:line="360" w:lineRule="auto"/>
        <w:ind w:firstLine="42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1标段（康复楼、外科楼、污水处理楼改造）：工程量清单、施工图纸设计范围内及招标文件中所有内容。</w:t>
      </w:r>
    </w:p>
    <w:p w14:paraId="18843A9E">
      <w:pPr>
        <w:spacing w:line="360" w:lineRule="auto"/>
        <w:ind w:firstLine="42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2标段（老门诊楼、儿科病房综合楼、急诊楼、放射楼、院内管网和沥青路面改造）:工程量清单、施工图纸设计范围内及招标文件中所有内容。</w:t>
      </w:r>
    </w:p>
    <w:p w14:paraId="17778A36">
      <w:pPr>
        <w:pStyle w:val="23"/>
        <w:spacing w:line="360" w:lineRule="auto"/>
        <w:ind w:firstLine="420"/>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Cs w:val="24"/>
          <w:highlight w:val="none"/>
          <w:lang w:val="en-US" w:eastAsia="zh-CN"/>
        </w:rPr>
        <w:t>3标段（内科楼和体检楼改造）：</w:t>
      </w:r>
      <w:r>
        <w:rPr>
          <w:rFonts w:hint="eastAsia" w:ascii="仿宋" w:hAnsi="仿宋" w:eastAsia="仿宋" w:cs="仿宋"/>
          <w:color w:val="auto"/>
          <w:sz w:val="24"/>
          <w:highlight w:val="none"/>
          <w:lang w:val="en-US" w:eastAsia="zh-CN"/>
        </w:rPr>
        <w:t>工程量清单、施工图纸设计范围内及招标文件中所有内容。</w:t>
      </w:r>
    </w:p>
    <w:p w14:paraId="25B06BE0">
      <w:pPr>
        <w:widowControl/>
        <w:spacing w:line="360" w:lineRule="auto"/>
        <w:ind w:firstLine="480" w:firstLineChars="200"/>
        <w:jc w:val="left"/>
        <w:rPr>
          <w:rFonts w:hint="eastAsia" w:ascii="宋体" w:hAnsi="宋体" w:cs="宋体"/>
          <w:color w:val="auto"/>
          <w:szCs w:val="21"/>
          <w:highlight w:val="none"/>
        </w:rPr>
      </w:pPr>
      <w:r>
        <w:rPr>
          <w:rFonts w:hint="eastAsia" w:ascii="仿宋" w:hAnsi="仿宋" w:eastAsia="仿宋" w:cs="仿宋"/>
          <w:color w:val="auto"/>
          <w:kern w:val="0"/>
          <w:sz w:val="24"/>
          <w:szCs w:val="24"/>
          <w:highlight w:val="none"/>
          <w:lang w:val="en-US" w:eastAsia="zh-CN" w:bidi="zh-CN"/>
        </w:rPr>
        <w:t>4标段（高效磁悬浮离心式机组）（专业工程暂估价）： 包含设备及相关材料的采购等内容，并按规范、规定完成各项验收、试运行、项目移交及竣工备案、保修责任期的技术服务与缺陷修复、保修期的保修工作、维保期的维保工作等，最终招标内容以专业工程暂估价采购清单和招标答疑纪要为准。</w:t>
      </w:r>
    </w:p>
    <w:p w14:paraId="56E1308E">
      <w:pPr>
        <w:pStyle w:val="23"/>
        <w:spacing w:line="360" w:lineRule="auto"/>
        <w:ind w:firstLine="420"/>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Cs w:val="24"/>
          <w:highlight w:val="none"/>
          <w:lang w:val="en-US" w:eastAsia="zh-CN"/>
        </w:rPr>
        <w:t>5标段（呼叫系统）：</w:t>
      </w:r>
      <w:r>
        <w:rPr>
          <w:rFonts w:hint="eastAsia" w:ascii="仿宋" w:hAnsi="仿宋" w:eastAsia="仿宋" w:cs="仿宋"/>
          <w:color w:val="auto"/>
          <w:sz w:val="24"/>
          <w:highlight w:val="none"/>
          <w:lang w:val="en-US" w:eastAsia="zh-CN"/>
        </w:rPr>
        <w:t>工程量清单、施工图纸设计范围内及招标文件中所有内容。</w:t>
      </w:r>
    </w:p>
    <w:p w14:paraId="25AD5D48">
      <w:pPr>
        <w:keepNext w:val="0"/>
        <w:keepLines w:val="0"/>
        <w:pageBreakBefore w:val="0"/>
        <w:kinsoku/>
        <w:overflowPunct/>
        <w:topLinePunct w:val="0"/>
        <w:autoSpaceDE/>
        <w:autoSpaceDN/>
        <w:bidi w:val="0"/>
        <w:adjustRightInd/>
        <w:snapToGrid/>
        <w:spacing w:beforeAutospacing="0" w:afterAutospacing="0" w:line="480" w:lineRule="exact"/>
        <w:ind w:firstLine="480" w:firstLineChars="200"/>
        <w:textAlignment w:val="auto"/>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rPr>
        <w:t>2.</w:t>
      </w:r>
      <w:r>
        <w:rPr>
          <w:rFonts w:hint="eastAsia" w:ascii="仿宋" w:hAnsi="仿宋" w:eastAsia="仿宋" w:cs="仿宋"/>
          <w:b w:val="0"/>
          <w:bCs w:val="0"/>
          <w:color w:val="auto"/>
          <w:sz w:val="24"/>
          <w:highlight w:val="none"/>
          <w:lang w:val="en-US" w:eastAsia="zh-CN"/>
        </w:rPr>
        <w:t>7</w:t>
      </w:r>
      <w:r>
        <w:rPr>
          <w:rFonts w:hint="eastAsia" w:ascii="仿宋" w:hAnsi="仿宋" w:eastAsia="仿宋" w:cs="仿宋"/>
          <w:b w:val="0"/>
          <w:bCs w:val="0"/>
          <w:color w:val="auto"/>
          <w:sz w:val="24"/>
          <w:highlight w:val="none"/>
          <w:lang w:val="en-US"/>
        </w:rPr>
        <w:t>计划工期</w:t>
      </w:r>
      <w:r>
        <w:rPr>
          <w:rFonts w:hint="eastAsia" w:ascii="仿宋" w:hAnsi="仿宋" w:eastAsia="仿宋" w:cs="仿宋"/>
          <w:color w:val="auto"/>
          <w:kern w:val="0"/>
          <w:sz w:val="24"/>
          <w:szCs w:val="22"/>
          <w:highlight w:val="none"/>
          <w:lang w:val="en-US" w:eastAsia="zh-CN" w:bidi="zh-CN"/>
        </w:rPr>
        <w:t>：</w:t>
      </w:r>
      <w:r>
        <w:rPr>
          <w:rFonts w:hint="eastAsia" w:ascii="仿宋" w:hAnsi="仿宋" w:eastAsia="仿宋" w:cs="仿宋"/>
          <w:b w:val="0"/>
          <w:bCs w:val="0"/>
          <w:color w:val="auto"/>
          <w:sz w:val="24"/>
          <w:highlight w:val="none"/>
          <w:lang w:val="en-US" w:eastAsia="zh-CN"/>
        </w:rPr>
        <w:t>100日历天。</w:t>
      </w:r>
    </w:p>
    <w:p w14:paraId="3F98E5C2">
      <w:pPr>
        <w:spacing w:line="360" w:lineRule="auto"/>
        <w:ind w:firstLine="420"/>
        <w:rPr>
          <w:rFonts w:hint="eastAsia" w:ascii="仿宋" w:hAnsi="仿宋" w:eastAsia="仿宋" w:cs="仿宋"/>
          <w:color w:val="auto"/>
          <w:sz w:val="24"/>
          <w:highlight w:val="none"/>
          <w:lang w:val="en-US" w:eastAsia="zh-CN"/>
        </w:rPr>
      </w:pPr>
      <w:r>
        <w:rPr>
          <w:rFonts w:hint="eastAsia" w:ascii="仿宋" w:hAnsi="仿宋" w:eastAsia="仿宋" w:cs="仿宋"/>
          <w:b w:val="0"/>
          <w:bCs w:val="0"/>
          <w:color w:val="auto"/>
          <w:sz w:val="24"/>
          <w:highlight w:val="none"/>
          <w:lang w:val="en-US"/>
        </w:rPr>
        <w:t>2.</w:t>
      </w:r>
      <w:r>
        <w:rPr>
          <w:rFonts w:hint="eastAsia" w:ascii="仿宋" w:hAnsi="仿宋" w:eastAsia="仿宋" w:cs="仿宋"/>
          <w:b w:val="0"/>
          <w:bCs w:val="0"/>
          <w:color w:val="auto"/>
          <w:sz w:val="24"/>
          <w:highlight w:val="none"/>
          <w:lang w:val="en-US" w:eastAsia="zh-CN"/>
        </w:rPr>
        <w:t>8</w:t>
      </w:r>
      <w:r>
        <w:rPr>
          <w:rFonts w:hint="eastAsia" w:ascii="仿宋" w:hAnsi="仿宋" w:eastAsia="仿宋" w:cs="仿宋"/>
          <w:b w:val="0"/>
          <w:bCs w:val="0"/>
          <w:color w:val="auto"/>
          <w:sz w:val="24"/>
          <w:highlight w:val="none"/>
          <w:lang w:val="en-US"/>
        </w:rPr>
        <w:t>质量要求：</w:t>
      </w:r>
      <w:r>
        <w:rPr>
          <w:rFonts w:hint="eastAsia" w:ascii="仿宋" w:hAnsi="仿宋" w:eastAsia="仿宋" w:cs="仿宋"/>
          <w:color w:val="auto"/>
          <w:sz w:val="24"/>
          <w:highlight w:val="none"/>
          <w:lang w:val="en-US" w:eastAsia="zh-CN"/>
        </w:rPr>
        <w:t>达到国家现行有关施工质量验收规范标准并通过行业主管部门验收。</w:t>
      </w:r>
    </w:p>
    <w:p w14:paraId="75F063CF">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color w:val="auto"/>
          <w:sz w:val="24"/>
          <w:highlight w:val="none"/>
          <w:lang w:val="en-US" w:eastAsia="zh-CN"/>
        </w:rPr>
        <w:t>2.9标段划分：本项目共划分为5个标</w:t>
      </w:r>
      <w:r>
        <w:rPr>
          <w:rFonts w:hint="eastAsia" w:ascii="仿宋" w:hAnsi="仿宋" w:eastAsia="仿宋" w:cs="仿宋"/>
          <w:b w:val="0"/>
          <w:bCs w:val="0"/>
          <w:color w:val="auto"/>
          <w:sz w:val="24"/>
          <w:highlight w:val="none"/>
          <w:lang w:val="en-US" w:eastAsia="zh-CN"/>
        </w:rPr>
        <w:t>段。</w:t>
      </w:r>
    </w:p>
    <w:p w14:paraId="3DECF267">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color w:val="auto"/>
          <w:sz w:val="24"/>
          <w:highlight w:val="none"/>
          <w:lang w:val="en-US" w:eastAsia="zh-CN"/>
        </w:rPr>
        <w:t>1标段（康复楼、外科楼、污水处理楼改造）</w:t>
      </w:r>
      <w:r>
        <w:rPr>
          <w:rFonts w:hint="eastAsia" w:ascii="仿宋" w:hAnsi="仿宋" w:eastAsia="仿宋" w:cs="仿宋"/>
          <w:b w:val="0"/>
          <w:bCs w:val="0"/>
          <w:color w:val="auto"/>
          <w:sz w:val="24"/>
          <w:highlight w:val="none"/>
          <w:lang w:val="en-US" w:eastAsia="zh-CN"/>
        </w:rPr>
        <w:t>；</w:t>
      </w:r>
    </w:p>
    <w:p w14:paraId="437F35B5">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color w:val="auto"/>
          <w:sz w:val="24"/>
          <w:highlight w:val="none"/>
          <w:lang w:val="en-US" w:eastAsia="zh-CN"/>
        </w:rPr>
        <w:t>2标段（老门诊楼、儿科病房综合楼、急诊楼、放射楼、院内管网和沥青路面改造）</w:t>
      </w:r>
      <w:r>
        <w:rPr>
          <w:rFonts w:hint="eastAsia" w:ascii="仿宋" w:hAnsi="仿宋" w:eastAsia="仿宋" w:cs="仿宋"/>
          <w:b w:val="0"/>
          <w:bCs w:val="0"/>
          <w:color w:val="auto"/>
          <w:sz w:val="24"/>
          <w:highlight w:val="none"/>
          <w:lang w:val="en-US" w:eastAsia="zh-CN"/>
        </w:rPr>
        <w:t>；</w:t>
      </w:r>
    </w:p>
    <w:p w14:paraId="577B9DD9">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3标段（内科楼和体检楼改造）；</w:t>
      </w:r>
    </w:p>
    <w:p w14:paraId="502E7473">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color w:val="auto"/>
          <w:kern w:val="0"/>
          <w:sz w:val="24"/>
          <w:szCs w:val="24"/>
          <w:highlight w:val="none"/>
          <w:lang w:val="en-US" w:eastAsia="zh-CN" w:bidi="zh-CN"/>
        </w:rPr>
        <w:t>4标段（高效磁悬浮离心式机组）（专业工程暂估价）；</w:t>
      </w:r>
    </w:p>
    <w:p w14:paraId="716AB8A3">
      <w:pPr>
        <w:pStyle w:val="23"/>
        <w:spacing w:line="360" w:lineRule="auto"/>
        <w:ind w:firstLine="420"/>
        <w:jc w:val="both"/>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5标段（呼叫系统）</w:t>
      </w:r>
      <w:r>
        <w:rPr>
          <w:rFonts w:hint="eastAsia" w:ascii="仿宋" w:hAnsi="仿宋" w:eastAsia="仿宋" w:cs="仿宋"/>
          <w:b w:val="0"/>
          <w:bCs w:val="0"/>
          <w:color w:val="auto"/>
          <w:sz w:val="24"/>
          <w:highlight w:val="none"/>
          <w:lang w:val="en-US" w:eastAsia="zh-CN"/>
        </w:rPr>
        <w:t>；</w:t>
      </w:r>
    </w:p>
    <w:p w14:paraId="12BA121A">
      <w:pPr>
        <w:pStyle w:val="23"/>
        <w:spacing w:line="360" w:lineRule="auto"/>
        <w:ind w:firstLine="420"/>
        <w:jc w:val="both"/>
        <w:rPr>
          <w:rFonts w:hint="eastAsia" w:ascii="仿宋" w:hAnsi="仿宋" w:eastAsia="仿宋" w:cs="仿宋"/>
          <w:color w:val="auto"/>
          <w:sz w:val="24"/>
          <w:highlight w:val="none"/>
        </w:rPr>
      </w:pPr>
      <w:r>
        <w:rPr>
          <w:rFonts w:hint="eastAsia" w:ascii="仿宋" w:hAnsi="仿宋" w:eastAsia="仿宋" w:cs="仿宋"/>
          <w:color w:val="auto"/>
          <w:kern w:val="2"/>
          <w:szCs w:val="24"/>
          <w:highlight w:val="none"/>
          <w:lang w:val="en-US" w:bidi="ar-SA"/>
        </w:rPr>
        <w:t>2.</w:t>
      </w:r>
      <w:r>
        <w:rPr>
          <w:rFonts w:hint="eastAsia" w:ascii="仿宋" w:hAnsi="仿宋" w:eastAsia="仿宋" w:cs="仿宋"/>
          <w:color w:val="auto"/>
          <w:kern w:val="2"/>
          <w:szCs w:val="24"/>
          <w:highlight w:val="none"/>
          <w:lang w:val="en-US" w:eastAsia="zh-CN" w:bidi="ar-SA"/>
        </w:rPr>
        <w:t>10</w:t>
      </w:r>
      <w:r>
        <w:rPr>
          <w:rFonts w:hint="eastAsia" w:ascii="仿宋" w:hAnsi="仿宋" w:eastAsia="仿宋" w:cs="仿宋"/>
          <w:b w:val="0"/>
          <w:bCs w:val="0"/>
          <w:color w:val="auto"/>
          <w:kern w:val="2"/>
          <w:sz w:val="24"/>
          <w:szCs w:val="24"/>
          <w:highlight w:val="none"/>
          <w:lang w:val="en-US" w:eastAsia="zh-CN" w:bidi="ar-SA"/>
        </w:rPr>
        <w:t>依据《河南省政府投资工程建设项目招标投标“评定分离 ”管理办法（试行）》 (豫发改公管规〔2025〕559 号)及关于印发《驻马店市政府投资工程建设项目招标投标“评定分离”规范指引》的通知（驻发改公管〔2025〕274号）等相关规定，本项目招投标活动采用“评定分离”方式确定中标人，定标方法采用“核查随机法”。</w:t>
      </w:r>
    </w:p>
    <w:p w14:paraId="2830B43E">
      <w:pPr>
        <w:spacing w:before="156" w:beforeLines="50" w:after="156" w:afterLines="5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3.投标人资格要求</w:t>
      </w:r>
    </w:p>
    <w:p w14:paraId="198FEBB9">
      <w:pPr>
        <w:keepNext w:val="0"/>
        <w:keepLines w:val="0"/>
        <w:pageBreakBefore w:val="0"/>
        <w:kinsoku/>
        <w:wordWrap w:val="0"/>
        <w:overflowPunct/>
        <w:topLinePunct w:val="0"/>
        <w:bidi w:val="0"/>
        <w:adjustRightInd/>
        <w:snapToGrid/>
        <w:spacing w:line="560" w:lineRule="exact"/>
        <w:ind w:firstLine="562" w:firstLineChars="200"/>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8"/>
          <w:szCs w:val="28"/>
          <w:highlight w:val="none"/>
          <w:lang w:val="en-US" w:eastAsia="zh-CN"/>
        </w:rPr>
        <w:t>1-3标段</w:t>
      </w:r>
      <w:r>
        <w:rPr>
          <w:rFonts w:hint="eastAsia" w:ascii="仿宋" w:hAnsi="仿宋" w:eastAsia="仿宋" w:cs="仿宋"/>
          <w:b/>
          <w:bCs/>
          <w:color w:val="auto"/>
          <w:sz w:val="24"/>
          <w:szCs w:val="24"/>
          <w:highlight w:val="none"/>
          <w:lang w:val="en-US" w:eastAsia="zh-CN"/>
        </w:rPr>
        <w:t>：</w:t>
      </w:r>
    </w:p>
    <w:p w14:paraId="244442C1">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3.1</w:t>
      </w:r>
      <w:r>
        <w:rPr>
          <w:rFonts w:hint="eastAsia" w:ascii="仿宋" w:hAnsi="仿宋" w:eastAsia="仿宋" w:cs="仿宋"/>
          <w:color w:val="auto"/>
          <w:sz w:val="24"/>
          <w:szCs w:val="24"/>
          <w:highlight w:val="none"/>
        </w:rPr>
        <w:t>投标人具有独立法人资格，</w:t>
      </w:r>
      <w:r>
        <w:rPr>
          <w:rFonts w:hint="eastAsia" w:ascii="仿宋" w:hAnsi="仿宋" w:eastAsia="仿宋" w:cs="仿宋"/>
          <w:color w:val="auto"/>
          <w:sz w:val="24"/>
          <w:szCs w:val="24"/>
          <w:highlight w:val="none"/>
          <w:lang w:val="en-US" w:eastAsia="zh-CN"/>
        </w:rPr>
        <w:t>提供</w:t>
      </w:r>
      <w:r>
        <w:rPr>
          <w:rFonts w:hint="eastAsia" w:ascii="仿宋" w:hAnsi="仿宋" w:eastAsia="仿宋" w:cs="仿宋"/>
          <w:color w:val="auto"/>
          <w:sz w:val="24"/>
          <w:szCs w:val="24"/>
          <w:highlight w:val="none"/>
        </w:rPr>
        <w:t>有效的营业执照</w:t>
      </w:r>
      <w:r>
        <w:rPr>
          <w:rFonts w:hint="eastAsia" w:ascii="仿宋" w:hAnsi="仿宋" w:eastAsia="仿宋" w:cs="仿宋"/>
          <w:color w:val="auto"/>
          <w:sz w:val="24"/>
          <w:szCs w:val="24"/>
          <w:highlight w:val="none"/>
          <w:lang w:eastAsia="zh-CN"/>
        </w:rPr>
        <w:t>。</w:t>
      </w:r>
    </w:p>
    <w:p w14:paraId="38E99CD8">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3.2</w:t>
      </w:r>
      <w:r>
        <w:rPr>
          <w:rFonts w:hint="eastAsia" w:ascii="仿宋" w:hAnsi="仿宋" w:eastAsia="仿宋" w:cs="仿宋"/>
          <w:b/>
          <w:bCs/>
          <w:color w:val="auto"/>
          <w:sz w:val="24"/>
          <w:szCs w:val="24"/>
          <w:highlight w:val="none"/>
          <w:lang w:val="en-US" w:eastAsia="zh-CN"/>
        </w:rPr>
        <w:t>资质要求</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具有</w:t>
      </w:r>
      <w:r>
        <w:rPr>
          <w:rFonts w:hint="eastAsia" w:ascii="仿宋" w:hAnsi="仿宋" w:eastAsia="仿宋" w:cs="仿宋"/>
          <w:color w:val="auto"/>
          <w:kern w:val="0"/>
          <w:sz w:val="24"/>
          <w:szCs w:val="24"/>
          <w:highlight w:val="none"/>
        </w:rPr>
        <w:t>建设主管部门颁发的建筑工程施工总承包</w:t>
      </w:r>
      <w:r>
        <w:rPr>
          <w:rFonts w:hint="eastAsia" w:ascii="仿宋" w:hAnsi="仿宋" w:eastAsia="仿宋" w:cs="仿宋"/>
          <w:color w:val="auto"/>
          <w:kern w:val="0"/>
          <w:sz w:val="24"/>
          <w:szCs w:val="24"/>
          <w:highlight w:val="none"/>
          <w:lang w:eastAsia="zh-CN"/>
        </w:rPr>
        <w:t>贰</w:t>
      </w:r>
      <w:r>
        <w:rPr>
          <w:rFonts w:hint="eastAsia" w:ascii="仿宋" w:hAnsi="仿宋" w:eastAsia="仿宋" w:cs="仿宋"/>
          <w:color w:val="auto"/>
          <w:kern w:val="0"/>
          <w:sz w:val="24"/>
          <w:szCs w:val="24"/>
          <w:highlight w:val="none"/>
        </w:rPr>
        <w:t>级及以上资质</w:t>
      </w:r>
      <w:r>
        <w:rPr>
          <w:rFonts w:hint="eastAsia" w:ascii="仿宋" w:hAnsi="仿宋" w:eastAsia="仿宋" w:cs="仿宋"/>
          <w:color w:val="auto"/>
          <w:sz w:val="24"/>
          <w:szCs w:val="24"/>
          <w:highlight w:val="none"/>
        </w:rPr>
        <w:t>，具有有效的安全生产许可证，并在人员、设备、资金等方面具有相应的施工</w:t>
      </w:r>
      <w:r>
        <w:rPr>
          <w:rFonts w:hint="eastAsia" w:ascii="仿宋" w:hAnsi="仿宋" w:eastAsia="仿宋" w:cs="仿宋"/>
          <w:color w:val="auto"/>
          <w:sz w:val="24"/>
          <w:szCs w:val="24"/>
          <w:highlight w:val="none"/>
          <w:lang w:val="en-US" w:eastAsia="zh-CN"/>
        </w:rPr>
        <w:t>能力（自行承诺）。</w:t>
      </w:r>
    </w:p>
    <w:p w14:paraId="2A30848B">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3.3</w:t>
      </w:r>
      <w:r>
        <w:rPr>
          <w:rFonts w:hint="eastAsia" w:ascii="仿宋" w:hAnsi="仿宋" w:eastAsia="仿宋" w:cs="仿宋"/>
          <w:b/>
          <w:bCs/>
          <w:color w:val="auto"/>
          <w:sz w:val="24"/>
          <w:szCs w:val="24"/>
          <w:highlight w:val="none"/>
          <w:lang w:val="en-US" w:eastAsia="zh-CN"/>
        </w:rPr>
        <w:t>项目经理要求：</w:t>
      </w:r>
      <w:r>
        <w:rPr>
          <w:rFonts w:hint="eastAsia" w:ascii="仿宋" w:hAnsi="仿宋" w:eastAsia="仿宋" w:cs="仿宋"/>
          <w:color w:val="auto"/>
          <w:sz w:val="24"/>
          <w:szCs w:val="24"/>
          <w:highlight w:val="none"/>
        </w:rPr>
        <w:t>拟派项目经理须具备</w:t>
      </w:r>
      <w:r>
        <w:rPr>
          <w:rFonts w:hint="eastAsia" w:ascii="仿宋" w:hAnsi="仿宋" w:eastAsia="仿宋" w:cs="仿宋"/>
          <w:color w:val="auto"/>
          <w:sz w:val="24"/>
          <w:szCs w:val="24"/>
          <w:highlight w:val="none"/>
          <w:lang w:val="en-US" w:eastAsia="zh-CN"/>
        </w:rPr>
        <w:t>建筑工程专业贰级及以上注</w:t>
      </w:r>
      <w:r>
        <w:rPr>
          <w:rFonts w:hint="eastAsia" w:ascii="仿宋" w:hAnsi="仿宋" w:eastAsia="仿宋" w:cs="仿宋"/>
          <w:color w:val="auto"/>
          <w:sz w:val="24"/>
          <w:szCs w:val="24"/>
          <w:highlight w:val="none"/>
        </w:rPr>
        <w:t>册建造师执业资格</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须提供电子注册证书及全国或河南省建筑市场监督公共服务平台“四库一平台”注册人员查询信息）</w:t>
      </w:r>
      <w:r>
        <w:rPr>
          <w:rFonts w:hint="eastAsia" w:ascii="仿宋" w:hAnsi="仿宋" w:eastAsia="仿宋" w:cs="仿宋"/>
          <w:color w:val="auto"/>
          <w:sz w:val="24"/>
          <w:szCs w:val="24"/>
          <w:highlight w:val="none"/>
        </w:rPr>
        <w:t>，具</w:t>
      </w:r>
      <w:r>
        <w:rPr>
          <w:rFonts w:hint="eastAsia" w:ascii="仿宋" w:hAnsi="仿宋" w:eastAsia="仿宋" w:cs="仿宋"/>
          <w:color w:val="auto"/>
          <w:sz w:val="24"/>
          <w:szCs w:val="24"/>
          <w:highlight w:val="none"/>
          <w:lang w:val="en-US" w:eastAsia="zh-CN"/>
        </w:rPr>
        <w:t>有</w:t>
      </w:r>
      <w:r>
        <w:rPr>
          <w:rFonts w:hint="eastAsia" w:ascii="仿宋" w:hAnsi="仿宋" w:eastAsia="仿宋" w:cs="仿宋"/>
          <w:color w:val="auto"/>
          <w:sz w:val="24"/>
          <w:szCs w:val="24"/>
          <w:highlight w:val="none"/>
        </w:rPr>
        <w:t>有效的安全生产考核合格证书（B证），且未担任其他在施建设工程项目的项目经理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自行承诺）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提供投标人为其缴纳的社保证明（社保证明至少应包含基本养老保险；社保证明打印时间应为招标公告发布之日后，</w:t>
      </w:r>
      <w:r>
        <w:rPr>
          <w:rFonts w:hint="default" w:ascii="仿宋" w:hAnsi="仿宋" w:eastAsia="仿宋" w:cs="仿宋"/>
          <w:color w:val="auto"/>
          <w:sz w:val="24"/>
          <w:szCs w:val="24"/>
          <w:highlight w:val="none"/>
        </w:rPr>
        <w:t>社保在单位分支机构（非独立法人）缴纳的视同本单位缴纳</w:t>
      </w:r>
      <w:r>
        <w:rPr>
          <w:rFonts w:hint="eastAsia" w:ascii="仿宋" w:hAnsi="仿宋" w:eastAsia="仿宋" w:cs="仿宋"/>
          <w:color w:val="auto"/>
          <w:sz w:val="24"/>
          <w:szCs w:val="24"/>
          <w:highlight w:val="none"/>
          <w:lang w:val="en-US" w:eastAsia="zh-CN"/>
        </w:rPr>
        <w:t>）和劳动合同。</w:t>
      </w:r>
    </w:p>
    <w:p w14:paraId="302CA4B3">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3.4技术负责人要求：</w:t>
      </w:r>
      <w:r>
        <w:rPr>
          <w:rFonts w:hint="eastAsia" w:ascii="仿宋" w:hAnsi="仿宋" w:eastAsia="仿宋" w:cs="仿宋"/>
          <w:color w:val="auto"/>
          <w:sz w:val="24"/>
          <w:szCs w:val="24"/>
          <w:highlight w:val="none"/>
          <w:lang w:val="en-US" w:eastAsia="zh-CN"/>
        </w:rPr>
        <w:t>拟派技术负责人须具有相关专业中级（含中级）及以上技术职称，提供投标人为其缴纳的社保证明（社保证明至少应包含基本养老保险；社保证明打印时间应为招标公告发布之日后，</w:t>
      </w:r>
      <w:r>
        <w:rPr>
          <w:rFonts w:hint="default" w:ascii="仿宋" w:hAnsi="仿宋" w:eastAsia="仿宋" w:cs="仿宋"/>
          <w:color w:val="auto"/>
          <w:sz w:val="24"/>
          <w:szCs w:val="24"/>
          <w:highlight w:val="none"/>
        </w:rPr>
        <w:t>社保在单位分支机构（非独立法人）缴纳的视同本单位缴纳</w:t>
      </w:r>
      <w:r>
        <w:rPr>
          <w:rFonts w:hint="eastAsia" w:ascii="仿宋" w:hAnsi="仿宋" w:eastAsia="仿宋" w:cs="仿宋"/>
          <w:color w:val="auto"/>
          <w:sz w:val="24"/>
          <w:szCs w:val="24"/>
          <w:highlight w:val="none"/>
          <w:lang w:val="en-US" w:eastAsia="zh-CN"/>
        </w:rPr>
        <w:t>）和劳动合同</w:t>
      </w:r>
    </w:p>
    <w:p w14:paraId="109E8FE8">
      <w:pPr>
        <w:pStyle w:val="65"/>
        <w:keepNext w:val="0"/>
        <w:keepLines w:val="0"/>
        <w:pageBreakBefore w:val="0"/>
        <w:kinsoku/>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财务要求</w:t>
      </w:r>
      <w:r>
        <w:rPr>
          <w:rFonts w:hint="eastAsia" w:ascii="仿宋" w:hAnsi="仿宋" w:eastAsia="仿宋" w:cs="仿宋"/>
          <w:color w:val="auto"/>
          <w:sz w:val="24"/>
          <w:szCs w:val="24"/>
          <w:highlight w:val="none"/>
        </w:rPr>
        <w:t>：投标人在投标截止前其财产没有处于被接管、冻结，破产状态（自行承诺）；并提供</w:t>
      </w:r>
      <w:r>
        <w:rPr>
          <w:rFonts w:hint="eastAsia" w:ascii="仿宋" w:hAnsi="仿宋" w:eastAsia="仿宋" w:cs="仿宋"/>
          <w:color w:val="auto"/>
          <w:sz w:val="24"/>
          <w:szCs w:val="24"/>
          <w:highlight w:val="none"/>
          <w:lang w:val="en-US" w:eastAsia="zh-CN"/>
        </w:rPr>
        <w:t>2023年度至2025年度经审计的财务报告</w:t>
      </w:r>
      <w:r>
        <w:rPr>
          <w:rFonts w:hint="eastAsia" w:ascii="仿宋" w:hAnsi="仿宋" w:eastAsia="仿宋" w:cs="仿宋"/>
          <w:color w:val="auto"/>
          <w:sz w:val="24"/>
          <w:szCs w:val="24"/>
          <w:highlight w:val="none"/>
        </w:rPr>
        <w:t>（如投标人成立时限不足要求时限的，由投标人根据自身成立时间提供</w:t>
      </w:r>
      <w:r>
        <w:rPr>
          <w:rFonts w:hint="eastAsia" w:ascii="仿宋" w:hAnsi="仿宋" w:eastAsia="仿宋" w:cs="仿宋"/>
          <w:color w:val="auto"/>
          <w:sz w:val="24"/>
          <w:szCs w:val="24"/>
          <w:highlight w:val="none"/>
          <w:lang w:val="en-US" w:eastAsia="zh-CN"/>
        </w:rPr>
        <w:t>基本开户</w:t>
      </w:r>
      <w:r>
        <w:rPr>
          <w:rFonts w:hint="eastAsia" w:ascii="仿宋" w:hAnsi="仿宋" w:eastAsia="仿宋" w:cs="仿宋"/>
          <w:color w:val="auto"/>
          <w:sz w:val="24"/>
          <w:szCs w:val="24"/>
          <w:highlight w:val="none"/>
        </w:rPr>
        <w:t>银行出具的资信证明）。</w:t>
      </w:r>
    </w:p>
    <w:p w14:paraId="2B1CA96E">
      <w:pPr>
        <w:pStyle w:val="65"/>
        <w:keepNext w:val="0"/>
        <w:keepLines w:val="0"/>
        <w:pageBreakBefore w:val="0"/>
        <w:kinsoku/>
        <w:overflowPunct/>
        <w:topLinePunct w:val="0"/>
        <w:bidi w:val="0"/>
        <w:adjustRightInd/>
        <w:snapToGrid/>
        <w:spacing w:line="560" w:lineRule="exact"/>
        <w:ind w:firstLine="482" w:firstLineChars="200"/>
        <w:textAlignment w:val="auto"/>
        <w:rPr>
          <w:rFonts w:hint="default" w:ascii="仿宋" w:hAnsi="仿宋" w:eastAsia="仿宋" w:cs="仿宋"/>
          <w:color w:val="auto"/>
          <w:w w:val="95"/>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6</w:t>
      </w:r>
      <w:r>
        <w:rPr>
          <w:rFonts w:hint="eastAsia" w:ascii="仿宋" w:hAnsi="仿宋" w:eastAsia="仿宋" w:cs="仿宋"/>
          <w:b/>
          <w:bCs/>
          <w:color w:val="auto"/>
          <w:w w:val="95"/>
          <w:sz w:val="24"/>
          <w:szCs w:val="24"/>
          <w:highlight w:val="none"/>
        </w:rPr>
        <w:t>信誉要求</w:t>
      </w:r>
      <w:r>
        <w:rPr>
          <w:rFonts w:hint="eastAsia" w:ascii="仿宋" w:hAnsi="仿宋" w:eastAsia="仿宋" w:cs="仿宋"/>
          <w:color w:val="auto"/>
          <w:w w:val="95"/>
          <w:sz w:val="24"/>
          <w:szCs w:val="24"/>
          <w:highlight w:val="none"/>
        </w:rPr>
        <w:t>：</w:t>
      </w:r>
    </w:p>
    <w:p w14:paraId="24C616AB">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①投标人及拟派项目经理不得</w:t>
      </w:r>
      <w:r>
        <w:rPr>
          <w:rFonts w:hint="default" w:ascii="仿宋" w:hAnsi="仿宋" w:eastAsia="仿宋" w:cs="仿宋"/>
          <w:color w:val="auto"/>
          <w:sz w:val="24"/>
          <w:szCs w:val="24"/>
          <w:highlight w:val="none"/>
        </w:rPr>
        <w:t>被列入全国或省级建筑市场监管公共服务平台</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黑名单</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且在管理期限内</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eastAsia="zh-CN"/>
        </w:rPr>
        <w:t>。</w:t>
      </w:r>
    </w:p>
    <w:p w14:paraId="3E0EE19E">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②投标人</w:t>
      </w:r>
      <w:r>
        <w:rPr>
          <w:rFonts w:hint="eastAsia" w:ascii="仿宋" w:hAnsi="仿宋" w:eastAsia="仿宋" w:cs="仿宋"/>
          <w:color w:val="auto"/>
          <w:sz w:val="24"/>
          <w:szCs w:val="24"/>
          <w:highlight w:val="none"/>
        </w:rPr>
        <w:t>被列入国家企业信用信息公示系统“严重违法失信名单”且在管理期限内的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拒绝参与本项目的投标活动</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val="en-US" w:eastAsia="zh-CN"/>
        </w:rPr>
        <w:t>。</w:t>
      </w:r>
    </w:p>
    <w:p w14:paraId="3692C5FE">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val="en-US" w:eastAsia="zh-CN"/>
        </w:rPr>
        <w:t>对被列入“失信被执行人”“重大税收违法失信主体”“政府采购严重违法失信行为记录名单”的投标人，拒绝参与本项目的投标活动。投标人的法定代表人、拟派</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未被列入“失信被执行人”。投标人须通过“信用中国”网站（http://www.creditchina.gov.cn/）“专项查询”→“失信被执行人”→跳转至“中国执行信息公开网（http://zxgk.court.gov.cn/shixin/）”查询投标人、法定代表人、</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通过“信用中国”网站“专项查询”→查询“重大税收违法失信主体”“政府采购严重违法失信行为记录名单”，同时通过“中国政府采购网”网站查询“政府采购严重违法失信行为记录名单”（投标人须按以上查询方式进行查询并在投标文件中提供网页截图或网页打印页，截图或打印页须包括查询日期，查询日期为招标公告发布之后至投标截止时间前并加盖公章。有失信记录的拒绝参与本项目的投标活动）。</w:t>
      </w:r>
    </w:p>
    <w:p w14:paraId="687B7178">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 4 \* GB3 \* MERGEFORMAT </w:instrText>
      </w:r>
      <w:r>
        <w:rPr>
          <w:rFonts w:hint="eastAsia" w:ascii="仿宋" w:hAnsi="仿宋" w:eastAsia="仿宋" w:cs="仿宋"/>
          <w:color w:val="auto"/>
          <w:sz w:val="24"/>
          <w:szCs w:val="24"/>
          <w:highlight w:val="none"/>
          <w:lang w:val="en-US" w:eastAsia="zh-CN"/>
        </w:rPr>
        <w:fldChar w:fldCharType="separate"/>
      </w:r>
      <w:r>
        <w:rPr>
          <w:rFonts w:hint="default" w:ascii="仿宋" w:hAnsi="仿宋" w:eastAsia="仿宋" w:cs="仿宋"/>
          <w:color w:val="auto"/>
          <w:sz w:val="24"/>
          <w:szCs w:val="24"/>
          <w:highlight w:val="none"/>
          <w:lang w:val="en-US" w:eastAsia="zh-CN"/>
        </w:rPr>
        <w:t>④</w:t>
      </w:r>
      <w:r>
        <w:rPr>
          <w:rFonts w:hint="eastAsia" w:ascii="仿宋" w:hAnsi="仿宋" w:eastAsia="仿宋" w:cs="仿宋"/>
          <w:color w:val="auto"/>
          <w:sz w:val="24"/>
          <w:szCs w:val="24"/>
          <w:highlight w:val="none"/>
          <w:lang w:val="en-US" w:eastAsia="zh-CN"/>
        </w:rPr>
        <w:fldChar w:fldCharType="end"/>
      </w:r>
      <w:r>
        <w:rPr>
          <w:rFonts w:hint="eastAsia" w:ascii="仿宋" w:hAnsi="仿宋" w:eastAsia="仿宋" w:cs="仿宋"/>
          <w:color w:val="auto"/>
          <w:sz w:val="24"/>
          <w:szCs w:val="24"/>
          <w:highlight w:val="none"/>
          <w:lang w:val="en-US" w:eastAsia="zh-CN"/>
        </w:rPr>
        <w:t>根据《河南省住房和城乡建设厅关于进一步规范建设工程企业资质管理的通知》（豫建行规〔2024〕7号）规定，被全国和河南省建筑市场监管公共服务平台标注为资质异常的，不能使用标注异常资质承揽本工程（</w:t>
      </w:r>
      <w:r>
        <w:rPr>
          <w:rFonts w:hint="eastAsia" w:ascii="仿宋" w:hAnsi="仿宋" w:eastAsia="仿宋" w:cs="仿宋"/>
          <w:color w:val="auto"/>
          <w:kern w:val="2"/>
          <w:sz w:val="24"/>
          <w:szCs w:val="24"/>
          <w:highlight w:val="none"/>
          <w:lang w:val="en-US" w:eastAsia="zh-CN" w:bidi="ar-SA"/>
        </w:rPr>
        <w:t>投标文件中须提供全国和河南省建筑市场监管公共服务平台资质查询截图，查询时间为招标公告发布之日后，投标截止时间前，查询结果须显示网页时间。如在全国或河南省建筑市场监管公共服务平台无本企业信息，投标人可提供显示“暂无数据的查询结果”，视为“未被全国或河南省建筑市场监管公共服务平台标注为资质异常”</w:t>
      </w:r>
      <w:r>
        <w:rPr>
          <w:rFonts w:hint="eastAsia" w:ascii="仿宋" w:hAnsi="仿宋" w:eastAsia="仿宋" w:cs="仿宋"/>
          <w:color w:val="auto"/>
          <w:sz w:val="24"/>
          <w:szCs w:val="24"/>
          <w:highlight w:val="none"/>
          <w:lang w:val="en-US" w:eastAsia="zh-CN"/>
        </w:rPr>
        <w:t>）。</w:t>
      </w:r>
    </w:p>
    <w:p w14:paraId="242537CC">
      <w:pPr>
        <w:pStyle w:val="65"/>
        <w:keepNext w:val="0"/>
        <w:keepLines w:val="0"/>
        <w:pageBreakBefore w:val="0"/>
        <w:kinsoku/>
        <w:overflowPunct/>
        <w:topLinePunct w:val="0"/>
        <w:bidi w:val="0"/>
        <w:adjustRightInd/>
        <w:snapToGrid/>
        <w:spacing w:line="560" w:lineRule="exact"/>
        <w:ind w:firstLine="482" w:firstLineChars="200"/>
        <w:textAlignment w:val="auto"/>
        <w:rPr>
          <w:rFonts w:hint="eastAsia" w:ascii="仿宋" w:hAnsi="仿宋" w:eastAsia="宋体"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3.7其他要求</w:t>
      </w:r>
      <w:r>
        <w:rPr>
          <w:rFonts w:hint="eastAsia" w:ascii="仿宋" w:hAnsi="仿宋" w:eastAsia="仿宋" w:cs="仿宋"/>
          <w:color w:val="auto"/>
          <w:sz w:val="24"/>
          <w:szCs w:val="24"/>
          <w:highlight w:val="none"/>
          <w:lang w:val="en-US" w:eastAsia="zh-CN"/>
        </w:rPr>
        <w:t>：</w:t>
      </w:r>
    </w:p>
    <w:p w14:paraId="421E48DF">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①投标人没有处于被责令停业，投标资格被取消；在最近三年内（自2023年1月1日以来）没有骗取中标和严重违约及重大工程质量问题。（自行承诺）</w:t>
      </w:r>
    </w:p>
    <w:p w14:paraId="484EE966">
      <w:pPr>
        <w:pStyle w:val="65"/>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kern w:val="2"/>
          <w:sz w:val="24"/>
          <w:szCs w:val="24"/>
          <w:highlight w:val="none"/>
          <w:lang w:val="en-US" w:eastAsia="zh-CN" w:bidi="ar-SA"/>
        </w:rPr>
        <w:t>单位负责人为同一人或者存在控股、管理关系的不同单位，不得参加同一标段投标或者未划分标段的同一招标项目投标。（提供“国家企业信用信息公示系统”网站查询结果网页截图，需显示公司基本信息、主要人员信息、股东信息）</w:t>
      </w:r>
    </w:p>
    <w:p w14:paraId="2FBC9151">
      <w:pPr>
        <w:keepNext w:val="0"/>
        <w:keepLines w:val="0"/>
        <w:pageBreakBefore w:val="0"/>
        <w:widowControl/>
        <w:suppressLineNumbers w:val="0"/>
        <w:kinsoku/>
        <w:wordWrap w:val="0"/>
        <w:overflowPunct/>
        <w:topLinePunct w:val="0"/>
        <w:autoSpaceDE/>
        <w:autoSpaceDN/>
        <w:bidi w:val="0"/>
        <w:adjustRightInd/>
        <w:snapToGrid/>
        <w:spacing w:line="560" w:lineRule="exact"/>
        <w:ind w:firstLine="482" w:firstLineChars="20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3.8</w:t>
      </w:r>
      <w:r>
        <w:rPr>
          <w:rFonts w:hint="eastAsia" w:ascii="仿宋" w:hAnsi="仿宋" w:eastAsia="仿宋" w:cs="仿宋"/>
          <w:color w:val="auto"/>
          <w:sz w:val="24"/>
          <w:szCs w:val="24"/>
          <w:highlight w:val="none"/>
          <w:lang w:val="en-US" w:eastAsia="zh-CN"/>
        </w:rPr>
        <w:t>本次招标不接受联合体投标。</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b/>
          <w:bCs/>
          <w:color w:val="auto"/>
          <w:sz w:val="24"/>
          <w:szCs w:val="24"/>
          <w:highlight w:val="none"/>
          <w:lang w:val="en-US" w:eastAsia="zh-CN"/>
        </w:rPr>
        <w:t>4标段：</w:t>
      </w:r>
    </w:p>
    <w:p w14:paraId="66899DB1">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9</w:t>
      </w:r>
      <w:r>
        <w:rPr>
          <w:rFonts w:hint="eastAsia" w:ascii="仿宋" w:hAnsi="仿宋" w:eastAsia="仿宋" w:cs="仿宋"/>
          <w:color w:val="auto"/>
          <w:sz w:val="24"/>
          <w:szCs w:val="24"/>
          <w:highlight w:val="none"/>
        </w:rPr>
        <w:t>投标人具有独立法人资格，</w:t>
      </w:r>
      <w:r>
        <w:rPr>
          <w:rFonts w:hint="eastAsia" w:ascii="仿宋" w:hAnsi="仿宋" w:eastAsia="仿宋" w:cs="仿宋"/>
          <w:color w:val="auto"/>
          <w:sz w:val="24"/>
          <w:szCs w:val="24"/>
          <w:highlight w:val="none"/>
          <w:lang w:val="en-US" w:eastAsia="zh-CN"/>
        </w:rPr>
        <w:t>提供</w:t>
      </w:r>
      <w:r>
        <w:rPr>
          <w:rFonts w:hint="eastAsia" w:ascii="仿宋" w:hAnsi="仿宋" w:eastAsia="仿宋" w:cs="仿宋"/>
          <w:color w:val="auto"/>
          <w:sz w:val="24"/>
          <w:szCs w:val="24"/>
          <w:highlight w:val="none"/>
        </w:rPr>
        <w:t>有效的营业执照</w:t>
      </w:r>
      <w:r>
        <w:rPr>
          <w:rFonts w:hint="eastAsia" w:ascii="仿宋" w:hAnsi="仿宋" w:eastAsia="仿宋" w:cs="仿宋"/>
          <w:color w:val="auto"/>
          <w:sz w:val="24"/>
          <w:szCs w:val="24"/>
          <w:highlight w:val="none"/>
          <w:lang w:eastAsia="zh-CN"/>
        </w:rPr>
        <w:t>。</w:t>
      </w:r>
    </w:p>
    <w:p w14:paraId="780F4427">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3.10资质要求</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具有</w:t>
      </w:r>
      <w:r>
        <w:rPr>
          <w:rFonts w:hint="eastAsia" w:ascii="仿宋" w:hAnsi="仿宋" w:eastAsia="仿宋" w:cs="仿宋"/>
          <w:color w:val="auto"/>
          <w:kern w:val="0"/>
          <w:sz w:val="24"/>
          <w:szCs w:val="24"/>
          <w:highlight w:val="none"/>
        </w:rPr>
        <w:t>建设主管部门颁发的</w:t>
      </w:r>
      <w:r>
        <w:rPr>
          <w:rFonts w:hint="eastAsia" w:ascii="仿宋" w:hAnsi="仿宋" w:eastAsia="仿宋" w:cs="仿宋"/>
          <w:color w:val="auto"/>
          <w:kern w:val="0"/>
          <w:sz w:val="24"/>
          <w:szCs w:val="24"/>
          <w:highlight w:val="none"/>
          <w:lang w:val="en-US" w:eastAsia="zh-CN"/>
        </w:rPr>
        <w:t>机电工程施工总承包二级</w:t>
      </w:r>
      <w:r>
        <w:rPr>
          <w:rFonts w:hint="eastAsia" w:ascii="仿宋" w:hAnsi="仿宋" w:eastAsia="仿宋" w:cs="仿宋"/>
          <w:color w:val="auto"/>
          <w:kern w:val="0"/>
          <w:sz w:val="24"/>
          <w:szCs w:val="24"/>
          <w:highlight w:val="none"/>
        </w:rPr>
        <w:t>及以上资质</w:t>
      </w:r>
      <w:r>
        <w:rPr>
          <w:rFonts w:hint="eastAsia" w:ascii="仿宋" w:hAnsi="仿宋" w:eastAsia="仿宋" w:cs="仿宋"/>
          <w:color w:val="auto"/>
          <w:kern w:val="0"/>
          <w:sz w:val="24"/>
          <w:szCs w:val="24"/>
          <w:highlight w:val="none"/>
          <w:lang w:val="en-US" w:eastAsia="zh-CN"/>
        </w:rPr>
        <w:t>或建筑机电安装工程专业承包二</w:t>
      </w:r>
      <w:r>
        <w:rPr>
          <w:rFonts w:hint="eastAsia" w:ascii="仿宋" w:hAnsi="仿宋" w:eastAsia="仿宋" w:cs="仿宋"/>
          <w:color w:val="auto"/>
          <w:kern w:val="0"/>
          <w:sz w:val="24"/>
          <w:szCs w:val="24"/>
          <w:highlight w:val="none"/>
        </w:rPr>
        <w:t>级及以上资质</w:t>
      </w:r>
      <w:r>
        <w:rPr>
          <w:rFonts w:hint="eastAsia" w:ascii="仿宋" w:hAnsi="仿宋" w:eastAsia="仿宋" w:cs="仿宋"/>
          <w:color w:val="auto"/>
          <w:sz w:val="24"/>
          <w:szCs w:val="24"/>
          <w:highlight w:val="none"/>
        </w:rPr>
        <w:t>，具有有效的安全生产许可证，并在人员、设备、资金等方面具有相应的施工</w:t>
      </w:r>
      <w:r>
        <w:rPr>
          <w:rFonts w:hint="eastAsia" w:ascii="仿宋" w:hAnsi="仿宋" w:eastAsia="仿宋" w:cs="仿宋"/>
          <w:color w:val="auto"/>
          <w:sz w:val="24"/>
          <w:szCs w:val="24"/>
          <w:highlight w:val="none"/>
          <w:lang w:val="en-US" w:eastAsia="zh-CN"/>
        </w:rPr>
        <w:t>能力（自行承诺）。</w:t>
      </w:r>
    </w:p>
    <w:p w14:paraId="2DA34108">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3.11项目经理要求：</w:t>
      </w:r>
      <w:r>
        <w:rPr>
          <w:rFonts w:hint="eastAsia" w:ascii="仿宋" w:hAnsi="仿宋" w:eastAsia="仿宋" w:cs="仿宋"/>
          <w:color w:val="auto"/>
          <w:sz w:val="24"/>
          <w:szCs w:val="24"/>
          <w:highlight w:val="none"/>
        </w:rPr>
        <w:t>拟派项目经理须具备</w:t>
      </w:r>
      <w:r>
        <w:rPr>
          <w:rFonts w:hint="eastAsia" w:ascii="仿宋" w:hAnsi="仿宋" w:eastAsia="仿宋" w:cs="仿宋"/>
          <w:color w:val="auto"/>
          <w:sz w:val="24"/>
          <w:szCs w:val="24"/>
          <w:highlight w:val="none"/>
          <w:lang w:val="en-US" w:eastAsia="zh-CN"/>
        </w:rPr>
        <w:t>机电工程专业贰级及以上注</w:t>
      </w:r>
      <w:r>
        <w:rPr>
          <w:rFonts w:hint="eastAsia" w:ascii="仿宋" w:hAnsi="仿宋" w:eastAsia="仿宋" w:cs="仿宋"/>
          <w:color w:val="auto"/>
          <w:sz w:val="24"/>
          <w:szCs w:val="24"/>
          <w:highlight w:val="none"/>
        </w:rPr>
        <w:t>册建造师执业资格</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须提供电子注册证书及全国或河南省建筑市场监督公共服务平台“四库一平台”注册人员查询信息）</w:t>
      </w:r>
      <w:r>
        <w:rPr>
          <w:rFonts w:hint="eastAsia" w:ascii="仿宋" w:hAnsi="仿宋" w:eastAsia="仿宋" w:cs="仿宋"/>
          <w:color w:val="auto"/>
          <w:sz w:val="24"/>
          <w:szCs w:val="24"/>
          <w:highlight w:val="none"/>
        </w:rPr>
        <w:t>，具</w:t>
      </w:r>
      <w:r>
        <w:rPr>
          <w:rFonts w:hint="eastAsia" w:ascii="仿宋" w:hAnsi="仿宋" w:eastAsia="仿宋" w:cs="仿宋"/>
          <w:color w:val="auto"/>
          <w:sz w:val="24"/>
          <w:szCs w:val="24"/>
          <w:highlight w:val="none"/>
          <w:lang w:val="en-US" w:eastAsia="zh-CN"/>
        </w:rPr>
        <w:t>有</w:t>
      </w:r>
      <w:r>
        <w:rPr>
          <w:rFonts w:hint="eastAsia" w:ascii="仿宋" w:hAnsi="仿宋" w:eastAsia="仿宋" w:cs="仿宋"/>
          <w:color w:val="auto"/>
          <w:sz w:val="24"/>
          <w:szCs w:val="24"/>
          <w:highlight w:val="none"/>
        </w:rPr>
        <w:t>有效的安全生产考核合格证书（B证），且未担任其他在施建设工程项目的项目经理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自行承诺）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提供投标人为其缴纳的社保证明（社保证明至少应包含基本养老保险；社保证明打印时间应为招标公告发布之日后，</w:t>
      </w:r>
      <w:r>
        <w:rPr>
          <w:rFonts w:hint="default" w:ascii="仿宋" w:hAnsi="仿宋" w:eastAsia="仿宋" w:cs="仿宋"/>
          <w:color w:val="auto"/>
          <w:sz w:val="24"/>
          <w:szCs w:val="24"/>
          <w:highlight w:val="none"/>
        </w:rPr>
        <w:t>社保在单位分支机构（非独立法人）缴纳的视同本单位缴纳</w:t>
      </w:r>
      <w:r>
        <w:rPr>
          <w:rFonts w:hint="eastAsia" w:ascii="仿宋" w:hAnsi="仿宋" w:eastAsia="仿宋" w:cs="仿宋"/>
          <w:color w:val="auto"/>
          <w:sz w:val="24"/>
          <w:szCs w:val="24"/>
          <w:highlight w:val="none"/>
          <w:lang w:val="en-US" w:eastAsia="zh-CN"/>
        </w:rPr>
        <w:t>）和劳动合同。</w:t>
      </w:r>
    </w:p>
    <w:p w14:paraId="0AF15C91">
      <w:pPr>
        <w:keepNext w:val="0"/>
        <w:keepLines w:val="0"/>
        <w:pageBreakBefore w:val="0"/>
        <w:kinsoku/>
        <w:wordWrap w:val="0"/>
        <w:overflowPunct/>
        <w:topLinePunct w:val="0"/>
        <w:bidi w:val="0"/>
        <w:adjustRightInd/>
        <w:snapToGrid/>
        <w:spacing w:line="560" w:lineRule="exact"/>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3.12</w:t>
      </w:r>
      <w:r>
        <w:rPr>
          <w:rFonts w:hint="eastAsia" w:ascii="仿宋" w:hAnsi="仿宋" w:eastAsia="仿宋" w:cs="仿宋"/>
          <w:b/>
          <w:bCs/>
          <w:color w:val="auto"/>
          <w:sz w:val="24"/>
          <w:szCs w:val="24"/>
          <w:highlight w:val="none"/>
          <w:lang w:val="en-US" w:eastAsia="zh-CN"/>
        </w:rPr>
        <w:t>技术负责人要求：</w:t>
      </w:r>
      <w:r>
        <w:rPr>
          <w:rFonts w:hint="eastAsia" w:ascii="仿宋" w:hAnsi="仿宋" w:eastAsia="仿宋" w:cs="仿宋"/>
          <w:color w:val="auto"/>
          <w:sz w:val="24"/>
          <w:szCs w:val="24"/>
          <w:highlight w:val="none"/>
          <w:lang w:val="en-US" w:eastAsia="zh-CN"/>
        </w:rPr>
        <w:t>拟派技术负责人须具有相关专业中级（含中级）及以上技术职称，提供投标人为其缴纳的社保证明（社保证明至少应包含基本养老保险；社保证明打印时间应为招标公告发布之日后，</w:t>
      </w:r>
      <w:r>
        <w:rPr>
          <w:rFonts w:hint="default" w:ascii="仿宋" w:hAnsi="仿宋" w:eastAsia="仿宋" w:cs="仿宋"/>
          <w:color w:val="auto"/>
          <w:sz w:val="24"/>
          <w:szCs w:val="24"/>
          <w:highlight w:val="none"/>
        </w:rPr>
        <w:t>社保在单位分支机构（非独立法人）缴纳的视同本单位缴纳</w:t>
      </w:r>
      <w:r>
        <w:rPr>
          <w:rFonts w:hint="eastAsia" w:ascii="仿宋" w:hAnsi="仿宋" w:eastAsia="仿宋" w:cs="仿宋"/>
          <w:color w:val="auto"/>
          <w:sz w:val="24"/>
          <w:szCs w:val="24"/>
          <w:highlight w:val="none"/>
          <w:lang w:val="en-US" w:eastAsia="zh-CN"/>
        </w:rPr>
        <w:t>）和劳动合同</w:t>
      </w:r>
    </w:p>
    <w:p w14:paraId="6231348D">
      <w:pPr>
        <w:pStyle w:val="65"/>
        <w:keepNext w:val="0"/>
        <w:keepLines w:val="0"/>
        <w:pageBreakBefore w:val="0"/>
        <w:kinsoku/>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13</w:t>
      </w:r>
      <w:r>
        <w:rPr>
          <w:rFonts w:hint="eastAsia" w:ascii="仿宋" w:hAnsi="仿宋" w:eastAsia="仿宋" w:cs="仿宋"/>
          <w:b/>
          <w:bCs/>
          <w:color w:val="auto"/>
          <w:sz w:val="24"/>
          <w:szCs w:val="24"/>
          <w:highlight w:val="none"/>
        </w:rPr>
        <w:t>财务要求</w:t>
      </w:r>
      <w:r>
        <w:rPr>
          <w:rFonts w:hint="eastAsia" w:ascii="仿宋" w:hAnsi="仿宋" w:eastAsia="仿宋" w:cs="仿宋"/>
          <w:color w:val="auto"/>
          <w:sz w:val="24"/>
          <w:szCs w:val="24"/>
          <w:highlight w:val="none"/>
        </w:rPr>
        <w:t>：投标人在投标截止前其财产没有处于被接管、冻结，破产状态（自行承诺）；并提供</w:t>
      </w:r>
      <w:r>
        <w:rPr>
          <w:rFonts w:hint="eastAsia" w:ascii="仿宋" w:hAnsi="仿宋" w:eastAsia="仿宋" w:cs="仿宋"/>
          <w:color w:val="auto"/>
          <w:sz w:val="24"/>
          <w:szCs w:val="24"/>
          <w:highlight w:val="none"/>
          <w:lang w:val="en-US" w:eastAsia="zh-CN"/>
        </w:rPr>
        <w:t>2023年度至2025年度经审计的财务报告</w:t>
      </w:r>
      <w:r>
        <w:rPr>
          <w:rFonts w:hint="eastAsia" w:ascii="仿宋" w:hAnsi="仿宋" w:eastAsia="仿宋" w:cs="仿宋"/>
          <w:color w:val="auto"/>
          <w:sz w:val="24"/>
          <w:szCs w:val="24"/>
          <w:highlight w:val="none"/>
        </w:rPr>
        <w:t>（如投标人成立时限不足要求时限的，由投标人根据自身成立时间提供</w:t>
      </w:r>
      <w:r>
        <w:rPr>
          <w:rFonts w:hint="eastAsia" w:ascii="仿宋" w:hAnsi="仿宋" w:eastAsia="仿宋" w:cs="仿宋"/>
          <w:color w:val="auto"/>
          <w:sz w:val="24"/>
          <w:szCs w:val="24"/>
          <w:highlight w:val="none"/>
          <w:lang w:val="en-US" w:eastAsia="zh-CN"/>
        </w:rPr>
        <w:t>基本开户</w:t>
      </w:r>
      <w:r>
        <w:rPr>
          <w:rFonts w:hint="eastAsia" w:ascii="仿宋" w:hAnsi="仿宋" w:eastAsia="仿宋" w:cs="仿宋"/>
          <w:color w:val="auto"/>
          <w:sz w:val="24"/>
          <w:szCs w:val="24"/>
          <w:highlight w:val="none"/>
        </w:rPr>
        <w:t>银行出具的资信证明）。</w:t>
      </w:r>
    </w:p>
    <w:p w14:paraId="4F8D158E">
      <w:pPr>
        <w:pStyle w:val="65"/>
        <w:keepNext w:val="0"/>
        <w:keepLines w:val="0"/>
        <w:pageBreakBefore w:val="0"/>
        <w:kinsoku/>
        <w:overflowPunct/>
        <w:topLinePunct w:val="0"/>
        <w:bidi w:val="0"/>
        <w:adjustRightInd/>
        <w:snapToGrid/>
        <w:spacing w:line="560" w:lineRule="exact"/>
        <w:ind w:firstLine="482" w:firstLineChars="200"/>
        <w:textAlignment w:val="auto"/>
        <w:rPr>
          <w:rFonts w:hint="default" w:ascii="仿宋" w:hAnsi="仿宋" w:eastAsia="仿宋" w:cs="仿宋"/>
          <w:color w:val="auto"/>
          <w:w w:val="95"/>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14</w:t>
      </w:r>
      <w:r>
        <w:rPr>
          <w:rFonts w:hint="eastAsia" w:ascii="仿宋" w:hAnsi="仿宋" w:eastAsia="仿宋" w:cs="仿宋"/>
          <w:b/>
          <w:bCs/>
          <w:color w:val="auto"/>
          <w:w w:val="95"/>
          <w:sz w:val="24"/>
          <w:szCs w:val="24"/>
          <w:highlight w:val="none"/>
        </w:rPr>
        <w:t>信誉要求</w:t>
      </w:r>
      <w:r>
        <w:rPr>
          <w:rFonts w:hint="eastAsia" w:ascii="仿宋" w:hAnsi="仿宋" w:eastAsia="仿宋" w:cs="仿宋"/>
          <w:color w:val="auto"/>
          <w:w w:val="95"/>
          <w:sz w:val="24"/>
          <w:szCs w:val="24"/>
          <w:highlight w:val="none"/>
        </w:rPr>
        <w:t>：</w:t>
      </w:r>
    </w:p>
    <w:p w14:paraId="771B276F">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①投标人及拟派项目经理不得</w:t>
      </w:r>
      <w:r>
        <w:rPr>
          <w:rFonts w:hint="default" w:ascii="仿宋" w:hAnsi="仿宋" w:eastAsia="仿宋" w:cs="仿宋"/>
          <w:color w:val="auto"/>
          <w:sz w:val="24"/>
          <w:szCs w:val="24"/>
          <w:highlight w:val="none"/>
        </w:rPr>
        <w:t>被列入全国或省级建筑市场监管公共服务平台</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黑名单</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且在管理期限内</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eastAsia="zh-CN"/>
        </w:rPr>
        <w:t>。</w:t>
      </w:r>
    </w:p>
    <w:p w14:paraId="002AC1F9">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②投标人</w:t>
      </w:r>
      <w:r>
        <w:rPr>
          <w:rFonts w:hint="eastAsia" w:ascii="仿宋" w:hAnsi="仿宋" w:eastAsia="仿宋" w:cs="仿宋"/>
          <w:color w:val="auto"/>
          <w:sz w:val="24"/>
          <w:szCs w:val="24"/>
          <w:highlight w:val="none"/>
        </w:rPr>
        <w:t>被列入国家企业信用信息公示系统“严重违法失信名单”且在管理期限内的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拒绝参与本项目的投标活动</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val="en-US" w:eastAsia="zh-CN"/>
        </w:rPr>
        <w:t>。</w:t>
      </w:r>
    </w:p>
    <w:p w14:paraId="037FC834">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val="en-US" w:eastAsia="zh-CN"/>
        </w:rPr>
        <w:t>对被列入“失信被执行人”“重大税收违法失信主体”“政府采购严重违法失信行为记录名单”的投标人，拒绝参与本项目的投标活动。投标人的法定代表人、拟派</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未被列入“失信被执行人”。投标人须通过“信用中国”网站（http://www.creditchina.gov.cn/）“专项查询”→“失信被执行人”→跳转至“中国执行信息公开网（http://zxgk.court.gov.cn/shixin/）”查询投标人、法定代表人、</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通过“信用中国”网站“专项查询”→查询“重大税收违法失信主体”“政府采购严重违法失信行为记录名单”，同时通过“中国政府采购网”网站查询“政府采购严重违法失信行为记录名单”（投标人须按以上查询方式进行查询并在投标文件中提供网页截图或网页打印页，截图或打印页须包括查询日期，查询日期为招标公告发布之后至投标截止时间前并加盖公章。有失信记录的拒绝参与本项目的投标活动）。</w:t>
      </w:r>
    </w:p>
    <w:p w14:paraId="6F3EF3CE">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 4 \* GB3 \* MERGEFORMAT </w:instrText>
      </w:r>
      <w:r>
        <w:rPr>
          <w:rFonts w:hint="eastAsia" w:ascii="仿宋" w:hAnsi="仿宋" w:eastAsia="仿宋" w:cs="仿宋"/>
          <w:color w:val="auto"/>
          <w:sz w:val="24"/>
          <w:szCs w:val="24"/>
          <w:highlight w:val="none"/>
          <w:lang w:val="en-US" w:eastAsia="zh-CN"/>
        </w:rPr>
        <w:fldChar w:fldCharType="separate"/>
      </w:r>
      <w:r>
        <w:rPr>
          <w:rFonts w:hint="default" w:ascii="仿宋" w:hAnsi="仿宋" w:eastAsia="仿宋" w:cs="仿宋"/>
          <w:color w:val="auto"/>
          <w:sz w:val="24"/>
          <w:szCs w:val="24"/>
          <w:highlight w:val="none"/>
          <w:lang w:val="en-US" w:eastAsia="zh-CN"/>
        </w:rPr>
        <w:t>④</w:t>
      </w:r>
      <w:r>
        <w:rPr>
          <w:rFonts w:hint="eastAsia" w:ascii="仿宋" w:hAnsi="仿宋" w:eastAsia="仿宋" w:cs="仿宋"/>
          <w:color w:val="auto"/>
          <w:sz w:val="24"/>
          <w:szCs w:val="24"/>
          <w:highlight w:val="none"/>
          <w:lang w:val="en-US" w:eastAsia="zh-CN"/>
        </w:rPr>
        <w:fldChar w:fldCharType="end"/>
      </w:r>
      <w:r>
        <w:rPr>
          <w:rFonts w:hint="eastAsia" w:ascii="仿宋" w:hAnsi="仿宋" w:eastAsia="仿宋" w:cs="仿宋"/>
          <w:color w:val="auto"/>
          <w:sz w:val="24"/>
          <w:szCs w:val="24"/>
          <w:highlight w:val="none"/>
          <w:lang w:val="en-US" w:eastAsia="zh-CN"/>
        </w:rPr>
        <w:t>根据《河南省住房和城乡建设厅关于进一步规范建设工程企业资质管理的通知》（豫建行规〔2024〕7号）规定，被全国和河南省建筑市场监管公共服务平台标注为资质异常的，不能使用标注异常资质承揽本工程（</w:t>
      </w:r>
      <w:r>
        <w:rPr>
          <w:rFonts w:hint="eastAsia" w:ascii="仿宋" w:hAnsi="仿宋" w:eastAsia="仿宋" w:cs="仿宋"/>
          <w:color w:val="auto"/>
          <w:kern w:val="2"/>
          <w:sz w:val="24"/>
          <w:szCs w:val="24"/>
          <w:highlight w:val="none"/>
          <w:lang w:val="en-US" w:eastAsia="zh-CN" w:bidi="ar-SA"/>
        </w:rPr>
        <w:t>投标文件中须提供全国和河南省建筑市场监管公共服务平台资质查询截图，查询时间为招标公告发布之日后，投标截止时间前，查询结果须显示网页时间。如在全国或河南省建筑市场监管公共服务平台无本企业信息，投标人可提供显示“暂无数据的查询结果”，视为“未被全国或河南省建筑市场监管公共服务平台标注为资质异常”</w:t>
      </w:r>
      <w:r>
        <w:rPr>
          <w:rFonts w:hint="eastAsia" w:ascii="仿宋" w:hAnsi="仿宋" w:eastAsia="仿宋" w:cs="仿宋"/>
          <w:color w:val="auto"/>
          <w:sz w:val="24"/>
          <w:szCs w:val="24"/>
          <w:highlight w:val="none"/>
          <w:lang w:val="en-US" w:eastAsia="zh-CN"/>
        </w:rPr>
        <w:t>）。</w:t>
      </w:r>
    </w:p>
    <w:p w14:paraId="357475BA">
      <w:pPr>
        <w:pStyle w:val="65"/>
        <w:keepNext w:val="0"/>
        <w:keepLines w:val="0"/>
        <w:pageBreakBefore w:val="0"/>
        <w:kinsoku/>
        <w:overflowPunct/>
        <w:topLinePunct w:val="0"/>
        <w:bidi w:val="0"/>
        <w:adjustRightInd/>
        <w:snapToGrid/>
        <w:spacing w:line="560" w:lineRule="exact"/>
        <w:ind w:firstLine="482" w:firstLineChars="200"/>
        <w:textAlignment w:val="auto"/>
        <w:rPr>
          <w:rFonts w:hint="eastAsia" w:ascii="仿宋" w:hAnsi="仿宋" w:eastAsia="宋体"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3.15其他要求</w:t>
      </w:r>
      <w:r>
        <w:rPr>
          <w:rFonts w:hint="eastAsia" w:ascii="仿宋" w:hAnsi="仿宋" w:eastAsia="仿宋" w:cs="仿宋"/>
          <w:color w:val="auto"/>
          <w:sz w:val="24"/>
          <w:szCs w:val="24"/>
          <w:highlight w:val="none"/>
          <w:lang w:val="en-US" w:eastAsia="zh-CN"/>
        </w:rPr>
        <w:t>：</w:t>
      </w:r>
    </w:p>
    <w:p w14:paraId="09E8FE9B">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①投标人没有处于被责令停业，投标资格被取消；在最近三年内（自2023年1月1日以来）没有骗取中标和严重违约及重大工程质量问题。（自行承诺）</w:t>
      </w:r>
    </w:p>
    <w:p w14:paraId="3702D408">
      <w:pPr>
        <w:pStyle w:val="65"/>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kern w:val="2"/>
          <w:sz w:val="24"/>
          <w:szCs w:val="24"/>
          <w:highlight w:val="none"/>
          <w:lang w:val="en-US" w:eastAsia="zh-CN" w:bidi="ar-SA"/>
        </w:rPr>
        <w:t>单位负责人为同一人或者存在控股、管理关系的不同单位，不得参加同一标段投标或者未划分标段的同一招标项目投标。（提供“国家企业信用信息公示系统”网站查询结果网页截图，需显示公司基本信息、主要人员信息、股东信息）</w:t>
      </w:r>
    </w:p>
    <w:p w14:paraId="679CA24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3.16本次招标不接受联合体投标。</w:t>
      </w:r>
      <w:r>
        <w:rPr>
          <w:rFonts w:hint="eastAsia" w:ascii="仿宋" w:hAnsi="仿宋" w:eastAsia="仿宋" w:cs="仿宋"/>
          <w:color w:val="auto"/>
          <w:sz w:val="24"/>
          <w:szCs w:val="24"/>
          <w:highlight w:val="none"/>
        </w:rPr>
        <w:br w:type="textWrapping"/>
      </w:r>
      <w:r>
        <w:rPr>
          <w:rFonts w:hint="eastAsia" w:ascii="仿宋" w:hAnsi="仿宋" w:eastAsia="仿宋" w:cs="仿宋"/>
          <w:b/>
          <w:bCs/>
          <w:color w:val="auto"/>
          <w:sz w:val="24"/>
          <w:szCs w:val="24"/>
          <w:highlight w:val="none"/>
          <w:lang w:val="en-US" w:eastAsia="zh-CN"/>
        </w:rPr>
        <w:t>5标段：</w:t>
      </w:r>
    </w:p>
    <w:p w14:paraId="3615EA10">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17</w:t>
      </w:r>
      <w:r>
        <w:rPr>
          <w:rFonts w:hint="eastAsia" w:ascii="仿宋" w:hAnsi="仿宋" w:eastAsia="仿宋" w:cs="仿宋"/>
          <w:color w:val="auto"/>
          <w:sz w:val="24"/>
          <w:szCs w:val="24"/>
          <w:highlight w:val="none"/>
        </w:rPr>
        <w:t>投标人具有独立法人资格，</w:t>
      </w:r>
      <w:r>
        <w:rPr>
          <w:rFonts w:hint="eastAsia" w:ascii="仿宋" w:hAnsi="仿宋" w:eastAsia="仿宋" w:cs="仿宋"/>
          <w:color w:val="auto"/>
          <w:sz w:val="24"/>
          <w:szCs w:val="24"/>
          <w:highlight w:val="none"/>
          <w:lang w:val="en-US" w:eastAsia="zh-CN"/>
        </w:rPr>
        <w:t>提供</w:t>
      </w:r>
      <w:r>
        <w:rPr>
          <w:rFonts w:hint="eastAsia" w:ascii="仿宋" w:hAnsi="仿宋" w:eastAsia="仿宋" w:cs="仿宋"/>
          <w:color w:val="auto"/>
          <w:sz w:val="24"/>
          <w:szCs w:val="24"/>
          <w:highlight w:val="none"/>
        </w:rPr>
        <w:t>有效的营业执照</w:t>
      </w:r>
      <w:r>
        <w:rPr>
          <w:rFonts w:hint="eastAsia" w:ascii="仿宋" w:hAnsi="仿宋" w:eastAsia="仿宋" w:cs="仿宋"/>
          <w:color w:val="auto"/>
          <w:sz w:val="24"/>
          <w:szCs w:val="24"/>
          <w:highlight w:val="none"/>
          <w:lang w:eastAsia="zh-CN"/>
        </w:rPr>
        <w:t>。</w:t>
      </w:r>
    </w:p>
    <w:p w14:paraId="549DAF19">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18资质要求</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具有</w:t>
      </w:r>
      <w:r>
        <w:rPr>
          <w:rFonts w:hint="eastAsia" w:ascii="仿宋" w:hAnsi="仿宋" w:eastAsia="仿宋" w:cs="仿宋"/>
          <w:color w:val="auto"/>
          <w:kern w:val="0"/>
          <w:sz w:val="24"/>
          <w:szCs w:val="24"/>
          <w:highlight w:val="none"/>
        </w:rPr>
        <w:t>建设主管部门颁发的</w:t>
      </w:r>
      <w:r>
        <w:rPr>
          <w:rFonts w:hint="eastAsia" w:ascii="仿宋" w:hAnsi="仿宋" w:eastAsia="仿宋" w:cs="仿宋"/>
          <w:color w:val="auto"/>
          <w:kern w:val="0"/>
          <w:sz w:val="24"/>
          <w:szCs w:val="24"/>
          <w:highlight w:val="none"/>
          <w:lang w:val="en-US" w:eastAsia="zh-CN"/>
        </w:rPr>
        <w:t>电子与智能化工程专业承包二</w:t>
      </w:r>
      <w:r>
        <w:rPr>
          <w:rFonts w:hint="eastAsia" w:ascii="仿宋" w:hAnsi="仿宋" w:eastAsia="仿宋" w:cs="仿宋"/>
          <w:color w:val="auto"/>
          <w:kern w:val="0"/>
          <w:sz w:val="24"/>
          <w:szCs w:val="24"/>
          <w:highlight w:val="none"/>
        </w:rPr>
        <w:t>级及以上资质</w:t>
      </w:r>
      <w:r>
        <w:rPr>
          <w:rFonts w:hint="eastAsia" w:ascii="仿宋" w:hAnsi="仿宋" w:eastAsia="仿宋" w:cs="仿宋"/>
          <w:color w:val="auto"/>
          <w:sz w:val="24"/>
          <w:szCs w:val="24"/>
          <w:highlight w:val="none"/>
        </w:rPr>
        <w:t>，具有有效的安全生产许可证，并在人员、设备、资金等方面具有相应的施工</w:t>
      </w:r>
      <w:r>
        <w:rPr>
          <w:rFonts w:hint="eastAsia" w:ascii="仿宋" w:hAnsi="仿宋" w:eastAsia="仿宋" w:cs="仿宋"/>
          <w:color w:val="auto"/>
          <w:sz w:val="24"/>
          <w:szCs w:val="24"/>
          <w:highlight w:val="none"/>
          <w:lang w:val="en-US" w:eastAsia="zh-CN"/>
        </w:rPr>
        <w:t>能力（自行承诺）。</w:t>
      </w:r>
    </w:p>
    <w:p w14:paraId="0CE70CB3">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19项目经理要求：</w:t>
      </w:r>
      <w:r>
        <w:rPr>
          <w:rFonts w:hint="eastAsia" w:ascii="仿宋" w:hAnsi="仿宋" w:eastAsia="仿宋" w:cs="仿宋"/>
          <w:color w:val="auto"/>
          <w:sz w:val="24"/>
          <w:szCs w:val="24"/>
          <w:highlight w:val="none"/>
        </w:rPr>
        <w:t>拟派项目经理须具备</w:t>
      </w:r>
      <w:r>
        <w:rPr>
          <w:rFonts w:hint="eastAsia" w:ascii="仿宋" w:hAnsi="仿宋" w:eastAsia="仿宋" w:cs="仿宋"/>
          <w:color w:val="auto"/>
          <w:sz w:val="24"/>
          <w:szCs w:val="24"/>
          <w:highlight w:val="none"/>
          <w:lang w:val="en-US" w:eastAsia="zh-CN"/>
        </w:rPr>
        <w:t>机电工程专业贰级及以上注</w:t>
      </w:r>
      <w:r>
        <w:rPr>
          <w:rFonts w:hint="eastAsia" w:ascii="仿宋" w:hAnsi="仿宋" w:eastAsia="仿宋" w:cs="仿宋"/>
          <w:color w:val="auto"/>
          <w:sz w:val="24"/>
          <w:szCs w:val="24"/>
          <w:highlight w:val="none"/>
        </w:rPr>
        <w:t>册建造师执业资格</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须提供电子注册证书及全国或河南省建筑市场监督公共服务平台“四库一平台”注册人员查询信息）</w:t>
      </w:r>
      <w:r>
        <w:rPr>
          <w:rFonts w:hint="eastAsia" w:ascii="仿宋" w:hAnsi="仿宋" w:eastAsia="仿宋" w:cs="仿宋"/>
          <w:color w:val="auto"/>
          <w:sz w:val="24"/>
          <w:szCs w:val="24"/>
          <w:highlight w:val="none"/>
        </w:rPr>
        <w:t>，具</w:t>
      </w:r>
      <w:r>
        <w:rPr>
          <w:rFonts w:hint="eastAsia" w:ascii="仿宋" w:hAnsi="仿宋" w:eastAsia="仿宋" w:cs="仿宋"/>
          <w:color w:val="auto"/>
          <w:sz w:val="24"/>
          <w:szCs w:val="24"/>
          <w:highlight w:val="none"/>
          <w:lang w:val="en-US" w:eastAsia="zh-CN"/>
        </w:rPr>
        <w:t>有</w:t>
      </w:r>
      <w:r>
        <w:rPr>
          <w:rFonts w:hint="eastAsia" w:ascii="仿宋" w:hAnsi="仿宋" w:eastAsia="仿宋" w:cs="仿宋"/>
          <w:color w:val="auto"/>
          <w:sz w:val="24"/>
          <w:szCs w:val="24"/>
          <w:highlight w:val="none"/>
        </w:rPr>
        <w:t>有效的安全生产考核合格证书（B证），且未担任其他在施建设工程项目的项目经理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自行承诺）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提供投标人为其缴纳的社保证明（社保证明至少应包含基本养老保险；社保证明打印时间应为招标公告发布之日后，</w:t>
      </w:r>
      <w:r>
        <w:rPr>
          <w:rFonts w:hint="default" w:ascii="仿宋" w:hAnsi="仿宋" w:eastAsia="仿宋" w:cs="仿宋"/>
          <w:color w:val="auto"/>
          <w:sz w:val="24"/>
          <w:szCs w:val="24"/>
          <w:highlight w:val="none"/>
        </w:rPr>
        <w:t>社保在单位分支机构（非独立法人）缴纳的视同本单位缴纳</w:t>
      </w:r>
      <w:r>
        <w:rPr>
          <w:rFonts w:hint="eastAsia" w:ascii="仿宋" w:hAnsi="仿宋" w:eastAsia="仿宋" w:cs="仿宋"/>
          <w:color w:val="auto"/>
          <w:sz w:val="24"/>
          <w:szCs w:val="24"/>
          <w:highlight w:val="none"/>
          <w:lang w:val="en-US" w:eastAsia="zh-CN"/>
        </w:rPr>
        <w:t>）和劳动合同。</w:t>
      </w:r>
    </w:p>
    <w:p w14:paraId="4794721A">
      <w:pPr>
        <w:keepNext w:val="0"/>
        <w:keepLines w:val="0"/>
        <w:pageBreakBefore w:val="0"/>
        <w:kinsoku/>
        <w:wordWrap w:val="0"/>
        <w:overflowPunct/>
        <w:topLinePunct w:val="0"/>
        <w:bidi w:val="0"/>
        <w:adjustRightInd/>
        <w:snapToGrid/>
        <w:spacing w:line="560" w:lineRule="exact"/>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3.20</w:t>
      </w:r>
      <w:r>
        <w:rPr>
          <w:rFonts w:hint="eastAsia" w:ascii="仿宋" w:hAnsi="仿宋" w:eastAsia="仿宋" w:cs="仿宋"/>
          <w:b/>
          <w:bCs/>
          <w:color w:val="auto"/>
          <w:sz w:val="24"/>
          <w:szCs w:val="24"/>
          <w:highlight w:val="none"/>
          <w:lang w:val="en-US" w:eastAsia="zh-CN"/>
        </w:rPr>
        <w:t>技术负责人要求：</w:t>
      </w:r>
      <w:r>
        <w:rPr>
          <w:rFonts w:hint="eastAsia" w:ascii="仿宋" w:hAnsi="仿宋" w:eastAsia="仿宋" w:cs="仿宋"/>
          <w:color w:val="auto"/>
          <w:sz w:val="24"/>
          <w:szCs w:val="24"/>
          <w:highlight w:val="none"/>
          <w:lang w:val="en-US" w:eastAsia="zh-CN"/>
        </w:rPr>
        <w:t>拟派技术负责人须具有相关专业中级（含中级）及以上技术职称，提供投标人为其缴纳的社保证明（社保证明至少应包含基本养老保险；社保证明打印时间应为招标公告发布之日后，</w:t>
      </w:r>
      <w:r>
        <w:rPr>
          <w:rFonts w:hint="default" w:ascii="仿宋" w:hAnsi="仿宋" w:eastAsia="仿宋" w:cs="仿宋"/>
          <w:color w:val="auto"/>
          <w:sz w:val="24"/>
          <w:szCs w:val="24"/>
          <w:highlight w:val="none"/>
        </w:rPr>
        <w:t>社保在单位分支机构（非独立法人）缴纳的视同本单位缴纳</w:t>
      </w:r>
      <w:r>
        <w:rPr>
          <w:rFonts w:hint="eastAsia" w:ascii="仿宋" w:hAnsi="仿宋" w:eastAsia="仿宋" w:cs="仿宋"/>
          <w:color w:val="auto"/>
          <w:sz w:val="24"/>
          <w:szCs w:val="24"/>
          <w:highlight w:val="none"/>
          <w:lang w:val="en-US" w:eastAsia="zh-CN"/>
        </w:rPr>
        <w:t>）和劳动合同</w:t>
      </w:r>
    </w:p>
    <w:p w14:paraId="49981042">
      <w:pPr>
        <w:pStyle w:val="65"/>
        <w:keepNext w:val="0"/>
        <w:keepLines w:val="0"/>
        <w:pageBreakBefore w:val="0"/>
        <w:kinsoku/>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21</w:t>
      </w:r>
      <w:r>
        <w:rPr>
          <w:rFonts w:hint="eastAsia" w:ascii="仿宋" w:hAnsi="仿宋" w:eastAsia="仿宋" w:cs="仿宋"/>
          <w:b/>
          <w:bCs/>
          <w:color w:val="auto"/>
          <w:sz w:val="24"/>
          <w:szCs w:val="24"/>
          <w:highlight w:val="none"/>
        </w:rPr>
        <w:t>财务要求</w:t>
      </w:r>
      <w:r>
        <w:rPr>
          <w:rFonts w:hint="eastAsia" w:ascii="仿宋" w:hAnsi="仿宋" w:eastAsia="仿宋" w:cs="仿宋"/>
          <w:color w:val="auto"/>
          <w:sz w:val="24"/>
          <w:szCs w:val="24"/>
          <w:highlight w:val="none"/>
        </w:rPr>
        <w:t>：投标人在投标截止前其财产没有处于被接管、冻结，破产状态（自行承诺）；并提供</w:t>
      </w:r>
      <w:r>
        <w:rPr>
          <w:rFonts w:hint="eastAsia" w:ascii="仿宋" w:hAnsi="仿宋" w:eastAsia="仿宋" w:cs="仿宋"/>
          <w:color w:val="auto"/>
          <w:sz w:val="24"/>
          <w:szCs w:val="24"/>
          <w:highlight w:val="none"/>
          <w:lang w:val="en-US" w:eastAsia="zh-CN"/>
        </w:rPr>
        <w:t>2023年度至2025年度经审计的财务报告</w:t>
      </w:r>
      <w:r>
        <w:rPr>
          <w:rFonts w:hint="eastAsia" w:ascii="仿宋" w:hAnsi="仿宋" w:eastAsia="仿宋" w:cs="仿宋"/>
          <w:color w:val="auto"/>
          <w:sz w:val="24"/>
          <w:szCs w:val="24"/>
          <w:highlight w:val="none"/>
        </w:rPr>
        <w:t>（如投标人成立时限不足要求时限的，由投标人根据自身成立时间提供</w:t>
      </w:r>
      <w:r>
        <w:rPr>
          <w:rFonts w:hint="eastAsia" w:ascii="仿宋" w:hAnsi="仿宋" w:eastAsia="仿宋" w:cs="仿宋"/>
          <w:color w:val="auto"/>
          <w:sz w:val="24"/>
          <w:szCs w:val="24"/>
          <w:highlight w:val="none"/>
          <w:lang w:val="en-US" w:eastAsia="zh-CN"/>
        </w:rPr>
        <w:t>基本开户</w:t>
      </w:r>
      <w:r>
        <w:rPr>
          <w:rFonts w:hint="eastAsia" w:ascii="仿宋" w:hAnsi="仿宋" w:eastAsia="仿宋" w:cs="仿宋"/>
          <w:color w:val="auto"/>
          <w:sz w:val="24"/>
          <w:szCs w:val="24"/>
          <w:highlight w:val="none"/>
        </w:rPr>
        <w:t>银行出具的资信证明）。</w:t>
      </w:r>
    </w:p>
    <w:p w14:paraId="09F748BA">
      <w:pPr>
        <w:pStyle w:val="65"/>
        <w:keepNext w:val="0"/>
        <w:keepLines w:val="0"/>
        <w:pageBreakBefore w:val="0"/>
        <w:kinsoku/>
        <w:overflowPunct/>
        <w:topLinePunct w:val="0"/>
        <w:bidi w:val="0"/>
        <w:adjustRightInd/>
        <w:snapToGrid/>
        <w:spacing w:line="560" w:lineRule="exact"/>
        <w:ind w:firstLine="482" w:firstLineChars="200"/>
        <w:textAlignment w:val="auto"/>
        <w:rPr>
          <w:rFonts w:hint="default" w:ascii="仿宋" w:hAnsi="仿宋" w:eastAsia="仿宋" w:cs="仿宋"/>
          <w:color w:val="auto"/>
          <w:w w:val="95"/>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22</w:t>
      </w:r>
      <w:r>
        <w:rPr>
          <w:rFonts w:hint="eastAsia" w:ascii="仿宋" w:hAnsi="仿宋" w:eastAsia="仿宋" w:cs="仿宋"/>
          <w:b/>
          <w:bCs/>
          <w:color w:val="auto"/>
          <w:w w:val="95"/>
          <w:sz w:val="24"/>
          <w:szCs w:val="24"/>
          <w:highlight w:val="none"/>
        </w:rPr>
        <w:t>信誉要求</w:t>
      </w:r>
      <w:r>
        <w:rPr>
          <w:rFonts w:hint="eastAsia" w:ascii="仿宋" w:hAnsi="仿宋" w:eastAsia="仿宋" w:cs="仿宋"/>
          <w:color w:val="auto"/>
          <w:w w:val="95"/>
          <w:sz w:val="24"/>
          <w:szCs w:val="24"/>
          <w:highlight w:val="none"/>
        </w:rPr>
        <w:t>：</w:t>
      </w:r>
    </w:p>
    <w:p w14:paraId="6654A186">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①投标人及拟派项目经理不得</w:t>
      </w:r>
      <w:r>
        <w:rPr>
          <w:rFonts w:hint="default" w:ascii="仿宋" w:hAnsi="仿宋" w:eastAsia="仿宋" w:cs="仿宋"/>
          <w:color w:val="auto"/>
          <w:sz w:val="24"/>
          <w:szCs w:val="24"/>
          <w:highlight w:val="none"/>
        </w:rPr>
        <w:t>被列入全国或省级建筑市场监管公共服务平台</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黑名单</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且在管理期限内</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eastAsia="zh-CN"/>
        </w:rPr>
        <w:t>。</w:t>
      </w:r>
    </w:p>
    <w:p w14:paraId="4B3B005B">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②投标人</w:t>
      </w:r>
      <w:r>
        <w:rPr>
          <w:rFonts w:hint="eastAsia" w:ascii="仿宋" w:hAnsi="仿宋" w:eastAsia="仿宋" w:cs="仿宋"/>
          <w:color w:val="auto"/>
          <w:sz w:val="24"/>
          <w:szCs w:val="24"/>
          <w:highlight w:val="none"/>
        </w:rPr>
        <w:t>被列入国家企业信用信息公示系统“严重违法失信名单”且在管理期限内的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拒绝参与本项目的投标活动</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val="en-US" w:eastAsia="zh-CN"/>
        </w:rPr>
        <w:t>。</w:t>
      </w:r>
    </w:p>
    <w:p w14:paraId="5A71019E">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val="en-US" w:eastAsia="zh-CN"/>
        </w:rPr>
        <w:t>对被列入“失信被执行人”“重大税收违法失信主体”“政府采购严重违法失信行为记录名单”的投标人，拒绝参与本项目的投标活动。投标人的法定代表人、拟派</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未被列入“失信被执行人”。投标人须通过“信用中国”网站（http://www.creditchina.gov.cn/）“专项查询”→“失信被执行人”→跳转至“中国执行信息公开网（http://zxgk.court.gov.cn/shixin/）”查询投标人、法定代表人、</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通过“信用中国”网站“专项查询”→查询“重大税收违法失信主体”“政府采购严重违法失信行为记录名单”，同时通过“中国政府采购网”网站查询“政府采购严重违法失信行为记录名单”（投标人须按以上查询方式进行查询并在投标文件中提供网页截图或网页打印页，截图或打印页须包括查询日期，查询日期为招标公告发布之后至投标截止时间前并加盖公章。有失信记录的拒绝参与本项目的投标活动）。</w:t>
      </w:r>
    </w:p>
    <w:p w14:paraId="44C2A60C">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 4 \* GB3 \* MERGEFORMAT </w:instrText>
      </w:r>
      <w:r>
        <w:rPr>
          <w:rFonts w:hint="eastAsia" w:ascii="仿宋" w:hAnsi="仿宋" w:eastAsia="仿宋" w:cs="仿宋"/>
          <w:color w:val="auto"/>
          <w:sz w:val="24"/>
          <w:szCs w:val="24"/>
          <w:highlight w:val="none"/>
          <w:lang w:val="en-US" w:eastAsia="zh-CN"/>
        </w:rPr>
        <w:fldChar w:fldCharType="separate"/>
      </w:r>
      <w:r>
        <w:rPr>
          <w:rFonts w:hint="default" w:ascii="仿宋" w:hAnsi="仿宋" w:eastAsia="仿宋" w:cs="仿宋"/>
          <w:color w:val="auto"/>
          <w:sz w:val="24"/>
          <w:szCs w:val="24"/>
          <w:highlight w:val="none"/>
          <w:lang w:val="en-US" w:eastAsia="zh-CN"/>
        </w:rPr>
        <w:t>④</w:t>
      </w:r>
      <w:r>
        <w:rPr>
          <w:rFonts w:hint="eastAsia" w:ascii="仿宋" w:hAnsi="仿宋" w:eastAsia="仿宋" w:cs="仿宋"/>
          <w:color w:val="auto"/>
          <w:sz w:val="24"/>
          <w:szCs w:val="24"/>
          <w:highlight w:val="none"/>
          <w:lang w:val="en-US" w:eastAsia="zh-CN"/>
        </w:rPr>
        <w:fldChar w:fldCharType="end"/>
      </w:r>
      <w:r>
        <w:rPr>
          <w:rFonts w:hint="eastAsia" w:ascii="仿宋" w:hAnsi="仿宋" w:eastAsia="仿宋" w:cs="仿宋"/>
          <w:color w:val="auto"/>
          <w:sz w:val="24"/>
          <w:szCs w:val="24"/>
          <w:highlight w:val="none"/>
          <w:lang w:val="en-US" w:eastAsia="zh-CN"/>
        </w:rPr>
        <w:t>根据《河南省住房和城乡建设厅关于进一步规范建设工程企业资质管理的通知》（豫建行规〔2024〕7号）规定，被全国和河南省建筑市场监管公共服务平台标注为资质异常的，不能使用标注异常资质承揽本工程（</w:t>
      </w:r>
      <w:r>
        <w:rPr>
          <w:rFonts w:hint="eastAsia" w:ascii="仿宋" w:hAnsi="仿宋" w:eastAsia="仿宋" w:cs="仿宋"/>
          <w:color w:val="auto"/>
          <w:kern w:val="2"/>
          <w:sz w:val="24"/>
          <w:szCs w:val="24"/>
          <w:highlight w:val="none"/>
          <w:lang w:val="en-US" w:eastAsia="zh-CN" w:bidi="ar-SA"/>
        </w:rPr>
        <w:t>投标文件中须提供全国和河南省建筑市场监管公共服务平台资质查询截图，查询时间为招标公告发布之日后，投标截止时间前，查询结果须显示网页时间。如在全国或河南省建筑市场监管公共服务平台无本企业信息，投标人可提供显示“暂无数据的查询结果”，视为“未被全国或河南省建筑市场监管公共服务平台标注为资质异常”</w:t>
      </w:r>
      <w:r>
        <w:rPr>
          <w:rFonts w:hint="eastAsia" w:ascii="仿宋" w:hAnsi="仿宋" w:eastAsia="仿宋" w:cs="仿宋"/>
          <w:color w:val="auto"/>
          <w:sz w:val="24"/>
          <w:szCs w:val="24"/>
          <w:highlight w:val="none"/>
          <w:lang w:val="en-US" w:eastAsia="zh-CN"/>
        </w:rPr>
        <w:t>）。</w:t>
      </w:r>
    </w:p>
    <w:p w14:paraId="07536F71">
      <w:pPr>
        <w:pStyle w:val="65"/>
        <w:keepNext w:val="0"/>
        <w:keepLines w:val="0"/>
        <w:pageBreakBefore w:val="0"/>
        <w:kinsoku/>
        <w:overflowPunct/>
        <w:topLinePunct w:val="0"/>
        <w:bidi w:val="0"/>
        <w:adjustRightInd/>
        <w:snapToGrid/>
        <w:spacing w:line="560" w:lineRule="exact"/>
        <w:ind w:firstLine="482" w:firstLineChars="200"/>
        <w:textAlignment w:val="auto"/>
        <w:rPr>
          <w:rFonts w:hint="eastAsia" w:ascii="仿宋" w:hAnsi="仿宋" w:eastAsia="宋体"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3.23其他要求</w:t>
      </w:r>
      <w:r>
        <w:rPr>
          <w:rFonts w:hint="eastAsia" w:ascii="仿宋" w:hAnsi="仿宋" w:eastAsia="仿宋" w:cs="仿宋"/>
          <w:color w:val="auto"/>
          <w:sz w:val="24"/>
          <w:szCs w:val="24"/>
          <w:highlight w:val="none"/>
          <w:lang w:val="en-US" w:eastAsia="zh-CN"/>
        </w:rPr>
        <w:t>：</w:t>
      </w:r>
    </w:p>
    <w:p w14:paraId="3FC7BF0A">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①投标人没有处于被责令停业，投标资格被取消；在最近三年内（自2023年1月1日以来）没有骗取中标和严重违约及重大工程质量问题。（自行承诺）</w:t>
      </w:r>
    </w:p>
    <w:p w14:paraId="18FD1B2D">
      <w:pPr>
        <w:pStyle w:val="65"/>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kern w:val="2"/>
          <w:sz w:val="24"/>
          <w:szCs w:val="24"/>
          <w:highlight w:val="none"/>
          <w:lang w:val="en-US" w:eastAsia="zh-CN" w:bidi="ar-SA"/>
        </w:rPr>
        <w:t>单位负责人为同一人或者存在控股、管理关系的不同单位，不得参加同一标段投标或者未划分标段的同一招标项目投标。（提供“国家企业信用信息公示系统”网站查询结果网页截图，需显示公司基本信息、主要人员信息、股东信息）</w:t>
      </w:r>
    </w:p>
    <w:p w14:paraId="42501B5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3.24本次招标不接受联合体投标。</w:t>
      </w:r>
    </w:p>
    <w:p w14:paraId="3E876E1C">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4.企业注册</w:t>
      </w:r>
    </w:p>
    <w:p w14:paraId="17923DC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4.1</w:t>
      </w:r>
      <w:r>
        <w:rPr>
          <w:rFonts w:hint="eastAsia" w:ascii="仿宋" w:hAnsi="仿宋" w:eastAsia="仿宋" w:cs="仿宋"/>
          <w:color w:val="auto"/>
          <w:sz w:val="24"/>
          <w:szCs w:val="24"/>
          <w:highlight w:val="none"/>
        </w:rPr>
        <w:t>投标人首先通过驻马店市公共资源交易中心电子招投标交易平台网站(以下简称“交易平台网站”)（https://ggzy.zhumadian.gov.cn/TPFront/）进行交易主体注册，然后按网站通知公告及下载中心有关要求填报企业信息和上传有关扫描件原件，提交并完善企业投标所需资料信息,由企业自行核验通过，最后自行选择办理“标证通”手机证书或者实体CA数字证书。“标证通”办理见https://www.bqpoint.com/epbzt/index.html。实体CA数字证书申请咨询电话(北京CA：4009197888华测CA：4006202211深圳CA：4001123838信安CA：0371-96596 )。</w:t>
      </w:r>
    </w:p>
    <w:p w14:paraId="6888C79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仿宋" w:hAnsi="仿宋" w:eastAsia="仿宋" w:cs="仿宋"/>
          <w:color w:val="auto"/>
          <w:highlight w:val="none"/>
          <w:lang w:val="en-US" w:eastAsia="zh-CN"/>
        </w:rPr>
      </w:pPr>
      <w:r>
        <w:rPr>
          <w:rFonts w:hint="eastAsia" w:ascii="仿宋" w:hAnsi="仿宋" w:eastAsia="仿宋" w:cs="仿宋"/>
          <w:color w:val="auto"/>
          <w:sz w:val="24"/>
          <w:szCs w:val="24"/>
          <w:highlight w:val="none"/>
          <w:lang w:val="en-US" w:eastAsia="zh-CN"/>
        </w:rPr>
        <w:t>4.2</w:t>
      </w:r>
      <w:r>
        <w:rPr>
          <w:rFonts w:hint="eastAsia" w:ascii="仿宋" w:hAnsi="仿宋" w:eastAsia="仿宋" w:cs="仿宋"/>
          <w:color w:val="auto"/>
          <w:sz w:val="24"/>
          <w:szCs w:val="24"/>
          <w:highlight w:val="none"/>
        </w:rPr>
        <w:t>请各投标人网上报名时注意完善主体信息（如开户银行及开户账号等），以免未填写或错误导致系统判定废标。</w:t>
      </w:r>
    </w:p>
    <w:p w14:paraId="6C52B208">
      <w:pPr>
        <w:spacing w:before="156" w:beforeLines="50" w:after="156" w:afterLines="5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.招标文件的获取</w:t>
      </w:r>
    </w:p>
    <w:p w14:paraId="2AD3794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5.1招标文件获取时间：凡有意参加投标者请于</w:t>
      </w:r>
      <w:r>
        <w:rPr>
          <w:rFonts w:hint="eastAsia" w:ascii="仿宋" w:hAnsi="仿宋" w:eastAsia="仿宋" w:cs="仿宋"/>
          <w:color w:val="auto"/>
          <w:sz w:val="24"/>
          <w:szCs w:val="24"/>
          <w:highlight w:val="none"/>
          <w:lang w:val="en-US" w:eastAsia="zh-CN"/>
        </w:rPr>
        <w:t>2026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08</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27</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:00时至</w:t>
      </w:r>
      <w:r>
        <w:rPr>
          <w:rFonts w:hint="eastAsia" w:ascii="仿宋" w:hAnsi="仿宋" w:eastAsia="仿宋" w:cs="仿宋"/>
          <w:color w:val="auto"/>
          <w:sz w:val="24"/>
          <w:szCs w:val="24"/>
          <w:highlight w:val="none"/>
          <w:lang w:val="en-US" w:eastAsia="zh-CN"/>
        </w:rPr>
        <w:t>2026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09</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02</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18</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00</w:t>
      </w:r>
      <w:r>
        <w:rPr>
          <w:rFonts w:hint="eastAsia" w:ascii="仿宋" w:hAnsi="仿宋" w:eastAsia="仿宋" w:cs="仿宋"/>
          <w:color w:val="auto"/>
          <w:sz w:val="24"/>
          <w:szCs w:val="24"/>
          <w:highlight w:val="none"/>
        </w:rPr>
        <w:t>时，登录“</w:t>
      </w:r>
      <w:r>
        <w:rPr>
          <w:rFonts w:hint="eastAsia" w:ascii="仿宋" w:hAnsi="仿宋" w:eastAsia="仿宋" w:cs="仿宋"/>
          <w:color w:val="auto"/>
          <w:sz w:val="24"/>
          <w:szCs w:val="24"/>
          <w:highlight w:val="none"/>
          <w:lang w:val="en-US" w:eastAsia="zh-CN"/>
        </w:rPr>
        <w:t>驻马店市公共资源交易中心</w:t>
      </w:r>
      <w:r>
        <w:rPr>
          <w:rFonts w:hint="eastAsia" w:ascii="仿宋" w:hAnsi="仿宋" w:eastAsia="仿宋" w:cs="仿宋"/>
          <w:color w:val="auto"/>
          <w:sz w:val="24"/>
          <w:szCs w:val="24"/>
          <w:highlight w:val="none"/>
        </w:rPr>
        <w:t>”（https://ggzy.zhumadian.gov.cn/TPFront/）</w:t>
      </w:r>
      <w:r>
        <w:rPr>
          <w:rFonts w:hint="eastAsia" w:ascii="仿宋" w:hAnsi="仿宋" w:eastAsia="仿宋" w:cs="仿宋"/>
          <w:color w:val="auto"/>
          <w:sz w:val="24"/>
          <w:szCs w:val="24"/>
          <w:highlight w:val="none"/>
          <w:lang w:val="en-US" w:eastAsia="zh-CN"/>
        </w:rPr>
        <w:t>网站</w:t>
      </w:r>
      <w:r>
        <w:rPr>
          <w:rFonts w:hint="eastAsia" w:ascii="仿宋" w:hAnsi="仿宋" w:eastAsia="仿宋" w:cs="仿宋"/>
          <w:color w:val="auto"/>
          <w:sz w:val="24"/>
          <w:szCs w:val="24"/>
          <w:highlight w:val="none"/>
        </w:rPr>
        <w:t>，凭领取的企业身份认证锁（CA密钥）登录系统免费下载招标文件及相关资料。投标人未按规定在网上下载招标文件的，其投标将被拒绝。</w:t>
      </w:r>
    </w:p>
    <w:p w14:paraId="0E3F4D6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5.2招标文件获取方式：凭CA密钥登陆会员系统并按网上提示下载招标文件及资料。（详见交易平台网站下载中心栏目里投标人操作手册）。</w:t>
      </w:r>
    </w:p>
    <w:p w14:paraId="41C3916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获取招标文件后，投标人请到“交易平台网站”（https://ggzy.zhumadian.gov.cn/TPFront/）下载中心栏目下载最新版本的投标文件制作工具安装包，并使用安装后的最新版本投标文件制作工具以及CA密钥制作电子投标文件。</w:t>
      </w:r>
    </w:p>
    <w:p w14:paraId="6A42307D">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6</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 xml:space="preserve">资格审查方式 </w:t>
      </w:r>
    </w:p>
    <w:p w14:paraId="431B4BE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6.1</w:t>
      </w:r>
      <w:r>
        <w:rPr>
          <w:rFonts w:hint="eastAsia" w:ascii="仿宋" w:hAnsi="仿宋" w:eastAsia="仿宋" w:cs="仿宋"/>
          <w:color w:val="auto"/>
          <w:sz w:val="24"/>
          <w:szCs w:val="24"/>
          <w:highlight w:val="none"/>
        </w:rPr>
        <w:t>本招标工程项目对投标申请人的资格审查采用资格后审方式，主要资格审查标准和内容详见招标文件，只有资格审查合格的投标申请人才有可能被授予合同。</w:t>
      </w:r>
    </w:p>
    <w:p w14:paraId="27F3814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6.2</w:t>
      </w:r>
      <w:r>
        <w:rPr>
          <w:rFonts w:hint="eastAsia" w:ascii="仿宋" w:hAnsi="仿宋" w:eastAsia="仿宋" w:cs="仿宋"/>
          <w:color w:val="auto"/>
          <w:sz w:val="24"/>
          <w:szCs w:val="24"/>
          <w:highlight w:val="none"/>
        </w:rPr>
        <w:t xml:space="preserve">本项目采用不见面开标，投标人无需递交纸质投标文件及原件，投标企业应在项目开标前，将项目经理、人员、资质、业绩、荣誉、财务等投标所需材料扫描件，上传至驻马店市公共资源电子交易平台诚信库中，同时在“资格审查材料（不见面开标）”菜单下按标段挑选该标段投标所用资格审查材料，以供评标过程中评委查阅。评标时以电子投标文件及“资格审查材料（不见面开标）”菜单中选取的信息为准。 </w:t>
      </w:r>
    </w:p>
    <w:p w14:paraId="114CA437">
      <w:pPr>
        <w:keepNext w:val="0"/>
        <w:keepLines w:val="0"/>
        <w:pageBreakBefore w:val="0"/>
        <w:widowControl w:val="0"/>
        <w:kinsoku/>
        <w:overflowPunct/>
        <w:topLinePunct w:val="0"/>
        <w:autoSpaceDE/>
        <w:autoSpaceDN/>
        <w:bidi w:val="0"/>
        <w:adjustRightInd/>
        <w:snapToGrid/>
        <w:spacing w:before="156" w:beforeLines="50" w:after="156" w:afterLines="50" w:line="400" w:lineRule="exac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7</w:t>
      </w:r>
      <w:r>
        <w:rPr>
          <w:rFonts w:hint="eastAsia" w:ascii="仿宋" w:hAnsi="仿宋" w:eastAsia="仿宋" w:cs="仿宋"/>
          <w:b/>
          <w:bCs/>
          <w:color w:val="auto"/>
          <w:sz w:val="24"/>
          <w:highlight w:val="none"/>
        </w:rPr>
        <w:t>.投标文件的递交</w:t>
      </w:r>
    </w:p>
    <w:p w14:paraId="4575201A">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.1投标文件的递交截止时间（</w:t>
      </w:r>
      <w:r>
        <w:rPr>
          <w:rFonts w:hint="eastAsia" w:ascii="仿宋" w:hAnsi="仿宋" w:eastAsia="仿宋" w:cs="仿宋"/>
          <w:color w:val="auto"/>
          <w:sz w:val="24"/>
          <w:highlight w:val="none"/>
          <w:lang w:val="en-US" w:eastAsia="zh-CN"/>
        </w:rPr>
        <w:t>同</w:t>
      </w:r>
      <w:r>
        <w:rPr>
          <w:rFonts w:hint="eastAsia" w:ascii="仿宋" w:hAnsi="仿宋" w:eastAsia="仿宋" w:cs="仿宋"/>
          <w:color w:val="auto"/>
          <w:sz w:val="24"/>
          <w:highlight w:val="none"/>
        </w:rPr>
        <w:t>投标截止时间）：</w:t>
      </w:r>
      <w:r>
        <w:rPr>
          <w:rFonts w:hint="eastAsia" w:ascii="仿宋" w:hAnsi="仿宋" w:eastAsia="仿宋" w:cs="仿宋"/>
          <w:color w:val="auto"/>
          <w:sz w:val="24"/>
          <w:highlight w:val="none"/>
          <w:u w:val="single"/>
        </w:rPr>
        <w:t>2026</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val="en-US" w:eastAsia="zh-CN"/>
        </w:rPr>
        <w:t>09</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16</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u w:val="single"/>
          <w:lang w:val="en-US" w:eastAsia="zh-CN"/>
        </w:rPr>
        <w:t>09</w:t>
      </w:r>
      <w:r>
        <w:rPr>
          <w:rFonts w:hint="eastAsia" w:ascii="仿宋" w:hAnsi="仿宋" w:eastAsia="仿宋" w:cs="仿宋"/>
          <w:color w:val="auto"/>
          <w:sz w:val="24"/>
          <w:highlight w:val="none"/>
        </w:rPr>
        <w:t>时</w:t>
      </w:r>
      <w:r>
        <w:rPr>
          <w:rFonts w:hint="eastAsia" w:ascii="仿宋" w:hAnsi="仿宋" w:eastAsia="仿宋" w:cs="仿宋"/>
          <w:color w:val="auto"/>
          <w:sz w:val="24"/>
          <w:highlight w:val="none"/>
          <w:u w:val="single"/>
          <w:lang w:val="en-US" w:eastAsia="zh-CN"/>
        </w:rPr>
        <w:t>00</w:t>
      </w:r>
      <w:r>
        <w:rPr>
          <w:rFonts w:hint="eastAsia" w:ascii="仿宋" w:hAnsi="仿宋" w:eastAsia="仿宋" w:cs="仿宋"/>
          <w:color w:val="auto"/>
          <w:sz w:val="24"/>
          <w:highlight w:val="none"/>
        </w:rPr>
        <w:t>分。</w:t>
      </w:r>
    </w:p>
    <w:p w14:paraId="5C3218A2">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.2投标文件的递交方式：投标人应在投标截止时间前通过电子招标投标交易平台递交电子投标文件。</w:t>
      </w:r>
    </w:p>
    <w:p w14:paraId="69B2B31A">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.3逾期或未按照指定方式递交的投标文件，电子招标投标交易平台将予以拒收。</w:t>
      </w:r>
    </w:p>
    <w:p w14:paraId="7F747571">
      <w:pPr>
        <w:keepNext w:val="0"/>
        <w:keepLines w:val="0"/>
        <w:pageBreakBefore w:val="0"/>
        <w:widowControl w:val="0"/>
        <w:kinsoku/>
        <w:overflowPunct/>
        <w:topLinePunct w:val="0"/>
        <w:autoSpaceDE/>
        <w:autoSpaceDN/>
        <w:bidi w:val="0"/>
        <w:adjustRightInd/>
        <w:snapToGrid/>
        <w:spacing w:before="156" w:beforeLines="50" w:after="156" w:afterLines="50" w:line="400" w:lineRule="exact"/>
        <w:textAlignment w:val="auto"/>
        <w:rPr>
          <w:rFonts w:hint="eastAsia" w:ascii="仿宋" w:hAnsi="仿宋" w:eastAsia="仿宋" w:cs="仿宋"/>
          <w:b/>
          <w:bCs/>
          <w:color w:val="auto"/>
          <w:sz w:val="24"/>
          <w:highlight w:val="none"/>
        </w:rPr>
      </w:pPr>
      <w:bookmarkStart w:id="56" w:name="OLE_LINK5"/>
      <w:r>
        <w:rPr>
          <w:rFonts w:hint="eastAsia" w:ascii="仿宋" w:hAnsi="仿宋" w:eastAsia="仿宋" w:cs="仿宋"/>
          <w:b/>
          <w:bCs/>
          <w:color w:val="auto"/>
          <w:sz w:val="24"/>
          <w:highlight w:val="none"/>
          <w:lang w:val="en-US" w:eastAsia="zh-CN"/>
        </w:rPr>
        <w:t>8</w:t>
      </w:r>
      <w:r>
        <w:rPr>
          <w:rFonts w:hint="eastAsia" w:ascii="仿宋" w:hAnsi="仿宋" w:eastAsia="仿宋" w:cs="仿宋"/>
          <w:b/>
          <w:bCs/>
          <w:color w:val="auto"/>
          <w:sz w:val="24"/>
          <w:highlight w:val="none"/>
        </w:rPr>
        <w:t>.发布公告的媒介</w:t>
      </w:r>
    </w:p>
    <w:bookmarkEnd w:id="56"/>
    <w:p w14:paraId="2902F90E">
      <w:pPr>
        <w:keepNext w:val="0"/>
        <w:keepLines w:val="0"/>
        <w:pageBreakBefore w:val="0"/>
        <w:widowControl w:val="0"/>
        <w:kinsoku/>
        <w:overflowPunct/>
        <w:topLinePunct w:val="0"/>
        <w:autoSpaceDE/>
        <w:autoSpaceDN/>
        <w:bidi w:val="0"/>
        <w:adjustRightInd/>
        <w:snapToGrid/>
        <w:spacing w:line="400" w:lineRule="exact"/>
        <w:ind w:firstLine="437"/>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本次招标公告同时在《中国招标投标公共服务平台》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《河南省政府采购网》</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驻马店市公共资源交易</w:t>
      </w:r>
      <w:r>
        <w:rPr>
          <w:rFonts w:hint="eastAsia" w:ascii="仿宋" w:hAnsi="仿宋" w:eastAsia="仿宋" w:cs="仿宋"/>
          <w:color w:val="auto"/>
          <w:sz w:val="24"/>
          <w:highlight w:val="none"/>
          <w:lang w:val="en-US" w:eastAsia="zh-CN"/>
        </w:rPr>
        <w:t>平台</w:t>
      </w:r>
      <w:r>
        <w:rPr>
          <w:rFonts w:hint="eastAsia" w:ascii="仿宋" w:hAnsi="仿宋" w:eastAsia="仿宋" w:cs="仿宋"/>
          <w:color w:val="auto"/>
          <w:sz w:val="24"/>
          <w:highlight w:val="none"/>
        </w:rPr>
        <w:t>》上发布。</w:t>
      </w:r>
    </w:p>
    <w:p w14:paraId="2C6497A5">
      <w:pPr>
        <w:keepNext w:val="0"/>
        <w:keepLines w:val="0"/>
        <w:pageBreakBefore w:val="0"/>
        <w:widowControl w:val="0"/>
        <w:kinsoku/>
        <w:overflowPunct/>
        <w:topLinePunct w:val="0"/>
        <w:autoSpaceDE/>
        <w:autoSpaceDN/>
        <w:bidi w:val="0"/>
        <w:adjustRightInd/>
        <w:snapToGrid/>
        <w:spacing w:before="156" w:beforeLines="50" w:after="156" w:afterLines="50" w:line="400" w:lineRule="exac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9</w:t>
      </w:r>
      <w:r>
        <w:rPr>
          <w:rFonts w:hint="eastAsia" w:ascii="仿宋" w:hAnsi="仿宋" w:eastAsia="仿宋" w:cs="仿宋"/>
          <w:b/>
          <w:bCs/>
          <w:color w:val="auto"/>
          <w:sz w:val="24"/>
          <w:highlight w:val="none"/>
        </w:rPr>
        <w:t>.其他补充事宜</w:t>
      </w:r>
    </w:p>
    <w:p w14:paraId="252DBB8B">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lang w:val="en-US" w:eastAsia="zh-CN"/>
        </w:rPr>
      </w:pPr>
      <w:bookmarkStart w:id="57" w:name="OLE_LINK2"/>
      <w:r>
        <w:rPr>
          <w:rFonts w:hint="eastAsia" w:ascii="仿宋" w:hAnsi="仿宋" w:eastAsia="仿宋" w:cs="仿宋"/>
          <w:color w:val="auto"/>
          <w:sz w:val="24"/>
          <w:highlight w:val="none"/>
          <w:lang w:val="en-US" w:eastAsia="zh-CN"/>
        </w:rPr>
        <w:t>9.1投标人和其他利害关系人在招标过程中如有异议请按照相关法律法规的规定，通过电子招标投标交易平台依法向招标人提出异议。</w:t>
      </w:r>
    </w:p>
    <w:p w14:paraId="6BC35C67">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9.2本项目多标段实行兼投不兼中，投标人可同时参加本项目多个标段投标，但最多只能中标一个标段。各标段评标独立开展，全部产生中标候选人，</w:t>
      </w:r>
      <w:r>
        <w:rPr>
          <w:rFonts w:hint="eastAsia" w:ascii="仿宋" w:hAnsi="仿宋" w:eastAsia="仿宋" w:cs="仿宋"/>
          <w:color w:val="auto"/>
          <w:sz w:val="24"/>
          <w:highlight w:val="none"/>
        </w:rPr>
        <w:t>经核查后合格的中标候选人即可进入定标程序</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定标阶段按标段编号从小到大依次定标；投标人一旦被确定为某一标段中标人，不再参与其余标段定标，其余标段在剩余中标候选人中完成定标。剔除后标段不满足定标条件的，该标段重新招标。前序标段中标人因故被取消资格，不改变后续标段已定标结果。</w:t>
      </w:r>
    </w:p>
    <w:p w14:paraId="52552573">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9.3本项目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7E52CDFF">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9.4远程开标前，投标人务必在驻马店市公共资源交易电子交易平台（http://ggzy.zhumadian.gov.cn:8820/TPbidder）投标文件上传模块中使用“模拟解密”功能，验证本机远程自助解密环境。</w:t>
      </w:r>
    </w:p>
    <w:p w14:paraId="0C0CCA63">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9.5因驻马店不见面交易系统具备视频直播、语音通话等，对网络带宽及硬件要求相对较高的功能，故投标人在参与使用不见面交易系统开标的项目时，需确认是否满足如下要求：</w:t>
      </w:r>
      <w:bookmarkStart w:id="58" w:name="_Toc12606778"/>
    </w:p>
    <w:p w14:paraId="761275C3">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（1）网络要求</w:t>
      </w:r>
      <w:bookmarkEnd w:id="58"/>
      <w:r>
        <w:rPr>
          <w:rFonts w:hint="eastAsia" w:ascii="仿宋" w:hAnsi="仿宋" w:eastAsia="仿宋" w:cs="仿宋"/>
          <w:color w:val="auto"/>
          <w:sz w:val="24"/>
          <w:highlight w:val="none"/>
          <w:lang w:val="en-US" w:eastAsia="zh-CN"/>
        </w:rPr>
        <w:t>：网络带宽4M以上。</w:t>
      </w:r>
    </w:p>
    <w:p w14:paraId="325D216F">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lang w:val="en-US" w:eastAsia="zh-CN"/>
        </w:rPr>
      </w:pPr>
      <w:bookmarkStart w:id="59" w:name="_Toc12606779"/>
      <w:r>
        <w:rPr>
          <w:rFonts w:hint="eastAsia" w:ascii="仿宋" w:hAnsi="仿宋" w:eastAsia="仿宋" w:cs="仿宋"/>
          <w:color w:val="auto"/>
          <w:sz w:val="24"/>
          <w:highlight w:val="none"/>
          <w:lang w:val="en-US" w:eastAsia="zh-CN"/>
        </w:rPr>
        <w:t>（2）硬件要求</w:t>
      </w:r>
      <w:bookmarkEnd w:id="59"/>
      <w:r>
        <w:rPr>
          <w:rFonts w:hint="eastAsia" w:ascii="仿宋" w:hAnsi="仿宋" w:eastAsia="仿宋" w:cs="仿宋"/>
          <w:color w:val="auto"/>
          <w:sz w:val="24"/>
          <w:highlight w:val="none"/>
          <w:lang w:val="en-US" w:eastAsia="zh-CN"/>
        </w:rPr>
        <w:t>：电脑要求内存4G及以上，且需配套网络摄像头、麦克风、音箱等，并确保其均能正常运转。操作系统要求Windows7及以上，IE浏览器IE11及以上。</w:t>
      </w:r>
    </w:p>
    <w:p w14:paraId="303D2658">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rPr>
      </w:pPr>
      <w:bookmarkStart w:id="60" w:name="_Toc12606780"/>
      <w:r>
        <w:rPr>
          <w:rFonts w:hint="eastAsia" w:ascii="仿宋" w:hAnsi="仿宋" w:eastAsia="仿宋" w:cs="仿宋"/>
          <w:color w:val="auto"/>
          <w:sz w:val="24"/>
          <w:highlight w:val="none"/>
          <w:lang w:val="en-US" w:eastAsia="zh-CN"/>
        </w:rPr>
        <w:t>（3）人员要求</w:t>
      </w:r>
      <w:bookmarkEnd w:id="60"/>
      <w:r>
        <w:rPr>
          <w:rFonts w:hint="eastAsia" w:ascii="仿宋" w:hAnsi="仿宋" w:eastAsia="仿宋" w:cs="仿宋"/>
          <w:color w:val="auto"/>
          <w:sz w:val="24"/>
          <w:highlight w:val="none"/>
          <w:lang w:val="en-US" w:eastAsia="zh-CN"/>
        </w:rPr>
        <w:t>：对于参与驻马店不见面交易系统开标的投标人，要求能熟练掌握电脑基础操作。不见面开标操作手册下载地址：（https://ggzy.zhumadian.gov.cn/InfoDetail/?InfoID=09eaacd6-a524-447f-a5fd-776c58eb1582&amp;CategoryNum=026001）</w:t>
      </w:r>
    </w:p>
    <w:bookmarkEnd w:id="57"/>
    <w:p w14:paraId="5DD317ED">
      <w:pPr>
        <w:keepNext w:val="0"/>
        <w:keepLines w:val="0"/>
        <w:pageBreakBefore w:val="0"/>
        <w:widowControl w:val="0"/>
        <w:kinsoku/>
        <w:overflowPunct/>
        <w:topLinePunct w:val="0"/>
        <w:autoSpaceDE/>
        <w:autoSpaceDN/>
        <w:bidi w:val="0"/>
        <w:adjustRightInd/>
        <w:snapToGrid/>
        <w:spacing w:before="156" w:beforeLines="50" w:after="156" w:afterLines="50" w:line="400" w:lineRule="exac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10</w:t>
      </w:r>
      <w:r>
        <w:rPr>
          <w:rFonts w:hint="eastAsia" w:ascii="仿宋" w:hAnsi="仿宋" w:eastAsia="仿宋" w:cs="仿宋"/>
          <w:b/>
          <w:bCs/>
          <w:color w:val="auto"/>
          <w:sz w:val="24"/>
          <w:highlight w:val="none"/>
        </w:rPr>
        <w:t>.联系方式</w:t>
      </w:r>
    </w:p>
    <w:p w14:paraId="1DFF51B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招标人：</w:t>
      </w:r>
      <w:r>
        <w:rPr>
          <w:rFonts w:hint="eastAsia" w:ascii="仿宋" w:hAnsi="仿宋" w:eastAsia="仿宋" w:cs="仿宋"/>
          <w:color w:val="auto"/>
          <w:sz w:val="24"/>
          <w:highlight w:val="none"/>
          <w:lang w:eastAsia="zh-CN"/>
        </w:rPr>
        <w:t>驻马店市中医院</w:t>
      </w:r>
    </w:p>
    <w:p w14:paraId="4D2C928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lang w:val="en-US" w:eastAsia="zh-CN"/>
        </w:rPr>
        <w:t>陈先生</w:t>
      </w:r>
    </w:p>
    <w:p w14:paraId="65A814F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rPr>
        <w:t>电话：</w:t>
      </w:r>
      <w:r>
        <w:rPr>
          <w:rFonts w:hint="eastAsia" w:ascii="仿宋" w:hAnsi="仿宋" w:eastAsia="仿宋" w:cs="仿宋"/>
          <w:color w:val="auto"/>
          <w:sz w:val="24"/>
          <w:highlight w:val="none"/>
          <w:lang w:val="en-US" w:eastAsia="zh-CN"/>
        </w:rPr>
        <w:t xml:space="preserve"> 17603962169</w:t>
      </w:r>
    </w:p>
    <w:p w14:paraId="35B41D6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lang w:val="en-US" w:eastAsia="zh-CN"/>
        </w:rPr>
        <w:t>河南省驻马店市解放路西段895号 </w:t>
      </w:r>
    </w:p>
    <w:p w14:paraId="115E150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招标代理机构：</w:t>
      </w:r>
      <w:r>
        <w:rPr>
          <w:rFonts w:hint="eastAsia" w:ascii="仿宋" w:hAnsi="仿宋" w:eastAsia="仿宋" w:cs="仿宋"/>
          <w:color w:val="auto"/>
          <w:sz w:val="24"/>
          <w:highlight w:val="none"/>
          <w:lang w:eastAsia="zh-CN"/>
        </w:rPr>
        <w:t>河南博研信众招标代理有限责任公司</w:t>
      </w:r>
    </w:p>
    <w:p w14:paraId="66AE377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lang w:val="en-US" w:eastAsia="zh-CN"/>
        </w:rPr>
        <w:t>贾先生</w:t>
      </w:r>
      <w:r>
        <w:rPr>
          <w:rFonts w:hint="eastAsia" w:ascii="仿宋" w:hAnsi="仿宋" w:eastAsia="仿宋" w:cs="仿宋"/>
          <w:color w:val="auto"/>
          <w:sz w:val="24"/>
          <w:highlight w:val="none"/>
        </w:rPr>
        <w:t xml:space="preserve"> </w:t>
      </w:r>
    </w:p>
    <w:p w14:paraId="783D919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r>
        <w:rPr>
          <w:rFonts w:hint="eastAsia" w:ascii="仿宋" w:hAnsi="仿宋" w:eastAsia="仿宋" w:cs="仿宋"/>
          <w:color w:val="auto"/>
          <w:sz w:val="24"/>
          <w:highlight w:val="none"/>
          <w:lang w:val="en-US" w:eastAsia="zh-CN"/>
        </w:rPr>
        <w:t>0396-2697890</w:t>
      </w:r>
    </w:p>
    <w:p w14:paraId="5D0B4A2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lang w:eastAsia="zh-CN"/>
        </w:rPr>
        <w:t>驻马店市泰山路与复兴路交叉口西北角经纬花园1号楼</w:t>
      </w:r>
    </w:p>
    <w:p w14:paraId="6817698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监督部门：驻马店市驿城区住房和城乡建设局</w:t>
      </w:r>
    </w:p>
    <w:p w14:paraId="1354C43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址：驻马店市驿城区健康路与建新街交叉口向西100米</w:t>
      </w:r>
    </w:p>
    <w:p w14:paraId="550E9C9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电 话：0396-2138991</w:t>
      </w:r>
    </w:p>
    <w:p w14:paraId="3A0DB5F9">
      <w:pPr>
        <w:keepNext w:val="0"/>
        <w:keepLines w:val="0"/>
        <w:pageBreakBefore w:val="0"/>
        <w:widowControl w:val="0"/>
        <w:kinsoku/>
        <w:overflowPunct/>
        <w:topLinePunct w:val="0"/>
        <w:autoSpaceDE/>
        <w:autoSpaceDN/>
        <w:bidi w:val="0"/>
        <w:adjustRightInd/>
        <w:snapToGrid/>
        <w:spacing w:before="156" w:beforeLines="50" w:after="156" w:afterLines="50" w:line="400" w:lineRule="exac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11</w:t>
      </w:r>
      <w:r>
        <w:rPr>
          <w:rFonts w:hint="eastAsia" w:ascii="仿宋" w:hAnsi="仿宋" w:eastAsia="仿宋" w:cs="仿宋"/>
          <w:b/>
          <w:bCs/>
          <w:color w:val="auto"/>
          <w:sz w:val="24"/>
          <w:highlight w:val="none"/>
        </w:rPr>
        <w:t>、特别提醒</w:t>
      </w:r>
    </w:p>
    <w:p w14:paraId="7F222F7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因驻马店不见面交易系统具备视频直播、语音通话等，对网络带宽及硬件要求相对较高的功能，故投标人在参与使用不见面交易系统开标的项目时，需确认是否满足如下要求：</w:t>
      </w:r>
    </w:p>
    <w:p w14:paraId="055568E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1、网络要求：</w:t>
      </w:r>
    </w:p>
    <w:p w14:paraId="50E35D3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网络带宽4M以上。</w:t>
      </w:r>
    </w:p>
    <w:p w14:paraId="186B654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2、硬件要求</w:t>
      </w:r>
    </w:p>
    <w:p w14:paraId="703D2E9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电脑要求内存4G及以上，且需配套网络摄像头、麦克风、音箱等，并确保其均能正常运转。操作系统要求Windows7及以上，IE浏览器IE11及以上。</w:t>
      </w:r>
    </w:p>
    <w:p w14:paraId="2B8E712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3、人员要求</w:t>
      </w:r>
    </w:p>
    <w:p w14:paraId="2104BBD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对于参与驻马店不见面交易系统开标的投标企业代表，要求能熟练掌握电脑基础操作。不见面开标操作手册下载地址：（https://ggzy.zhumadian.gov.cn/TPFront/InfoDetail/?InfoID=6e085538-</w:t>
      </w:r>
    </w:p>
    <w:p w14:paraId="4AEBB15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6be5-4d25-80b2-12f5fc669ba1&amp;CategoryNum=026005）</w:t>
      </w:r>
    </w:p>
    <w:p w14:paraId="42FFCB3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p>
    <w:p w14:paraId="6E1B2A8D">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right"/>
        <w:textAlignment w:val="auto"/>
        <w:rPr>
          <w:color w:val="auto"/>
          <w:szCs w:val="21"/>
          <w:highlight w:val="none"/>
        </w:rPr>
      </w:pPr>
      <w:r>
        <w:rPr>
          <w:color w:val="auto"/>
          <w:szCs w:val="21"/>
          <w:highlight w:val="none"/>
        </w:rPr>
        <w:t xml:space="preserve"> </w:t>
      </w:r>
    </w:p>
    <w:p w14:paraId="5D2340FF">
      <w:pPr>
        <w:spacing w:line="360" w:lineRule="auto"/>
        <w:ind w:firstLine="437"/>
        <w:jc w:val="right"/>
        <w:outlineLvl w:val="9"/>
        <w:rPr>
          <w:color w:val="auto"/>
          <w:highlight w:val="none"/>
        </w:rPr>
      </w:pPr>
      <w:r>
        <w:rPr>
          <w:color w:val="auto"/>
          <w:szCs w:val="21"/>
          <w:highlight w:val="none"/>
        </w:rPr>
        <w:br w:type="page"/>
      </w:r>
    </w:p>
    <w:p w14:paraId="69A22CC4">
      <w:pPr>
        <w:wordWrap w:val="0"/>
        <w:spacing w:line="400" w:lineRule="exact"/>
        <w:jc w:val="center"/>
        <w:outlineLvl w:val="9"/>
        <w:rPr>
          <w:rFonts w:eastAsia="黑体"/>
          <w:color w:val="auto"/>
          <w:sz w:val="32"/>
          <w:szCs w:val="32"/>
          <w:highlight w:val="none"/>
        </w:rPr>
      </w:pPr>
      <w:bookmarkStart w:id="61" w:name="_Toc28878"/>
      <w:bookmarkStart w:id="62" w:name="_Toc1690"/>
      <w:bookmarkStart w:id="63" w:name="_Toc2425"/>
      <w:bookmarkStart w:id="64" w:name="_Toc14151"/>
      <w:bookmarkStart w:id="65" w:name="_Toc5644"/>
      <w:bookmarkStart w:id="66" w:name="_Toc11081"/>
      <w:bookmarkStart w:id="67" w:name="_Toc30297"/>
      <w:bookmarkStart w:id="68" w:name="_Toc24116"/>
      <w:bookmarkStart w:id="69" w:name="_Toc2176"/>
      <w:bookmarkStart w:id="70" w:name="_Toc9114"/>
      <w:bookmarkStart w:id="71" w:name="_Toc25381"/>
      <w:bookmarkStart w:id="72" w:name="_Toc15684"/>
      <w:bookmarkStart w:id="73" w:name="_Toc2529"/>
    </w:p>
    <w:p w14:paraId="30C4AFB3">
      <w:pPr>
        <w:wordWrap w:val="0"/>
        <w:spacing w:line="400" w:lineRule="exact"/>
        <w:jc w:val="center"/>
        <w:outlineLvl w:val="9"/>
        <w:rPr>
          <w:rFonts w:eastAsia="黑体"/>
          <w:color w:val="auto"/>
          <w:sz w:val="32"/>
          <w:szCs w:val="32"/>
          <w:highlight w:val="none"/>
        </w:rPr>
      </w:pPr>
    </w:p>
    <w:p w14:paraId="459CD648">
      <w:pPr>
        <w:wordWrap w:val="0"/>
        <w:spacing w:line="400" w:lineRule="exact"/>
        <w:jc w:val="center"/>
        <w:outlineLvl w:val="9"/>
        <w:rPr>
          <w:rFonts w:eastAsia="黑体"/>
          <w:color w:val="auto"/>
          <w:sz w:val="32"/>
          <w:szCs w:val="32"/>
          <w:highlight w:val="none"/>
        </w:rPr>
      </w:pPr>
    </w:p>
    <w:p w14:paraId="3106217D">
      <w:pPr>
        <w:wordWrap w:val="0"/>
        <w:spacing w:line="400" w:lineRule="exact"/>
        <w:jc w:val="center"/>
        <w:outlineLvl w:val="9"/>
        <w:rPr>
          <w:rFonts w:eastAsia="黑体"/>
          <w:color w:val="auto"/>
          <w:sz w:val="32"/>
          <w:szCs w:val="32"/>
          <w:highlight w:val="none"/>
        </w:rPr>
      </w:pPr>
    </w:p>
    <w:p w14:paraId="254F632F">
      <w:pPr>
        <w:wordWrap w:val="0"/>
        <w:spacing w:line="400" w:lineRule="exact"/>
        <w:jc w:val="center"/>
        <w:outlineLvl w:val="9"/>
        <w:rPr>
          <w:rFonts w:eastAsia="黑体"/>
          <w:color w:val="auto"/>
          <w:sz w:val="32"/>
          <w:szCs w:val="32"/>
          <w:highlight w:val="none"/>
        </w:rPr>
      </w:pPr>
    </w:p>
    <w:p w14:paraId="17163DA4">
      <w:pPr>
        <w:wordWrap w:val="0"/>
        <w:spacing w:line="400" w:lineRule="exact"/>
        <w:jc w:val="center"/>
        <w:outlineLvl w:val="9"/>
        <w:rPr>
          <w:rFonts w:eastAsia="黑体"/>
          <w:color w:val="auto"/>
          <w:sz w:val="32"/>
          <w:szCs w:val="32"/>
          <w:highlight w:val="none"/>
        </w:rPr>
      </w:pPr>
    </w:p>
    <w:p w14:paraId="43664B86">
      <w:pPr>
        <w:wordWrap w:val="0"/>
        <w:spacing w:line="400" w:lineRule="exact"/>
        <w:jc w:val="center"/>
        <w:outlineLvl w:val="9"/>
        <w:rPr>
          <w:rFonts w:eastAsia="黑体"/>
          <w:color w:val="auto"/>
          <w:sz w:val="32"/>
          <w:szCs w:val="32"/>
          <w:highlight w:val="none"/>
        </w:rPr>
      </w:pPr>
    </w:p>
    <w:p w14:paraId="4073AE38">
      <w:pPr>
        <w:wordWrap w:val="0"/>
        <w:spacing w:line="600" w:lineRule="exact"/>
        <w:jc w:val="center"/>
        <w:outlineLvl w:val="9"/>
        <w:rPr>
          <w:rFonts w:eastAsia="黑体"/>
          <w:color w:val="auto"/>
          <w:sz w:val="52"/>
          <w:szCs w:val="52"/>
          <w:highlight w:val="none"/>
        </w:rPr>
      </w:pPr>
    </w:p>
    <w:p w14:paraId="3F7F3A08">
      <w:pPr>
        <w:wordWrap w:val="0"/>
        <w:spacing w:line="600" w:lineRule="exact"/>
        <w:jc w:val="center"/>
        <w:outlineLvl w:val="0"/>
        <w:rPr>
          <w:rFonts w:eastAsia="黑体"/>
          <w:color w:val="auto"/>
          <w:sz w:val="52"/>
          <w:szCs w:val="52"/>
          <w:highlight w:val="none"/>
        </w:rPr>
      </w:pPr>
      <w:bookmarkStart w:id="74" w:name="_Toc27830"/>
      <w:r>
        <w:rPr>
          <w:rFonts w:eastAsia="黑体"/>
          <w:color w:val="auto"/>
          <w:sz w:val="52"/>
          <w:szCs w:val="52"/>
          <w:highlight w:val="none"/>
        </w:rPr>
        <w:t>第二章  投标人须知</w:t>
      </w:r>
      <w:bookmarkEnd w:id="61"/>
      <w:bookmarkEnd w:id="62"/>
      <w:bookmarkEnd w:id="63"/>
      <w:bookmarkEnd w:id="64"/>
      <w:bookmarkEnd w:id="65"/>
      <w:bookmarkEnd w:id="66"/>
      <w:bookmarkEnd w:id="67"/>
      <w:bookmarkEnd w:id="68"/>
      <w:bookmarkEnd w:id="69"/>
      <w:bookmarkEnd w:id="70"/>
      <w:bookmarkEnd w:id="71"/>
      <w:bookmarkEnd w:id="72"/>
      <w:bookmarkEnd w:id="74"/>
    </w:p>
    <w:p w14:paraId="2470643A">
      <w:pPr>
        <w:jc w:val="center"/>
        <w:rPr>
          <w:color w:val="auto"/>
          <w:szCs w:val="21"/>
          <w:highlight w:val="none"/>
        </w:rPr>
      </w:pPr>
    </w:p>
    <w:bookmarkEnd w:id="73"/>
    <w:p w14:paraId="74EC18BD">
      <w:pPr>
        <w:ind w:firstLine="280" w:firstLineChars="100"/>
        <w:jc w:val="center"/>
        <w:outlineLvl w:val="1"/>
        <w:rPr>
          <w:rFonts w:eastAsia="黑体"/>
          <w:color w:val="auto"/>
          <w:sz w:val="28"/>
          <w:szCs w:val="28"/>
          <w:highlight w:val="none"/>
        </w:rPr>
      </w:pPr>
      <w:bookmarkStart w:id="75" w:name="_Toc13071"/>
      <w:bookmarkStart w:id="76" w:name="_Toc5594"/>
      <w:bookmarkStart w:id="77" w:name="_Toc28378"/>
      <w:bookmarkStart w:id="78" w:name="_Toc6724"/>
      <w:bookmarkStart w:id="79" w:name="_Toc24101"/>
      <w:bookmarkStart w:id="80" w:name="_Toc26731"/>
      <w:bookmarkStart w:id="81" w:name="_Toc19809"/>
      <w:bookmarkStart w:id="82" w:name="_Toc28827"/>
      <w:bookmarkStart w:id="83" w:name="_Toc19903"/>
      <w:bookmarkStart w:id="84" w:name="_Toc14071"/>
      <w:bookmarkStart w:id="85" w:name="_Toc2117"/>
      <w:bookmarkStart w:id="86" w:name="_Toc11868"/>
      <w:r>
        <w:rPr>
          <w:rFonts w:eastAsia="黑体"/>
          <w:color w:val="auto"/>
          <w:sz w:val="28"/>
          <w:szCs w:val="28"/>
          <w:highlight w:val="none"/>
        </w:rPr>
        <w:br w:type="page"/>
      </w:r>
      <w:bookmarkStart w:id="87" w:name="_Toc12861"/>
      <w:r>
        <w:rPr>
          <w:rFonts w:eastAsia="黑体"/>
          <w:color w:val="auto"/>
          <w:sz w:val="28"/>
          <w:szCs w:val="28"/>
          <w:highlight w:val="none"/>
        </w:rPr>
        <w:t>投标人须知前附表</w:t>
      </w:r>
      <w:bookmarkEnd w:id="75"/>
      <w:bookmarkEnd w:id="76"/>
      <w:bookmarkEnd w:id="77"/>
      <w:bookmarkEnd w:id="78"/>
      <w:bookmarkEnd w:id="79"/>
      <w:bookmarkEnd w:id="80"/>
      <w:bookmarkEnd w:id="81"/>
      <w:bookmarkEnd w:id="82"/>
      <w:bookmarkEnd w:id="83"/>
      <w:bookmarkEnd w:id="84"/>
      <w:bookmarkEnd w:id="85"/>
      <w:bookmarkEnd w:id="86"/>
      <w:bookmarkEnd w:id="87"/>
    </w:p>
    <w:tbl>
      <w:tblPr>
        <w:tblStyle w:val="28"/>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4"/>
        <w:gridCol w:w="2549"/>
        <w:gridCol w:w="5806"/>
      </w:tblGrid>
      <w:tr w14:paraId="06297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top w:val="double" w:color="auto" w:sz="4" w:space="0"/>
              <w:left w:val="double" w:color="auto" w:sz="4" w:space="0"/>
            </w:tcBorders>
            <w:noWrap w:val="0"/>
            <w:vAlign w:val="center"/>
          </w:tcPr>
          <w:p w14:paraId="319F5E1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条款号</w:t>
            </w:r>
          </w:p>
        </w:tc>
        <w:tc>
          <w:tcPr>
            <w:tcW w:w="2549" w:type="dxa"/>
            <w:tcBorders>
              <w:top w:val="double" w:color="auto" w:sz="4" w:space="0"/>
            </w:tcBorders>
            <w:noWrap w:val="0"/>
            <w:vAlign w:val="center"/>
          </w:tcPr>
          <w:p w14:paraId="7F1D216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条 款 名 称</w:t>
            </w:r>
          </w:p>
        </w:tc>
        <w:tc>
          <w:tcPr>
            <w:tcW w:w="5806" w:type="dxa"/>
            <w:tcBorders>
              <w:top w:val="double" w:color="auto" w:sz="4" w:space="0"/>
              <w:right w:val="double" w:color="auto" w:sz="4" w:space="0"/>
            </w:tcBorders>
            <w:noWrap w:val="0"/>
            <w:vAlign w:val="center"/>
          </w:tcPr>
          <w:p w14:paraId="4492083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编  列  内  容</w:t>
            </w:r>
          </w:p>
        </w:tc>
      </w:tr>
      <w:tr w14:paraId="3D297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6B2391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1.1.2</w:t>
            </w:r>
          </w:p>
        </w:tc>
        <w:tc>
          <w:tcPr>
            <w:tcW w:w="2549" w:type="dxa"/>
            <w:noWrap w:val="0"/>
            <w:vAlign w:val="center"/>
          </w:tcPr>
          <w:p w14:paraId="66551C6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w:t>
            </w:r>
          </w:p>
        </w:tc>
        <w:tc>
          <w:tcPr>
            <w:tcW w:w="5806" w:type="dxa"/>
            <w:tcBorders>
              <w:right w:val="double" w:color="auto" w:sz="4" w:space="0"/>
            </w:tcBorders>
            <w:noWrap w:val="0"/>
            <w:vAlign w:val="center"/>
          </w:tcPr>
          <w:p w14:paraId="4DCED721">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招标人：驻马店市中医院</w:t>
            </w:r>
          </w:p>
          <w:p w14:paraId="583CD06A">
            <w:pPr>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联系人：</w:t>
            </w:r>
            <w:r>
              <w:rPr>
                <w:rFonts w:hint="eastAsia" w:ascii="仿宋" w:hAnsi="仿宋" w:eastAsia="仿宋" w:cs="仿宋"/>
                <w:color w:val="auto"/>
                <w:sz w:val="24"/>
                <w:highlight w:val="none"/>
                <w:lang w:val="en-US" w:eastAsia="zh-CN"/>
              </w:rPr>
              <w:t>陈先生</w:t>
            </w:r>
          </w:p>
          <w:p w14:paraId="6F6EE001">
            <w:pPr>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电话：</w:t>
            </w:r>
            <w:r>
              <w:rPr>
                <w:rFonts w:hint="eastAsia" w:ascii="仿宋" w:hAnsi="仿宋" w:eastAsia="仿宋" w:cs="仿宋"/>
                <w:color w:val="auto"/>
                <w:sz w:val="24"/>
                <w:highlight w:val="none"/>
                <w:lang w:val="en-US" w:eastAsia="zh-CN"/>
              </w:rPr>
              <w:t xml:space="preserve"> 17603962169</w:t>
            </w:r>
          </w:p>
          <w:p w14:paraId="3C080112">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地址：</w:t>
            </w:r>
            <w:r>
              <w:rPr>
                <w:rFonts w:hint="eastAsia" w:ascii="仿宋" w:hAnsi="仿宋" w:eastAsia="仿宋" w:cs="仿宋"/>
                <w:color w:val="auto"/>
                <w:sz w:val="24"/>
                <w:highlight w:val="none"/>
                <w:lang w:val="en-US" w:eastAsia="zh-CN"/>
              </w:rPr>
              <w:t>河南省驻马店市解放路西段895号 </w:t>
            </w:r>
          </w:p>
        </w:tc>
      </w:tr>
      <w:tr w14:paraId="711FC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7EF8A09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1.1.3</w:t>
            </w:r>
          </w:p>
        </w:tc>
        <w:tc>
          <w:tcPr>
            <w:tcW w:w="2549" w:type="dxa"/>
            <w:noWrap w:val="0"/>
            <w:vAlign w:val="center"/>
          </w:tcPr>
          <w:p w14:paraId="7EAFBC0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招标代理机构</w:t>
            </w:r>
          </w:p>
        </w:tc>
        <w:tc>
          <w:tcPr>
            <w:tcW w:w="5806" w:type="dxa"/>
            <w:tcBorders>
              <w:right w:val="double" w:color="auto" w:sz="4" w:space="0"/>
            </w:tcBorders>
            <w:noWrap w:val="0"/>
            <w:vAlign w:val="center"/>
          </w:tcPr>
          <w:p w14:paraId="5CBA9E60">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招标代理机构：</w:t>
            </w:r>
            <w:r>
              <w:rPr>
                <w:rFonts w:hint="eastAsia" w:ascii="仿宋" w:hAnsi="仿宋" w:eastAsia="仿宋" w:cs="仿宋"/>
                <w:color w:val="auto"/>
                <w:sz w:val="24"/>
                <w:highlight w:val="none"/>
                <w:lang w:eastAsia="zh-CN"/>
              </w:rPr>
              <w:t>河南博研信众招标代理有限责任公司</w:t>
            </w:r>
          </w:p>
          <w:p w14:paraId="6682D0F4">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lang w:val="en-US" w:eastAsia="zh-CN"/>
              </w:rPr>
              <w:t>贾先生</w:t>
            </w:r>
            <w:r>
              <w:rPr>
                <w:rFonts w:hint="eastAsia" w:ascii="仿宋" w:hAnsi="仿宋" w:eastAsia="仿宋" w:cs="仿宋"/>
                <w:color w:val="auto"/>
                <w:sz w:val="24"/>
                <w:highlight w:val="none"/>
              </w:rPr>
              <w:t xml:space="preserve"> </w:t>
            </w:r>
          </w:p>
          <w:p w14:paraId="4027B833">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r>
              <w:rPr>
                <w:rFonts w:hint="eastAsia" w:ascii="仿宋" w:hAnsi="仿宋" w:eastAsia="仿宋" w:cs="仿宋"/>
                <w:color w:val="auto"/>
                <w:sz w:val="24"/>
                <w:highlight w:val="none"/>
                <w:lang w:val="en-US" w:eastAsia="zh-CN"/>
              </w:rPr>
              <w:t>0396-2697890</w:t>
            </w:r>
          </w:p>
          <w:p w14:paraId="67DD6D9E">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lang w:eastAsia="zh-CN"/>
              </w:rPr>
              <w:t>驻马店市泰山路与复兴路交叉口西北角经纬花园1号楼</w:t>
            </w:r>
          </w:p>
        </w:tc>
      </w:tr>
      <w:tr w14:paraId="0F46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4EDD60B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1.1.4</w:t>
            </w:r>
          </w:p>
        </w:tc>
        <w:tc>
          <w:tcPr>
            <w:tcW w:w="2549" w:type="dxa"/>
            <w:noWrap w:val="0"/>
            <w:vAlign w:val="center"/>
          </w:tcPr>
          <w:p w14:paraId="24D3252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招标项目名称</w:t>
            </w:r>
          </w:p>
        </w:tc>
        <w:tc>
          <w:tcPr>
            <w:tcW w:w="5806" w:type="dxa"/>
            <w:tcBorders>
              <w:right w:val="double" w:color="auto" w:sz="4" w:space="0"/>
            </w:tcBorders>
            <w:noWrap w:val="0"/>
            <w:vAlign w:val="center"/>
          </w:tcPr>
          <w:p w14:paraId="74EFEDAC">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驻马店市中医院病房改造及能力提升项目</w:t>
            </w:r>
          </w:p>
        </w:tc>
      </w:tr>
      <w:tr w14:paraId="4D09D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3448B5E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1.1.5</w:t>
            </w:r>
          </w:p>
        </w:tc>
        <w:tc>
          <w:tcPr>
            <w:tcW w:w="2549" w:type="dxa"/>
            <w:noWrap w:val="0"/>
            <w:vAlign w:val="center"/>
          </w:tcPr>
          <w:p w14:paraId="14DDC8D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项目建设地点</w:t>
            </w:r>
          </w:p>
        </w:tc>
        <w:tc>
          <w:tcPr>
            <w:tcW w:w="5806" w:type="dxa"/>
            <w:tcBorders>
              <w:right w:val="double" w:color="auto" w:sz="4" w:space="0"/>
            </w:tcBorders>
            <w:noWrap w:val="0"/>
            <w:vAlign w:val="center"/>
          </w:tcPr>
          <w:p w14:paraId="1327859C">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驻马店市中医院</w:t>
            </w:r>
          </w:p>
        </w:tc>
      </w:tr>
      <w:tr w14:paraId="7F8FE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5" w:hRule="atLeast"/>
          <w:jc w:val="center"/>
        </w:trPr>
        <w:tc>
          <w:tcPr>
            <w:tcW w:w="1224" w:type="dxa"/>
            <w:tcBorders>
              <w:left w:val="double" w:color="auto" w:sz="4" w:space="0"/>
            </w:tcBorders>
            <w:noWrap w:val="0"/>
            <w:vAlign w:val="center"/>
          </w:tcPr>
          <w:p w14:paraId="02468BB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1.1.6</w:t>
            </w:r>
          </w:p>
        </w:tc>
        <w:tc>
          <w:tcPr>
            <w:tcW w:w="2549" w:type="dxa"/>
            <w:noWrap w:val="0"/>
            <w:vAlign w:val="center"/>
          </w:tcPr>
          <w:p w14:paraId="5ADB2D3F">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项目建设规模</w:t>
            </w:r>
          </w:p>
        </w:tc>
        <w:tc>
          <w:tcPr>
            <w:tcW w:w="5806" w:type="dxa"/>
            <w:tcBorders>
              <w:right w:val="double" w:color="auto" w:sz="4" w:space="0"/>
            </w:tcBorders>
            <w:noWrap w:val="0"/>
            <w:vAlign w:val="center"/>
          </w:tcPr>
          <w:p w14:paraId="12DE15B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kern w:val="0"/>
                <w:sz w:val="24"/>
                <w:szCs w:val="24"/>
                <w:highlight w:val="none"/>
                <w:lang w:val="en-US" w:eastAsia="zh-CN" w:bidi="zh-CN"/>
              </w:rPr>
              <w:t>驻马店市中医院病房改造及能力提升项目对院区内的外科楼、内科楼、老门诊楼、儿科综合楼等区域进行改造升级，改造总建筑面积26800.00㎡。主要包括:将部分病房由四人间改造成二人间或三人间病房；卫生间提升改造，公共卫生间增设无障碍设施；消防设施改造和整体环境改造；配电盘改造；污水处理设备提升改造；电梯更新改造；中央空调升级改造；护士站改造；地下水网改造；墙面升级改造；更换门窗；PVC地板升级改造；安装紧急呼叫系统等</w:t>
            </w:r>
          </w:p>
        </w:tc>
      </w:tr>
      <w:tr w14:paraId="39DBA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7FD7AEA9">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1.2.1</w:t>
            </w:r>
          </w:p>
        </w:tc>
        <w:tc>
          <w:tcPr>
            <w:tcW w:w="2549" w:type="dxa"/>
            <w:noWrap w:val="0"/>
            <w:vAlign w:val="center"/>
          </w:tcPr>
          <w:p w14:paraId="6A2584D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资金来源及比例</w:t>
            </w:r>
          </w:p>
        </w:tc>
        <w:tc>
          <w:tcPr>
            <w:tcW w:w="5806" w:type="dxa"/>
            <w:tcBorders>
              <w:right w:val="double" w:color="auto" w:sz="4" w:space="0"/>
            </w:tcBorders>
            <w:noWrap w:val="0"/>
            <w:vAlign w:val="center"/>
          </w:tcPr>
          <w:p w14:paraId="1A80240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上级政府投资和地方配套及单位自筹解决（已落实）</w:t>
            </w:r>
            <w:r>
              <w:rPr>
                <w:rFonts w:hint="eastAsia" w:ascii="仿宋" w:hAnsi="仿宋" w:eastAsia="仿宋" w:cs="仿宋"/>
                <w:color w:val="auto"/>
                <w:sz w:val="24"/>
                <w:highlight w:val="none"/>
              </w:rPr>
              <w:t>，100%</w:t>
            </w:r>
          </w:p>
        </w:tc>
      </w:tr>
      <w:tr w14:paraId="5E89E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224" w:type="dxa"/>
            <w:tcBorders>
              <w:left w:val="double" w:color="auto" w:sz="4" w:space="0"/>
            </w:tcBorders>
            <w:noWrap w:val="0"/>
            <w:vAlign w:val="center"/>
          </w:tcPr>
          <w:p w14:paraId="5D3EEFB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1.2.2</w:t>
            </w:r>
          </w:p>
        </w:tc>
        <w:tc>
          <w:tcPr>
            <w:tcW w:w="2549" w:type="dxa"/>
            <w:noWrap w:val="0"/>
            <w:vAlign w:val="center"/>
          </w:tcPr>
          <w:p w14:paraId="56E857A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资金落实情况</w:t>
            </w:r>
          </w:p>
        </w:tc>
        <w:tc>
          <w:tcPr>
            <w:tcW w:w="5806" w:type="dxa"/>
            <w:tcBorders>
              <w:right w:val="double" w:color="auto" w:sz="4" w:space="0"/>
            </w:tcBorders>
            <w:noWrap w:val="0"/>
            <w:vAlign w:val="center"/>
          </w:tcPr>
          <w:p w14:paraId="228FE0D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已落实</w:t>
            </w:r>
          </w:p>
        </w:tc>
      </w:tr>
      <w:tr w14:paraId="76C80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1224" w:type="dxa"/>
            <w:tcBorders>
              <w:left w:val="double" w:color="auto" w:sz="4" w:space="0"/>
            </w:tcBorders>
            <w:noWrap w:val="0"/>
            <w:vAlign w:val="center"/>
          </w:tcPr>
          <w:p w14:paraId="383AFEF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1.3.1</w:t>
            </w:r>
          </w:p>
        </w:tc>
        <w:tc>
          <w:tcPr>
            <w:tcW w:w="2549" w:type="dxa"/>
            <w:noWrap w:val="0"/>
            <w:vAlign w:val="center"/>
          </w:tcPr>
          <w:p w14:paraId="009BF14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招标范围</w:t>
            </w:r>
          </w:p>
        </w:tc>
        <w:tc>
          <w:tcPr>
            <w:tcW w:w="5806" w:type="dxa"/>
            <w:tcBorders>
              <w:right w:val="double" w:color="auto" w:sz="4" w:space="0"/>
            </w:tcBorders>
            <w:noWrap w:val="0"/>
            <w:vAlign w:val="center"/>
          </w:tcPr>
          <w:p w14:paraId="3FA50A30">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工程量清单、施工图纸设计范围内及招标文件中所有内容。</w:t>
            </w:r>
          </w:p>
        </w:tc>
      </w:tr>
      <w:tr w14:paraId="7569B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jc w:val="center"/>
        </w:trPr>
        <w:tc>
          <w:tcPr>
            <w:tcW w:w="1224" w:type="dxa"/>
            <w:tcBorders>
              <w:left w:val="double" w:color="auto" w:sz="4" w:space="0"/>
            </w:tcBorders>
            <w:noWrap w:val="0"/>
            <w:vAlign w:val="center"/>
          </w:tcPr>
          <w:p w14:paraId="62D0EF6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1.3.2</w:t>
            </w:r>
          </w:p>
        </w:tc>
        <w:tc>
          <w:tcPr>
            <w:tcW w:w="2549" w:type="dxa"/>
            <w:noWrap w:val="0"/>
            <w:vAlign w:val="center"/>
          </w:tcPr>
          <w:p w14:paraId="2AA9911F">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计划工期</w:t>
            </w:r>
          </w:p>
        </w:tc>
        <w:tc>
          <w:tcPr>
            <w:tcW w:w="5806" w:type="dxa"/>
            <w:tcBorders>
              <w:right w:val="double" w:color="auto" w:sz="4" w:space="0"/>
            </w:tcBorders>
            <w:noWrap w:val="0"/>
            <w:vAlign w:val="center"/>
          </w:tcPr>
          <w:p w14:paraId="021FE84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计划工期：</w:t>
            </w:r>
            <w:r>
              <w:rPr>
                <w:rFonts w:hint="eastAsia" w:ascii="仿宋" w:hAnsi="仿宋" w:eastAsia="仿宋" w:cs="仿宋"/>
                <w:color w:val="auto"/>
                <w:sz w:val="24"/>
                <w:highlight w:val="none"/>
                <w:u w:val="single"/>
                <w:lang w:val="en-US" w:eastAsia="zh-CN"/>
              </w:rPr>
              <w:t>100</w:t>
            </w:r>
            <w:r>
              <w:rPr>
                <w:rFonts w:hint="eastAsia" w:ascii="仿宋" w:hAnsi="仿宋" w:eastAsia="仿宋" w:cs="仿宋"/>
                <w:color w:val="auto"/>
                <w:sz w:val="24"/>
                <w:highlight w:val="none"/>
                <w:u w:val="single"/>
              </w:rPr>
              <w:t>日历天</w:t>
            </w:r>
          </w:p>
        </w:tc>
      </w:tr>
      <w:tr w14:paraId="2AD82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224" w:type="dxa"/>
            <w:tcBorders>
              <w:left w:val="double" w:color="auto" w:sz="4" w:space="0"/>
            </w:tcBorders>
            <w:noWrap w:val="0"/>
            <w:vAlign w:val="center"/>
          </w:tcPr>
          <w:p w14:paraId="3C703C8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1.3.3</w:t>
            </w:r>
          </w:p>
        </w:tc>
        <w:tc>
          <w:tcPr>
            <w:tcW w:w="2549" w:type="dxa"/>
            <w:noWrap w:val="0"/>
            <w:vAlign w:val="center"/>
          </w:tcPr>
          <w:p w14:paraId="605F38E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质量要求</w:t>
            </w:r>
          </w:p>
        </w:tc>
        <w:tc>
          <w:tcPr>
            <w:tcW w:w="5806" w:type="dxa"/>
            <w:tcBorders>
              <w:right w:val="double" w:color="auto" w:sz="4" w:space="0"/>
            </w:tcBorders>
            <w:noWrap w:val="0"/>
            <w:vAlign w:val="center"/>
          </w:tcPr>
          <w:p w14:paraId="1AFCB4B2">
            <w:pPr>
              <w:spacing w:line="360" w:lineRule="auto"/>
              <w:ind w:firstLine="42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达到国家现行有关施工质量验收规范标准并通过行业主管部门验收。</w:t>
            </w:r>
          </w:p>
        </w:tc>
      </w:tr>
      <w:tr w14:paraId="402C2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1224" w:type="dxa"/>
            <w:tcBorders>
              <w:left w:val="double" w:color="auto" w:sz="4" w:space="0"/>
            </w:tcBorders>
            <w:noWrap w:val="0"/>
            <w:vAlign w:val="center"/>
          </w:tcPr>
          <w:p w14:paraId="79BA8963">
            <w:pPr>
              <w:spacing w:line="360" w:lineRule="auto"/>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1.3.4</w:t>
            </w:r>
          </w:p>
        </w:tc>
        <w:tc>
          <w:tcPr>
            <w:tcW w:w="2549" w:type="dxa"/>
            <w:noWrap w:val="0"/>
            <w:vAlign w:val="center"/>
          </w:tcPr>
          <w:p w14:paraId="2B661E17">
            <w:pPr>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缺限责任期</w:t>
            </w:r>
          </w:p>
        </w:tc>
        <w:tc>
          <w:tcPr>
            <w:tcW w:w="5806" w:type="dxa"/>
            <w:tcBorders>
              <w:right w:val="double" w:color="auto" w:sz="4" w:space="0"/>
            </w:tcBorders>
            <w:noWrap w:val="0"/>
            <w:vAlign w:val="center"/>
          </w:tcPr>
          <w:p w14:paraId="59A0F218">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24个月</w:t>
            </w:r>
          </w:p>
        </w:tc>
      </w:tr>
      <w:tr w14:paraId="45CF9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08D24AC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1.4.1</w:t>
            </w:r>
          </w:p>
        </w:tc>
        <w:tc>
          <w:tcPr>
            <w:tcW w:w="2549" w:type="dxa"/>
            <w:noWrap w:val="0"/>
            <w:vAlign w:val="center"/>
          </w:tcPr>
          <w:p w14:paraId="65FDA03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投标人资质条件、能力和信誉</w:t>
            </w:r>
          </w:p>
        </w:tc>
        <w:tc>
          <w:tcPr>
            <w:tcW w:w="5806" w:type="dxa"/>
            <w:tcBorders>
              <w:right w:val="double" w:color="auto" w:sz="4" w:space="0"/>
            </w:tcBorders>
            <w:noWrap w:val="0"/>
            <w:vAlign w:val="center"/>
          </w:tcPr>
          <w:p w14:paraId="58A728D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☑同招标公告</w:t>
            </w:r>
          </w:p>
        </w:tc>
      </w:tr>
      <w:tr w14:paraId="11000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6946B27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1.4.2</w:t>
            </w:r>
          </w:p>
        </w:tc>
        <w:tc>
          <w:tcPr>
            <w:tcW w:w="2549" w:type="dxa"/>
            <w:noWrap w:val="0"/>
            <w:vAlign w:val="center"/>
          </w:tcPr>
          <w:p w14:paraId="25CC331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是否接受联合体</w:t>
            </w:r>
          </w:p>
          <w:p w14:paraId="06A3980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w:t>
            </w:r>
          </w:p>
        </w:tc>
        <w:tc>
          <w:tcPr>
            <w:tcW w:w="5806" w:type="dxa"/>
            <w:tcBorders>
              <w:right w:val="double" w:color="auto" w:sz="4" w:space="0"/>
            </w:tcBorders>
            <w:noWrap w:val="0"/>
            <w:vAlign w:val="center"/>
          </w:tcPr>
          <w:p w14:paraId="0A953AE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☑同招标公告</w:t>
            </w:r>
          </w:p>
          <w:p w14:paraId="7739978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□同投标邀请书  </w:t>
            </w:r>
          </w:p>
          <w:p w14:paraId="4077BDD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联合体资质按照联合体协议约定的分工认定。</w:t>
            </w:r>
          </w:p>
        </w:tc>
      </w:tr>
      <w:tr w14:paraId="2C1EC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62D9745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1.4.3</w:t>
            </w:r>
          </w:p>
        </w:tc>
        <w:tc>
          <w:tcPr>
            <w:tcW w:w="2549" w:type="dxa"/>
            <w:noWrap w:val="0"/>
            <w:vAlign w:val="center"/>
          </w:tcPr>
          <w:p w14:paraId="0EE60CC7">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投标人不得存在的</w:t>
            </w:r>
          </w:p>
          <w:p w14:paraId="124816F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其他情形</w:t>
            </w:r>
          </w:p>
        </w:tc>
        <w:tc>
          <w:tcPr>
            <w:tcW w:w="5806" w:type="dxa"/>
            <w:tcBorders>
              <w:right w:val="double" w:color="auto" w:sz="4" w:space="0"/>
            </w:tcBorders>
            <w:noWrap w:val="0"/>
            <w:vAlign w:val="center"/>
          </w:tcPr>
          <w:p w14:paraId="77C84E39">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不存在投标人为招标人不具有独立法人资格的附属机构（单位）的情形；</w:t>
            </w:r>
          </w:p>
          <w:p w14:paraId="37BF7EBC">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不存在投标人与招标人存在利害关系且可能影响招标公正性的情形；</w:t>
            </w:r>
          </w:p>
          <w:p w14:paraId="058F7C18">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不存在投标人与本招标项目的其他投标人为同一单位负责人的情形；</w:t>
            </w:r>
          </w:p>
          <w:p w14:paraId="0B5CC304">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不存在投标人与本招标项目的其他投标人存在控股、管理关系的情形；</w:t>
            </w:r>
          </w:p>
          <w:p w14:paraId="1251FE8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不存在投标人为本招标项目的代建单位、招标代理机构或承担设计、造价咨询、监理业务的单位的情形；</w:t>
            </w:r>
          </w:p>
          <w:p w14:paraId="1231D22C">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存在投标人为本招标项目前期准备提供设计或咨询服务的情形；</w:t>
            </w:r>
          </w:p>
          <w:p w14:paraId="1F9412F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不存在投标人与本招标项目的代建单位、招标代理机构、设计单位、造价咨询机构、监理单位的法定代表人为同一人的情形；</w:t>
            </w:r>
          </w:p>
          <w:p w14:paraId="0B76CEAD">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不存在投标人与本招标项目的代建单位、招标代理机构、造价咨询机构、监理单位存在管理关系、相互控股或参股关系的情形；</w:t>
            </w:r>
          </w:p>
          <w:p w14:paraId="28200B0D">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不存在投标人被依法暂停或取消项目所在区域或行业投标资格的情形；</w:t>
            </w:r>
          </w:p>
          <w:p w14:paraId="1956E13A">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不存在投标人被责令停业，暂扣或吊销执照，或吊销资质证书的情形；</w:t>
            </w:r>
          </w:p>
          <w:p w14:paraId="0B566A8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11.</w:t>
            </w:r>
            <w:r>
              <w:rPr>
                <w:rFonts w:hint="eastAsia" w:ascii="仿宋" w:hAnsi="仿宋" w:eastAsia="仿宋" w:cs="仿宋"/>
                <w:color w:val="auto"/>
                <w:sz w:val="24"/>
                <w:highlight w:val="none"/>
              </w:rPr>
              <w:t>不存在投标人进入清算程序，或被宣告破产，或其他丧失履约能力情形的情形；</w:t>
            </w:r>
          </w:p>
          <w:p w14:paraId="6685451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12.</w:t>
            </w:r>
            <w:r>
              <w:rPr>
                <w:rFonts w:hint="eastAsia" w:ascii="仿宋" w:hAnsi="仿宋" w:eastAsia="仿宋" w:cs="仿宋"/>
                <w:color w:val="auto"/>
                <w:sz w:val="24"/>
                <w:highlight w:val="none"/>
              </w:rPr>
              <w:t>.不存在投标人或拟派项目经理被列入建筑市场主体“黑名单”且在管理期限内的情形；</w:t>
            </w:r>
          </w:p>
          <w:p w14:paraId="12646E6F">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13.</w:t>
            </w:r>
            <w:r>
              <w:rPr>
                <w:rFonts w:hint="eastAsia" w:ascii="仿宋" w:hAnsi="仿宋" w:eastAsia="仿宋" w:cs="仿宋"/>
                <w:color w:val="auto"/>
                <w:sz w:val="24"/>
                <w:highlight w:val="none"/>
              </w:rPr>
              <w:t>不存在在最近三年内发生重大工程质量或安全事故问题的情形（以相关行业主管部门的行政处罚决定或司法机关出具的有关法律文书为准）；</w:t>
            </w:r>
          </w:p>
          <w:p w14:paraId="2EFB2B34">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14.不存在投标人被市场监管机关在国家企业信用信息公示系统中列入严重违法失信企业名单且在管理期限内的情形；</w:t>
            </w:r>
          </w:p>
          <w:p w14:paraId="6C3E8A6B">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15.不存在投标人或其法定代表人、拟委任的项目经理在“信用中国”网站重点领域严重失信主体名单中被限制或者禁止参与招标投标活动的“严重失信主体”且在管理期限内的情形；</w:t>
            </w:r>
          </w:p>
          <w:p w14:paraId="62828DAE">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16.不存在投标人拖欠工人工资，情节严重被有关行政主管部门向社会公布且在公布的期限内的情形；</w:t>
            </w:r>
          </w:p>
          <w:p w14:paraId="2550EF0C">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17.不存在被发现有近三年内投标人或其法定代表人、拟委任的项目经理有行贿犯罪行为且在处罚期内的情形；</w:t>
            </w:r>
          </w:p>
          <w:p w14:paraId="1D606F2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18.不存在投标人违反法律、法规、规章或无正当理由放弃中标资格受到行业主管部门处罚且在处罚期内的情形</w:t>
            </w:r>
            <w:r>
              <w:rPr>
                <w:rFonts w:hint="eastAsia" w:ascii="仿宋" w:hAnsi="仿宋" w:eastAsia="仿宋" w:cs="仿宋"/>
                <w:color w:val="auto"/>
                <w:sz w:val="24"/>
                <w:highlight w:val="none"/>
                <w:lang w:eastAsia="zh-CN"/>
              </w:rPr>
              <w:t>；</w:t>
            </w:r>
          </w:p>
          <w:p w14:paraId="63E55C52">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19.不存在第二章“投标人须知”正文中第1.4.3项规定的任何一种情形。</w:t>
            </w:r>
          </w:p>
        </w:tc>
      </w:tr>
      <w:tr w14:paraId="638BC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7C18FF5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1.9.1</w:t>
            </w:r>
          </w:p>
        </w:tc>
        <w:tc>
          <w:tcPr>
            <w:tcW w:w="2549" w:type="dxa"/>
            <w:noWrap w:val="0"/>
            <w:vAlign w:val="center"/>
          </w:tcPr>
          <w:p w14:paraId="19390EC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踏勘现场</w:t>
            </w:r>
          </w:p>
        </w:tc>
        <w:tc>
          <w:tcPr>
            <w:tcW w:w="5806" w:type="dxa"/>
            <w:tcBorders>
              <w:right w:val="double" w:color="auto" w:sz="4" w:space="0"/>
            </w:tcBorders>
            <w:noWrap w:val="0"/>
            <w:vAlign w:val="center"/>
          </w:tcPr>
          <w:p w14:paraId="71361DA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☑不组织</w:t>
            </w:r>
          </w:p>
          <w:p w14:paraId="0DFE440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□组织，踏勘时间：</w:t>
            </w:r>
          </w:p>
          <w:p w14:paraId="2C9B4A4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踏勘集中地点：</w:t>
            </w:r>
          </w:p>
        </w:tc>
      </w:tr>
      <w:tr w14:paraId="4B5E3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CB968C9">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1.10</w:t>
            </w:r>
          </w:p>
        </w:tc>
        <w:tc>
          <w:tcPr>
            <w:tcW w:w="2549" w:type="dxa"/>
            <w:noWrap w:val="0"/>
            <w:vAlign w:val="center"/>
          </w:tcPr>
          <w:p w14:paraId="16C32A8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分  包</w:t>
            </w:r>
          </w:p>
        </w:tc>
        <w:tc>
          <w:tcPr>
            <w:tcW w:w="5806" w:type="dxa"/>
            <w:tcBorders>
              <w:right w:val="double" w:color="auto" w:sz="4" w:space="0"/>
            </w:tcBorders>
            <w:noWrap w:val="0"/>
            <w:vAlign w:val="center"/>
          </w:tcPr>
          <w:p w14:paraId="189FF69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☑不允许</w:t>
            </w:r>
          </w:p>
          <w:p w14:paraId="7BCB192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□允许，分包内容要求：</w:t>
            </w:r>
          </w:p>
          <w:p w14:paraId="6D509A4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分包金额要求：</w:t>
            </w:r>
          </w:p>
          <w:p w14:paraId="212DA4F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接受分包的第三人资质要求：</w:t>
            </w:r>
          </w:p>
        </w:tc>
      </w:tr>
      <w:tr w14:paraId="2B151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24" w:type="dxa"/>
            <w:tcBorders>
              <w:left w:val="double" w:color="auto" w:sz="4" w:space="0"/>
            </w:tcBorders>
            <w:noWrap w:val="0"/>
            <w:vAlign w:val="center"/>
          </w:tcPr>
          <w:p w14:paraId="62964293">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1.11.1</w:t>
            </w:r>
          </w:p>
        </w:tc>
        <w:tc>
          <w:tcPr>
            <w:tcW w:w="2549" w:type="dxa"/>
            <w:noWrap w:val="0"/>
            <w:vAlign w:val="center"/>
          </w:tcPr>
          <w:p w14:paraId="6C33C4E6">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实质性要求和条件</w:t>
            </w:r>
          </w:p>
        </w:tc>
        <w:tc>
          <w:tcPr>
            <w:tcW w:w="5806" w:type="dxa"/>
            <w:tcBorders>
              <w:right w:val="double" w:color="auto" w:sz="4" w:space="0"/>
            </w:tcBorders>
            <w:noWrap w:val="0"/>
            <w:vAlign w:val="center"/>
          </w:tcPr>
          <w:p w14:paraId="106FC1B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应对招标文件的“实质性要求和条件”作出满足性的响应，即投标文件中的工期、投标有效期、质量要求、技术标准和要求、招标范围不得出现或存在不利于招标人的偏差，否则，视为投标文件存在重大偏差，投标人的投标将被否决。</w:t>
            </w:r>
          </w:p>
          <w:p w14:paraId="3A74876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投标文件存在第三章“评标办法”中所列任一否决投标情形的，均属于存在重大偏差。</w:t>
            </w:r>
          </w:p>
        </w:tc>
      </w:tr>
      <w:tr w14:paraId="1F581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FAE0A0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1.11.3</w:t>
            </w:r>
          </w:p>
        </w:tc>
        <w:tc>
          <w:tcPr>
            <w:tcW w:w="2549" w:type="dxa"/>
            <w:noWrap w:val="0"/>
            <w:vAlign w:val="center"/>
          </w:tcPr>
          <w:p w14:paraId="2328577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偏离</w:t>
            </w:r>
          </w:p>
        </w:tc>
        <w:tc>
          <w:tcPr>
            <w:tcW w:w="5806" w:type="dxa"/>
            <w:tcBorders>
              <w:right w:val="double" w:color="auto" w:sz="4" w:space="0"/>
            </w:tcBorders>
            <w:noWrap w:val="0"/>
            <w:vAlign w:val="center"/>
          </w:tcPr>
          <w:p w14:paraId="2A35487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☑不允许</w:t>
            </w:r>
          </w:p>
          <w:p w14:paraId="683EBF4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□允许，可</w:t>
            </w:r>
            <w:bookmarkStart w:id="88" w:name="OLE_LINK7"/>
            <w:r>
              <w:rPr>
                <w:rFonts w:hint="eastAsia" w:ascii="仿宋" w:hAnsi="仿宋" w:eastAsia="仿宋" w:cs="仿宋"/>
                <w:color w:val="auto"/>
                <w:sz w:val="24"/>
                <w:highlight w:val="none"/>
              </w:rPr>
              <w:t>偏离</w:t>
            </w:r>
            <w:bookmarkEnd w:id="88"/>
            <w:r>
              <w:rPr>
                <w:rFonts w:hint="eastAsia" w:ascii="仿宋" w:hAnsi="仿宋" w:eastAsia="仿宋" w:cs="仿宋"/>
                <w:color w:val="auto"/>
                <w:sz w:val="24"/>
                <w:highlight w:val="none"/>
              </w:rPr>
              <w:t>的项目和范围见第七章“技术标准和要求”：</w:t>
            </w:r>
          </w:p>
          <w:p w14:paraId="0EF07B3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允许偏离最高项数：</w:t>
            </w:r>
            <w:r>
              <w:rPr>
                <w:rFonts w:hint="eastAsia" w:ascii="仿宋" w:hAnsi="仿宋" w:eastAsia="仿宋" w:cs="仿宋"/>
                <w:color w:val="auto"/>
                <w:sz w:val="24"/>
                <w:highlight w:val="none"/>
                <w:u w:val="single"/>
              </w:rPr>
              <w:t xml:space="preserve">      </w:t>
            </w:r>
          </w:p>
          <w:p w14:paraId="2B02184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偏离调整方法：</w:t>
            </w:r>
            <w:r>
              <w:rPr>
                <w:rFonts w:hint="eastAsia" w:ascii="仿宋" w:hAnsi="仿宋" w:eastAsia="仿宋" w:cs="仿宋"/>
                <w:color w:val="auto"/>
                <w:sz w:val="24"/>
                <w:highlight w:val="none"/>
                <w:u w:val="single"/>
              </w:rPr>
              <w:t xml:space="preserve">          </w:t>
            </w:r>
          </w:p>
        </w:tc>
      </w:tr>
      <w:tr w14:paraId="0E995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26CEAC3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2.1</w:t>
            </w:r>
          </w:p>
        </w:tc>
        <w:tc>
          <w:tcPr>
            <w:tcW w:w="2549" w:type="dxa"/>
            <w:noWrap w:val="0"/>
            <w:vAlign w:val="center"/>
          </w:tcPr>
          <w:p w14:paraId="2F5C34C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构成招标文件的其他材料</w:t>
            </w:r>
          </w:p>
        </w:tc>
        <w:tc>
          <w:tcPr>
            <w:tcW w:w="5806" w:type="dxa"/>
            <w:tcBorders>
              <w:right w:val="double" w:color="auto" w:sz="4" w:space="0"/>
            </w:tcBorders>
            <w:noWrap w:val="0"/>
            <w:vAlign w:val="center"/>
          </w:tcPr>
          <w:p w14:paraId="09FFC09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招标文件、图纸、工程量清单、最高投标限价，以及招标人在招标期间发出的澄清、修改、补充、补遗、答疑和其它有效正式函件等内容均是招标文件的组成部分。</w:t>
            </w:r>
          </w:p>
        </w:tc>
      </w:tr>
      <w:tr w14:paraId="39E38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vMerge w:val="restart"/>
            <w:tcBorders>
              <w:left w:val="double" w:color="auto" w:sz="4" w:space="0"/>
            </w:tcBorders>
            <w:noWrap w:val="0"/>
            <w:vAlign w:val="center"/>
          </w:tcPr>
          <w:p w14:paraId="3112EEB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2.2.1</w:t>
            </w:r>
          </w:p>
        </w:tc>
        <w:tc>
          <w:tcPr>
            <w:tcW w:w="2549" w:type="dxa"/>
            <w:vMerge w:val="restart"/>
            <w:noWrap w:val="0"/>
            <w:vAlign w:val="center"/>
          </w:tcPr>
          <w:p w14:paraId="1A59DC4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投标人要求澄清招标文件</w:t>
            </w:r>
          </w:p>
        </w:tc>
        <w:tc>
          <w:tcPr>
            <w:tcW w:w="5806" w:type="dxa"/>
            <w:tcBorders>
              <w:right w:val="double" w:color="auto" w:sz="4" w:space="0"/>
            </w:tcBorders>
            <w:noWrap w:val="0"/>
            <w:vAlign w:val="center"/>
          </w:tcPr>
          <w:p w14:paraId="305A5BA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时间：投标截止时间1</w:t>
            </w:r>
            <w:r>
              <w:rPr>
                <w:rFonts w:hint="eastAsia" w:ascii="仿宋" w:hAnsi="仿宋" w:eastAsia="仿宋" w:cs="仿宋"/>
                <w:color w:val="auto"/>
                <w:sz w:val="24"/>
                <w:highlight w:val="none"/>
                <w:lang w:val="en-US" w:eastAsia="zh-CN"/>
              </w:rPr>
              <w:t>0</w:t>
            </w:r>
            <w:r>
              <w:rPr>
                <w:rFonts w:hint="eastAsia" w:ascii="仿宋" w:hAnsi="仿宋" w:eastAsia="仿宋" w:cs="仿宋"/>
                <w:color w:val="auto"/>
                <w:sz w:val="24"/>
                <w:highlight w:val="none"/>
              </w:rPr>
              <w:t>天前</w:t>
            </w:r>
          </w:p>
        </w:tc>
      </w:tr>
      <w:tr w14:paraId="6D39C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vMerge w:val="continue"/>
            <w:tcBorders>
              <w:left w:val="double" w:color="auto" w:sz="4" w:space="0"/>
            </w:tcBorders>
            <w:noWrap w:val="0"/>
            <w:vAlign w:val="center"/>
          </w:tcPr>
          <w:p w14:paraId="67D6FD8D">
            <w:pPr>
              <w:spacing w:line="360" w:lineRule="auto"/>
              <w:jc w:val="center"/>
              <w:rPr>
                <w:rFonts w:hint="eastAsia" w:ascii="仿宋" w:hAnsi="仿宋" w:eastAsia="仿宋" w:cs="仿宋"/>
                <w:color w:val="auto"/>
                <w:sz w:val="24"/>
                <w:highlight w:val="none"/>
              </w:rPr>
            </w:pPr>
          </w:p>
        </w:tc>
        <w:tc>
          <w:tcPr>
            <w:tcW w:w="2549" w:type="dxa"/>
            <w:vMerge w:val="continue"/>
            <w:noWrap w:val="0"/>
            <w:vAlign w:val="center"/>
          </w:tcPr>
          <w:p w14:paraId="6738A24A">
            <w:pPr>
              <w:spacing w:line="360" w:lineRule="auto"/>
              <w:jc w:val="center"/>
              <w:rPr>
                <w:rFonts w:hint="eastAsia" w:ascii="仿宋" w:hAnsi="仿宋" w:eastAsia="仿宋" w:cs="仿宋"/>
                <w:color w:val="auto"/>
                <w:sz w:val="24"/>
                <w:highlight w:val="none"/>
              </w:rPr>
            </w:pPr>
          </w:p>
        </w:tc>
        <w:tc>
          <w:tcPr>
            <w:tcW w:w="5806" w:type="dxa"/>
            <w:tcBorders>
              <w:right w:val="double" w:color="auto" w:sz="4" w:space="0"/>
            </w:tcBorders>
            <w:noWrap w:val="0"/>
            <w:vAlign w:val="center"/>
          </w:tcPr>
          <w:p w14:paraId="2DCB624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形式：通过</w:t>
            </w:r>
            <w:r>
              <w:rPr>
                <w:rFonts w:hint="eastAsia" w:ascii="仿宋" w:hAnsi="仿宋" w:eastAsia="仿宋" w:cs="仿宋"/>
                <w:color w:val="auto"/>
                <w:sz w:val="24"/>
                <w:highlight w:val="none"/>
                <w:lang w:eastAsia="zh-CN"/>
              </w:rPr>
              <w:t>驻马店市公共资源交易中心</w:t>
            </w:r>
            <w:r>
              <w:rPr>
                <w:rFonts w:hint="eastAsia" w:ascii="仿宋" w:hAnsi="仿宋" w:eastAsia="仿宋" w:cs="仿宋"/>
                <w:color w:val="auto"/>
                <w:sz w:val="24"/>
                <w:highlight w:val="none"/>
              </w:rPr>
              <w:t>系统进行提问，</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"mailto:同时发送同时提供word版和加盖公章的扫描件至hnjdzb@163.com"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并在交易平台上传加盖公章的PDF版及word版文件</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，以便招标人及代理机构及时整理、回复。</w:t>
            </w:r>
          </w:p>
        </w:tc>
      </w:tr>
      <w:tr w14:paraId="172DC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44FD198F">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2.2.2</w:t>
            </w:r>
          </w:p>
        </w:tc>
        <w:tc>
          <w:tcPr>
            <w:tcW w:w="2549" w:type="dxa"/>
            <w:noWrap w:val="0"/>
            <w:vAlign w:val="center"/>
          </w:tcPr>
          <w:p w14:paraId="038F3E9C">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招标文件澄清发出的形式</w:t>
            </w:r>
          </w:p>
        </w:tc>
        <w:tc>
          <w:tcPr>
            <w:tcW w:w="5806" w:type="dxa"/>
            <w:tcBorders>
              <w:right w:val="double" w:color="auto" w:sz="4" w:space="0"/>
            </w:tcBorders>
            <w:noWrap w:val="0"/>
            <w:vAlign w:val="center"/>
          </w:tcPr>
          <w:p w14:paraId="5B99234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s="仿宋"/>
                <w:b/>
                <w:bCs/>
                <w:color w:val="auto"/>
                <w:sz w:val="24"/>
                <w:highlight w:val="none"/>
              </w:rPr>
            </w:pPr>
            <w:r>
              <w:rPr>
                <w:rFonts w:hint="eastAsia" w:ascii="仿宋" w:hAnsi="仿宋" w:eastAsia="仿宋" w:cs="仿宋"/>
                <w:color w:val="auto"/>
                <w:sz w:val="24"/>
                <w:highlight w:val="none"/>
              </w:rPr>
              <w:t>通过</w:t>
            </w:r>
            <w:r>
              <w:rPr>
                <w:rFonts w:hint="eastAsia" w:ascii="仿宋" w:hAnsi="仿宋" w:eastAsia="仿宋" w:cs="仿宋"/>
                <w:color w:val="auto"/>
                <w:sz w:val="24"/>
                <w:highlight w:val="none"/>
                <w:lang w:eastAsia="zh-CN"/>
              </w:rPr>
              <w:t>驻马店市公共资源交易中心</w:t>
            </w:r>
            <w:r>
              <w:rPr>
                <w:rFonts w:hint="eastAsia" w:ascii="仿宋" w:hAnsi="仿宋" w:eastAsia="仿宋" w:cs="仿宋"/>
                <w:color w:val="auto"/>
                <w:sz w:val="24"/>
                <w:highlight w:val="none"/>
                <w:lang w:val="en-US" w:eastAsia="zh-CN"/>
              </w:rPr>
              <w:t>系统</w:t>
            </w:r>
            <w:r>
              <w:rPr>
                <w:rFonts w:hint="eastAsia" w:ascii="仿宋" w:hAnsi="仿宋" w:eastAsia="仿宋" w:cs="仿宋"/>
                <w:color w:val="auto"/>
                <w:sz w:val="24"/>
                <w:highlight w:val="none"/>
              </w:rPr>
              <w:t>以变更公告或答疑澄清文件的形式发出</w:t>
            </w:r>
          </w:p>
        </w:tc>
      </w:tr>
      <w:tr w14:paraId="1EC73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14DA805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2.3</w:t>
            </w:r>
          </w:p>
        </w:tc>
        <w:tc>
          <w:tcPr>
            <w:tcW w:w="2549" w:type="dxa"/>
            <w:noWrap w:val="0"/>
            <w:vAlign w:val="center"/>
          </w:tcPr>
          <w:p w14:paraId="59BFBA1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招标文件修改发出的形式</w:t>
            </w:r>
          </w:p>
        </w:tc>
        <w:tc>
          <w:tcPr>
            <w:tcW w:w="5806" w:type="dxa"/>
            <w:tcBorders>
              <w:right w:val="double" w:color="auto" w:sz="4" w:space="0"/>
            </w:tcBorders>
            <w:noWrap w:val="0"/>
            <w:vAlign w:val="center"/>
          </w:tcPr>
          <w:p w14:paraId="6935A7F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通过</w:t>
            </w:r>
            <w:r>
              <w:rPr>
                <w:rFonts w:hint="eastAsia" w:ascii="仿宋" w:hAnsi="仿宋" w:eastAsia="仿宋" w:cs="仿宋"/>
                <w:color w:val="auto"/>
                <w:sz w:val="24"/>
                <w:highlight w:val="none"/>
                <w:lang w:eastAsia="zh-CN"/>
              </w:rPr>
              <w:t>驻马店市公共资源交易中心</w:t>
            </w:r>
            <w:r>
              <w:rPr>
                <w:rFonts w:hint="eastAsia" w:ascii="仿宋" w:hAnsi="仿宋" w:eastAsia="仿宋" w:cs="仿宋"/>
                <w:color w:val="auto"/>
                <w:sz w:val="24"/>
                <w:highlight w:val="none"/>
                <w:lang w:val="en-US" w:eastAsia="zh-CN"/>
              </w:rPr>
              <w:t>系统</w:t>
            </w:r>
            <w:r>
              <w:rPr>
                <w:rFonts w:hint="eastAsia" w:ascii="仿宋" w:hAnsi="仿宋" w:eastAsia="仿宋" w:cs="仿宋"/>
                <w:color w:val="auto"/>
                <w:sz w:val="24"/>
                <w:highlight w:val="none"/>
              </w:rPr>
              <w:t>以变更公告或答疑澄清文件的形式发出</w:t>
            </w:r>
          </w:p>
        </w:tc>
      </w:tr>
      <w:tr w14:paraId="77628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6B01112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3.1.1</w:t>
            </w:r>
          </w:p>
        </w:tc>
        <w:tc>
          <w:tcPr>
            <w:tcW w:w="2549" w:type="dxa"/>
            <w:noWrap w:val="0"/>
            <w:vAlign w:val="center"/>
          </w:tcPr>
          <w:p w14:paraId="610A4E2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构成投标文件的其他材料</w:t>
            </w:r>
          </w:p>
        </w:tc>
        <w:tc>
          <w:tcPr>
            <w:tcW w:w="5806" w:type="dxa"/>
            <w:tcBorders>
              <w:right w:val="double" w:color="auto" w:sz="4" w:space="0"/>
            </w:tcBorders>
            <w:noWrap w:val="0"/>
            <w:vAlign w:val="center"/>
          </w:tcPr>
          <w:p w14:paraId="780AFA4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包括但不限于体现投标企业施工能力的证明文件及投标人认为有利于其投标的其他材料</w:t>
            </w:r>
          </w:p>
        </w:tc>
      </w:tr>
      <w:tr w14:paraId="00537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43EEFB4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3.2.1</w:t>
            </w:r>
          </w:p>
        </w:tc>
        <w:tc>
          <w:tcPr>
            <w:tcW w:w="2549" w:type="dxa"/>
            <w:noWrap w:val="0"/>
            <w:vAlign w:val="center"/>
          </w:tcPr>
          <w:p w14:paraId="66ED1A9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增值税税金的计算</w:t>
            </w:r>
          </w:p>
          <w:p w14:paraId="18ACA27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方法</w:t>
            </w:r>
          </w:p>
        </w:tc>
        <w:tc>
          <w:tcPr>
            <w:tcW w:w="5806" w:type="dxa"/>
            <w:tcBorders>
              <w:right w:val="double" w:color="auto" w:sz="4" w:space="0"/>
            </w:tcBorders>
            <w:noWrap w:val="0"/>
            <w:vAlign w:val="center"/>
          </w:tcPr>
          <w:p w14:paraId="4ACAB0A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一般计税法</w:t>
            </w:r>
          </w:p>
        </w:tc>
      </w:tr>
      <w:tr w14:paraId="3976C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7E71AAC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3.2.3</w:t>
            </w:r>
          </w:p>
        </w:tc>
        <w:tc>
          <w:tcPr>
            <w:tcW w:w="2549" w:type="dxa"/>
            <w:noWrap w:val="0"/>
            <w:vAlign w:val="center"/>
          </w:tcPr>
          <w:p w14:paraId="1A625D79">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报价方式</w:t>
            </w:r>
          </w:p>
        </w:tc>
        <w:tc>
          <w:tcPr>
            <w:tcW w:w="5806" w:type="dxa"/>
            <w:tcBorders>
              <w:right w:val="double" w:color="auto" w:sz="4" w:space="0"/>
            </w:tcBorders>
            <w:noWrap w:val="0"/>
            <w:vAlign w:val="center"/>
          </w:tcPr>
          <w:p w14:paraId="0839D2F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工程量清单计价</w:t>
            </w:r>
          </w:p>
        </w:tc>
      </w:tr>
      <w:tr w14:paraId="3F1B5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688109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3.2.4</w:t>
            </w:r>
          </w:p>
        </w:tc>
        <w:tc>
          <w:tcPr>
            <w:tcW w:w="2549" w:type="dxa"/>
            <w:noWrap w:val="0"/>
            <w:vAlign w:val="center"/>
          </w:tcPr>
          <w:p w14:paraId="7C50478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最高投标限价</w:t>
            </w:r>
          </w:p>
        </w:tc>
        <w:tc>
          <w:tcPr>
            <w:tcW w:w="5806" w:type="dxa"/>
            <w:tcBorders>
              <w:right w:val="double" w:color="auto" w:sz="4" w:space="0"/>
            </w:tcBorders>
            <w:noWrap w:val="0"/>
            <w:vAlign w:val="center"/>
          </w:tcPr>
          <w:p w14:paraId="3B4808E1">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最高投标限价</w:t>
            </w:r>
            <w:r>
              <w:rPr>
                <w:rFonts w:hint="eastAsia" w:ascii="仿宋" w:hAnsi="仿宋" w:eastAsia="仿宋" w:cs="仿宋"/>
                <w:b/>
                <w:bCs/>
                <w:color w:val="auto"/>
                <w:sz w:val="24"/>
                <w:highlight w:val="none"/>
                <w:lang w:eastAsia="zh-CN"/>
              </w:rPr>
              <w:t>：</w:t>
            </w:r>
          </w:p>
          <w:p w14:paraId="449BC397">
            <w:pPr>
              <w:pStyle w:val="25"/>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jc w:val="left"/>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第一标段：11076522.08元</w:t>
            </w:r>
          </w:p>
          <w:p w14:paraId="33EB388E">
            <w:pPr>
              <w:pStyle w:val="25"/>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jc w:val="left"/>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第二标段：7516517.25元</w:t>
            </w:r>
          </w:p>
          <w:p w14:paraId="61C1856F">
            <w:pPr>
              <w:pStyle w:val="25"/>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jc w:val="left"/>
              <w:textAlignment w:val="auto"/>
              <w:rPr>
                <w:rFonts w:hint="default" w:ascii="仿宋" w:hAnsi="仿宋" w:eastAsia="仿宋" w:cs="仿宋"/>
                <w:color w:val="auto"/>
                <w:sz w:val="24"/>
                <w:highlight w:val="none"/>
                <w:lang w:val="en-US"/>
              </w:rPr>
            </w:pPr>
            <w:r>
              <w:rPr>
                <w:rFonts w:hint="eastAsia" w:ascii="仿宋" w:hAnsi="仿宋" w:eastAsia="仿宋" w:cs="仿宋"/>
                <w:b/>
                <w:bCs/>
                <w:color w:val="auto"/>
                <w:sz w:val="24"/>
                <w:highlight w:val="none"/>
                <w:lang w:val="en-US" w:eastAsia="zh-CN"/>
              </w:rPr>
              <w:t>第三标段：8655965.59元</w:t>
            </w:r>
          </w:p>
        </w:tc>
      </w:tr>
      <w:tr w14:paraId="17E9F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224" w:type="dxa"/>
            <w:tcBorders>
              <w:left w:val="double" w:color="auto" w:sz="4" w:space="0"/>
            </w:tcBorders>
            <w:noWrap w:val="0"/>
            <w:vAlign w:val="center"/>
          </w:tcPr>
          <w:p w14:paraId="06367A2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3.2.5</w:t>
            </w:r>
          </w:p>
        </w:tc>
        <w:tc>
          <w:tcPr>
            <w:tcW w:w="2549" w:type="dxa"/>
            <w:noWrap w:val="0"/>
            <w:vAlign w:val="center"/>
          </w:tcPr>
          <w:p w14:paraId="6CB1896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投标报价的其他</w:t>
            </w:r>
          </w:p>
          <w:p w14:paraId="7DEB9BF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要求</w:t>
            </w:r>
          </w:p>
        </w:tc>
        <w:tc>
          <w:tcPr>
            <w:tcW w:w="5806" w:type="dxa"/>
            <w:tcBorders>
              <w:right w:val="double" w:color="auto" w:sz="4" w:space="0"/>
            </w:tcBorders>
            <w:noWrap w:val="0"/>
            <w:vAlign w:val="center"/>
          </w:tcPr>
          <w:p w14:paraId="1E312EA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在投标报价时应根据招标文件中的有关要求、补充文件、答疑纪要、招标人提供的技术资料、项目实际情况及拟定的配置方案，还应考虑施工期间的物价上涨、政策性调整、工程造价变动、工期延长、施工期间用水、用电及施工期间产生的相应的管理费、服务费、配合费、税金等诸多因素以及由此引起的费用变动及投标人自身的技术力量、企业成本、管理水平，企业实力，合理自主报价。</w:t>
            </w:r>
          </w:p>
          <w:p w14:paraId="15F4F04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人须保证招标人在使用其货物、服务及任何部分不受第三方关于侵犯专利权、商标权、设计权、软件著作权的指控。若任何第三方对此提出指控，投标人负责与第三方交涉并承担由此引起的一切法律责任和费用。</w:t>
            </w:r>
          </w:p>
          <w:p w14:paraId="1A38D3B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投标人可先到工地踏勘以充分了解工地情况及任何其它足以影响报价的因素，对招标人提供的清单数量进行校核；投标人在填写投标报价时需考虑因市场价格波动、招标文件未列明的或其他原因引起所产生的费用。</w:t>
            </w:r>
          </w:p>
        </w:tc>
      </w:tr>
      <w:tr w14:paraId="574F4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224" w:type="dxa"/>
            <w:tcBorders>
              <w:left w:val="double" w:color="auto" w:sz="4" w:space="0"/>
            </w:tcBorders>
            <w:noWrap w:val="0"/>
            <w:vAlign w:val="center"/>
          </w:tcPr>
          <w:p w14:paraId="5D9528C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3.3.1</w:t>
            </w:r>
          </w:p>
        </w:tc>
        <w:tc>
          <w:tcPr>
            <w:tcW w:w="2549" w:type="dxa"/>
            <w:noWrap w:val="0"/>
            <w:vAlign w:val="center"/>
          </w:tcPr>
          <w:p w14:paraId="57F47B6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投标有效期</w:t>
            </w:r>
          </w:p>
        </w:tc>
        <w:tc>
          <w:tcPr>
            <w:tcW w:w="5806" w:type="dxa"/>
            <w:tcBorders>
              <w:right w:val="double" w:color="auto" w:sz="4" w:space="0"/>
            </w:tcBorders>
            <w:noWrap w:val="0"/>
            <w:vAlign w:val="center"/>
          </w:tcPr>
          <w:p w14:paraId="0971F32E">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120</w:t>
            </w:r>
            <w:r>
              <w:rPr>
                <w:rFonts w:hint="eastAsia" w:ascii="仿宋" w:hAnsi="仿宋" w:eastAsia="仿宋" w:cs="仿宋"/>
                <w:color w:val="auto"/>
                <w:sz w:val="24"/>
                <w:highlight w:val="none"/>
              </w:rPr>
              <w:t>日历天（自投标截止之日起）</w:t>
            </w:r>
          </w:p>
        </w:tc>
      </w:tr>
      <w:tr w14:paraId="72546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40EEDC5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3.4.1</w:t>
            </w:r>
          </w:p>
        </w:tc>
        <w:tc>
          <w:tcPr>
            <w:tcW w:w="2549" w:type="dxa"/>
            <w:noWrap w:val="0"/>
            <w:vAlign w:val="center"/>
          </w:tcPr>
          <w:p w14:paraId="0AC28CEF">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投标保证金</w:t>
            </w:r>
          </w:p>
        </w:tc>
        <w:tc>
          <w:tcPr>
            <w:tcW w:w="5806" w:type="dxa"/>
            <w:tcBorders>
              <w:right w:val="double" w:color="auto" w:sz="4" w:space="0"/>
            </w:tcBorders>
            <w:noWrap w:val="0"/>
            <w:vAlign w:val="center"/>
          </w:tcPr>
          <w:p w14:paraId="410A64A7">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是否要求投标人递交投标保证金：</w:t>
            </w:r>
          </w:p>
          <w:p w14:paraId="42CCEEB1">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□不要求</w:t>
            </w:r>
          </w:p>
          <w:p w14:paraId="34F32D19">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☑要求，投标保证金的金额：</w:t>
            </w:r>
          </w:p>
          <w:p w14:paraId="474FC02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第一标段：</w:t>
            </w:r>
            <w:r>
              <w:rPr>
                <w:rFonts w:hint="eastAsia" w:ascii="仿宋" w:hAnsi="仿宋" w:eastAsia="仿宋" w:cs="仿宋"/>
                <w:color w:val="auto"/>
                <w:sz w:val="24"/>
                <w:highlight w:val="none"/>
                <w:u w:val="single"/>
                <w:lang w:val="en-US" w:eastAsia="zh-CN"/>
              </w:rPr>
              <w:t>壹拾陆万元整（160000.00元）</w:t>
            </w:r>
          </w:p>
          <w:p w14:paraId="66B1986D">
            <w:pPr>
              <w:pStyle w:val="25"/>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lang w:val="en-US" w:eastAsia="zh-CN"/>
              </w:rPr>
              <w:t>第二标段：</w:t>
            </w:r>
            <w:r>
              <w:rPr>
                <w:rFonts w:hint="eastAsia" w:ascii="仿宋" w:hAnsi="仿宋" w:eastAsia="仿宋" w:cs="仿宋"/>
                <w:color w:val="auto"/>
                <w:sz w:val="24"/>
                <w:highlight w:val="none"/>
                <w:u w:val="single"/>
                <w:lang w:val="en-US" w:eastAsia="zh-CN"/>
              </w:rPr>
              <w:t>壹拾贰万元整（120000.00元）</w:t>
            </w:r>
          </w:p>
          <w:p w14:paraId="5B7C403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color w:val="auto"/>
                <w:highlight w:val="none"/>
                <w:lang w:val="en-US" w:eastAsia="zh-CN"/>
              </w:rPr>
            </w:pPr>
            <w:r>
              <w:rPr>
                <w:rFonts w:hint="eastAsia" w:ascii="仿宋" w:hAnsi="仿宋" w:eastAsia="仿宋" w:cs="仿宋"/>
                <w:color w:val="auto"/>
                <w:sz w:val="24"/>
                <w:highlight w:val="none"/>
                <w:lang w:val="en-US" w:eastAsia="zh-CN"/>
              </w:rPr>
              <w:t>第三标段：</w:t>
            </w:r>
            <w:r>
              <w:rPr>
                <w:rFonts w:hint="eastAsia" w:ascii="仿宋" w:hAnsi="仿宋" w:eastAsia="仿宋" w:cs="仿宋"/>
                <w:color w:val="auto"/>
                <w:sz w:val="24"/>
                <w:highlight w:val="none"/>
                <w:u w:val="single"/>
                <w:lang w:val="en-US" w:eastAsia="zh-CN"/>
              </w:rPr>
              <w:t>壹拾贰万元整（120000.00元）</w:t>
            </w:r>
          </w:p>
          <w:p w14:paraId="48B6951C">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投标保证金的形式：</w:t>
            </w:r>
            <w:r>
              <w:rPr>
                <w:rFonts w:hint="eastAsia" w:ascii="仿宋" w:hAnsi="仿宋" w:eastAsia="仿宋" w:cs="仿宋"/>
                <w:color w:val="auto"/>
                <w:sz w:val="24"/>
                <w:highlight w:val="none"/>
                <w:u w:val="single"/>
              </w:rPr>
              <w:t>银行转账/电子保函</w:t>
            </w:r>
          </w:p>
          <w:p w14:paraId="54457DBA">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color w:val="auto"/>
                <w:sz w:val="24"/>
                <w:highlight w:val="none"/>
                <w:u w:val="single"/>
              </w:rPr>
            </w:pPr>
            <w:r>
              <w:rPr>
                <w:rFonts w:hint="eastAsia" w:ascii="仿宋" w:hAnsi="仿宋" w:eastAsia="仿宋" w:cs="仿宋"/>
                <w:b/>
                <w:bCs/>
                <w:color w:val="auto"/>
                <w:sz w:val="24"/>
                <w:highlight w:val="none"/>
              </w:rPr>
              <w:t>（1）转账形式</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投标人须登录交易系统，在【业务管理】里面的【保证金缴纳查询】菜单里，查找该标段的投标保证金收款账户，投标人可挑选该标段对应的任一个账户按要求递交投标保证金，缴纳完成后，在【保证金缴纳查询】菜单里下载打印投标保证金交纳回执单，投标人必须将投标保证金交纳回执单的复印件装订到投标文件中并加盖公章。</w:t>
            </w:r>
          </w:p>
          <w:p w14:paraId="47D8D6C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投标人将投标保证金于开标时间前登录交易系统从本公司基本账户一次性足额存至驻马店市公共资源交易中心指定账户,不得以现金提交，逾期到账的投标保证金不予受理。（未从基本账户汇出或未按时到账者视为无效）。如联合体投标，应当以联合体中牵头人的名义提交保证金。</w:t>
            </w:r>
          </w:p>
          <w:p w14:paraId="634C4DA7">
            <w:pPr>
              <w:keepNext w:val="0"/>
              <w:pageBreakBefore w:val="0"/>
              <w:widowControl w:val="0"/>
              <w:numPr>
                <w:ilvl w:val="0"/>
                <w:numId w:val="3"/>
              </w:numPr>
              <w:kinsoku/>
              <w:overflowPunct/>
              <w:topLinePunct w:val="0"/>
              <w:bidi w:val="0"/>
              <w:snapToGrid/>
              <w:spacing w:line="480" w:lineRule="exact"/>
              <w:ind w:firstLine="482" w:firstLineChars="200"/>
              <w:textAlignment w:val="auto"/>
              <w:rPr>
                <w:rFonts w:hint="eastAsia" w:ascii="仿宋" w:hAnsi="仿宋" w:eastAsia="仿宋" w:cs="仿宋"/>
                <w:color w:val="auto"/>
                <w:sz w:val="24"/>
                <w:highlight w:val="none"/>
                <w:u w:val="single"/>
              </w:rPr>
            </w:pPr>
            <w:r>
              <w:rPr>
                <w:rFonts w:hint="eastAsia" w:ascii="仿宋" w:hAnsi="仿宋" w:eastAsia="仿宋" w:cs="仿宋"/>
                <w:b/>
                <w:bCs/>
                <w:color w:val="auto"/>
                <w:sz w:val="24"/>
                <w:highlight w:val="none"/>
              </w:rPr>
              <w:t>保函形式：</w:t>
            </w:r>
            <w:r>
              <w:rPr>
                <w:rFonts w:hint="eastAsia" w:ascii="仿宋" w:hAnsi="仿宋" w:eastAsia="仿宋" w:cs="仿宋"/>
                <w:color w:val="auto"/>
                <w:sz w:val="24"/>
                <w:highlight w:val="none"/>
                <w:u w:val="single"/>
              </w:rPr>
              <w:t>采用保函形式缴纳的，投标人在投标截止时间前须由专业担保机构出具投标保证金保函，并将保函证明按规定附于投标文件内并上传至项目资格审查材料内。</w:t>
            </w:r>
          </w:p>
          <w:p w14:paraId="51FC9CFB">
            <w:pPr>
              <w:keepNext w:val="0"/>
              <w:pageBreakBefore w:val="0"/>
              <w:widowControl w:val="0"/>
              <w:numPr>
                <w:ilvl w:val="0"/>
                <w:numId w:val="3"/>
              </w:numPr>
              <w:kinsoku/>
              <w:overflowPunct/>
              <w:topLinePunct w:val="0"/>
              <w:bidi w:val="0"/>
              <w:snapToGrid/>
              <w:spacing w:line="480" w:lineRule="exact"/>
              <w:ind w:left="0" w:leftChars="0" w:firstLine="218" w:firstLineChars="91"/>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投标保函递交方法</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u w:val="single"/>
              </w:rPr>
              <w:t>项目开标前，投标人在交易系统“电子保函申请”页面进行电子保函申请，出具保函的相关机构审批通过后，将以密文形式出具电子保函文件，投标人在金融服务平台可下载该保函文件。</w:t>
            </w:r>
            <w:bookmarkStart w:id="89" w:name="_Toc7147"/>
            <w:bookmarkStart w:id="90" w:name="_Toc14573"/>
            <w:bookmarkStart w:id="91" w:name="_Toc19969"/>
          </w:p>
          <w:p w14:paraId="3AC292CF">
            <w:pPr>
              <w:keepNext w:val="0"/>
              <w:keepLines/>
              <w:pageBreakBefore w:val="0"/>
              <w:widowControl w:val="0"/>
              <w:kinsoku/>
              <w:wordWrap w:val="0"/>
              <w:overflowPunct/>
              <w:topLinePunct w:val="0"/>
              <w:autoSpaceDE w:val="0"/>
              <w:autoSpaceDN w:val="0"/>
              <w:bidi w:val="0"/>
              <w:adjustRightInd w:val="0"/>
              <w:snapToGrid/>
              <w:spacing w:line="480" w:lineRule="exact"/>
              <w:ind w:left="0" w:leftChars="0" w:right="-34" w:rightChars="-16" w:firstLine="218" w:firstLineChars="91"/>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lang w:val="en-US" w:eastAsia="zh-CN"/>
              </w:rPr>
              <w:t>电</w:t>
            </w:r>
            <w:r>
              <w:rPr>
                <w:rFonts w:hint="eastAsia" w:ascii="仿宋" w:hAnsi="仿宋" w:eastAsia="仿宋" w:cs="仿宋"/>
                <w:color w:val="auto"/>
                <w:sz w:val="24"/>
                <w:highlight w:val="none"/>
                <w:u w:val="single"/>
              </w:rPr>
              <w:t>子保函的申请、使用、查看及应用过程中遇到问题可以咨询一下部门：</w:t>
            </w:r>
          </w:p>
          <w:p w14:paraId="0B98FD64">
            <w:pPr>
              <w:keepNext w:val="0"/>
              <w:keepLines/>
              <w:pageBreakBefore w:val="0"/>
              <w:widowControl w:val="0"/>
              <w:kinsoku/>
              <w:wordWrap w:val="0"/>
              <w:overflowPunct/>
              <w:topLinePunct w:val="0"/>
              <w:autoSpaceDE w:val="0"/>
              <w:autoSpaceDN w:val="0"/>
              <w:bidi w:val="0"/>
              <w:adjustRightInd w:val="0"/>
              <w:snapToGrid/>
              <w:spacing w:line="480" w:lineRule="exact"/>
              <w:ind w:left="0" w:leftChars="0" w:right="-34" w:rightChars="-16" w:firstLine="218" w:firstLineChars="91"/>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交易平台技术咨询：0396-2613088</w:t>
            </w:r>
          </w:p>
          <w:p w14:paraId="67CD4957">
            <w:pPr>
              <w:keepNext w:val="0"/>
              <w:keepLines/>
              <w:pageBreakBefore w:val="0"/>
              <w:widowControl w:val="0"/>
              <w:kinsoku/>
              <w:wordWrap w:val="0"/>
              <w:overflowPunct/>
              <w:topLinePunct w:val="0"/>
              <w:autoSpaceDE w:val="0"/>
              <w:autoSpaceDN w:val="0"/>
              <w:bidi w:val="0"/>
              <w:adjustRightInd w:val="0"/>
              <w:snapToGrid/>
              <w:spacing w:line="480" w:lineRule="exact"/>
              <w:ind w:left="0" w:leftChars="0" w:right="-34" w:rightChars="-16" w:firstLine="218" w:firstLineChars="91"/>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银行保函技术支持：0571-85817300-884</w:t>
            </w:r>
          </w:p>
          <w:p w14:paraId="3257ECAE">
            <w:pPr>
              <w:keepNext w:val="0"/>
              <w:keepLines/>
              <w:pageBreakBefore w:val="0"/>
              <w:widowControl w:val="0"/>
              <w:kinsoku/>
              <w:wordWrap w:val="0"/>
              <w:overflowPunct/>
              <w:topLinePunct w:val="0"/>
              <w:autoSpaceDE w:val="0"/>
              <w:autoSpaceDN w:val="0"/>
              <w:bidi w:val="0"/>
              <w:adjustRightInd w:val="0"/>
              <w:snapToGrid/>
              <w:spacing w:line="480" w:lineRule="exact"/>
              <w:ind w:left="0" w:leftChars="0" w:right="-34" w:rightChars="-16" w:firstLine="218" w:firstLineChars="91"/>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保险保函技术支持：0371-69158801、17319726812</w:t>
            </w:r>
          </w:p>
          <w:p w14:paraId="7354524C">
            <w:pPr>
              <w:keepNext w:val="0"/>
              <w:keepLines/>
              <w:pageBreakBefore w:val="0"/>
              <w:widowControl w:val="0"/>
              <w:kinsoku/>
              <w:wordWrap w:val="0"/>
              <w:overflowPunct/>
              <w:topLinePunct w:val="0"/>
              <w:autoSpaceDE w:val="0"/>
              <w:autoSpaceDN w:val="0"/>
              <w:bidi w:val="0"/>
              <w:adjustRightInd w:val="0"/>
              <w:snapToGrid/>
              <w:spacing w:line="480" w:lineRule="exact"/>
              <w:ind w:left="0" w:leftChars="0" w:right="-34" w:rightChars="-16" w:firstLine="218" w:firstLineChars="91"/>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担保保函技术支持：0371-58670003</w:t>
            </w:r>
          </w:p>
          <w:p w14:paraId="1B59F8AC">
            <w:pPr>
              <w:keepNext w:val="0"/>
              <w:keepLines/>
              <w:pageBreakBefore w:val="0"/>
              <w:widowControl w:val="0"/>
              <w:numPr>
                <w:ilvl w:val="0"/>
                <w:numId w:val="4"/>
              </w:numPr>
              <w:kinsoku/>
              <w:wordWrap w:val="0"/>
              <w:overflowPunct/>
              <w:topLinePunct w:val="0"/>
              <w:autoSpaceDE w:val="0"/>
              <w:autoSpaceDN w:val="0"/>
              <w:bidi w:val="0"/>
              <w:adjustRightInd w:val="0"/>
              <w:snapToGrid/>
              <w:spacing w:line="480" w:lineRule="exact"/>
              <w:ind w:left="0" w:leftChars="0" w:right="-34" w:rightChars="-16" w:firstLine="219" w:firstLineChars="91"/>
              <w:textAlignment w:val="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其他形式：</w:t>
            </w:r>
            <w:r>
              <w:rPr>
                <w:rFonts w:hint="eastAsia" w:ascii="仿宋" w:hAnsi="仿宋" w:eastAsia="仿宋" w:cs="仿宋"/>
                <w:b/>
                <w:bCs/>
                <w:color w:val="auto"/>
                <w:sz w:val="24"/>
                <w:highlight w:val="none"/>
                <w:u w:val="single"/>
              </w:rPr>
              <w:t xml:space="preserve">    /    </w:t>
            </w:r>
            <w:r>
              <w:rPr>
                <w:rFonts w:hint="eastAsia" w:ascii="仿宋" w:hAnsi="仿宋" w:eastAsia="仿宋" w:cs="仿宋"/>
                <w:color w:val="auto"/>
                <w:sz w:val="24"/>
                <w:highlight w:val="none"/>
              </w:rPr>
              <w:t>。</w:t>
            </w:r>
          </w:p>
          <w:p w14:paraId="0D727EFE">
            <w:pPr>
              <w:keepNext w:val="0"/>
              <w:keepLines/>
              <w:pageBreakBefore w:val="0"/>
              <w:widowControl w:val="0"/>
              <w:numPr>
                <w:ilvl w:val="0"/>
                <w:numId w:val="0"/>
              </w:numPr>
              <w:kinsoku/>
              <w:wordWrap w:val="0"/>
              <w:overflowPunct/>
              <w:topLinePunct w:val="0"/>
              <w:autoSpaceDE w:val="0"/>
              <w:autoSpaceDN w:val="0"/>
              <w:bidi w:val="0"/>
              <w:adjustRightInd w:val="0"/>
              <w:snapToGrid/>
              <w:spacing w:line="480" w:lineRule="exact"/>
              <w:ind w:left="0" w:leftChars="0" w:right="-34" w:rightChars="-16" w:firstLine="219" w:firstLineChars="91"/>
              <w:textAlignment w:val="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（4）免缴保证金的其他</w:t>
            </w:r>
            <w:bookmarkEnd w:id="89"/>
            <w:bookmarkEnd w:id="90"/>
            <w:bookmarkEnd w:id="91"/>
            <w:r>
              <w:rPr>
                <w:rFonts w:hint="eastAsia" w:ascii="仿宋" w:hAnsi="仿宋" w:eastAsia="仿宋" w:cs="仿宋"/>
                <w:b/>
                <w:bCs/>
                <w:color w:val="auto"/>
                <w:sz w:val="24"/>
                <w:highlight w:val="none"/>
              </w:rPr>
              <w:t>情形：</w:t>
            </w:r>
            <w:r>
              <w:rPr>
                <w:rFonts w:hint="eastAsia" w:ascii="仿宋" w:hAnsi="仿宋" w:eastAsia="仿宋" w:cs="仿宋"/>
                <w:color w:val="auto"/>
                <w:sz w:val="24"/>
                <w:highlight w:val="none"/>
                <w:u w:val="single"/>
              </w:rPr>
              <w:t>/</w:t>
            </w:r>
          </w:p>
        </w:tc>
      </w:tr>
      <w:tr w14:paraId="1594E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55D7E0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3.4.4</w:t>
            </w:r>
          </w:p>
        </w:tc>
        <w:tc>
          <w:tcPr>
            <w:tcW w:w="2549" w:type="dxa"/>
            <w:noWrap w:val="0"/>
            <w:vAlign w:val="center"/>
          </w:tcPr>
          <w:p w14:paraId="2776FC41">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其他可以不予退还投标保证金的情形</w:t>
            </w:r>
          </w:p>
        </w:tc>
        <w:tc>
          <w:tcPr>
            <w:tcW w:w="5806" w:type="dxa"/>
            <w:tcBorders>
              <w:right w:val="double" w:color="auto" w:sz="4" w:space="0"/>
            </w:tcBorders>
            <w:noWrap w:val="0"/>
            <w:vAlign w:val="center"/>
          </w:tcPr>
          <w:p w14:paraId="7F59C7CD">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220" w:leftChars="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有《中华人民共和国招标投标法》及其实施条例规定的不予退还的其他情形。</w:t>
            </w:r>
          </w:p>
        </w:tc>
      </w:tr>
      <w:tr w14:paraId="5AD2F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3D38A57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3.5</w:t>
            </w:r>
          </w:p>
        </w:tc>
        <w:tc>
          <w:tcPr>
            <w:tcW w:w="2549" w:type="dxa"/>
            <w:noWrap w:val="0"/>
            <w:vAlign w:val="center"/>
          </w:tcPr>
          <w:p w14:paraId="249C3216">
            <w:pPr>
              <w:spacing w:line="360" w:lineRule="auto"/>
              <w:ind w:left="38" w:leftChars="18"/>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资格审查资料的特殊要求</w:t>
            </w:r>
          </w:p>
        </w:tc>
        <w:tc>
          <w:tcPr>
            <w:tcW w:w="5806" w:type="dxa"/>
            <w:tcBorders>
              <w:right w:val="double" w:color="auto" w:sz="4" w:space="0"/>
            </w:tcBorders>
            <w:noWrap w:val="0"/>
            <w:vAlign w:val="center"/>
          </w:tcPr>
          <w:p w14:paraId="689B300D">
            <w:pPr>
              <w:spacing w:line="360" w:lineRule="auto"/>
              <w:ind w:left="38" w:leftChars="18"/>
              <w:rPr>
                <w:rFonts w:hint="eastAsia" w:ascii="仿宋" w:hAnsi="仿宋" w:eastAsia="仿宋" w:cs="仿宋"/>
                <w:color w:val="auto"/>
                <w:sz w:val="24"/>
                <w:highlight w:val="none"/>
              </w:rPr>
            </w:pPr>
            <w:r>
              <w:rPr>
                <w:rFonts w:hint="eastAsia" w:ascii="仿宋" w:hAnsi="仿宋" w:eastAsia="仿宋" w:cs="仿宋"/>
                <w:color w:val="auto"/>
                <w:sz w:val="24"/>
                <w:highlight w:val="none"/>
              </w:rPr>
              <w:t>☑无</w:t>
            </w:r>
          </w:p>
          <w:p w14:paraId="3E745360">
            <w:pPr>
              <w:spacing w:line="360" w:lineRule="auto"/>
              <w:ind w:left="38" w:leftChars="18"/>
              <w:rPr>
                <w:rFonts w:hint="eastAsia" w:ascii="仿宋" w:hAnsi="仿宋" w:eastAsia="仿宋" w:cs="仿宋"/>
                <w:color w:val="auto"/>
                <w:sz w:val="24"/>
                <w:highlight w:val="none"/>
              </w:rPr>
            </w:pPr>
            <w:r>
              <w:rPr>
                <w:rFonts w:hint="eastAsia" w:ascii="仿宋" w:hAnsi="仿宋" w:eastAsia="仿宋" w:cs="仿宋"/>
                <w:color w:val="auto"/>
                <w:sz w:val="24"/>
                <w:highlight w:val="none"/>
              </w:rPr>
              <w:t>□有，具体要求：</w:t>
            </w:r>
          </w:p>
        </w:tc>
      </w:tr>
      <w:tr w14:paraId="26D6C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6E92CA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3.5.2</w:t>
            </w:r>
          </w:p>
        </w:tc>
        <w:tc>
          <w:tcPr>
            <w:tcW w:w="2549" w:type="dxa"/>
            <w:noWrap w:val="0"/>
            <w:vAlign w:val="center"/>
          </w:tcPr>
          <w:p w14:paraId="0556297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近年财务状况的年份要求</w:t>
            </w:r>
          </w:p>
        </w:tc>
        <w:tc>
          <w:tcPr>
            <w:tcW w:w="5806" w:type="dxa"/>
            <w:tcBorders>
              <w:right w:val="double" w:color="auto" w:sz="4" w:space="0"/>
            </w:tcBorders>
            <w:noWrap w:val="0"/>
            <w:vAlign w:val="center"/>
          </w:tcPr>
          <w:p w14:paraId="1037447B">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 202</w:t>
            </w:r>
            <w:r>
              <w:rPr>
                <w:rFonts w:hint="eastAsia" w:ascii="仿宋" w:hAnsi="仿宋" w:eastAsia="仿宋" w:cs="仿宋"/>
                <w:color w:val="auto"/>
                <w:sz w:val="24"/>
                <w:highlight w:val="none"/>
                <w:u w:val="single"/>
                <w:lang w:val="en-US" w:eastAsia="zh-CN"/>
              </w:rPr>
              <w:t>3</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val="en-US" w:eastAsia="zh-CN"/>
              </w:rPr>
              <w:t>至</w:t>
            </w:r>
            <w:r>
              <w:rPr>
                <w:rFonts w:hint="eastAsia" w:ascii="仿宋" w:hAnsi="仿宋" w:eastAsia="仿宋" w:cs="仿宋"/>
                <w:color w:val="auto"/>
                <w:sz w:val="24"/>
                <w:highlight w:val="none"/>
                <w:u w:val="single"/>
                <w:lang w:val="en-US" w:eastAsia="zh-CN"/>
              </w:rPr>
              <w:t>2025</w:t>
            </w:r>
            <w:r>
              <w:rPr>
                <w:rFonts w:hint="eastAsia" w:ascii="仿宋" w:hAnsi="仿宋" w:eastAsia="仿宋" w:cs="仿宋"/>
                <w:color w:val="auto"/>
                <w:sz w:val="24"/>
                <w:highlight w:val="none"/>
              </w:rPr>
              <w:t>年</w:t>
            </w:r>
          </w:p>
        </w:tc>
      </w:tr>
      <w:tr w14:paraId="391F2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06F6D2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3.5.3</w:t>
            </w:r>
          </w:p>
        </w:tc>
        <w:tc>
          <w:tcPr>
            <w:tcW w:w="2549" w:type="dxa"/>
            <w:noWrap w:val="0"/>
            <w:vAlign w:val="center"/>
          </w:tcPr>
          <w:p w14:paraId="780EA8B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近年完成的类似项目情况的时间要求</w:t>
            </w:r>
          </w:p>
        </w:tc>
        <w:tc>
          <w:tcPr>
            <w:tcW w:w="5806" w:type="dxa"/>
            <w:tcBorders>
              <w:right w:val="double" w:color="auto" w:sz="4" w:space="0"/>
            </w:tcBorders>
            <w:noWrap w:val="0"/>
            <w:vAlign w:val="center"/>
          </w:tcPr>
          <w:p w14:paraId="0833E9A7">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202</w:t>
            </w:r>
            <w:r>
              <w:rPr>
                <w:rFonts w:hint="eastAsia" w:ascii="仿宋" w:hAnsi="仿宋" w:eastAsia="仿宋" w:cs="仿宋"/>
                <w:color w:val="auto"/>
                <w:sz w:val="24"/>
                <w:highlight w:val="none"/>
              </w:rPr>
              <w:t>3年</w:t>
            </w:r>
            <w:r>
              <w:rPr>
                <w:rFonts w:hint="eastAsia" w:ascii="仿宋" w:hAnsi="仿宋" w:eastAsia="仿宋" w:cs="仿宋"/>
                <w:color w:val="auto"/>
                <w:sz w:val="24"/>
                <w:highlight w:val="none"/>
                <w:u w:val="single"/>
              </w:rPr>
              <w:t>1</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1</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u w:val="single"/>
              </w:rPr>
              <w:t>至/</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投标截止之日前）</w:t>
            </w:r>
          </w:p>
        </w:tc>
      </w:tr>
      <w:tr w14:paraId="5568F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7B1343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3.6.1</w:t>
            </w:r>
          </w:p>
        </w:tc>
        <w:tc>
          <w:tcPr>
            <w:tcW w:w="2549" w:type="dxa"/>
            <w:noWrap w:val="0"/>
            <w:vAlign w:val="center"/>
          </w:tcPr>
          <w:p w14:paraId="62D3A2F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是否允许递交备选投标方案</w:t>
            </w:r>
          </w:p>
        </w:tc>
        <w:tc>
          <w:tcPr>
            <w:tcW w:w="5806" w:type="dxa"/>
            <w:tcBorders>
              <w:right w:val="double" w:color="auto" w:sz="4" w:space="0"/>
            </w:tcBorders>
            <w:noWrap w:val="0"/>
            <w:vAlign w:val="center"/>
          </w:tcPr>
          <w:p w14:paraId="48135C81">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☑不允许</w:t>
            </w:r>
          </w:p>
          <w:p w14:paraId="222731B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□允许，评审和比较方法见第三章“评标办法”</w:t>
            </w:r>
          </w:p>
        </w:tc>
      </w:tr>
      <w:tr w14:paraId="0B7FC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vMerge w:val="restart"/>
            <w:tcBorders>
              <w:left w:val="double" w:color="auto" w:sz="4" w:space="0"/>
            </w:tcBorders>
            <w:noWrap w:val="0"/>
            <w:vAlign w:val="center"/>
          </w:tcPr>
          <w:p w14:paraId="12D04407">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3.7.3</w:t>
            </w:r>
          </w:p>
        </w:tc>
        <w:tc>
          <w:tcPr>
            <w:tcW w:w="2549" w:type="dxa"/>
            <w:vMerge w:val="restart"/>
            <w:noWrap w:val="0"/>
            <w:vAlign w:val="center"/>
          </w:tcPr>
          <w:p w14:paraId="4750301D">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投标文件所附证书证件要求、</w:t>
            </w:r>
            <w:r>
              <w:rPr>
                <w:rFonts w:hint="eastAsia" w:ascii="仿宋" w:hAnsi="仿宋" w:eastAsia="仿宋" w:cs="仿宋"/>
                <w:color w:val="auto"/>
                <w:kern w:val="0"/>
                <w:sz w:val="24"/>
                <w:highlight w:val="none"/>
              </w:rPr>
              <w:t>投标</w:t>
            </w:r>
            <w:r>
              <w:rPr>
                <w:rFonts w:hint="eastAsia" w:ascii="仿宋" w:hAnsi="仿宋" w:eastAsia="仿宋" w:cs="仿宋"/>
                <w:color w:val="auto"/>
                <w:spacing w:val="-2"/>
                <w:kern w:val="0"/>
                <w:sz w:val="24"/>
                <w:highlight w:val="none"/>
              </w:rPr>
              <w:t>文</w:t>
            </w:r>
            <w:r>
              <w:rPr>
                <w:rFonts w:hint="eastAsia" w:ascii="仿宋" w:hAnsi="仿宋" w:eastAsia="仿宋" w:cs="仿宋"/>
                <w:color w:val="auto"/>
                <w:kern w:val="0"/>
                <w:sz w:val="24"/>
                <w:highlight w:val="none"/>
              </w:rPr>
              <w:t>件</w:t>
            </w:r>
            <w:r>
              <w:rPr>
                <w:rFonts w:hint="eastAsia" w:ascii="仿宋" w:hAnsi="仿宋" w:eastAsia="仿宋" w:cs="仿宋"/>
                <w:color w:val="auto"/>
                <w:spacing w:val="-2"/>
                <w:kern w:val="0"/>
                <w:sz w:val="24"/>
                <w:highlight w:val="none"/>
              </w:rPr>
              <w:t>签</w:t>
            </w:r>
            <w:r>
              <w:rPr>
                <w:rFonts w:hint="eastAsia" w:ascii="仿宋" w:hAnsi="仿宋" w:eastAsia="仿宋" w:cs="仿宋"/>
                <w:color w:val="auto"/>
                <w:kern w:val="0"/>
                <w:sz w:val="24"/>
                <w:highlight w:val="none"/>
              </w:rPr>
              <w:t>字</w:t>
            </w:r>
            <w:r>
              <w:rPr>
                <w:rFonts w:hint="eastAsia" w:ascii="仿宋" w:hAnsi="仿宋" w:eastAsia="仿宋" w:cs="仿宋"/>
                <w:color w:val="auto"/>
                <w:spacing w:val="-2"/>
                <w:kern w:val="0"/>
                <w:sz w:val="24"/>
                <w:highlight w:val="none"/>
              </w:rPr>
              <w:t>或</w:t>
            </w:r>
            <w:r>
              <w:rPr>
                <w:rFonts w:hint="eastAsia" w:ascii="仿宋" w:hAnsi="仿宋" w:eastAsia="仿宋" w:cs="仿宋"/>
                <w:color w:val="auto"/>
                <w:kern w:val="0"/>
                <w:sz w:val="24"/>
                <w:highlight w:val="none"/>
              </w:rPr>
              <w:t>盖</w:t>
            </w:r>
            <w:r>
              <w:rPr>
                <w:rFonts w:hint="eastAsia" w:ascii="仿宋" w:hAnsi="仿宋" w:eastAsia="仿宋" w:cs="仿宋"/>
                <w:color w:val="auto"/>
                <w:spacing w:val="-2"/>
                <w:kern w:val="0"/>
                <w:sz w:val="24"/>
                <w:highlight w:val="none"/>
              </w:rPr>
              <w:t>章</w:t>
            </w:r>
            <w:r>
              <w:rPr>
                <w:rFonts w:hint="eastAsia" w:ascii="仿宋" w:hAnsi="仿宋" w:eastAsia="仿宋" w:cs="仿宋"/>
                <w:color w:val="auto"/>
                <w:kern w:val="0"/>
                <w:sz w:val="24"/>
                <w:highlight w:val="none"/>
              </w:rPr>
              <w:t>要求</w:t>
            </w:r>
          </w:p>
        </w:tc>
        <w:tc>
          <w:tcPr>
            <w:tcW w:w="5806" w:type="dxa"/>
            <w:tcBorders>
              <w:right w:val="double" w:color="auto" w:sz="4" w:space="0"/>
            </w:tcBorders>
            <w:noWrap w:val="0"/>
            <w:vAlign w:val="center"/>
          </w:tcPr>
          <w:p w14:paraId="415DF7E3">
            <w:pPr>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证书证件：</w:t>
            </w:r>
            <w:r>
              <w:rPr>
                <w:rFonts w:hint="eastAsia" w:ascii="仿宋" w:hAnsi="仿宋" w:eastAsia="仿宋" w:cs="仿宋"/>
                <w:color w:val="auto"/>
                <w:sz w:val="24"/>
                <w:highlight w:val="none"/>
              </w:rPr>
              <w:t>投标文件所附证书应清晰可辨，因字迹模糊影响正常评审的，由投标人自行承担。</w:t>
            </w:r>
          </w:p>
        </w:tc>
      </w:tr>
      <w:tr w14:paraId="27AFB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vMerge w:val="continue"/>
            <w:tcBorders>
              <w:left w:val="double" w:color="auto" w:sz="4" w:space="0"/>
            </w:tcBorders>
            <w:noWrap w:val="0"/>
            <w:vAlign w:val="center"/>
          </w:tcPr>
          <w:p w14:paraId="49B0D621">
            <w:pPr>
              <w:spacing w:line="360" w:lineRule="auto"/>
              <w:ind w:left="38" w:leftChars="18"/>
              <w:jc w:val="center"/>
              <w:rPr>
                <w:rFonts w:hint="eastAsia" w:ascii="仿宋" w:hAnsi="仿宋" w:eastAsia="仿宋" w:cs="仿宋"/>
                <w:color w:val="auto"/>
                <w:sz w:val="24"/>
                <w:highlight w:val="none"/>
              </w:rPr>
            </w:pPr>
          </w:p>
        </w:tc>
        <w:tc>
          <w:tcPr>
            <w:tcW w:w="2549" w:type="dxa"/>
            <w:vMerge w:val="continue"/>
            <w:noWrap w:val="0"/>
            <w:vAlign w:val="center"/>
          </w:tcPr>
          <w:p w14:paraId="2CAF4C91">
            <w:pPr>
              <w:spacing w:line="360" w:lineRule="auto"/>
              <w:ind w:left="38" w:leftChars="18"/>
              <w:jc w:val="center"/>
              <w:rPr>
                <w:rFonts w:hint="eastAsia" w:ascii="仿宋" w:hAnsi="仿宋" w:eastAsia="仿宋" w:cs="仿宋"/>
                <w:color w:val="auto"/>
                <w:sz w:val="24"/>
                <w:highlight w:val="none"/>
              </w:rPr>
            </w:pPr>
          </w:p>
        </w:tc>
        <w:tc>
          <w:tcPr>
            <w:tcW w:w="5806" w:type="dxa"/>
            <w:tcBorders>
              <w:right w:val="double" w:color="auto" w:sz="4" w:space="0"/>
            </w:tcBorders>
            <w:noWrap w:val="0"/>
            <w:vAlign w:val="center"/>
          </w:tcPr>
          <w:p w14:paraId="0919F2B4">
            <w:pPr>
              <w:spacing w:line="360" w:lineRule="auto"/>
              <w:rPr>
                <w:rFonts w:hint="eastAsia" w:ascii="仿宋" w:hAnsi="仿宋" w:eastAsia="仿宋" w:cs="仿宋"/>
                <w:b/>
                <w:bCs/>
                <w:color w:val="auto"/>
                <w:kern w:val="0"/>
                <w:sz w:val="24"/>
                <w:highlight w:val="none"/>
              </w:rPr>
            </w:pPr>
            <w:r>
              <w:rPr>
                <w:rFonts w:hint="eastAsia" w:ascii="仿宋" w:hAnsi="仿宋" w:eastAsia="仿宋" w:cs="仿宋"/>
                <w:b/>
                <w:bCs/>
                <w:color w:val="auto"/>
                <w:spacing w:val="-2"/>
                <w:kern w:val="0"/>
                <w:sz w:val="24"/>
                <w:highlight w:val="none"/>
              </w:rPr>
              <w:t>签</w:t>
            </w:r>
            <w:r>
              <w:rPr>
                <w:rFonts w:hint="eastAsia" w:ascii="仿宋" w:hAnsi="仿宋" w:eastAsia="仿宋" w:cs="仿宋"/>
                <w:b/>
                <w:bCs/>
                <w:color w:val="auto"/>
                <w:kern w:val="0"/>
                <w:sz w:val="24"/>
                <w:highlight w:val="none"/>
              </w:rPr>
              <w:t>字</w:t>
            </w:r>
            <w:r>
              <w:rPr>
                <w:rFonts w:hint="eastAsia" w:ascii="仿宋" w:hAnsi="仿宋" w:eastAsia="仿宋" w:cs="仿宋"/>
                <w:b/>
                <w:bCs/>
                <w:color w:val="auto"/>
                <w:spacing w:val="-2"/>
                <w:kern w:val="0"/>
                <w:sz w:val="24"/>
                <w:highlight w:val="none"/>
              </w:rPr>
              <w:t>或</w:t>
            </w:r>
            <w:r>
              <w:rPr>
                <w:rFonts w:hint="eastAsia" w:ascii="仿宋" w:hAnsi="仿宋" w:eastAsia="仿宋" w:cs="仿宋"/>
                <w:b/>
                <w:bCs/>
                <w:color w:val="auto"/>
                <w:kern w:val="0"/>
                <w:sz w:val="24"/>
                <w:highlight w:val="none"/>
              </w:rPr>
              <w:t>盖</w:t>
            </w:r>
            <w:r>
              <w:rPr>
                <w:rFonts w:hint="eastAsia" w:ascii="仿宋" w:hAnsi="仿宋" w:eastAsia="仿宋" w:cs="仿宋"/>
                <w:b/>
                <w:bCs/>
                <w:color w:val="auto"/>
                <w:spacing w:val="-2"/>
                <w:kern w:val="0"/>
                <w:sz w:val="24"/>
                <w:highlight w:val="none"/>
              </w:rPr>
              <w:t>章</w:t>
            </w:r>
            <w:r>
              <w:rPr>
                <w:rFonts w:hint="eastAsia" w:ascii="仿宋" w:hAnsi="仿宋" w:eastAsia="仿宋" w:cs="仿宋"/>
                <w:b/>
                <w:bCs/>
                <w:color w:val="auto"/>
                <w:kern w:val="0"/>
                <w:sz w:val="24"/>
                <w:highlight w:val="none"/>
              </w:rPr>
              <w:t>：</w:t>
            </w:r>
          </w:p>
          <w:p w14:paraId="6E13DE5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（1）所有要求投标人加盖公章和法定代表人签字的位置，都应加盖投标人CA印章</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标证通印章和法定代表人CA印章</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标证通印章。若委托代理人签字的，应加盖其CA印章</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标证通印章或上传其手写签名。</w:t>
            </w:r>
          </w:p>
          <w:p w14:paraId="6854F6DF">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（2）已标价工程量清单，按照工程量清单编制要求除加盖投标人CA印章</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标证通印章外，应由投标人注册造价工程师签字并加盖执业专用章。若委托造价咨询单位编制的，投标文件中附造价委托协议，已标价工程量清单除加盖投标人CA印章</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标证通印章外，还应加盖造价咨询单位公章，由其注册造价工程师签字并加盖执业专用章。</w:t>
            </w:r>
          </w:p>
          <w:p w14:paraId="56A6A30A">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（3）总价措施项目清单与计价表、税金项目计价表中编制人和复核人签字盖章不作要求。</w:t>
            </w:r>
          </w:p>
        </w:tc>
      </w:tr>
      <w:tr w14:paraId="00C23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2980C8B5">
            <w:pPr>
              <w:spacing w:line="360" w:lineRule="auto"/>
              <w:ind w:left="38" w:leftChars="18"/>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4.1.1</w:t>
            </w:r>
          </w:p>
        </w:tc>
        <w:tc>
          <w:tcPr>
            <w:tcW w:w="2549" w:type="dxa"/>
            <w:noWrap w:val="0"/>
            <w:vAlign w:val="center"/>
          </w:tcPr>
          <w:p w14:paraId="771F4EBB">
            <w:pPr>
              <w:spacing w:line="360" w:lineRule="auto"/>
              <w:ind w:left="38" w:leftChars="18"/>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投标文件加密要求</w:t>
            </w:r>
          </w:p>
        </w:tc>
        <w:tc>
          <w:tcPr>
            <w:tcW w:w="5806" w:type="dxa"/>
            <w:tcBorders>
              <w:right w:val="double" w:color="auto" w:sz="4" w:space="0"/>
            </w:tcBorders>
            <w:noWrap w:val="0"/>
            <w:vAlign w:val="center"/>
          </w:tcPr>
          <w:p w14:paraId="4ABB29DF">
            <w:pPr>
              <w:spacing w:line="360" w:lineRule="auto"/>
              <w:ind w:left="38" w:leftChars="18"/>
              <w:rPr>
                <w:rFonts w:hint="eastAsia" w:ascii="仿宋" w:hAnsi="仿宋" w:eastAsia="宋体" w:cs="仿宋"/>
                <w:color w:val="auto"/>
                <w:sz w:val="24"/>
                <w:highlight w:val="none"/>
                <w:lang w:val="en-US" w:eastAsia="zh-CN"/>
              </w:rPr>
            </w:pPr>
            <w:r>
              <w:rPr>
                <w:rFonts w:hint="eastAsia" w:ascii="仿宋" w:hAnsi="仿宋" w:eastAsia="仿宋" w:cs="仿宋"/>
                <w:color w:val="auto"/>
                <w:sz w:val="24"/>
                <w:highlight w:val="none"/>
              </w:rPr>
              <w:t>按照</w:t>
            </w:r>
            <w:r>
              <w:rPr>
                <w:rFonts w:hint="eastAsia" w:ascii="仿宋" w:hAnsi="仿宋" w:eastAsia="仿宋" w:cs="仿宋"/>
                <w:color w:val="auto"/>
                <w:sz w:val="24"/>
                <w:highlight w:val="none"/>
                <w:lang w:eastAsia="zh-CN"/>
              </w:rPr>
              <w:t>驻马店市公共资源交易中心</w:t>
            </w:r>
            <w:r>
              <w:rPr>
                <w:rFonts w:hint="eastAsia" w:ascii="仿宋" w:hAnsi="仿宋" w:eastAsia="仿宋" w:cs="仿宋"/>
                <w:color w:val="auto"/>
                <w:sz w:val="24"/>
                <w:highlight w:val="none"/>
              </w:rPr>
              <w:t>系统要求进行加密</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lang w:eastAsia="zh-CN"/>
              </w:rPr>
              <w:t>*.zmdtf 格式）</w:t>
            </w:r>
          </w:p>
        </w:tc>
      </w:tr>
      <w:tr w14:paraId="61272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5A9B8D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4.2.1</w:t>
            </w:r>
          </w:p>
        </w:tc>
        <w:tc>
          <w:tcPr>
            <w:tcW w:w="2549" w:type="dxa"/>
            <w:noWrap w:val="0"/>
            <w:vAlign w:val="center"/>
          </w:tcPr>
          <w:p w14:paraId="43985604">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投标截止时间</w:t>
            </w:r>
          </w:p>
        </w:tc>
        <w:tc>
          <w:tcPr>
            <w:tcW w:w="5806" w:type="dxa"/>
            <w:tcBorders>
              <w:right w:val="double" w:color="auto" w:sz="4" w:space="0"/>
            </w:tcBorders>
            <w:noWrap w:val="0"/>
            <w:vAlign w:val="center"/>
          </w:tcPr>
          <w:p w14:paraId="16871B52">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2026年</w:t>
            </w:r>
            <w:r>
              <w:rPr>
                <w:rFonts w:hint="eastAsia" w:ascii="仿宋" w:hAnsi="仿宋" w:eastAsia="仿宋" w:cs="仿宋"/>
                <w:color w:val="auto"/>
                <w:sz w:val="24"/>
                <w:highlight w:val="none"/>
                <w:lang w:val="en-US" w:eastAsia="zh-CN"/>
              </w:rPr>
              <w:t>09</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16</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lang w:val="en-US" w:eastAsia="zh-CN"/>
              </w:rPr>
              <w:t>09</w:t>
            </w:r>
            <w:r>
              <w:rPr>
                <w:rFonts w:hint="eastAsia" w:ascii="仿宋" w:hAnsi="仿宋" w:eastAsia="仿宋" w:cs="仿宋"/>
                <w:color w:val="auto"/>
                <w:sz w:val="24"/>
                <w:highlight w:val="none"/>
              </w:rPr>
              <w:t>时</w:t>
            </w:r>
            <w:r>
              <w:rPr>
                <w:rFonts w:hint="eastAsia" w:ascii="仿宋" w:hAnsi="仿宋" w:eastAsia="仿宋" w:cs="仿宋"/>
                <w:color w:val="auto"/>
                <w:sz w:val="24"/>
                <w:highlight w:val="none"/>
                <w:lang w:val="en-US" w:eastAsia="zh-CN"/>
              </w:rPr>
              <w:t>00</w:t>
            </w:r>
            <w:r>
              <w:rPr>
                <w:rFonts w:hint="eastAsia" w:ascii="仿宋" w:hAnsi="仿宋" w:eastAsia="仿宋" w:cs="仿宋"/>
                <w:color w:val="auto"/>
                <w:sz w:val="24"/>
                <w:highlight w:val="none"/>
              </w:rPr>
              <w:t>分（北京时间）</w:t>
            </w:r>
          </w:p>
        </w:tc>
      </w:tr>
      <w:tr w14:paraId="13D76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C17384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4.2.2</w:t>
            </w:r>
          </w:p>
        </w:tc>
        <w:tc>
          <w:tcPr>
            <w:tcW w:w="2549" w:type="dxa"/>
            <w:noWrap w:val="0"/>
            <w:vAlign w:val="center"/>
          </w:tcPr>
          <w:p w14:paraId="1D38F4A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递交投标文件地点</w:t>
            </w:r>
          </w:p>
        </w:tc>
        <w:tc>
          <w:tcPr>
            <w:tcW w:w="5806" w:type="dxa"/>
            <w:tcBorders>
              <w:right w:val="double" w:color="auto" w:sz="4" w:space="0"/>
            </w:tcBorders>
            <w:noWrap w:val="0"/>
            <w:vAlign w:val="center"/>
          </w:tcPr>
          <w:p w14:paraId="498147D6">
            <w:pPr>
              <w:spacing w:before="156" w:beforeLines="5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加密电子投标文件须通过</w:t>
            </w:r>
            <w:r>
              <w:rPr>
                <w:rFonts w:hint="eastAsia" w:ascii="仿宋" w:hAnsi="仿宋" w:eastAsia="仿宋" w:cs="仿宋"/>
                <w:color w:val="auto"/>
                <w:sz w:val="24"/>
                <w:highlight w:val="none"/>
                <w:lang w:eastAsia="zh-CN"/>
              </w:rPr>
              <w:t>驻马店市公共资源交易中心</w:t>
            </w:r>
            <w:r>
              <w:rPr>
                <w:rFonts w:hint="eastAsia" w:ascii="仿宋" w:hAnsi="仿宋" w:eastAsia="仿宋" w:cs="仿宋"/>
                <w:color w:val="auto"/>
                <w:sz w:val="24"/>
                <w:highlight w:val="none"/>
              </w:rPr>
              <w:t>加密上传。</w:t>
            </w:r>
          </w:p>
        </w:tc>
      </w:tr>
      <w:tr w14:paraId="417CA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20124DB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5.2（6）</w:t>
            </w:r>
          </w:p>
        </w:tc>
        <w:tc>
          <w:tcPr>
            <w:tcW w:w="2549" w:type="dxa"/>
            <w:noWrap w:val="0"/>
            <w:vAlign w:val="center"/>
          </w:tcPr>
          <w:p w14:paraId="41DBF170">
            <w:pPr>
              <w:spacing w:line="360" w:lineRule="auto"/>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信用信息查询</w:t>
            </w:r>
          </w:p>
        </w:tc>
        <w:tc>
          <w:tcPr>
            <w:tcW w:w="5806" w:type="dxa"/>
            <w:tcBorders>
              <w:right w:val="double" w:color="auto" w:sz="4" w:space="0"/>
            </w:tcBorders>
            <w:noWrap w:val="0"/>
            <w:vAlign w:val="center"/>
          </w:tcPr>
          <w:p w14:paraId="1CEF7B8E">
            <w:pPr>
              <w:keepNext w:val="0"/>
              <w:keepLines w:val="0"/>
              <w:pageBreakBefore w:val="0"/>
              <w:widowControl w:val="0"/>
              <w:kinsoku/>
              <w:wordWrap/>
              <w:overflowPunct/>
              <w:topLinePunct w:val="0"/>
              <w:autoSpaceDE/>
              <w:autoSpaceDN/>
              <w:bidi w:val="0"/>
              <w:adjustRightInd/>
              <w:snapToGrid/>
              <w:spacing w:before="156" w:beforeLines="50" w:line="480" w:lineRule="exact"/>
              <w:ind w:firstLine="480" w:firstLineChars="20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1.开标当天招标人或招标代理机构通过</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rPr>
              <w:t>全国建筑市场监管公共服务平台</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rPr>
              <w:t>、</w:t>
            </w:r>
            <w:r>
              <w:rPr>
                <w:rFonts w:hint="eastAsia" w:ascii="仿宋" w:hAnsi="仿宋" w:eastAsia="仿宋" w:cs="仿宋"/>
                <w:b w:val="0"/>
                <w:bCs w:val="0"/>
                <w:color w:val="auto"/>
                <w:sz w:val="24"/>
                <w:highlight w:val="none"/>
                <w:lang w:eastAsia="zh-CN"/>
              </w:rPr>
              <w:t>“</w:t>
            </w:r>
            <w:r>
              <w:rPr>
                <w:rFonts w:hint="default" w:ascii="仿宋" w:hAnsi="仿宋" w:eastAsia="仿宋" w:cs="仿宋"/>
                <w:b w:val="0"/>
                <w:bCs w:val="0"/>
                <w:color w:val="auto"/>
                <w:sz w:val="24"/>
                <w:highlight w:val="none"/>
              </w:rPr>
              <w:t>国家企业信用信息公示系统</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rPr>
              <w:t>“信用中国”网站、</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rPr>
              <w:t>省级建筑市场监管公共服务平台</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rPr>
              <w:t>等渠道</w:t>
            </w:r>
            <w:r>
              <w:rPr>
                <w:rFonts w:hint="eastAsia" w:ascii="仿宋" w:hAnsi="仿宋" w:eastAsia="仿宋" w:cs="仿宋"/>
                <w:b w:val="0"/>
                <w:bCs w:val="0"/>
                <w:color w:val="auto"/>
                <w:sz w:val="24"/>
                <w:highlight w:val="none"/>
                <w:lang w:val="en-US" w:eastAsia="zh-CN"/>
              </w:rPr>
              <w:t>复核查询</w:t>
            </w:r>
            <w:r>
              <w:rPr>
                <w:rFonts w:hint="eastAsia" w:ascii="仿宋" w:hAnsi="仿宋" w:eastAsia="仿宋" w:cs="仿宋"/>
                <w:b w:val="0"/>
                <w:bCs w:val="0"/>
                <w:color w:val="auto"/>
                <w:sz w:val="24"/>
                <w:highlight w:val="none"/>
              </w:rPr>
              <w:t>本项目招标公告“3.</w:t>
            </w:r>
            <w:r>
              <w:rPr>
                <w:rFonts w:hint="eastAsia" w:ascii="仿宋" w:hAnsi="仿宋" w:eastAsia="仿宋" w:cs="仿宋"/>
                <w:b w:val="0"/>
                <w:bCs w:val="0"/>
                <w:color w:val="auto"/>
                <w:sz w:val="24"/>
                <w:highlight w:val="none"/>
                <w:lang w:val="en-US" w:eastAsia="zh-CN"/>
              </w:rPr>
              <w:t>5</w:t>
            </w:r>
            <w:r>
              <w:rPr>
                <w:rFonts w:hint="eastAsia" w:ascii="仿宋" w:hAnsi="仿宋" w:eastAsia="仿宋" w:cs="仿宋"/>
                <w:b w:val="0"/>
                <w:bCs w:val="0"/>
                <w:color w:val="auto"/>
                <w:sz w:val="24"/>
                <w:highlight w:val="none"/>
              </w:rPr>
              <w:t>信誉要求”的内容</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lang w:val="en-US" w:eastAsia="zh-CN"/>
              </w:rPr>
              <w:t>查询中涉及需要录入法定代表人或项目经理的身份证号码才可进行查询的招标代理机构不再进行复核以投标人投标文件所附内容为准。</w:t>
            </w:r>
          </w:p>
          <w:p w14:paraId="7C73892D">
            <w:pPr>
              <w:keepNext w:val="0"/>
              <w:keepLines w:val="0"/>
              <w:pageBreakBefore w:val="0"/>
              <w:widowControl w:val="0"/>
              <w:kinsoku/>
              <w:wordWrap/>
              <w:overflowPunct/>
              <w:topLinePunct w:val="0"/>
              <w:autoSpaceDE/>
              <w:autoSpaceDN/>
              <w:bidi w:val="0"/>
              <w:adjustRightInd/>
              <w:snapToGrid/>
              <w:spacing w:before="156" w:beforeLines="50" w:line="480" w:lineRule="exact"/>
              <w:ind w:firstLine="480" w:firstLineChars="20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2.开标当天在河南省建筑市场监管公共服务平台采集投标人的企业和项目经理信用分值（如需）、企业项目经理实名制和建筑工人实名制平均考勤率信息，并保存查询记录(评标办法中有特殊规定的除外)。</w:t>
            </w:r>
          </w:p>
        </w:tc>
      </w:tr>
      <w:tr w14:paraId="2A1ED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883721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6.1.1</w:t>
            </w:r>
          </w:p>
        </w:tc>
        <w:tc>
          <w:tcPr>
            <w:tcW w:w="2549" w:type="dxa"/>
            <w:noWrap w:val="0"/>
            <w:vAlign w:val="center"/>
          </w:tcPr>
          <w:p w14:paraId="0092C87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评标委员会的组建</w:t>
            </w:r>
          </w:p>
        </w:tc>
        <w:tc>
          <w:tcPr>
            <w:tcW w:w="5806" w:type="dxa"/>
            <w:tcBorders>
              <w:right w:val="double" w:color="auto" w:sz="4" w:space="0"/>
            </w:tcBorders>
            <w:noWrap w:val="0"/>
            <w:vAlign w:val="center"/>
          </w:tcPr>
          <w:p w14:paraId="14C3806E">
            <w:pPr>
              <w:keepNext w:val="0"/>
              <w:keepLines w:val="0"/>
              <w:pageBreakBefore w:val="0"/>
              <w:widowControl w:val="0"/>
              <w:kinsoku/>
              <w:wordWrap/>
              <w:overflowPunct/>
              <w:topLinePunct w:val="0"/>
              <w:autoSpaceDE/>
              <w:autoSpaceDN/>
              <w:bidi w:val="0"/>
              <w:adjustRightInd/>
              <w:snapToGrid/>
              <w:spacing w:before="156" w:beforeLines="50" w:line="480" w:lineRule="exact"/>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评标委员会由招标人依法组建，由</w:t>
            </w:r>
            <w:r>
              <w:rPr>
                <w:rFonts w:hint="eastAsia" w:ascii="仿宋" w:hAnsi="仿宋" w:eastAsia="仿宋" w:cs="仿宋"/>
                <w:b w:val="0"/>
                <w:bCs w:val="0"/>
                <w:color w:val="auto"/>
                <w:sz w:val="24"/>
                <w:highlight w:val="none"/>
                <w:lang w:val="en-US" w:eastAsia="zh-CN"/>
              </w:rPr>
              <w:t>5</w:t>
            </w:r>
            <w:r>
              <w:rPr>
                <w:rFonts w:hint="eastAsia" w:ascii="仿宋" w:hAnsi="仿宋" w:eastAsia="仿宋" w:cs="仿宋"/>
                <w:b w:val="0"/>
                <w:bCs w:val="0"/>
                <w:color w:val="auto"/>
                <w:sz w:val="24"/>
                <w:highlight w:val="none"/>
              </w:rPr>
              <w:t>人组成；</w:t>
            </w:r>
          </w:p>
          <w:p w14:paraId="741466D8">
            <w:pPr>
              <w:keepNext w:val="0"/>
              <w:keepLines w:val="0"/>
              <w:pageBreakBefore w:val="0"/>
              <w:widowControl w:val="0"/>
              <w:kinsoku/>
              <w:wordWrap/>
              <w:overflowPunct/>
              <w:topLinePunct w:val="0"/>
              <w:autoSpaceDE/>
              <w:autoSpaceDN/>
              <w:bidi w:val="0"/>
              <w:adjustRightInd/>
              <w:snapToGrid/>
              <w:spacing w:before="156" w:beforeLines="50" w:line="480" w:lineRule="exact"/>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其中</w:t>
            </w:r>
          </w:p>
          <w:p w14:paraId="212711B1">
            <w:pPr>
              <w:keepNext w:val="0"/>
              <w:keepLines w:val="0"/>
              <w:pageBreakBefore w:val="0"/>
              <w:widowControl w:val="0"/>
              <w:kinsoku/>
              <w:wordWrap/>
              <w:overflowPunct/>
              <w:topLinePunct w:val="0"/>
              <w:autoSpaceDE/>
              <w:autoSpaceDN/>
              <w:bidi w:val="0"/>
              <w:adjustRightInd/>
              <w:snapToGrid/>
              <w:spacing w:before="156" w:beforeLines="50" w:line="480" w:lineRule="exact"/>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招标人代表</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u w:val="single"/>
                <w:lang w:val="en-US" w:eastAsia="zh-CN"/>
              </w:rPr>
              <w:t>1</w:t>
            </w:r>
            <w:r>
              <w:rPr>
                <w:rFonts w:hint="eastAsia" w:ascii="仿宋" w:hAnsi="仿宋" w:eastAsia="仿宋" w:cs="仿宋"/>
                <w:b w:val="0"/>
                <w:bCs w:val="0"/>
                <w:color w:val="auto"/>
                <w:sz w:val="24"/>
                <w:highlight w:val="none"/>
              </w:rPr>
              <w:t>人（招标人代表应由具有评标专家相应或者类似条件的人员担任，或招标人从河南省综合</w:t>
            </w:r>
            <w:r>
              <w:rPr>
                <w:rFonts w:hint="eastAsia" w:ascii="仿宋" w:hAnsi="仿宋" w:eastAsia="仿宋" w:cs="仿宋"/>
                <w:b w:val="0"/>
                <w:bCs w:val="0"/>
                <w:color w:val="auto"/>
                <w:sz w:val="24"/>
                <w:highlight w:val="none"/>
                <w:lang w:val="en-US" w:eastAsia="zh-CN"/>
              </w:rPr>
              <w:t>评标</w:t>
            </w:r>
            <w:r>
              <w:rPr>
                <w:rFonts w:hint="eastAsia" w:ascii="仿宋" w:hAnsi="仿宋" w:eastAsia="仿宋" w:cs="仿宋"/>
                <w:b w:val="0"/>
                <w:bCs w:val="0"/>
                <w:color w:val="auto"/>
                <w:sz w:val="24"/>
                <w:highlight w:val="none"/>
              </w:rPr>
              <w:t>专家库确定</w:t>
            </w:r>
            <w:r>
              <w:rPr>
                <w:rFonts w:hint="eastAsia" w:ascii="仿宋" w:hAnsi="仿宋" w:eastAsia="仿宋" w:cs="仿宋"/>
                <w:b w:val="0"/>
                <w:bCs w:val="0"/>
                <w:color w:val="auto"/>
                <w:sz w:val="24"/>
                <w:highlight w:val="none"/>
                <w:u w:val="single"/>
                <w:lang w:val="en-US" w:eastAsia="zh-CN"/>
              </w:rPr>
              <w:t>1</w:t>
            </w:r>
            <w:r>
              <w:rPr>
                <w:rFonts w:hint="eastAsia" w:ascii="仿宋" w:hAnsi="仿宋" w:eastAsia="仿宋" w:cs="仿宋"/>
                <w:b w:val="0"/>
                <w:bCs w:val="0"/>
                <w:color w:val="auto"/>
                <w:sz w:val="24"/>
                <w:highlight w:val="none"/>
              </w:rPr>
              <w:t>名评标专家作为招标人代表）</w:t>
            </w:r>
          </w:p>
          <w:p w14:paraId="55E8B6C7">
            <w:pPr>
              <w:keepNext w:val="0"/>
              <w:keepLines w:val="0"/>
              <w:pageBreakBefore w:val="0"/>
              <w:widowControl w:val="0"/>
              <w:kinsoku/>
              <w:wordWrap/>
              <w:overflowPunct/>
              <w:topLinePunct w:val="0"/>
              <w:autoSpaceDE/>
              <w:autoSpaceDN/>
              <w:bidi w:val="0"/>
              <w:adjustRightInd/>
              <w:snapToGrid/>
              <w:spacing w:before="156" w:beforeLines="50" w:line="480" w:lineRule="exact"/>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评标专家</w:t>
            </w:r>
            <w:r>
              <w:rPr>
                <w:rFonts w:hint="eastAsia" w:ascii="仿宋" w:hAnsi="仿宋" w:eastAsia="仿宋" w:cs="仿宋"/>
                <w:b w:val="0"/>
                <w:bCs w:val="0"/>
                <w:color w:val="auto"/>
                <w:sz w:val="24"/>
                <w:highlight w:val="none"/>
                <w:lang w:val="en-US" w:eastAsia="zh-CN"/>
              </w:rPr>
              <w:t>4</w:t>
            </w:r>
            <w:r>
              <w:rPr>
                <w:rFonts w:hint="eastAsia" w:ascii="仿宋" w:hAnsi="仿宋" w:eastAsia="仿宋" w:cs="仿宋"/>
                <w:b w:val="0"/>
                <w:bCs w:val="0"/>
                <w:color w:val="auto"/>
                <w:sz w:val="24"/>
                <w:highlight w:val="none"/>
              </w:rPr>
              <w:t xml:space="preserve">人（经济类 </w:t>
            </w:r>
            <w:r>
              <w:rPr>
                <w:rFonts w:hint="eastAsia" w:ascii="仿宋" w:hAnsi="仿宋" w:eastAsia="仿宋" w:cs="仿宋"/>
                <w:b w:val="0"/>
                <w:bCs w:val="0"/>
                <w:color w:val="auto"/>
                <w:sz w:val="24"/>
                <w:highlight w:val="none"/>
                <w:lang w:val="en-US" w:eastAsia="zh-CN"/>
              </w:rPr>
              <w:t>2</w:t>
            </w:r>
            <w:r>
              <w:rPr>
                <w:rFonts w:hint="eastAsia" w:ascii="仿宋" w:hAnsi="仿宋" w:eastAsia="仿宋" w:cs="仿宋"/>
                <w:b w:val="0"/>
                <w:bCs w:val="0"/>
                <w:color w:val="auto"/>
                <w:sz w:val="24"/>
                <w:highlight w:val="none"/>
              </w:rPr>
              <w:t xml:space="preserve"> 人，技术类</w:t>
            </w:r>
            <w:r>
              <w:rPr>
                <w:rFonts w:hint="eastAsia" w:ascii="仿宋" w:hAnsi="仿宋" w:eastAsia="仿宋" w:cs="仿宋"/>
                <w:b w:val="0"/>
                <w:bCs w:val="0"/>
                <w:color w:val="auto"/>
                <w:sz w:val="24"/>
                <w:highlight w:val="none"/>
                <w:lang w:val="en-US" w:eastAsia="zh-CN"/>
              </w:rPr>
              <w:t>2</w:t>
            </w:r>
            <w:r>
              <w:rPr>
                <w:rFonts w:hint="eastAsia" w:ascii="仿宋" w:hAnsi="仿宋" w:eastAsia="仿宋" w:cs="仿宋"/>
                <w:b w:val="0"/>
                <w:bCs w:val="0"/>
                <w:color w:val="auto"/>
                <w:sz w:val="24"/>
                <w:highlight w:val="none"/>
              </w:rPr>
              <w:t>人）；</w:t>
            </w:r>
          </w:p>
          <w:p w14:paraId="679CC51A">
            <w:pPr>
              <w:keepNext w:val="0"/>
              <w:keepLines w:val="0"/>
              <w:pageBreakBefore w:val="0"/>
              <w:widowControl w:val="0"/>
              <w:kinsoku/>
              <w:wordWrap/>
              <w:overflowPunct/>
              <w:topLinePunct w:val="0"/>
              <w:autoSpaceDE/>
              <w:autoSpaceDN/>
              <w:bidi w:val="0"/>
              <w:adjustRightInd/>
              <w:snapToGrid/>
              <w:spacing w:before="156" w:beforeLines="50" w:line="480" w:lineRule="exact"/>
              <w:ind w:firstLine="480" w:firstLineChars="20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评标专家确定方式：</w:t>
            </w:r>
          </w:p>
          <w:p w14:paraId="1EF0EA42">
            <w:pPr>
              <w:keepNext w:val="0"/>
              <w:keepLines w:val="0"/>
              <w:pageBreakBefore w:val="0"/>
              <w:widowControl w:val="0"/>
              <w:kinsoku/>
              <w:wordWrap/>
              <w:overflowPunct/>
              <w:topLinePunct w:val="0"/>
              <w:autoSpaceDE/>
              <w:autoSpaceDN/>
              <w:bidi w:val="0"/>
              <w:adjustRightInd/>
              <w:snapToGrid/>
              <w:spacing w:before="156" w:beforeLines="50" w:line="480" w:lineRule="exact"/>
              <w:ind w:firstLine="480" w:firstLineChars="20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☑开标时在监督部门的监督下从《河南省综合专家库》中采用电脑随机抽签方式确定,负责评标活动。（默认）</w:t>
            </w:r>
          </w:p>
          <w:p w14:paraId="2719DCDD">
            <w:pPr>
              <w:keepNext w:val="0"/>
              <w:keepLines w:val="0"/>
              <w:pageBreakBefore w:val="0"/>
              <w:widowControl w:val="0"/>
              <w:kinsoku/>
              <w:wordWrap/>
              <w:overflowPunct/>
              <w:topLinePunct w:val="0"/>
              <w:autoSpaceDE/>
              <w:autoSpaceDN/>
              <w:bidi w:val="0"/>
              <w:adjustRightInd/>
              <w:snapToGrid/>
              <w:spacing w:before="156" w:beforeLines="50"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rPr>
              <w:t xml:space="preserve">其他： </w:t>
            </w:r>
            <w:r>
              <w:rPr>
                <w:rFonts w:hint="eastAsia" w:ascii="仿宋" w:hAnsi="仿宋" w:eastAsia="仿宋" w:cs="仿宋"/>
                <w:b w:val="0"/>
                <w:bCs w:val="0"/>
                <w:color w:val="auto"/>
                <w:sz w:val="24"/>
                <w:highlight w:val="none"/>
                <w:u w:val="single"/>
                <w:lang w:val="en-US" w:eastAsia="zh-CN"/>
              </w:rPr>
              <w:t xml:space="preserve">              </w:t>
            </w:r>
            <w:r>
              <w:rPr>
                <w:rFonts w:hint="eastAsia" w:ascii="仿宋" w:hAnsi="仿宋" w:eastAsia="仿宋" w:cs="仿宋"/>
                <w:b w:val="0"/>
                <w:bCs w:val="0"/>
                <w:color w:val="auto"/>
                <w:sz w:val="24"/>
                <w:highlight w:val="none"/>
              </w:rPr>
              <w:t xml:space="preserve">                  </w:t>
            </w:r>
          </w:p>
        </w:tc>
      </w:tr>
      <w:tr w14:paraId="301B3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2069271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6.3.2</w:t>
            </w:r>
          </w:p>
        </w:tc>
        <w:tc>
          <w:tcPr>
            <w:tcW w:w="2549" w:type="dxa"/>
            <w:noWrap w:val="0"/>
            <w:vAlign w:val="center"/>
          </w:tcPr>
          <w:p w14:paraId="78E9B831">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评标</w:t>
            </w:r>
            <w:r>
              <w:rPr>
                <w:rFonts w:hint="eastAsia" w:ascii="仿宋" w:hAnsi="仿宋" w:eastAsia="仿宋" w:cs="仿宋"/>
                <w:color w:val="auto"/>
                <w:spacing w:val="-2"/>
                <w:kern w:val="0"/>
                <w:sz w:val="24"/>
                <w:highlight w:val="none"/>
              </w:rPr>
              <w:t>委</w:t>
            </w:r>
            <w:r>
              <w:rPr>
                <w:rFonts w:hint="eastAsia" w:ascii="仿宋" w:hAnsi="仿宋" w:eastAsia="仿宋" w:cs="仿宋"/>
                <w:color w:val="auto"/>
                <w:kern w:val="0"/>
                <w:sz w:val="24"/>
                <w:highlight w:val="none"/>
              </w:rPr>
              <w:t>员</w:t>
            </w:r>
            <w:r>
              <w:rPr>
                <w:rFonts w:hint="eastAsia" w:ascii="仿宋" w:hAnsi="仿宋" w:eastAsia="仿宋" w:cs="仿宋"/>
                <w:color w:val="auto"/>
                <w:spacing w:val="-2"/>
                <w:kern w:val="0"/>
                <w:sz w:val="24"/>
                <w:highlight w:val="none"/>
              </w:rPr>
              <w:t>会</w:t>
            </w:r>
            <w:r>
              <w:rPr>
                <w:rFonts w:hint="eastAsia" w:ascii="仿宋" w:hAnsi="仿宋" w:eastAsia="仿宋" w:cs="仿宋"/>
                <w:color w:val="auto"/>
                <w:kern w:val="0"/>
                <w:sz w:val="24"/>
                <w:highlight w:val="none"/>
              </w:rPr>
              <w:t>推</w:t>
            </w:r>
            <w:r>
              <w:rPr>
                <w:rFonts w:hint="eastAsia" w:ascii="仿宋" w:hAnsi="仿宋" w:eastAsia="仿宋" w:cs="仿宋"/>
                <w:color w:val="auto"/>
                <w:spacing w:val="-2"/>
                <w:kern w:val="0"/>
                <w:sz w:val="24"/>
                <w:highlight w:val="none"/>
              </w:rPr>
              <w:t>荐</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候</w:t>
            </w:r>
            <w:r>
              <w:rPr>
                <w:rFonts w:hint="eastAsia" w:ascii="仿宋" w:hAnsi="仿宋" w:eastAsia="仿宋" w:cs="仿宋"/>
                <w:color w:val="auto"/>
                <w:spacing w:val="-2"/>
                <w:kern w:val="0"/>
                <w:sz w:val="24"/>
                <w:highlight w:val="none"/>
              </w:rPr>
              <w:t>选</w:t>
            </w:r>
            <w:r>
              <w:rPr>
                <w:rFonts w:hint="eastAsia" w:ascii="仿宋" w:hAnsi="仿宋" w:eastAsia="仿宋" w:cs="仿宋"/>
                <w:color w:val="auto"/>
                <w:kern w:val="0"/>
                <w:sz w:val="24"/>
                <w:highlight w:val="none"/>
              </w:rPr>
              <w:t>人的</w:t>
            </w:r>
            <w:r>
              <w:rPr>
                <w:rFonts w:hint="eastAsia" w:ascii="仿宋" w:hAnsi="仿宋" w:eastAsia="仿宋" w:cs="仿宋"/>
                <w:color w:val="auto"/>
                <w:spacing w:val="-2"/>
                <w:kern w:val="0"/>
                <w:sz w:val="24"/>
                <w:highlight w:val="none"/>
              </w:rPr>
              <w:t>数量</w:t>
            </w:r>
          </w:p>
        </w:tc>
        <w:tc>
          <w:tcPr>
            <w:tcW w:w="5806" w:type="dxa"/>
            <w:tcBorders>
              <w:right w:val="double" w:color="auto" w:sz="4" w:space="0"/>
            </w:tcBorders>
            <w:noWrap w:val="0"/>
            <w:vAlign w:val="center"/>
          </w:tcPr>
          <w:p w14:paraId="7433D9C1">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家（1-3家）</w:t>
            </w:r>
          </w:p>
          <w:p w14:paraId="14FF751B">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☑执行评定分离的，中标候选人数量：</w:t>
            </w:r>
          </w:p>
          <w:p w14:paraId="1D05F89B">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①有效投标人数量不足3家时，应当重新招标；</w:t>
            </w:r>
          </w:p>
          <w:p w14:paraId="133413F2">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②有效投标人数量为3至10家（含10家）时，全部推荐为中标候选人；</w:t>
            </w:r>
          </w:p>
          <w:p w14:paraId="7B83C98F">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i/>
                <w:iCs/>
                <w:color w:val="auto"/>
                <w:sz w:val="24"/>
                <w:highlight w:val="none"/>
                <w:u w:val="single"/>
              </w:rPr>
            </w:pPr>
            <w:r>
              <w:rPr>
                <w:rFonts w:hint="eastAsia" w:ascii="仿宋" w:hAnsi="仿宋" w:eastAsia="仿宋" w:cs="仿宋"/>
                <w:color w:val="auto"/>
                <w:sz w:val="24"/>
                <w:highlight w:val="none"/>
              </w:rPr>
              <w:t xml:space="preserve">③有效投标人数量为10家以上时，按照择优原则进行评标，推荐中标候选人，推荐中标候选人数量10家（排名不分先后）  </w:t>
            </w:r>
          </w:p>
        </w:tc>
      </w:tr>
      <w:tr w14:paraId="3C80F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628EA8A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7.1.1</w:t>
            </w:r>
          </w:p>
        </w:tc>
        <w:tc>
          <w:tcPr>
            <w:tcW w:w="2549" w:type="dxa"/>
            <w:noWrap w:val="0"/>
            <w:vAlign w:val="center"/>
          </w:tcPr>
          <w:p w14:paraId="73490EF3">
            <w:pPr>
              <w:spacing w:line="360" w:lineRule="auto"/>
              <w:ind w:left="38" w:leftChars="18"/>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中标</w:t>
            </w:r>
            <w:r>
              <w:rPr>
                <w:rFonts w:hint="eastAsia" w:ascii="仿宋" w:hAnsi="仿宋" w:eastAsia="仿宋" w:cs="仿宋"/>
                <w:color w:val="auto"/>
                <w:spacing w:val="-2"/>
                <w:kern w:val="0"/>
                <w:sz w:val="24"/>
                <w:highlight w:val="none"/>
              </w:rPr>
              <w:t>候</w:t>
            </w:r>
            <w:r>
              <w:rPr>
                <w:rFonts w:hint="eastAsia" w:ascii="仿宋" w:hAnsi="仿宋" w:eastAsia="仿宋" w:cs="仿宋"/>
                <w:color w:val="auto"/>
                <w:kern w:val="0"/>
                <w:sz w:val="24"/>
                <w:highlight w:val="none"/>
              </w:rPr>
              <w:t>选</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公</w:t>
            </w:r>
            <w:r>
              <w:rPr>
                <w:rFonts w:hint="eastAsia" w:ascii="仿宋" w:hAnsi="仿宋" w:eastAsia="仿宋" w:cs="仿宋"/>
                <w:color w:val="auto"/>
                <w:spacing w:val="-2"/>
                <w:kern w:val="0"/>
                <w:sz w:val="24"/>
                <w:highlight w:val="none"/>
              </w:rPr>
              <w:t>示</w:t>
            </w:r>
            <w:r>
              <w:rPr>
                <w:rFonts w:hint="eastAsia" w:ascii="仿宋" w:hAnsi="仿宋" w:eastAsia="仿宋" w:cs="仿宋"/>
                <w:color w:val="auto"/>
                <w:kern w:val="0"/>
                <w:sz w:val="24"/>
                <w:highlight w:val="none"/>
              </w:rPr>
              <w:t>媒</w:t>
            </w:r>
            <w:r>
              <w:rPr>
                <w:rFonts w:hint="eastAsia" w:ascii="仿宋" w:hAnsi="仿宋" w:eastAsia="仿宋" w:cs="仿宋"/>
                <w:color w:val="auto"/>
                <w:spacing w:val="-2"/>
                <w:kern w:val="0"/>
                <w:sz w:val="24"/>
                <w:highlight w:val="none"/>
              </w:rPr>
              <w:t>介</w:t>
            </w:r>
            <w:r>
              <w:rPr>
                <w:rFonts w:hint="eastAsia" w:ascii="仿宋" w:hAnsi="仿宋" w:eastAsia="仿宋" w:cs="仿宋"/>
                <w:color w:val="auto"/>
                <w:kern w:val="0"/>
                <w:sz w:val="24"/>
                <w:highlight w:val="none"/>
              </w:rPr>
              <w:t>及</w:t>
            </w:r>
            <w:r>
              <w:rPr>
                <w:rFonts w:hint="eastAsia" w:ascii="仿宋" w:hAnsi="仿宋" w:eastAsia="仿宋" w:cs="仿宋"/>
                <w:color w:val="auto"/>
                <w:spacing w:val="-2"/>
                <w:kern w:val="0"/>
                <w:sz w:val="24"/>
                <w:highlight w:val="none"/>
              </w:rPr>
              <w:t>期</w:t>
            </w:r>
            <w:r>
              <w:rPr>
                <w:rFonts w:hint="eastAsia" w:ascii="仿宋" w:hAnsi="仿宋" w:eastAsia="仿宋" w:cs="仿宋"/>
                <w:color w:val="auto"/>
                <w:kern w:val="0"/>
                <w:sz w:val="24"/>
                <w:highlight w:val="none"/>
              </w:rPr>
              <w:t>限</w:t>
            </w:r>
          </w:p>
        </w:tc>
        <w:tc>
          <w:tcPr>
            <w:tcW w:w="5806" w:type="dxa"/>
            <w:tcBorders>
              <w:right w:val="double" w:color="auto" w:sz="4" w:space="0"/>
            </w:tcBorders>
            <w:noWrap w:val="0"/>
            <w:vAlign w:val="center"/>
          </w:tcPr>
          <w:p w14:paraId="68363C5C">
            <w:pPr>
              <w:pStyle w:val="90"/>
              <w:keepNext w:val="0"/>
              <w:keepLines w:val="0"/>
              <w:pageBreakBefore w:val="0"/>
              <w:wordWrap/>
              <w:overflowPunct w:val="0"/>
              <w:topLinePunct w:val="0"/>
              <w:bidi w:val="0"/>
              <w:spacing w:line="480" w:lineRule="exact"/>
              <w:ind w:right="0" w:rightChars="0"/>
              <w:rPr>
                <w:rFonts w:hint="eastAsia" w:ascii="仿宋" w:hAnsi="仿宋" w:eastAsia="仿宋" w:cs="仿宋"/>
                <w:color w:val="auto"/>
                <w:highlight w:val="none"/>
              </w:rPr>
            </w:pPr>
            <w:r>
              <w:rPr>
                <w:rFonts w:hint="eastAsia" w:ascii="仿宋" w:hAnsi="仿宋" w:eastAsia="仿宋" w:cs="仿宋"/>
                <w:color w:val="auto"/>
                <w:highlight w:val="none"/>
              </w:rPr>
              <w:t>公示媒介：同招标公告发布媒介</w:t>
            </w:r>
          </w:p>
          <w:p w14:paraId="2E0E6D2F">
            <w:pPr>
              <w:keepNext w:val="0"/>
              <w:keepLines w:val="0"/>
              <w:pageBreakBefore w:val="0"/>
              <w:wordWrap/>
              <w:topLinePunct w:val="0"/>
              <w:bidi w:val="0"/>
              <w:spacing w:line="480" w:lineRule="exact"/>
              <w:ind w:right="0" w:rightChars="0"/>
              <w:rPr>
                <w:rFonts w:hint="eastAsia" w:ascii="仿宋" w:hAnsi="仿宋" w:eastAsia="仿宋" w:cs="仿宋"/>
                <w:color w:val="auto"/>
                <w:sz w:val="24"/>
                <w:highlight w:val="none"/>
              </w:rPr>
            </w:pPr>
            <w:r>
              <w:rPr>
                <w:rFonts w:hint="eastAsia" w:ascii="仿宋" w:hAnsi="仿宋" w:eastAsia="仿宋" w:cs="仿宋"/>
                <w:color w:val="auto"/>
                <w:sz w:val="24"/>
                <w:highlight w:val="none"/>
              </w:rPr>
              <w:t>公示期限：不少于3日。如遇国家法定休假日，应顺延至法定休假日后第一个工作日。</w:t>
            </w:r>
          </w:p>
        </w:tc>
      </w:tr>
      <w:tr w14:paraId="76C3F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2CB7755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7.4.1</w:t>
            </w:r>
          </w:p>
        </w:tc>
        <w:tc>
          <w:tcPr>
            <w:tcW w:w="2549" w:type="dxa"/>
            <w:noWrap w:val="0"/>
            <w:vAlign w:val="center"/>
          </w:tcPr>
          <w:p w14:paraId="29525B8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是否授权评标委员会确定中标人</w:t>
            </w:r>
          </w:p>
        </w:tc>
        <w:tc>
          <w:tcPr>
            <w:tcW w:w="5806" w:type="dxa"/>
            <w:tcBorders>
              <w:right w:val="double" w:color="auto" w:sz="4" w:space="0"/>
            </w:tcBorders>
            <w:noWrap w:val="0"/>
            <w:vAlign w:val="center"/>
          </w:tcPr>
          <w:p w14:paraId="7479C7F5">
            <w:pPr>
              <w:keepNext w:val="0"/>
              <w:keepLines w:val="0"/>
              <w:pageBreakBefore w:val="0"/>
              <w:wordWrap/>
              <w:topLinePunct w:val="0"/>
              <w:bidi w:val="0"/>
              <w:spacing w:line="480" w:lineRule="exact"/>
              <w:ind w:right="0" w:rightChars="0"/>
              <w:rPr>
                <w:rFonts w:hint="eastAsia" w:ascii="仿宋" w:hAnsi="仿宋" w:eastAsia="仿宋" w:cs="仿宋"/>
                <w:color w:val="auto"/>
                <w:sz w:val="24"/>
                <w:highlight w:val="none"/>
              </w:rPr>
            </w:pPr>
            <w:r>
              <w:rPr>
                <w:rFonts w:hint="eastAsia" w:ascii="仿宋" w:hAnsi="仿宋" w:eastAsia="仿宋" w:cs="仿宋"/>
                <w:color w:val="auto"/>
                <w:sz w:val="24"/>
                <w:highlight w:val="none"/>
              </w:rPr>
              <w:t>□是</w:t>
            </w:r>
          </w:p>
          <w:p w14:paraId="3E356906">
            <w:pPr>
              <w:keepNext w:val="0"/>
              <w:keepLines w:val="0"/>
              <w:pageBreakBefore w:val="0"/>
              <w:wordWrap/>
              <w:topLinePunct w:val="0"/>
              <w:bidi w:val="0"/>
              <w:spacing w:line="480" w:lineRule="exact"/>
              <w:ind w:right="0" w:rightChars="0"/>
              <w:rPr>
                <w:rFonts w:hint="eastAsia" w:ascii="仿宋" w:hAnsi="仿宋" w:eastAsia="仿宋" w:cs="仿宋"/>
                <w:color w:val="auto"/>
                <w:sz w:val="24"/>
                <w:highlight w:val="none"/>
              </w:rPr>
            </w:pPr>
            <w:r>
              <w:rPr>
                <w:rFonts w:hint="eastAsia" w:ascii="仿宋" w:hAnsi="仿宋" w:eastAsia="仿宋" w:cs="仿宋"/>
                <w:color w:val="auto"/>
                <w:sz w:val="24"/>
                <w:highlight w:val="none"/>
              </w:rPr>
              <w:t>☑否</w:t>
            </w:r>
          </w:p>
        </w:tc>
      </w:tr>
      <w:tr w14:paraId="609F2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7BB2670E">
            <w:pPr>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7.4.2（1）</w:t>
            </w:r>
          </w:p>
        </w:tc>
        <w:tc>
          <w:tcPr>
            <w:tcW w:w="2549" w:type="dxa"/>
            <w:noWrap w:val="0"/>
            <w:vAlign w:val="center"/>
          </w:tcPr>
          <w:p w14:paraId="73C7B4B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定标委员会的组建</w:t>
            </w:r>
          </w:p>
          <w:p w14:paraId="09326D18">
            <w:pPr>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（评定分离法适用）</w:t>
            </w:r>
          </w:p>
        </w:tc>
        <w:tc>
          <w:tcPr>
            <w:tcW w:w="5806" w:type="dxa"/>
            <w:tcBorders>
              <w:right w:val="double" w:color="auto" w:sz="4" w:space="0"/>
            </w:tcBorders>
            <w:noWrap w:val="0"/>
            <w:vAlign w:val="center"/>
          </w:tcPr>
          <w:p w14:paraId="3142DD72">
            <w:pPr>
              <w:pStyle w:val="81"/>
              <w:keepNext w:val="0"/>
              <w:keepLines w:val="0"/>
              <w:pageBreakBefore w:val="0"/>
              <w:widowControl/>
              <w:kinsoku w:val="0"/>
              <w:wordWrap/>
              <w:topLinePunct w:val="0"/>
              <w:autoSpaceDE w:val="0"/>
              <w:autoSpaceDN w:val="0"/>
              <w:bidi w:val="0"/>
              <w:adjustRightInd w:val="0"/>
              <w:snapToGrid w:val="0"/>
              <w:spacing w:line="480" w:lineRule="exact"/>
              <w:ind w:right="0" w:rightChars="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定标委员会由招标人负责组建，定标委员会成员数量为</w:t>
            </w:r>
            <w:r>
              <w:rPr>
                <w:rFonts w:hint="eastAsia" w:ascii="仿宋" w:hAnsi="仿宋" w:eastAsia="仿宋" w:cs="仿宋"/>
                <w:color w:val="auto"/>
                <w:sz w:val="24"/>
                <w:szCs w:val="24"/>
                <w:highlight w:val="none"/>
                <w:u w:val="single"/>
                <w:lang w:val="en-US" w:eastAsia="zh-CN"/>
              </w:rPr>
              <w:t>5</w:t>
            </w:r>
            <w:r>
              <w:rPr>
                <w:rFonts w:hint="eastAsia" w:ascii="仿宋" w:hAnsi="仿宋" w:eastAsia="仿宋" w:cs="仿宋"/>
                <w:color w:val="auto"/>
                <w:sz w:val="24"/>
                <w:szCs w:val="24"/>
                <w:highlight w:val="none"/>
                <w:lang w:eastAsia="zh-CN"/>
              </w:rPr>
              <w:t>人（五人以上单数）。具体内容详见附件</w:t>
            </w:r>
          </w:p>
        </w:tc>
      </w:tr>
      <w:tr w14:paraId="6E2CB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4DD9E7E3">
            <w:pPr>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7.4.2（2）</w:t>
            </w:r>
          </w:p>
        </w:tc>
        <w:tc>
          <w:tcPr>
            <w:tcW w:w="2549" w:type="dxa"/>
            <w:noWrap w:val="0"/>
            <w:vAlign w:val="center"/>
          </w:tcPr>
          <w:p w14:paraId="4F6ACA7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定标方式</w:t>
            </w:r>
          </w:p>
          <w:p w14:paraId="2DED06A1">
            <w:pPr>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（评定分离法适用）</w:t>
            </w:r>
          </w:p>
        </w:tc>
        <w:tc>
          <w:tcPr>
            <w:tcW w:w="5806" w:type="dxa"/>
            <w:tcBorders>
              <w:right w:val="double" w:color="auto" w:sz="4" w:space="0"/>
            </w:tcBorders>
            <w:noWrap w:val="0"/>
            <w:vAlign w:val="top"/>
          </w:tcPr>
          <w:p w14:paraId="0FB925C5">
            <w:pPr>
              <w:pStyle w:val="90"/>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highlight w:val="none"/>
              </w:rPr>
            </w:pPr>
            <w:r>
              <w:rPr>
                <w:rFonts w:hint="eastAsia" w:ascii="仿宋" w:hAnsi="仿宋" w:eastAsia="仿宋" w:cs="仿宋"/>
                <w:color w:val="auto"/>
                <w:kern w:val="2"/>
                <w:highlight w:val="none"/>
              </w:rPr>
              <w:t>定标委员会按下列方法确定中标人：</w:t>
            </w:r>
          </w:p>
          <w:p w14:paraId="097BA0BD">
            <w:pPr>
              <w:pStyle w:val="90"/>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highlight w:val="none"/>
              </w:rPr>
            </w:pPr>
            <w:r>
              <w:rPr>
                <w:rFonts w:hint="eastAsia" w:ascii="仿宋" w:hAnsi="仿宋" w:eastAsia="仿宋" w:cs="仿宋"/>
                <w:color w:val="auto"/>
                <w:kern w:val="2"/>
                <w:highlight w:val="none"/>
              </w:rPr>
              <w:t>☑核查随机法</w:t>
            </w:r>
          </w:p>
          <w:p w14:paraId="494DC963">
            <w:pPr>
              <w:pStyle w:val="90"/>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highlight w:val="none"/>
              </w:rPr>
            </w:pPr>
            <w:r>
              <w:rPr>
                <w:rFonts w:hint="eastAsia" w:ascii="仿宋" w:hAnsi="仿宋" w:eastAsia="仿宋" w:cs="仿宋"/>
                <w:color w:val="auto"/>
                <w:kern w:val="2"/>
                <w:highlight w:val="none"/>
              </w:rPr>
              <w:t>□票决法</w:t>
            </w:r>
          </w:p>
          <w:p w14:paraId="28E3C458">
            <w:pPr>
              <w:pStyle w:val="90"/>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highlight w:val="none"/>
              </w:rPr>
            </w:pPr>
            <w:r>
              <w:rPr>
                <w:rFonts w:hint="eastAsia" w:ascii="仿宋" w:hAnsi="仿宋" w:eastAsia="仿宋" w:cs="仿宋"/>
                <w:color w:val="auto"/>
                <w:kern w:val="2"/>
                <w:highlight w:val="none"/>
              </w:rPr>
              <w:t xml:space="preserve">□集体议事法 </w:t>
            </w:r>
          </w:p>
          <w:p w14:paraId="3B077397">
            <w:pPr>
              <w:pStyle w:val="90"/>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highlight w:val="none"/>
              </w:rPr>
            </w:pPr>
            <w:r>
              <w:rPr>
                <w:rFonts w:hint="eastAsia" w:ascii="仿宋" w:hAnsi="仿宋" w:eastAsia="仿宋" w:cs="仿宋"/>
                <w:color w:val="auto"/>
                <w:kern w:val="2"/>
                <w:highlight w:val="none"/>
              </w:rPr>
              <w:t>□其他方法</w:t>
            </w:r>
          </w:p>
          <w:p w14:paraId="35A84B2B">
            <w:pPr>
              <w:pStyle w:val="90"/>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highlight w:val="none"/>
              </w:rPr>
            </w:pPr>
            <w:r>
              <w:rPr>
                <w:rFonts w:hint="eastAsia" w:ascii="仿宋" w:hAnsi="仿宋" w:eastAsia="仿宋" w:cs="仿宋"/>
                <w:color w:val="auto"/>
                <w:highlight w:val="none"/>
              </w:rPr>
              <w:t>具体内容详见附件</w:t>
            </w:r>
          </w:p>
        </w:tc>
      </w:tr>
      <w:tr w14:paraId="4EDC4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7A4D94F6">
            <w:pPr>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7.4.2（3）</w:t>
            </w:r>
          </w:p>
        </w:tc>
        <w:tc>
          <w:tcPr>
            <w:tcW w:w="2549" w:type="dxa"/>
            <w:noWrap w:val="0"/>
            <w:vAlign w:val="center"/>
          </w:tcPr>
          <w:p w14:paraId="14EF6E6C">
            <w:pPr>
              <w:pStyle w:val="90"/>
              <w:overflowPunct w:val="0"/>
              <w:spacing w:line="38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定标因素及具体内容</w:t>
            </w:r>
          </w:p>
          <w:p w14:paraId="62E825DE">
            <w:pPr>
              <w:pStyle w:val="90"/>
              <w:overflowPunct w:val="0"/>
              <w:spacing w:line="38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（评定分离法适用）</w:t>
            </w:r>
          </w:p>
        </w:tc>
        <w:tc>
          <w:tcPr>
            <w:tcW w:w="5806" w:type="dxa"/>
            <w:tcBorders>
              <w:right w:val="double" w:color="auto" w:sz="4" w:space="0"/>
            </w:tcBorders>
            <w:noWrap w:val="0"/>
            <w:vAlign w:val="center"/>
          </w:tcPr>
          <w:p w14:paraId="5A9529A8">
            <w:pPr>
              <w:pStyle w:val="90"/>
              <w:keepNext w:val="0"/>
              <w:keepLines w:val="0"/>
              <w:pageBreakBefore w:val="0"/>
              <w:wordWrap/>
              <w:overflowPunct w:val="0"/>
              <w:topLinePunct w:val="0"/>
              <w:bidi w:val="0"/>
              <w:snapToGrid w:val="0"/>
              <w:spacing w:line="480" w:lineRule="exact"/>
              <w:ind w:right="0" w:rightChars="0"/>
              <w:jc w:val="both"/>
              <w:rPr>
                <w:rFonts w:hint="eastAsia" w:ascii="仿宋" w:hAnsi="仿宋" w:eastAsia="仿宋" w:cs="仿宋"/>
                <w:color w:val="auto"/>
                <w:kern w:val="2"/>
                <w:highlight w:val="none"/>
              </w:rPr>
            </w:pPr>
            <w:r>
              <w:rPr>
                <w:rFonts w:hint="eastAsia" w:ascii="仿宋" w:hAnsi="仿宋" w:eastAsia="仿宋" w:cs="仿宋"/>
                <w:color w:val="auto"/>
                <w:kern w:val="2"/>
                <w:highlight w:val="none"/>
              </w:rPr>
              <w:t>定标因素及具体内容：</w:t>
            </w:r>
            <w:r>
              <w:rPr>
                <w:rFonts w:hint="eastAsia" w:ascii="仿宋" w:hAnsi="仿宋" w:eastAsia="仿宋" w:cs="仿宋"/>
                <w:color w:val="auto"/>
                <w:highlight w:val="none"/>
              </w:rPr>
              <w:t>具体内容详见附件</w:t>
            </w:r>
          </w:p>
        </w:tc>
      </w:tr>
      <w:tr w14:paraId="56B32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15AAEFE">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7.5.1</w:t>
            </w:r>
          </w:p>
        </w:tc>
        <w:tc>
          <w:tcPr>
            <w:tcW w:w="2549" w:type="dxa"/>
            <w:noWrap w:val="0"/>
            <w:vAlign w:val="center"/>
          </w:tcPr>
          <w:p w14:paraId="61ED7DC1">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中标通知结果公示</w:t>
            </w:r>
          </w:p>
          <w:p w14:paraId="53A78E15">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（评定分离项目）</w:t>
            </w:r>
          </w:p>
        </w:tc>
        <w:tc>
          <w:tcPr>
            <w:tcW w:w="5806" w:type="dxa"/>
            <w:tcBorders>
              <w:right w:val="double" w:color="auto" w:sz="4" w:space="0"/>
            </w:tcBorders>
            <w:noWrap w:val="0"/>
            <w:vAlign w:val="center"/>
          </w:tcPr>
          <w:p w14:paraId="1B19BED5">
            <w:pPr>
              <w:keepNext w:val="0"/>
              <w:keepLines w:val="0"/>
              <w:pageBreakBefore w:val="0"/>
              <w:wordWrap/>
              <w:topLinePunct w:val="0"/>
              <w:bidi w:val="0"/>
              <w:spacing w:line="480" w:lineRule="exact"/>
              <w:ind w:right="0" w:rightChars="0"/>
              <w:jc w:val="left"/>
              <w:rPr>
                <w:rFonts w:ascii="仿宋" w:hAnsi="仿宋" w:eastAsia="仿宋" w:cs="仿宋"/>
                <w:color w:val="auto"/>
                <w:sz w:val="24"/>
                <w:highlight w:val="none"/>
              </w:rPr>
            </w:pPr>
            <w:r>
              <w:rPr>
                <w:rFonts w:hint="eastAsia" w:ascii="仿宋" w:hAnsi="仿宋" w:eastAsia="仿宋" w:cs="仿宋"/>
                <w:color w:val="auto"/>
                <w:sz w:val="24"/>
                <w:highlight w:val="none"/>
              </w:rPr>
              <w:t>公示媒介：同招标公告、中标候选人公示发布媒介</w:t>
            </w:r>
          </w:p>
          <w:p w14:paraId="479AB113">
            <w:pPr>
              <w:keepNext w:val="0"/>
              <w:keepLines w:val="0"/>
              <w:pageBreakBefore w:val="0"/>
              <w:wordWrap/>
              <w:topLinePunct w:val="0"/>
              <w:bidi w:val="0"/>
              <w:spacing w:line="480" w:lineRule="exact"/>
              <w:ind w:right="0" w:right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期限：不少于3日</w:t>
            </w:r>
          </w:p>
        </w:tc>
      </w:tr>
      <w:tr w14:paraId="6EB33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224" w:type="dxa"/>
            <w:tcBorders>
              <w:left w:val="double" w:color="auto" w:sz="4" w:space="0"/>
            </w:tcBorders>
            <w:noWrap w:val="0"/>
            <w:vAlign w:val="center"/>
          </w:tcPr>
          <w:p w14:paraId="5F3D33A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7.6.1</w:t>
            </w:r>
          </w:p>
        </w:tc>
        <w:tc>
          <w:tcPr>
            <w:tcW w:w="2549" w:type="dxa"/>
            <w:noWrap w:val="0"/>
            <w:vAlign w:val="center"/>
          </w:tcPr>
          <w:p w14:paraId="74DB603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履约</w:t>
            </w:r>
            <w:r>
              <w:rPr>
                <w:rFonts w:hint="eastAsia" w:ascii="仿宋" w:hAnsi="仿宋" w:eastAsia="仿宋" w:cs="仿宋"/>
                <w:color w:val="auto"/>
                <w:spacing w:val="-2"/>
                <w:kern w:val="0"/>
                <w:sz w:val="24"/>
                <w:highlight w:val="none"/>
              </w:rPr>
              <w:t>保</w:t>
            </w:r>
            <w:r>
              <w:rPr>
                <w:rFonts w:hint="eastAsia" w:ascii="仿宋" w:hAnsi="仿宋" w:eastAsia="仿宋" w:cs="仿宋"/>
                <w:color w:val="auto"/>
                <w:kern w:val="0"/>
                <w:sz w:val="24"/>
                <w:highlight w:val="none"/>
              </w:rPr>
              <w:t>证金</w:t>
            </w:r>
          </w:p>
        </w:tc>
        <w:tc>
          <w:tcPr>
            <w:tcW w:w="5806" w:type="dxa"/>
            <w:tcBorders>
              <w:right w:val="double" w:color="auto" w:sz="4" w:space="0"/>
            </w:tcBorders>
            <w:noWrap w:val="0"/>
            <w:vAlign w:val="center"/>
          </w:tcPr>
          <w:p w14:paraId="2731B381">
            <w:pPr>
              <w:spacing w:line="400" w:lineRule="exact"/>
              <w:ind w:left="38" w:leftChars="18"/>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是否要求中标人提交履约保证金：</w:t>
            </w:r>
          </w:p>
          <w:p w14:paraId="04121D7B">
            <w:pPr>
              <w:spacing w:line="400" w:lineRule="exact"/>
              <w:ind w:firstLine="249" w:firstLineChars="104"/>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□不要求</w:t>
            </w:r>
          </w:p>
          <w:p w14:paraId="312D7970">
            <w:pPr>
              <w:spacing w:line="400" w:lineRule="exact"/>
              <w:ind w:firstLine="249" w:firstLineChars="104"/>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☑要求</w:t>
            </w:r>
            <w:r>
              <w:rPr>
                <w:rFonts w:hint="eastAsia" w:ascii="仿宋" w:hAnsi="仿宋" w:eastAsia="仿宋" w:cs="仿宋"/>
                <w:color w:val="auto"/>
                <w:kern w:val="0"/>
                <w:sz w:val="24"/>
                <w:highlight w:val="none"/>
              </w:rPr>
              <w:t>，履约保证金的形式：</w:t>
            </w:r>
            <w:r>
              <w:rPr>
                <w:rFonts w:hint="eastAsia" w:ascii="仿宋" w:hAnsi="仿宋" w:eastAsia="仿宋" w:cs="仿宋"/>
                <w:color w:val="auto"/>
                <w:kern w:val="0"/>
                <w:sz w:val="24"/>
                <w:highlight w:val="none"/>
                <w:u w:val="single"/>
              </w:rPr>
              <w:t>以</w:t>
            </w:r>
            <w:r>
              <w:rPr>
                <w:rFonts w:hint="eastAsia" w:ascii="仿宋" w:hAnsi="仿宋" w:eastAsia="仿宋" w:cs="仿宋"/>
                <w:color w:val="auto"/>
                <w:kern w:val="0"/>
                <w:sz w:val="24"/>
                <w:highlight w:val="none"/>
                <w:u w:val="single"/>
                <w:lang w:val="en-US" w:eastAsia="zh-CN"/>
              </w:rPr>
              <w:t>履约</w:t>
            </w:r>
            <w:r>
              <w:rPr>
                <w:rFonts w:hint="eastAsia" w:ascii="仿宋" w:hAnsi="仿宋" w:eastAsia="仿宋" w:cs="仿宋"/>
                <w:color w:val="auto"/>
                <w:kern w:val="0"/>
                <w:sz w:val="24"/>
                <w:highlight w:val="none"/>
                <w:u w:val="single"/>
              </w:rPr>
              <w:t>保函、支票、汇票非现金形式或现金转账形式提交</w:t>
            </w:r>
            <w:r>
              <w:rPr>
                <w:rFonts w:hint="eastAsia" w:ascii="仿宋" w:hAnsi="仿宋" w:eastAsia="仿宋" w:cs="仿宋"/>
                <w:color w:val="auto"/>
                <w:kern w:val="0"/>
                <w:sz w:val="24"/>
                <w:highlight w:val="none"/>
              </w:rPr>
              <w:t>。</w:t>
            </w:r>
          </w:p>
          <w:p w14:paraId="294F592C">
            <w:pPr>
              <w:spacing w:line="400" w:lineRule="exact"/>
              <w:ind w:firstLine="249" w:firstLineChars="104"/>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履约保证金的金额：</w:t>
            </w:r>
            <w:r>
              <w:rPr>
                <w:rFonts w:hint="eastAsia" w:ascii="仿宋" w:hAnsi="仿宋" w:eastAsia="仿宋" w:cs="仿宋"/>
                <w:color w:val="auto"/>
                <w:kern w:val="0"/>
                <w:sz w:val="24"/>
                <w:highlight w:val="none"/>
                <w:u w:val="single"/>
              </w:rPr>
              <w:t>合同价的</w:t>
            </w:r>
            <w:r>
              <w:rPr>
                <w:rFonts w:hint="eastAsia" w:ascii="仿宋" w:hAnsi="仿宋" w:eastAsia="仿宋" w:cs="仿宋"/>
                <w:color w:val="auto"/>
                <w:kern w:val="0"/>
                <w:sz w:val="24"/>
                <w:highlight w:val="none"/>
                <w:u w:val="single"/>
                <w:lang w:val="en-US" w:eastAsia="zh-CN"/>
              </w:rPr>
              <w:t xml:space="preserve">5 </w:t>
            </w:r>
            <w:r>
              <w:rPr>
                <w:rFonts w:hint="eastAsia" w:ascii="仿宋" w:hAnsi="仿宋" w:eastAsia="仿宋" w:cs="仿宋"/>
                <w:color w:val="auto"/>
                <w:kern w:val="0"/>
                <w:sz w:val="24"/>
                <w:highlight w:val="none"/>
                <w:u w:val="single"/>
              </w:rPr>
              <w:t>%。</w:t>
            </w:r>
          </w:p>
          <w:p w14:paraId="1813C43B">
            <w:pPr>
              <w:pStyle w:val="56"/>
              <w:spacing w:line="400" w:lineRule="exact"/>
              <w:ind w:firstLine="249" w:firstLineChars="104"/>
              <w:rPr>
                <w:rFonts w:hint="eastAsia" w:ascii="仿宋" w:hAnsi="仿宋" w:eastAsia="仿宋" w:cs="仿宋"/>
                <w:color w:val="auto"/>
                <w:sz w:val="24"/>
                <w:highlight w:val="none"/>
              </w:rPr>
            </w:pPr>
            <w:r>
              <w:rPr>
                <w:rFonts w:hint="eastAsia" w:ascii="仿宋" w:hAnsi="仿宋" w:eastAsia="仿宋" w:cs="仿宋"/>
                <w:color w:val="auto"/>
                <w:sz w:val="24"/>
                <w:highlight w:val="none"/>
              </w:rPr>
              <w:t>履约保证金的</w:t>
            </w:r>
            <w:r>
              <w:rPr>
                <w:rFonts w:hint="eastAsia" w:ascii="仿宋" w:hAnsi="仿宋" w:eastAsia="仿宋" w:cs="仿宋"/>
                <w:color w:val="auto"/>
                <w:sz w:val="24"/>
                <w:highlight w:val="none"/>
                <w:lang w:val="en-US" w:eastAsia="zh-CN"/>
              </w:rPr>
              <w:t>递交时间</w:t>
            </w:r>
            <w:r>
              <w:rPr>
                <w:rFonts w:hint="eastAsia" w:ascii="仿宋" w:hAnsi="仿宋" w:eastAsia="仿宋" w:cs="仿宋"/>
                <w:color w:val="auto"/>
                <w:sz w:val="24"/>
                <w:highlight w:val="none"/>
              </w:rPr>
              <w:t>：</w:t>
            </w:r>
            <w:r>
              <w:rPr>
                <w:rFonts w:hint="eastAsia" w:ascii="仿宋" w:hAnsi="仿宋" w:eastAsia="仿宋" w:cs="仿宋"/>
                <w:color w:val="auto"/>
                <w:kern w:val="0"/>
                <w:sz w:val="24"/>
                <w:szCs w:val="24"/>
                <w:highlight w:val="none"/>
                <w:u w:val="single"/>
                <w:lang w:val="en-US" w:eastAsia="zh-CN" w:bidi="ar-SA"/>
              </w:rPr>
              <w:t>招标人确定中标人后，中标人应在接到招标人通知后5日内，将履约保证金打入招标人指定账户或按照招标文件要求的形式提交其他保证</w:t>
            </w:r>
            <w:r>
              <w:rPr>
                <w:rFonts w:hint="eastAsia" w:ascii="仿宋" w:hAnsi="仿宋" w:eastAsia="仿宋" w:cs="仿宋"/>
                <w:color w:val="auto"/>
                <w:kern w:val="0"/>
                <w:sz w:val="24"/>
                <w:szCs w:val="24"/>
                <w:highlight w:val="none"/>
                <w:lang w:val="en-US" w:eastAsia="zh-CN" w:bidi="ar-SA"/>
              </w:rPr>
              <w:t>。</w:t>
            </w:r>
            <w:r>
              <w:rPr>
                <w:rFonts w:hint="eastAsia" w:ascii="仿宋" w:hAnsi="仿宋" w:eastAsia="仿宋" w:cs="仿宋"/>
                <w:color w:val="auto"/>
                <w:kern w:val="0"/>
                <w:sz w:val="24"/>
                <w:szCs w:val="24"/>
                <w:highlight w:val="none"/>
                <w:u w:val="single"/>
                <w:lang w:val="en-US" w:eastAsia="zh-CN" w:bidi="ar-SA"/>
              </w:rPr>
              <w:t>逾期未缴纳的取消其中标资格。</w:t>
            </w:r>
          </w:p>
        </w:tc>
      </w:tr>
      <w:tr w14:paraId="33032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224" w:type="dxa"/>
            <w:tcBorders>
              <w:left w:val="double" w:color="auto" w:sz="4" w:space="0"/>
            </w:tcBorders>
            <w:noWrap w:val="0"/>
            <w:vAlign w:val="center"/>
          </w:tcPr>
          <w:p w14:paraId="67B1985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8.1</w:t>
            </w:r>
          </w:p>
        </w:tc>
        <w:tc>
          <w:tcPr>
            <w:tcW w:w="2549" w:type="dxa"/>
            <w:noWrap w:val="0"/>
            <w:vAlign w:val="center"/>
          </w:tcPr>
          <w:p w14:paraId="756C4B1A">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重新招标</w:t>
            </w:r>
          </w:p>
        </w:tc>
        <w:tc>
          <w:tcPr>
            <w:tcW w:w="5806" w:type="dxa"/>
            <w:tcBorders>
              <w:right w:val="double" w:color="auto" w:sz="4" w:space="0"/>
            </w:tcBorders>
            <w:noWrap w:val="0"/>
            <w:vAlign w:val="center"/>
          </w:tcPr>
          <w:p w14:paraId="6129C509">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☑评定分离项目</w:t>
            </w:r>
          </w:p>
          <w:p w14:paraId="1C0071C4">
            <w:pPr>
              <w:pStyle w:val="25"/>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①</w:t>
            </w:r>
            <w:r>
              <w:rPr>
                <w:rFonts w:hint="eastAsia" w:ascii="仿宋" w:hAnsi="仿宋" w:eastAsia="仿宋" w:cs="仿宋"/>
                <w:color w:val="auto"/>
                <w:sz w:val="24"/>
                <w:highlight w:val="none"/>
              </w:rPr>
              <w:t>通过初步评审的投标人少于3个的；</w:t>
            </w:r>
            <w:r>
              <w:rPr>
                <w:rFonts w:hint="eastAsia" w:ascii="仿宋" w:hAnsi="仿宋" w:eastAsia="仿宋" w:cs="仿宋"/>
                <w:color w:val="auto"/>
                <w:kern w:val="2"/>
                <w:sz w:val="24"/>
                <w:szCs w:val="24"/>
                <w:highlight w:val="none"/>
                <w:lang w:val="en-US" w:eastAsia="zh-CN" w:bidi="ar-SA"/>
              </w:rPr>
              <w:t>②投标截止时递交投标文件的投标人少于3个；③评标委员会否决全部投标；④招投标活动存在实质性违法且无法补救。</w:t>
            </w:r>
          </w:p>
          <w:p w14:paraId="7347F7D7">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□其他项目</w:t>
            </w:r>
          </w:p>
          <w:p w14:paraId="1B9DD4CE">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通过初步评审的投标人少于3个，评标委员会认定投标明显缺乏竞争否决全部投标的；</w:t>
            </w:r>
          </w:p>
        </w:tc>
      </w:tr>
      <w:tr w14:paraId="6E2D5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487F40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10</w:t>
            </w:r>
          </w:p>
        </w:tc>
        <w:tc>
          <w:tcPr>
            <w:tcW w:w="8355" w:type="dxa"/>
            <w:gridSpan w:val="2"/>
            <w:tcBorders>
              <w:right w:val="double" w:color="auto" w:sz="4" w:space="0"/>
            </w:tcBorders>
            <w:noWrap w:val="0"/>
            <w:vAlign w:val="center"/>
          </w:tcPr>
          <w:p w14:paraId="7A1DBCD5">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需要</w:t>
            </w:r>
            <w:r>
              <w:rPr>
                <w:rFonts w:hint="eastAsia" w:ascii="仿宋" w:hAnsi="仿宋" w:eastAsia="仿宋" w:cs="仿宋"/>
                <w:color w:val="auto"/>
                <w:spacing w:val="-2"/>
                <w:kern w:val="0"/>
                <w:sz w:val="24"/>
                <w:highlight w:val="none"/>
              </w:rPr>
              <w:t>补</w:t>
            </w:r>
            <w:r>
              <w:rPr>
                <w:rFonts w:hint="eastAsia" w:ascii="仿宋" w:hAnsi="仿宋" w:eastAsia="仿宋" w:cs="仿宋"/>
                <w:color w:val="auto"/>
                <w:kern w:val="0"/>
                <w:sz w:val="24"/>
                <w:highlight w:val="none"/>
              </w:rPr>
              <w:t>充</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其</w:t>
            </w:r>
            <w:r>
              <w:rPr>
                <w:rFonts w:hint="eastAsia" w:ascii="仿宋" w:hAnsi="仿宋" w:eastAsia="仿宋" w:cs="仿宋"/>
                <w:color w:val="auto"/>
                <w:spacing w:val="-2"/>
                <w:kern w:val="0"/>
                <w:sz w:val="24"/>
                <w:highlight w:val="none"/>
              </w:rPr>
              <w:t>他</w:t>
            </w:r>
            <w:r>
              <w:rPr>
                <w:rFonts w:hint="eastAsia" w:ascii="仿宋" w:hAnsi="仿宋" w:eastAsia="仿宋" w:cs="仿宋"/>
                <w:color w:val="auto"/>
                <w:kern w:val="0"/>
                <w:sz w:val="24"/>
                <w:highlight w:val="none"/>
              </w:rPr>
              <w:t>内容</w:t>
            </w:r>
          </w:p>
        </w:tc>
      </w:tr>
      <w:tr w14:paraId="00EE9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3B9BE4FF">
            <w:pPr>
              <w:spacing w:line="312" w:lineRule="auto"/>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10.1</w:t>
            </w:r>
          </w:p>
        </w:tc>
        <w:tc>
          <w:tcPr>
            <w:tcW w:w="8355" w:type="dxa"/>
            <w:gridSpan w:val="2"/>
            <w:tcBorders>
              <w:right w:val="double" w:color="auto" w:sz="4" w:space="0"/>
            </w:tcBorders>
            <w:noWrap w:val="0"/>
            <w:vAlign w:val="center"/>
          </w:tcPr>
          <w:p w14:paraId="1B4C71DA">
            <w:pPr>
              <w:spacing w:line="360" w:lineRule="auto"/>
              <w:ind w:left="38" w:leftChars="18"/>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词语定义</w:t>
            </w:r>
          </w:p>
        </w:tc>
      </w:tr>
      <w:tr w14:paraId="5A200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3F9A1EFC">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10.1.1</w:t>
            </w:r>
          </w:p>
        </w:tc>
        <w:tc>
          <w:tcPr>
            <w:tcW w:w="2549" w:type="dxa"/>
            <w:noWrap w:val="0"/>
            <w:vAlign w:val="center"/>
          </w:tcPr>
          <w:p w14:paraId="7B31B17F">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类似项目</w:t>
            </w:r>
          </w:p>
        </w:tc>
        <w:tc>
          <w:tcPr>
            <w:tcW w:w="5806" w:type="dxa"/>
            <w:tcBorders>
              <w:right w:val="double" w:color="auto" w:sz="4" w:space="0"/>
            </w:tcBorders>
            <w:noWrap w:val="0"/>
            <w:vAlign w:val="center"/>
          </w:tcPr>
          <w:p w14:paraId="2F567E03">
            <w:pPr>
              <w:spacing w:line="360" w:lineRule="auto"/>
              <w:ind w:left="38" w:leftChars="18"/>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类似项目是指：</w:t>
            </w:r>
            <w:r>
              <w:rPr>
                <w:rFonts w:hint="eastAsia" w:ascii="仿宋" w:hAnsi="仿宋" w:eastAsia="仿宋" w:cs="仿宋"/>
                <w:color w:val="auto"/>
                <w:kern w:val="0"/>
                <w:sz w:val="24"/>
                <w:highlight w:val="none"/>
                <w:lang w:val="en-US" w:eastAsia="zh-CN"/>
              </w:rPr>
              <w:t>类似</w:t>
            </w:r>
            <w:r>
              <w:rPr>
                <w:rFonts w:hint="eastAsia" w:ascii="仿宋" w:hAnsi="仿宋" w:eastAsia="仿宋" w:cs="仿宋"/>
                <w:color w:val="auto"/>
                <w:kern w:val="0"/>
                <w:sz w:val="24"/>
                <w:highlight w:val="none"/>
                <w:lang w:eastAsia="zh-CN"/>
              </w:rPr>
              <w:t>业绩</w:t>
            </w:r>
          </w:p>
        </w:tc>
      </w:tr>
      <w:tr w14:paraId="59887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262EA51">
            <w:pPr>
              <w:spacing w:line="360" w:lineRule="auto"/>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2</w:t>
            </w:r>
          </w:p>
        </w:tc>
        <w:tc>
          <w:tcPr>
            <w:tcW w:w="2549" w:type="dxa"/>
            <w:noWrap w:val="0"/>
            <w:vAlign w:val="center"/>
          </w:tcPr>
          <w:p w14:paraId="5079014E">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施工组织设计是否采用“暗标”评审方式</w:t>
            </w:r>
          </w:p>
        </w:tc>
        <w:tc>
          <w:tcPr>
            <w:tcW w:w="5806" w:type="dxa"/>
            <w:tcBorders>
              <w:right w:val="double" w:color="auto" w:sz="4" w:space="0"/>
            </w:tcBorders>
            <w:noWrap w:val="0"/>
            <w:vAlign w:val="center"/>
          </w:tcPr>
          <w:p w14:paraId="6903BD88">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☑否</w:t>
            </w:r>
          </w:p>
          <w:p w14:paraId="0D52E4D1">
            <w:pPr>
              <w:spacing w:line="360" w:lineRule="auto"/>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□是，具体要求：</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w:t>
            </w:r>
          </w:p>
        </w:tc>
      </w:tr>
      <w:tr w14:paraId="6C941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8D664D6">
            <w:pPr>
              <w:spacing w:line="360" w:lineRule="auto"/>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3</w:t>
            </w:r>
          </w:p>
        </w:tc>
        <w:tc>
          <w:tcPr>
            <w:tcW w:w="2549" w:type="dxa"/>
            <w:noWrap w:val="0"/>
            <w:vAlign w:val="center"/>
          </w:tcPr>
          <w:p w14:paraId="6F7FCF03">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知识产权</w:t>
            </w:r>
          </w:p>
        </w:tc>
        <w:tc>
          <w:tcPr>
            <w:tcW w:w="5806" w:type="dxa"/>
            <w:tcBorders>
              <w:right w:val="double" w:color="auto" w:sz="4" w:space="0"/>
            </w:tcBorders>
            <w:noWrap w:val="0"/>
            <w:vAlign w:val="center"/>
          </w:tcPr>
          <w:p w14:paraId="3621F58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14:paraId="5941F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81B3C9E">
            <w:pPr>
              <w:spacing w:line="360" w:lineRule="auto"/>
              <w:jc w:val="center"/>
              <w:rPr>
                <w:rFonts w:hint="eastAsia" w:ascii="仿宋" w:hAnsi="仿宋" w:eastAsia="仿宋" w:cs="仿宋"/>
                <w:b/>
                <w:bCs/>
                <w:color w:val="auto"/>
                <w:kern w:val="0"/>
                <w:sz w:val="24"/>
                <w:highlight w:val="none"/>
                <w:lang w:eastAsia="zh-CN"/>
              </w:rPr>
            </w:pPr>
            <w:r>
              <w:rPr>
                <w:rFonts w:hint="eastAsia" w:ascii="仿宋" w:hAnsi="仿宋" w:eastAsia="仿宋" w:cs="仿宋"/>
                <w:b/>
                <w:bCs/>
                <w:color w:val="auto"/>
                <w:kern w:val="0"/>
                <w:sz w:val="24"/>
                <w:highlight w:val="none"/>
              </w:rPr>
              <w:t>10.</w:t>
            </w:r>
            <w:r>
              <w:rPr>
                <w:rFonts w:hint="eastAsia" w:ascii="仿宋" w:hAnsi="仿宋" w:eastAsia="仿宋" w:cs="仿宋"/>
                <w:b/>
                <w:bCs/>
                <w:color w:val="auto"/>
                <w:kern w:val="0"/>
                <w:sz w:val="24"/>
                <w:highlight w:val="none"/>
                <w:lang w:val="en-US" w:eastAsia="zh-CN"/>
              </w:rPr>
              <w:t>4</w:t>
            </w:r>
          </w:p>
        </w:tc>
        <w:tc>
          <w:tcPr>
            <w:tcW w:w="2549" w:type="dxa"/>
            <w:noWrap w:val="0"/>
            <w:vAlign w:val="center"/>
          </w:tcPr>
          <w:p w14:paraId="79F16E73">
            <w:pPr>
              <w:spacing w:line="312"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远程异地评标</w:t>
            </w:r>
          </w:p>
        </w:tc>
        <w:tc>
          <w:tcPr>
            <w:tcW w:w="5806" w:type="dxa"/>
            <w:tcBorders>
              <w:right w:val="double" w:color="auto" w:sz="4" w:space="0"/>
            </w:tcBorders>
            <w:noWrap w:val="0"/>
            <w:vAlign w:val="center"/>
          </w:tcPr>
          <w:p w14:paraId="7CBBD5D8">
            <w:pPr>
              <w:spacing w:line="31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否</w:t>
            </w:r>
          </w:p>
          <w:p w14:paraId="669F7EE8">
            <w:pPr>
              <w:spacing w:line="312" w:lineRule="auto"/>
              <w:rPr>
                <w:rFonts w:hint="default"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lang w:eastAsia="zh-CN"/>
              </w:rPr>
              <w:t>□</w:t>
            </w:r>
            <w:r>
              <w:rPr>
                <w:rFonts w:hint="eastAsia" w:ascii="仿宋" w:hAnsi="仿宋" w:eastAsia="仿宋" w:cs="仿宋"/>
                <w:b/>
                <w:bCs/>
                <w:color w:val="auto"/>
                <w:sz w:val="24"/>
                <w:highlight w:val="none"/>
              </w:rPr>
              <w:t>是，具体要求：</w:t>
            </w:r>
            <w:r>
              <w:rPr>
                <w:rFonts w:hint="eastAsia" w:ascii="仿宋" w:hAnsi="仿宋" w:eastAsia="仿宋" w:cs="仿宋"/>
                <w:b/>
                <w:bCs/>
                <w:color w:val="auto"/>
                <w:sz w:val="24"/>
                <w:highlight w:val="none"/>
                <w:u w:val="single"/>
                <w:lang w:val="en-US" w:eastAsia="zh-CN"/>
              </w:rPr>
              <w:t xml:space="preserve">             </w:t>
            </w:r>
          </w:p>
        </w:tc>
      </w:tr>
      <w:tr w14:paraId="49FCC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6E3FC8B5">
            <w:pPr>
              <w:spacing w:line="312" w:lineRule="auto"/>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5</w:t>
            </w:r>
          </w:p>
        </w:tc>
        <w:tc>
          <w:tcPr>
            <w:tcW w:w="2549" w:type="dxa"/>
            <w:noWrap w:val="0"/>
            <w:vAlign w:val="center"/>
          </w:tcPr>
          <w:p w14:paraId="6B627009">
            <w:pPr>
              <w:spacing w:line="312"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招标代理费</w:t>
            </w:r>
          </w:p>
        </w:tc>
        <w:tc>
          <w:tcPr>
            <w:tcW w:w="5806" w:type="dxa"/>
            <w:tcBorders>
              <w:right w:val="double" w:color="auto" w:sz="4" w:space="0"/>
            </w:tcBorders>
            <w:noWrap w:val="0"/>
            <w:vAlign w:val="center"/>
          </w:tcPr>
          <w:p w14:paraId="39B4EA9A">
            <w:pPr>
              <w:spacing w:line="312" w:lineRule="auto"/>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由招标人支付：</w:t>
            </w:r>
            <w:r>
              <w:rPr>
                <w:rFonts w:hint="default" w:ascii="仿宋" w:hAnsi="仿宋" w:eastAsia="仿宋" w:cs="仿宋"/>
                <w:color w:val="auto"/>
                <w:sz w:val="24"/>
                <w:highlight w:val="none"/>
                <w:lang w:val="en-US" w:eastAsia="zh-CN"/>
              </w:rPr>
              <w:sym w:font="Wingdings 2" w:char="0052"/>
            </w:r>
            <w:r>
              <w:rPr>
                <w:rFonts w:hint="default" w:ascii="仿宋" w:hAnsi="仿宋" w:eastAsia="仿宋" w:cs="仿宋"/>
                <w:color w:val="auto"/>
                <w:sz w:val="24"/>
                <w:highlight w:val="none"/>
                <w:lang w:val="en-US" w:eastAsia="zh-CN"/>
              </w:rPr>
              <w:t xml:space="preserve">招标人  </w:t>
            </w:r>
            <w:r>
              <w:rPr>
                <w:rFonts w:hint="default" w:ascii="仿宋" w:hAnsi="仿宋" w:eastAsia="仿宋" w:cs="仿宋"/>
                <w:color w:val="auto"/>
                <w:sz w:val="24"/>
                <w:highlight w:val="none"/>
                <w:lang w:val="en-US" w:eastAsia="zh-CN"/>
              </w:rPr>
              <w:sym w:font="Wingdings 2" w:char="00A3"/>
            </w:r>
            <w:r>
              <w:rPr>
                <w:rFonts w:hint="default" w:ascii="仿宋" w:hAnsi="仿宋" w:eastAsia="仿宋" w:cs="仿宋"/>
                <w:color w:val="auto"/>
                <w:sz w:val="24"/>
                <w:highlight w:val="none"/>
                <w:lang w:val="en-US" w:eastAsia="zh-CN"/>
              </w:rPr>
              <w:t>中标人</w:t>
            </w:r>
          </w:p>
          <w:p w14:paraId="0644FA1B">
            <w:pPr>
              <w:spacing w:line="312" w:lineRule="auto"/>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具体金额或计算标准：以招标代理合同签订的金额或标准执行。</w:t>
            </w:r>
          </w:p>
          <w:p w14:paraId="31C7AE2B">
            <w:pPr>
              <w:spacing w:line="312" w:lineRule="auto"/>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收取方式：由招标人在项目结束后公对公转账</w:t>
            </w:r>
          </w:p>
        </w:tc>
      </w:tr>
      <w:tr w14:paraId="650DA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24" w:type="dxa"/>
            <w:tcBorders>
              <w:left w:val="double" w:color="auto" w:sz="4" w:space="0"/>
            </w:tcBorders>
            <w:noWrap w:val="0"/>
            <w:vAlign w:val="center"/>
          </w:tcPr>
          <w:p w14:paraId="349E2608">
            <w:pPr>
              <w:spacing w:line="312" w:lineRule="auto"/>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6</w:t>
            </w:r>
          </w:p>
        </w:tc>
        <w:tc>
          <w:tcPr>
            <w:tcW w:w="2549" w:type="dxa"/>
            <w:noWrap w:val="0"/>
            <w:vAlign w:val="center"/>
          </w:tcPr>
          <w:p w14:paraId="7B2B3CD0">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同义词语</w:t>
            </w:r>
          </w:p>
        </w:tc>
        <w:tc>
          <w:tcPr>
            <w:tcW w:w="5806" w:type="dxa"/>
            <w:tcBorders>
              <w:right w:val="double" w:color="auto" w:sz="4" w:space="0"/>
            </w:tcBorders>
            <w:noWrap w:val="0"/>
            <w:vAlign w:val="center"/>
          </w:tcPr>
          <w:p w14:paraId="6775D3DD">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构成招标文件组成部分的“通用合同条款”“专用合同条款”“技术标准和要求”和“工程量清单”等章节中出现的措辞“发包人”和“承包人”，在招标投标阶段应当分别按“招标人”和“投标人”进行理解。</w:t>
            </w:r>
          </w:p>
        </w:tc>
      </w:tr>
      <w:tr w14:paraId="4E59D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03C08D4">
            <w:pPr>
              <w:spacing w:line="360" w:lineRule="auto"/>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7</w:t>
            </w:r>
          </w:p>
        </w:tc>
        <w:tc>
          <w:tcPr>
            <w:tcW w:w="2549" w:type="dxa"/>
            <w:noWrap w:val="0"/>
            <w:vAlign w:val="center"/>
          </w:tcPr>
          <w:p w14:paraId="2CB0990C">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监督</w:t>
            </w:r>
          </w:p>
        </w:tc>
        <w:tc>
          <w:tcPr>
            <w:tcW w:w="5806" w:type="dxa"/>
            <w:tcBorders>
              <w:right w:val="double" w:color="auto" w:sz="4" w:space="0"/>
            </w:tcBorders>
            <w:noWrap w:val="0"/>
            <w:vAlign w:val="center"/>
          </w:tcPr>
          <w:p w14:paraId="79240C18">
            <w:pPr>
              <w:keepNext w:val="0"/>
              <w:keepLines w:val="0"/>
              <w:pageBreakBefore w:val="0"/>
              <w:suppressLineNumbers w:val="0"/>
              <w:shd w:val="clear" w:color="auto" w:fill="auto"/>
              <w:kinsoku/>
              <w:wordWrap w:val="0"/>
              <w:overflowPunct/>
              <w:topLinePunct w:val="0"/>
              <w:bidi w:val="0"/>
              <w:adjustRightInd w:val="0"/>
              <w:snapToGrid w:val="0"/>
              <w:spacing w:before="0" w:beforeAutospacing="0" w:after="0" w:afterAutospacing="0" w:line="400" w:lineRule="exact"/>
              <w:ind w:right="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本项目的招标投标活动及其相关当事人应当接受有管辖权的建设工程招标投标行政监督部门依法实施的监督。</w:t>
            </w:r>
          </w:p>
        </w:tc>
      </w:tr>
      <w:tr w14:paraId="596AA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7E95E34B">
            <w:pPr>
              <w:spacing w:line="360" w:lineRule="auto"/>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8</w:t>
            </w:r>
          </w:p>
        </w:tc>
        <w:tc>
          <w:tcPr>
            <w:tcW w:w="2549" w:type="dxa"/>
            <w:noWrap w:val="0"/>
            <w:vAlign w:val="center"/>
          </w:tcPr>
          <w:p w14:paraId="6C85CE72">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解释权</w:t>
            </w:r>
          </w:p>
        </w:tc>
        <w:tc>
          <w:tcPr>
            <w:tcW w:w="5806" w:type="dxa"/>
            <w:tcBorders>
              <w:right w:val="double" w:color="auto" w:sz="4" w:space="0"/>
            </w:tcBorders>
            <w:noWrap w:val="0"/>
            <w:vAlign w:val="center"/>
          </w:tcPr>
          <w:p w14:paraId="4B76BE5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7EEA8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4798E9B9">
            <w:pPr>
              <w:spacing w:line="360" w:lineRule="auto"/>
              <w:jc w:val="center"/>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9</w:t>
            </w:r>
          </w:p>
        </w:tc>
        <w:tc>
          <w:tcPr>
            <w:tcW w:w="8355" w:type="dxa"/>
            <w:gridSpan w:val="2"/>
            <w:tcBorders>
              <w:right w:val="double" w:color="auto" w:sz="4" w:space="0"/>
            </w:tcBorders>
            <w:noWrap w:val="0"/>
            <w:vAlign w:val="center"/>
          </w:tcPr>
          <w:p w14:paraId="6135F2D3">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招标人补充的其他内容</w:t>
            </w:r>
          </w:p>
        </w:tc>
      </w:tr>
      <w:tr w14:paraId="10CB5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BCFBF90">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9</w:t>
            </w:r>
            <w:r>
              <w:rPr>
                <w:rFonts w:hint="eastAsia" w:ascii="仿宋" w:hAnsi="仿宋" w:eastAsia="仿宋" w:cs="仿宋"/>
                <w:color w:val="auto"/>
                <w:kern w:val="0"/>
                <w:sz w:val="24"/>
                <w:highlight w:val="none"/>
              </w:rPr>
              <w:t>.1</w:t>
            </w:r>
          </w:p>
        </w:tc>
        <w:tc>
          <w:tcPr>
            <w:tcW w:w="2549" w:type="dxa"/>
            <w:noWrap w:val="0"/>
            <w:vAlign w:val="center"/>
          </w:tcPr>
          <w:p w14:paraId="1AFC7777">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项目主要管理人员</w:t>
            </w:r>
          </w:p>
          <w:p w14:paraId="2413DD0C">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（如有）</w:t>
            </w:r>
          </w:p>
        </w:tc>
        <w:tc>
          <w:tcPr>
            <w:tcW w:w="5806" w:type="dxa"/>
            <w:tcBorders>
              <w:right w:val="double" w:color="auto" w:sz="4" w:space="0"/>
            </w:tcBorders>
            <w:noWrap w:val="0"/>
            <w:vAlign w:val="center"/>
          </w:tcPr>
          <w:p w14:paraId="0E2E362C">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结合项目规模，</w:t>
            </w:r>
            <w:r>
              <w:rPr>
                <w:rFonts w:hint="eastAsia" w:ascii="仿宋" w:hAnsi="仿宋" w:eastAsia="仿宋" w:cs="仿宋"/>
                <w:color w:val="auto"/>
                <w:sz w:val="24"/>
                <w:highlight w:val="none"/>
                <w:lang w:val="en-US" w:eastAsia="zh-CN"/>
              </w:rPr>
              <w:t>投入本项目的</w:t>
            </w:r>
            <w:r>
              <w:rPr>
                <w:rFonts w:hint="eastAsia" w:ascii="仿宋" w:hAnsi="仿宋" w:eastAsia="仿宋" w:cs="仿宋"/>
                <w:color w:val="auto"/>
                <w:sz w:val="24"/>
                <w:highlight w:val="none"/>
              </w:rPr>
              <w:t>项目主要管理人员</w:t>
            </w:r>
            <w:r>
              <w:rPr>
                <w:rFonts w:hint="eastAsia" w:ascii="仿宋" w:hAnsi="仿宋" w:eastAsia="仿宋" w:cs="仿宋"/>
                <w:color w:val="auto"/>
                <w:sz w:val="24"/>
                <w:highlight w:val="none"/>
                <w:lang w:val="en-US" w:eastAsia="zh-CN"/>
              </w:rPr>
              <w:t>需</w:t>
            </w:r>
            <w:r>
              <w:rPr>
                <w:rFonts w:hint="eastAsia" w:ascii="仿宋" w:hAnsi="仿宋" w:eastAsia="仿宋" w:cs="仿宋"/>
                <w:color w:val="auto"/>
                <w:sz w:val="24"/>
                <w:highlight w:val="none"/>
              </w:rPr>
              <w:t>符合《河南省建筑与市政工程施工企业现场从业人员管理标准》DBJ41/T141-2024明确相关要求。</w:t>
            </w:r>
          </w:p>
        </w:tc>
      </w:tr>
      <w:tr w14:paraId="21B6E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3A99328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9</w:t>
            </w:r>
            <w:r>
              <w:rPr>
                <w:rFonts w:hint="eastAsia" w:ascii="仿宋" w:hAnsi="仿宋" w:eastAsia="仿宋" w:cs="仿宋"/>
                <w:color w:val="auto"/>
                <w:kern w:val="0"/>
                <w:sz w:val="24"/>
                <w:highlight w:val="none"/>
              </w:rPr>
              <w:t>.2</w:t>
            </w:r>
          </w:p>
        </w:tc>
        <w:tc>
          <w:tcPr>
            <w:tcW w:w="2549" w:type="dxa"/>
            <w:noWrap w:val="0"/>
            <w:vAlign w:val="center"/>
          </w:tcPr>
          <w:p w14:paraId="03C46CE5">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工程预付款</w:t>
            </w:r>
          </w:p>
        </w:tc>
        <w:tc>
          <w:tcPr>
            <w:tcW w:w="5806" w:type="dxa"/>
            <w:tcBorders>
              <w:right w:val="double" w:color="auto" w:sz="4" w:space="0"/>
            </w:tcBorders>
            <w:noWrap w:val="0"/>
            <w:vAlign w:val="center"/>
          </w:tcPr>
          <w:p w14:paraId="418374B5">
            <w:pPr>
              <w:spacing w:line="31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无</w:t>
            </w:r>
          </w:p>
          <w:p w14:paraId="643040A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有，支付方式：</w:t>
            </w:r>
            <w:r>
              <w:rPr>
                <w:rFonts w:hint="eastAsia" w:ascii="仿宋" w:hAnsi="仿宋" w:eastAsia="仿宋" w:cs="仿宋"/>
                <w:color w:val="auto"/>
                <w:sz w:val="24"/>
                <w:highlight w:val="none"/>
                <w:lang w:val="en-US" w:eastAsia="zh-CN"/>
              </w:rPr>
              <w:t>详见合同条款</w:t>
            </w:r>
          </w:p>
          <w:p w14:paraId="26C90B83">
            <w:pPr>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支付比例：</w:t>
            </w:r>
            <w:r>
              <w:rPr>
                <w:rFonts w:hint="eastAsia" w:ascii="仿宋" w:hAnsi="仿宋" w:eastAsia="仿宋" w:cs="仿宋"/>
                <w:color w:val="auto"/>
                <w:sz w:val="24"/>
                <w:highlight w:val="none"/>
                <w:u w:val="single"/>
                <w:lang w:val="en-US" w:eastAsia="zh-CN"/>
              </w:rPr>
              <w:t>30%</w:t>
            </w:r>
          </w:p>
        </w:tc>
      </w:tr>
      <w:tr w14:paraId="7EF36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1224" w:type="dxa"/>
            <w:tcBorders>
              <w:left w:val="double" w:color="auto" w:sz="4" w:space="0"/>
            </w:tcBorders>
            <w:noWrap w:val="0"/>
            <w:vAlign w:val="center"/>
          </w:tcPr>
          <w:p w14:paraId="765D57AC">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9</w:t>
            </w:r>
            <w:r>
              <w:rPr>
                <w:rFonts w:hint="eastAsia" w:ascii="仿宋" w:hAnsi="仿宋" w:eastAsia="仿宋" w:cs="仿宋"/>
                <w:color w:val="auto"/>
                <w:kern w:val="0"/>
                <w:sz w:val="24"/>
                <w:highlight w:val="none"/>
              </w:rPr>
              <w:t>.3</w:t>
            </w:r>
          </w:p>
        </w:tc>
        <w:tc>
          <w:tcPr>
            <w:tcW w:w="2549" w:type="dxa"/>
            <w:noWrap w:val="0"/>
            <w:vAlign w:val="center"/>
          </w:tcPr>
          <w:p w14:paraId="77DEA6F2">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工程进度款的支付</w:t>
            </w:r>
          </w:p>
        </w:tc>
        <w:tc>
          <w:tcPr>
            <w:tcW w:w="5806" w:type="dxa"/>
            <w:tcBorders>
              <w:right w:val="double" w:color="auto" w:sz="4" w:space="0"/>
            </w:tcBorders>
            <w:noWrap w:val="0"/>
            <w:vAlign w:val="center"/>
          </w:tcPr>
          <w:p w14:paraId="2F31425F">
            <w:pPr>
              <w:spacing w:line="312"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按月支付工程进度款：</w:t>
            </w:r>
            <w:r>
              <w:rPr>
                <w:rFonts w:hint="eastAsia" w:ascii="仿宋" w:hAnsi="仿宋" w:eastAsia="仿宋" w:cs="仿宋"/>
                <w:color w:val="auto"/>
                <w:sz w:val="24"/>
                <w:szCs w:val="24"/>
                <w:highlight w:val="none"/>
                <w:u w:val="single"/>
              </w:rPr>
              <w:t>按月支付工程进度款：工程施工期间每月按实际完成合格工程量的80%支付进度款；工程完工竣工验收合格后付至合同价款的85%；经审计结算完成后，支付至结算审定金额的97%；若因非承包人原因逾期未出具审核结论，则按合同约定执行相应付款规则。剩余结算审定金额3%作为质量保证金，缺陷责任期满（24个月），扣除应由承包人承担的费用后无息一次性返还。</w:t>
            </w:r>
          </w:p>
          <w:p w14:paraId="75D9D2F7">
            <w:pPr>
              <w:spacing w:line="312" w:lineRule="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u w:val="single"/>
              </w:rPr>
              <w:t>缺陷责任期届满退还质量保证金，不免除承包人按照《建设工程质量管理条例》应当承担的法定质量保修期内保修责任。如发生维修费用超过质量保证金金额的，超出部分全部由承包人承担。</w:t>
            </w:r>
          </w:p>
          <w:p w14:paraId="2985D72C">
            <w:pPr>
              <w:spacing w:line="31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□按工程节点支付工程进度款：</w:t>
            </w:r>
          </w:p>
          <w:p w14:paraId="07BE844F">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其他方式：</w:t>
            </w:r>
          </w:p>
        </w:tc>
      </w:tr>
      <w:tr w14:paraId="0C8EF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70F0703">
            <w:pPr>
              <w:spacing w:line="360" w:lineRule="auto"/>
              <w:jc w:val="center"/>
              <w:rPr>
                <w:color w:val="auto"/>
                <w:kern w:val="0"/>
                <w:szCs w:val="21"/>
                <w:highlight w:val="none"/>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9</w:t>
            </w:r>
            <w:r>
              <w:rPr>
                <w:rFonts w:hint="eastAsia" w:ascii="仿宋" w:hAnsi="仿宋" w:eastAsia="仿宋" w:cs="仿宋"/>
                <w:color w:val="auto"/>
                <w:kern w:val="0"/>
                <w:sz w:val="24"/>
                <w:highlight w:val="none"/>
              </w:rPr>
              <w:t>.4</w:t>
            </w:r>
          </w:p>
        </w:tc>
        <w:tc>
          <w:tcPr>
            <w:tcW w:w="2549" w:type="dxa"/>
            <w:noWrap w:val="0"/>
            <w:vAlign w:val="center"/>
          </w:tcPr>
          <w:p w14:paraId="214435B7">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对中标人的要求</w:t>
            </w:r>
          </w:p>
        </w:tc>
        <w:tc>
          <w:tcPr>
            <w:tcW w:w="5806" w:type="dxa"/>
            <w:tcBorders>
              <w:right w:val="double" w:color="auto" w:sz="4" w:space="0"/>
            </w:tcBorders>
            <w:noWrap w:val="0"/>
            <w:vAlign w:val="center"/>
          </w:tcPr>
          <w:p w14:paraId="65D6476E">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本项目涵盖的所有工程均采取总承包方式（包工、包料、包工期、包质量、包安全、包文明施工、包劳保、包验收等合同约定的所有内容），中标人即工程的承包人；中标人不得以任何形式转包、违法分包给其他单位。如发现有转包、违法分包现象或承包人用临时拼凑的工程队伍进行施工的情况，招标人有权立即终止施工合同，并没收其全部履约保证金，由此造成的其他一切经济损失，由中标人负责赔偿。</w:t>
            </w:r>
          </w:p>
          <w:p w14:paraId="72CFFE90">
            <w:pPr>
              <w:spacing w:line="360" w:lineRule="auto"/>
              <w:ind w:left="38" w:leftChars="18"/>
              <w:jc w:val="lef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中标人须严格按照《保障农民工工资支付条例》（中华人民共和国国务院令第 724 号）有关规定确保不拖欠农民工工资，按月支付农民工工资到专用账户。</w:t>
            </w:r>
          </w:p>
        </w:tc>
      </w:tr>
      <w:tr w14:paraId="28946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FA59A2E">
            <w:pPr>
              <w:spacing w:line="360" w:lineRule="auto"/>
              <w:jc w:val="center"/>
              <w:rPr>
                <w:color w:val="auto"/>
                <w:szCs w:val="21"/>
                <w:highlight w:val="none"/>
              </w:rPr>
            </w:pPr>
            <w:bookmarkStart w:id="92" w:name="_Toc25628"/>
            <w:bookmarkStart w:id="93" w:name="_Toc17026"/>
            <w:bookmarkStart w:id="94" w:name="_Toc26381"/>
            <w:bookmarkStart w:id="95" w:name="_Toc5394"/>
            <w:bookmarkStart w:id="96" w:name="_Toc18596"/>
            <w:bookmarkStart w:id="97" w:name="_Toc4329"/>
            <w:bookmarkStart w:id="98" w:name="_Toc28222"/>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9</w:t>
            </w:r>
            <w:r>
              <w:rPr>
                <w:rFonts w:hint="eastAsia" w:ascii="仿宋" w:hAnsi="仿宋" w:eastAsia="仿宋" w:cs="仿宋"/>
                <w:color w:val="auto"/>
                <w:kern w:val="0"/>
                <w:sz w:val="24"/>
                <w:highlight w:val="none"/>
              </w:rPr>
              <w:t>.5</w:t>
            </w:r>
          </w:p>
        </w:tc>
        <w:tc>
          <w:tcPr>
            <w:tcW w:w="2549" w:type="dxa"/>
            <w:noWrap w:val="0"/>
            <w:vAlign w:val="center"/>
          </w:tcPr>
          <w:p w14:paraId="5F04171B">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在建合同工程的认定及变更证明</w:t>
            </w:r>
          </w:p>
        </w:tc>
        <w:tc>
          <w:tcPr>
            <w:tcW w:w="5806" w:type="dxa"/>
            <w:tcBorders>
              <w:right w:val="double" w:color="auto" w:sz="4" w:space="0"/>
            </w:tcBorders>
            <w:noWrap w:val="0"/>
            <w:vAlign w:val="center"/>
          </w:tcPr>
          <w:p w14:paraId="7111E9F4">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一、对项目经理“有在建合同工程”的认定标准：</w:t>
            </w:r>
          </w:p>
          <w:p w14:paraId="3F44FF00">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拟派项目经理在投标截止时间尚有在其他在建合同工程中担任项目经理的情形为“有在建合同工程”。</w:t>
            </w:r>
          </w:p>
          <w:p w14:paraId="5C01A567">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其他工程项目，包括在中华人民共和国境内所有建设工程，不受地域、行业和投资性质的限制。</w:t>
            </w:r>
          </w:p>
          <w:p w14:paraId="296D6CB7">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在建合同工程的时间界定：中标通知书发出之日（非招标方式承接工程的，为合同签订之日）起，至该合同工程通过竣（交）工验收或合同解除之日止。</w:t>
            </w:r>
          </w:p>
          <w:p w14:paraId="1FE5013E">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以下情形视为“有在建合同工程”：</w:t>
            </w:r>
          </w:p>
          <w:p w14:paraId="5BD74C1B">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1.合同协议书尚未签订的，中标通知书中载明的项目经理；</w:t>
            </w:r>
          </w:p>
          <w:p w14:paraId="68AE8EBE">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2.合同协议书已经签订，合同协议书中明确的项目经理；</w:t>
            </w:r>
          </w:p>
          <w:p w14:paraId="3DA5BA9D">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3.项目经理发生更换的，投标人在投标文件中附有本条第二款证明材料的，以变更后的项目经理视为有“在建合同工程”；未附证明材料的，则仍然以更换前的项目经理视为有“在建合同工程”。</w:t>
            </w:r>
          </w:p>
          <w:p w14:paraId="6EE9C986">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二、在建项目的项目经理办理更换后，投标时需提供的资料：</w:t>
            </w:r>
          </w:p>
          <w:p w14:paraId="3EAF5198">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1.项目业主同意更换的证明；</w:t>
            </w:r>
          </w:p>
          <w:p w14:paraId="6B87C2E9">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2.原项目经理有备案主管部门的，应提供备案主管部门同意更换的证明或网上变更信息复印件。</w:t>
            </w:r>
          </w:p>
        </w:tc>
      </w:tr>
      <w:tr w14:paraId="77F68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835D110">
            <w:pPr>
              <w:spacing w:line="360" w:lineRule="auto"/>
              <w:ind w:left="38" w:leftChars="18"/>
              <w:jc w:val="left"/>
              <w:rPr>
                <w:rFonts w:ascii="仿宋" w:hAnsi="仿宋" w:eastAsia="仿宋" w:cs="仿宋"/>
                <w:color w:val="auto"/>
                <w:sz w:val="24"/>
                <w:highlight w:val="none"/>
              </w:rPr>
            </w:pPr>
            <w:r>
              <w:rPr>
                <w:rFonts w:hint="eastAsia" w:ascii="仿宋" w:hAnsi="仿宋" w:eastAsia="仿宋" w:cs="仿宋"/>
                <w:color w:val="auto"/>
                <w:sz w:val="24"/>
                <w:highlight w:val="none"/>
              </w:rPr>
              <w:t>10.</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.6</w:t>
            </w:r>
          </w:p>
        </w:tc>
        <w:tc>
          <w:tcPr>
            <w:tcW w:w="2549" w:type="dxa"/>
            <w:noWrap w:val="0"/>
            <w:vAlign w:val="center"/>
          </w:tcPr>
          <w:p w14:paraId="0EC8655C">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农民工工资相关</w:t>
            </w:r>
          </w:p>
          <w:p w14:paraId="25A8B4FE">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说明</w:t>
            </w:r>
          </w:p>
        </w:tc>
        <w:tc>
          <w:tcPr>
            <w:tcW w:w="5806" w:type="dxa"/>
            <w:tcBorders>
              <w:right w:val="double" w:color="auto" w:sz="4" w:space="0"/>
            </w:tcBorders>
            <w:noWrap w:val="0"/>
            <w:vAlign w:val="center"/>
          </w:tcPr>
          <w:p w14:paraId="167BBEA7">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投标人应根据项目所在地政府相关部门要求设立专用账户，缴纳保证金或保函,并在投标时作出相关承诺。</w:t>
            </w:r>
          </w:p>
        </w:tc>
      </w:tr>
      <w:tr w14:paraId="067DD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453ACCE0">
            <w:pPr>
              <w:spacing w:line="360" w:lineRule="auto"/>
              <w:ind w:left="38" w:leftChars="18"/>
              <w:jc w:val="left"/>
              <w:rPr>
                <w:rFonts w:ascii="仿宋" w:hAnsi="仿宋" w:eastAsia="仿宋" w:cs="仿宋"/>
                <w:color w:val="auto"/>
                <w:sz w:val="24"/>
                <w:highlight w:val="none"/>
              </w:rPr>
            </w:pPr>
            <w:r>
              <w:rPr>
                <w:rFonts w:hint="eastAsia" w:ascii="仿宋" w:hAnsi="仿宋" w:eastAsia="仿宋" w:cs="仿宋"/>
                <w:color w:val="auto"/>
                <w:sz w:val="24"/>
                <w:highlight w:val="none"/>
              </w:rPr>
              <w:t>10.</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.7</w:t>
            </w:r>
          </w:p>
        </w:tc>
        <w:tc>
          <w:tcPr>
            <w:tcW w:w="2549" w:type="dxa"/>
            <w:noWrap w:val="0"/>
            <w:vAlign w:val="center"/>
          </w:tcPr>
          <w:p w14:paraId="57124862">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其他说明</w:t>
            </w:r>
          </w:p>
        </w:tc>
        <w:tc>
          <w:tcPr>
            <w:tcW w:w="5806" w:type="dxa"/>
            <w:tcBorders>
              <w:right w:val="double" w:color="auto" w:sz="4" w:space="0"/>
            </w:tcBorders>
            <w:noWrap w:val="0"/>
            <w:vAlign w:val="center"/>
          </w:tcPr>
          <w:p w14:paraId="310BF73D">
            <w:pPr>
              <w:spacing w:line="360" w:lineRule="auto"/>
              <w:ind w:left="38" w:leftChars="18"/>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如本项目招标文件、工程量清单、图纸中相关材料或设备的特征表述不一致的，投标人应在满足招标文件要求的基础上，严格按照工程量清单的特征描述进行填报已标价工程量清单，并综合考虑实际施工要求及合同风险合理报价</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若所投标段中存在招标文件设备采购清单中的设备，以设备采购清单具体内容为准；材料暂估价部分投标单位在投标报价时可参考材料暂估价表</w:t>
            </w:r>
          </w:p>
          <w:p w14:paraId="0D408757">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投标人对所提交的投标人或拟派项目经理业绩、投标人资质等证明资料承担缔约过失责任和法律责任。若投诉人对前述资料或证明资料存在争议，进行有效投诉，被投诉人应当主动配合执法机关调查，并在规定的期限内举证，提供有关证明资料的原件；拒不配合执法机构调查，且未在规定期限内举证、提供证明资料原件的，由相关部门依法处理。</w:t>
            </w:r>
          </w:p>
        </w:tc>
      </w:tr>
      <w:tr w14:paraId="5C577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37CA224B">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10.</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.8</w:t>
            </w:r>
          </w:p>
        </w:tc>
        <w:tc>
          <w:tcPr>
            <w:tcW w:w="2549" w:type="dxa"/>
            <w:noWrap w:val="0"/>
            <w:vAlign w:val="center"/>
          </w:tcPr>
          <w:p w14:paraId="19DF67FD">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重要说明</w:t>
            </w:r>
          </w:p>
        </w:tc>
        <w:tc>
          <w:tcPr>
            <w:tcW w:w="5806" w:type="dxa"/>
            <w:tcBorders>
              <w:right w:val="double" w:color="auto" w:sz="4" w:space="0"/>
            </w:tcBorders>
            <w:noWrap w:val="0"/>
            <w:vAlign w:val="center"/>
          </w:tcPr>
          <w:p w14:paraId="16E7E39E">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招标人和招标代理机构对已发出的招标文件进行的澄清、更正或更改，澄清、更正或更改的内容将作为招标文件的组成部分。招标代理机构将通过网站“变更公告”和系统平台“澄清文件”、“答疑文件”、“最高投标限价”告知投标人，对于本项目中已经成功下载招标文件的项目投标人，</w:t>
            </w:r>
            <w:r>
              <w:rPr>
                <w:rFonts w:hint="eastAsia" w:ascii="仿宋" w:hAnsi="仿宋" w:eastAsia="仿宋" w:cs="仿宋"/>
                <w:color w:val="auto"/>
                <w:sz w:val="24"/>
                <w:highlight w:val="none"/>
                <w:lang w:val="en-US" w:eastAsia="zh-CN"/>
              </w:rPr>
              <w:t>需随时登录交易系统进行查看</w:t>
            </w:r>
            <w:r>
              <w:rPr>
                <w:rFonts w:hint="eastAsia" w:ascii="仿宋" w:hAnsi="仿宋" w:eastAsia="仿宋" w:cs="仿宋"/>
                <w:color w:val="auto"/>
                <w:sz w:val="24"/>
                <w:highlight w:val="none"/>
              </w:rPr>
              <w:t>。各投标人须重新下载最新的招标文件及答疑文件，以此编制投标文件。。</w:t>
            </w:r>
          </w:p>
          <w:p w14:paraId="310CD987">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2.因</w:t>
            </w:r>
            <w:r>
              <w:rPr>
                <w:rFonts w:hint="eastAsia" w:ascii="仿宋" w:hAnsi="仿宋" w:eastAsia="仿宋" w:cs="仿宋"/>
                <w:color w:val="auto"/>
                <w:sz w:val="24"/>
                <w:highlight w:val="none"/>
                <w:lang w:eastAsia="zh-CN"/>
              </w:rPr>
              <w:t>驻马店市公共资源交易中心</w:t>
            </w:r>
            <w:r>
              <w:rPr>
                <w:rFonts w:hint="eastAsia" w:ascii="仿宋" w:hAnsi="仿宋" w:eastAsia="仿宋" w:cs="仿宋"/>
                <w:color w:val="auto"/>
                <w:sz w:val="24"/>
                <w:highlight w:val="none"/>
              </w:rPr>
              <w:t>平台在开标前具有保密性，投标人在投标文件递交截止时间前须自行查看项目进展、变更通知、澄清及回复，因投标人未及时查看而造成的后果自负。</w:t>
            </w:r>
          </w:p>
        </w:tc>
      </w:tr>
      <w:tr w14:paraId="6DD57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C0ED510">
            <w:pPr>
              <w:spacing w:line="360" w:lineRule="auto"/>
              <w:ind w:left="38" w:leftChars="18"/>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10.</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9</w:t>
            </w:r>
          </w:p>
        </w:tc>
        <w:tc>
          <w:tcPr>
            <w:tcW w:w="2549" w:type="dxa"/>
            <w:noWrap w:val="0"/>
            <w:vAlign w:val="center"/>
          </w:tcPr>
          <w:p w14:paraId="4922F290">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真实性、合法性</w:t>
            </w:r>
          </w:p>
        </w:tc>
        <w:tc>
          <w:tcPr>
            <w:tcW w:w="5806" w:type="dxa"/>
            <w:tcBorders>
              <w:right w:val="double" w:color="auto" w:sz="4" w:space="0"/>
            </w:tcBorders>
            <w:noWrap w:val="0"/>
            <w:vAlign w:val="top"/>
          </w:tcPr>
          <w:p w14:paraId="35C0FECE">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因本项目采用“远程开标方式”，开标时投标人无需提供相关原件，故投标人需对其提供的投标文件的真实性、合法性等负责，后期如有需要，投标人应按招标人要求及时提供相关原件供招标人审核。若发现弄虚作假行为，一律取消其中标资格，并且中标单位承担由此造成的一切经济、法律责任。</w:t>
            </w:r>
          </w:p>
        </w:tc>
      </w:tr>
    </w:tbl>
    <w:p w14:paraId="1A76235B">
      <w:pPr>
        <w:pStyle w:val="3"/>
        <w:spacing w:before="156" w:beforeLines="50" w:after="156" w:afterLines="50" w:line="360" w:lineRule="auto"/>
        <w:rPr>
          <w:rFonts w:ascii="Times New Roman" w:hAnsi="Times New Roman"/>
          <w:color w:val="auto"/>
          <w:sz w:val="28"/>
          <w:szCs w:val="28"/>
          <w:highlight w:val="none"/>
        </w:rPr>
      </w:pPr>
      <w:r>
        <w:rPr>
          <w:rFonts w:ascii="Times New Roman" w:hAnsi="Times New Roman"/>
          <w:color w:val="auto"/>
          <w:sz w:val="28"/>
          <w:szCs w:val="28"/>
          <w:highlight w:val="none"/>
        </w:rPr>
        <w:br w:type="page"/>
      </w:r>
      <w:bookmarkStart w:id="99" w:name="_Toc10520"/>
      <w:r>
        <w:rPr>
          <w:rFonts w:ascii="Times New Roman" w:hAnsi="Times New Roman"/>
          <w:color w:val="auto"/>
          <w:sz w:val="28"/>
          <w:szCs w:val="28"/>
          <w:highlight w:val="none"/>
        </w:rPr>
        <w:t>附件：定标办法</w:t>
      </w:r>
      <w:bookmarkEnd w:id="92"/>
      <w:bookmarkEnd w:id="99"/>
      <w:r>
        <w:rPr>
          <w:rFonts w:ascii="Times New Roman" w:hAnsi="Times New Roman"/>
          <w:color w:val="auto"/>
          <w:sz w:val="28"/>
          <w:szCs w:val="28"/>
          <w:highlight w:val="none"/>
        </w:rPr>
        <w:t xml:space="preserve">    </w:t>
      </w:r>
    </w:p>
    <w:bookmarkEnd w:id="93"/>
    <w:bookmarkEnd w:id="94"/>
    <w:bookmarkEnd w:id="95"/>
    <w:bookmarkEnd w:id="96"/>
    <w:bookmarkEnd w:id="97"/>
    <w:bookmarkEnd w:id="98"/>
    <w:p w14:paraId="3DAF7AAA">
      <w:pPr>
        <w:jc w:val="center"/>
        <w:rPr>
          <w:rFonts w:hint="eastAsia" w:ascii="仿宋" w:hAnsi="仿宋" w:eastAsia="仿宋" w:cs="仿宋"/>
          <w:b/>
          <w:bCs/>
          <w:color w:val="auto"/>
          <w:sz w:val="32"/>
          <w:szCs w:val="32"/>
          <w:highlight w:val="none"/>
        </w:rPr>
      </w:pPr>
      <w:bookmarkStart w:id="100" w:name="_Toc30594"/>
      <w:bookmarkStart w:id="101" w:name="_Toc5472"/>
      <w:bookmarkStart w:id="102" w:name="_Toc3560"/>
      <w:bookmarkStart w:id="103" w:name="_Toc16016"/>
      <w:r>
        <w:rPr>
          <w:rFonts w:hint="eastAsia" w:ascii="仿宋" w:hAnsi="仿宋" w:eastAsia="仿宋" w:cs="仿宋"/>
          <w:b/>
          <w:bCs/>
          <w:color w:val="auto"/>
          <w:sz w:val="32"/>
          <w:szCs w:val="32"/>
          <w:highlight w:val="none"/>
        </w:rPr>
        <w:t>定标办法（核查随机法）</w:t>
      </w:r>
      <w:bookmarkEnd w:id="100"/>
      <w:bookmarkEnd w:id="101"/>
      <w:bookmarkEnd w:id="102"/>
      <w:bookmarkEnd w:id="103"/>
    </w:p>
    <w:p w14:paraId="3B516AA8">
      <w:pPr>
        <w:spacing w:line="520" w:lineRule="exact"/>
        <w:rPr>
          <w:rFonts w:hint="eastAsia" w:ascii="仿宋" w:hAnsi="仿宋" w:eastAsia="仿宋" w:cs="仿宋"/>
          <w:b/>
          <w:bCs/>
          <w:color w:val="auto"/>
          <w:sz w:val="24"/>
          <w:highlight w:val="none"/>
        </w:rPr>
      </w:pPr>
      <w:bookmarkStart w:id="104" w:name="_Toc23058"/>
      <w:bookmarkStart w:id="105" w:name="_Toc10063"/>
      <w:bookmarkStart w:id="106" w:name="_Toc31058"/>
      <w:bookmarkStart w:id="107" w:name="_Toc30246"/>
      <w:r>
        <w:rPr>
          <w:rFonts w:hint="eastAsia" w:ascii="仿宋" w:hAnsi="仿宋" w:eastAsia="仿宋" w:cs="仿宋"/>
          <w:b/>
          <w:bCs/>
          <w:color w:val="auto"/>
          <w:sz w:val="24"/>
          <w:highlight w:val="none"/>
        </w:rPr>
        <w:t>一、定标依据</w:t>
      </w:r>
      <w:bookmarkEnd w:id="104"/>
      <w:bookmarkEnd w:id="105"/>
      <w:bookmarkEnd w:id="106"/>
      <w:bookmarkEnd w:id="107"/>
    </w:p>
    <w:p w14:paraId="54C4FEBA">
      <w:pPr>
        <w:spacing w:line="520" w:lineRule="exact"/>
        <w:ind w:left="420" w:leftChars="200" w:firstLine="480" w:firstLineChars="200"/>
        <w:rPr>
          <w:rFonts w:hint="eastAsia" w:ascii="仿宋" w:hAnsi="仿宋" w:eastAsia="仿宋" w:cs="仿宋"/>
          <w:color w:val="auto"/>
          <w:sz w:val="24"/>
          <w:highlight w:val="none"/>
        </w:rPr>
      </w:pPr>
      <w:bookmarkStart w:id="108" w:name="_Toc29002"/>
      <w:bookmarkStart w:id="109" w:name="_Toc5215"/>
      <w:r>
        <w:rPr>
          <w:rFonts w:hint="eastAsia" w:ascii="仿宋" w:hAnsi="仿宋" w:eastAsia="仿宋" w:cs="仿宋"/>
          <w:color w:val="auto"/>
          <w:sz w:val="24"/>
          <w:highlight w:val="none"/>
        </w:rPr>
        <w:t>1.本项目招标文件；</w:t>
      </w:r>
    </w:p>
    <w:p w14:paraId="10A92412">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2.本项目评标报告；</w:t>
      </w:r>
    </w:p>
    <w:p w14:paraId="3C1B27CE">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3.招标投标全过程资料；</w:t>
      </w:r>
    </w:p>
    <w:p w14:paraId="16418862">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4.《河南省住房和城乡建设厅关于房屋建筑和市政基础设施工程实施招标投标“评定分离”的通知》(豫建市〔2025〕146号)； </w:t>
      </w:r>
    </w:p>
    <w:p w14:paraId="3EDD7277">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5.河南省发展和改革委员会关于印发《河南省政府投资工程建设项目招标投标“评定分离”管理办法（试行）》的通知（豫发改公管规〔2025〕559号）；</w:t>
      </w:r>
    </w:p>
    <w:p w14:paraId="517430E6">
      <w:pPr>
        <w:spacing w:line="520" w:lineRule="exact"/>
        <w:ind w:left="420" w:leftChars="200"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6.</w:t>
      </w:r>
      <w:r>
        <w:rPr>
          <w:rFonts w:hint="eastAsia" w:ascii="仿宋" w:hAnsi="仿宋" w:eastAsia="仿宋" w:cs="仿宋"/>
          <w:color w:val="auto"/>
          <w:sz w:val="24"/>
          <w:highlight w:val="none"/>
          <w:lang w:val="en-US" w:eastAsia="zh-CN"/>
        </w:rPr>
        <w:t>关于印发《驻马店市政府投资工程建设项目招标投标“评定分离”规范指引》的通知（驻发改公管〔2025〕274号）；</w:t>
      </w:r>
    </w:p>
    <w:p w14:paraId="1ED9A767">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其他有关法律法规和相关制度。</w:t>
      </w:r>
    </w:p>
    <w:p w14:paraId="1C7010C8">
      <w:pPr>
        <w:spacing w:line="520" w:lineRule="exact"/>
        <w:rPr>
          <w:rFonts w:hint="eastAsia" w:ascii="仿宋" w:hAnsi="仿宋" w:eastAsia="仿宋" w:cs="仿宋"/>
          <w:b/>
          <w:bCs/>
          <w:color w:val="auto"/>
          <w:sz w:val="24"/>
          <w:highlight w:val="none"/>
        </w:rPr>
      </w:pPr>
      <w:bookmarkStart w:id="110" w:name="_Toc30755"/>
      <w:bookmarkStart w:id="111" w:name="_Toc24076"/>
      <w:r>
        <w:rPr>
          <w:rFonts w:hint="eastAsia" w:ascii="仿宋" w:hAnsi="仿宋" w:eastAsia="仿宋" w:cs="仿宋"/>
          <w:b/>
          <w:bCs/>
          <w:color w:val="auto"/>
          <w:sz w:val="24"/>
          <w:highlight w:val="none"/>
        </w:rPr>
        <w:t>二、定标原则</w:t>
      </w:r>
      <w:bookmarkEnd w:id="108"/>
      <w:bookmarkEnd w:id="109"/>
      <w:bookmarkEnd w:id="110"/>
      <w:bookmarkEnd w:id="111"/>
    </w:p>
    <w:p w14:paraId="348E466D">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定标应当遵循公开透明、竞争择优、科学规范、廉洁高效的原则。</w:t>
      </w:r>
    </w:p>
    <w:p w14:paraId="5C0ABA81">
      <w:pPr>
        <w:spacing w:line="520" w:lineRule="exact"/>
        <w:rPr>
          <w:rFonts w:hint="eastAsia" w:ascii="仿宋" w:hAnsi="仿宋" w:eastAsia="仿宋" w:cs="仿宋"/>
          <w:b/>
          <w:bCs/>
          <w:color w:val="auto"/>
          <w:sz w:val="24"/>
          <w:highlight w:val="none"/>
        </w:rPr>
      </w:pPr>
      <w:bookmarkStart w:id="112" w:name="_Toc4626"/>
      <w:bookmarkStart w:id="113" w:name="_Toc23650"/>
      <w:bookmarkStart w:id="114" w:name="_Toc21834"/>
      <w:bookmarkStart w:id="115" w:name="_Toc19234"/>
      <w:r>
        <w:rPr>
          <w:rFonts w:hint="eastAsia" w:ascii="仿宋" w:hAnsi="仿宋" w:eastAsia="仿宋" w:cs="仿宋"/>
          <w:b/>
          <w:bCs/>
          <w:color w:val="auto"/>
          <w:sz w:val="24"/>
          <w:highlight w:val="none"/>
        </w:rPr>
        <w:t>三、组建定标委员会</w:t>
      </w:r>
      <w:bookmarkEnd w:id="112"/>
      <w:bookmarkEnd w:id="113"/>
      <w:bookmarkEnd w:id="114"/>
      <w:bookmarkEnd w:id="115"/>
    </w:p>
    <w:p w14:paraId="36503C65">
      <w:pPr>
        <w:spacing w:line="520" w:lineRule="exact"/>
        <w:ind w:left="420" w:leftChars="200" w:firstLine="480" w:firstLineChars="200"/>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1.定标委员会由招标人负责组建，成员人数为</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人（5人及以上单数，招标人单位成员不得低于成员总数的三分之二），定标委员会组长由招标人确定</w:t>
      </w:r>
      <w:r>
        <w:rPr>
          <w:rFonts w:hint="eastAsia" w:ascii="仿宋" w:hAnsi="仿宋" w:eastAsia="仿宋" w:cs="仿宋"/>
          <w:color w:val="auto"/>
          <w:sz w:val="24"/>
          <w:highlight w:val="none"/>
          <w:lang w:eastAsia="zh-CN"/>
        </w:rPr>
        <w:t>，</w:t>
      </w:r>
      <w:r>
        <w:rPr>
          <w:rFonts w:hint="eastAsia" w:ascii="仿宋" w:hAnsi="仿宋" w:eastAsia="仿宋" w:cs="仿宋"/>
          <w:b/>
          <w:bCs/>
          <w:color w:val="auto"/>
          <w:sz w:val="24"/>
          <w:highlight w:val="none"/>
        </w:rPr>
        <w:t>原则上由招标人的法定代表人、主要负责人或分管负责人担任，其他成员可由招标人自行选定。</w:t>
      </w:r>
    </w:p>
    <w:p w14:paraId="54892374">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2.定标委员会成员与中标候选人有利害关系的应当主动申请回避。定标委员会名单在中标结果确定前应当保密。</w:t>
      </w:r>
    </w:p>
    <w:p w14:paraId="53FD5694">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3.定标委员会应当对定标过程保密，对所提出的定标意见承担个人责任，不得私下与投标人或者其他利害关系人接触。 </w:t>
      </w:r>
    </w:p>
    <w:p w14:paraId="7294A773">
      <w:pPr>
        <w:spacing w:line="360" w:lineRule="auto"/>
        <w:rPr>
          <w:rFonts w:hint="eastAsia" w:ascii="仿宋" w:hAnsi="仿宋" w:eastAsia="仿宋" w:cs="仿宋"/>
          <w:b/>
          <w:bCs/>
          <w:color w:val="auto"/>
          <w:sz w:val="24"/>
          <w:highlight w:val="none"/>
        </w:rPr>
      </w:pPr>
      <w:bookmarkStart w:id="116" w:name="_Toc2881"/>
      <w:bookmarkStart w:id="117" w:name="_Toc22806"/>
      <w:bookmarkStart w:id="118" w:name="_Toc14402"/>
      <w:bookmarkStart w:id="119" w:name="_Toc1329"/>
      <w:r>
        <w:rPr>
          <w:rFonts w:hint="eastAsia" w:ascii="仿宋" w:hAnsi="仿宋" w:eastAsia="仿宋" w:cs="仿宋"/>
          <w:b/>
          <w:bCs/>
          <w:color w:val="auto"/>
          <w:sz w:val="24"/>
          <w:highlight w:val="none"/>
        </w:rPr>
        <w:t>四、定标过程</w:t>
      </w:r>
      <w:bookmarkEnd w:id="116"/>
      <w:bookmarkEnd w:id="117"/>
      <w:bookmarkEnd w:id="118"/>
      <w:bookmarkEnd w:id="119"/>
    </w:p>
    <w:p w14:paraId="5CF20D7C">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招标人在收到评标报告后10日内完成定标工作，定标程序包括核查、定标会议两个阶段。定标会议在</w:t>
      </w:r>
      <w:r>
        <w:rPr>
          <w:rFonts w:hint="eastAsia" w:ascii="仿宋" w:hAnsi="仿宋" w:eastAsia="仿宋" w:cs="仿宋"/>
          <w:color w:val="auto"/>
          <w:sz w:val="24"/>
          <w:highlight w:val="none"/>
          <w:u w:val="single"/>
          <w:lang w:eastAsia="zh-CN"/>
        </w:rPr>
        <w:t>驻马店市公共资源交易中心</w:t>
      </w:r>
      <w:r>
        <w:rPr>
          <w:rFonts w:hint="eastAsia" w:ascii="仿宋" w:hAnsi="仿宋" w:eastAsia="仿宋" w:cs="仿宋"/>
          <w:color w:val="auto"/>
          <w:sz w:val="24"/>
          <w:highlight w:val="none"/>
        </w:rPr>
        <w:t>进行。若不能按上述期限完成定标工作，将通过</w:t>
      </w:r>
      <w:r>
        <w:rPr>
          <w:rFonts w:hint="eastAsia" w:ascii="仿宋" w:hAnsi="仿宋" w:eastAsia="仿宋" w:cs="仿宋"/>
          <w:color w:val="auto"/>
          <w:sz w:val="24"/>
          <w:highlight w:val="none"/>
          <w:u w:val="single"/>
          <w:lang w:val="en-US" w:eastAsia="zh-CN"/>
        </w:rPr>
        <w:t>驻马店</w:t>
      </w:r>
      <w:r>
        <w:rPr>
          <w:rFonts w:hint="eastAsia" w:ascii="仿宋" w:hAnsi="仿宋" w:eastAsia="仿宋" w:cs="仿宋"/>
          <w:color w:val="auto"/>
          <w:sz w:val="24"/>
          <w:highlight w:val="none"/>
          <w:u w:val="single"/>
        </w:rPr>
        <w:t>公共资源交易</w:t>
      </w:r>
      <w:r>
        <w:rPr>
          <w:rFonts w:hint="eastAsia" w:ascii="仿宋" w:hAnsi="仿宋" w:eastAsia="仿宋" w:cs="仿宋"/>
          <w:color w:val="auto"/>
          <w:sz w:val="24"/>
          <w:highlight w:val="none"/>
          <w:u w:val="single"/>
          <w:lang w:val="en-US" w:eastAsia="zh-CN"/>
        </w:rPr>
        <w:t>中心平台</w:t>
      </w:r>
      <w:r>
        <w:rPr>
          <w:rFonts w:hint="eastAsia" w:ascii="仿宋" w:hAnsi="仿宋" w:eastAsia="仿宋" w:cs="仿宋"/>
          <w:color w:val="auto"/>
          <w:sz w:val="24"/>
          <w:highlight w:val="none"/>
        </w:rPr>
        <w:t>发布延期原因和最终定标时间。</w:t>
      </w:r>
    </w:p>
    <w:p w14:paraId="557061C2">
      <w:pPr>
        <w:spacing w:line="520" w:lineRule="exact"/>
        <w:ind w:left="420" w:leftChars="200" w:firstLine="480" w:firstLineChars="200"/>
        <w:rPr>
          <w:rFonts w:hint="eastAsia" w:ascii="仿宋" w:hAnsi="仿宋" w:eastAsia="仿宋" w:cs="仿宋"/>
          <w:color w:val="auto"/>
          <w:sz w:val="24"/>
          <w:highlight w:val="none"/>
        </w:rPr>
      </w:pPr>
      <w:bookmarkStart w:id="120" w:name="_Toc5952"/>
      <w:bookmarkStart w:id="121" w:name="_Toc8612"/>
      <w:r>
        <w:rPr>
          <w:rFonts w:hint="eastAsia" w:ascii="仿宋" w:hAnsi="仿宋" w:eastAsia="仿宋" w:cs="仿宋"/>
          <w:color w:val="auto"/>
          <w:sz w:val="24"/>
          <w:highlight w:val="none"/>
        </w:rPr>
        <w:t>招标人在收到评标报告后10日内完成定标工作，定标程序包括核查、定标会议两个阶段。定标会议在</w:t>
      </w:r>
      <w:r>
        <w:rPr>
          <w:rFonts w:hint="eastAsia" w:ascii="仿宋" w:hAnsi="仿宋" w:eastAsia="仿宋" w:cs="仿宋"/>
          <w:color w:val="auto"/>
          <w:sz w:val="24"/>
          <w:highlight w:val="none"/>
          <w:u w:val="single"/>
          <w:lang w:eastAsia="zh-CN"/>
        </w:rPr>
        <w:t>驻马店市公共资源交易中心</w:t>
      </w:r>
      <w:r>
        <w:rPr>
          <w:rFonts w:hint="eastAsia" w:ascii="仿宋" w:hAnsi="仿宋" w:eastAsia="仿宋" w:cs="仿宋"/>
          <w:color w:val="auto"/>
          <w:sz w:val="24"/>
          <w:highlight w:val="none"/>
        </w:rPr>
        <w:t>进行。若不能按上述期限完成定标工作，将通过</w:t>
      </w:r>
      <w:r>
        <w:rPr>
          <w:rFonts w:hint="eastAsia" w:ascii="仿宋" w:hAnsi="仿宋" w:eastAsia="仿宋" w:cs="仿宋"/>
          <w:color w:val="auto"/>
          <w:sz w:val="24"/>
          <w:highlight w:val="none"/>
          <w:u w:val="single"/>
          <w:lang w:val="en-US" w:eastAsia="zh-CN"/>
        </w:rPr>
        <w:t>驻马店</w:t>
      </w:r>
      <w:r>
        <w:rPr>
          <w:rFonts w:hint="eastAsia" w:ascii="仿宋" w:hAnsi="仿宋" w:eastAsia="仿宋" w:cs="仿宋"/>
          <w:color w:val="auto"/>
          <w:sz w:val="24"/>
          <w:highlight w:val="none"/>
          <w:u w:val="single"/>
        </w:rPr>
        <w:t>公共资源交易</w:t>
      </w:r>
      <w:r>
        <w:rPr>
          <w:rFonts w:hint="eastAsia" w:ascii="仿宋" w:hAnsi="仿宋" w:eastAsia="仿宋" w:cs="仿宋"/>
          <w:color w:val="auto"/>
          <w:sz w:val="24"/>
          <w:highlight w:val="none"/>
          <w:u w:val="single"/>
          <w:lang w:val="en-US" w:eastAsia="zh-CN"/>
        </w:rPr>
        <w:t>中心平台</w:t>
      </w:r>
      <w:r>
        <w:rPr>
          <w:rFonts w:hint="eastAsia" w:ascii="仿宋" w:hAnsi="仿宋" w:eastAsia="仿宋" w:cs="仿宋"/>
          <w:color w:val="auto"/>
          <w:sz w:val="24"/>
          <w:highlight w:val="none"/>
        </w:rPr>
        <w:t>发布延期原因和最终定标时间。</w:t>
      </w:r>
    </w:p>
    <w:p w14:paraId="11E77697">
      <w:pPr>
        <w:numPr>
          <w:ilvl w:val="0"/>
          <w:numId w:val="5"/>
        </w:numPr>
        <w:spacing w:line="520" w:lineRule="exact"/>
        <w:ind w:left="420" w:leftChars="200"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定标委员会将对中标候选人进行定标核查。</w:t>
      </w:r>
    </w:p>
    <w:p w14:paraId="1ED18CCA">
      <w:pPr>
        <w:numPr>
          <w:ilvl w:val="0"/>
          <w:numId w:val="0"/>
        </w:numPr>
        <w:spacing w:line="520" w:lineRule="exact"/>
        <w:ind w:leftChars="400"/>
        <w:rPr>
          <w:rFonts w:hint="eastAsia" w:ascii="仿宋" w:hAnsi="仿宋" w:eastAsia="仿宋" w:cs="仿宋"/>
          <w:color w:val="auto"/>
          <w:sz w:val="24"/>
          <w:highlight w:val="none"/>
        </w:rPr>
      </w:pPr>
      <w:r>
        <w:rPr>
          <w:rFonts w:hint="eastAsia" w:ascii="仿宋" w:hAnsi="仿宋" w:eastAsia="仿宋" w:cs="仿宋"/>
          <w:b/>
          <w:bCs/>
          <w:color w:val="auto"/>
          <w:sz w:val="24"/>
          <w:highlight w:val="none"/>
          <w:lang w:val="en-US" w:eastAsia="zh-CN"/>
        </w:rPr>
        <w:t>1.1</w:t>
      </w:r>
      <w:r>
        <w:rPr>
          <w:rFonts w:hint="eastAsia" w:ascii="仿宋" w:hAnsi="仿宋" w:eastAsia="仿宋" w:cs="仿宋"/>
          <w:b/>
          <w:bCs/>
          <w:color w:val="auto"/>
          <w:sz w:val="24"/>
          <w:highlight w:val="none"/>
        </w:rPr>
        <w:t>核查内容包括</w:t>
      </w:r>
      <w:r>
        <w:rPr>
          <w:rFonts w:ascii="宋体" w:hAnsi="宋体" w:eastAsia="宋体" w:cs="宋体"/>
          <w:color w:val="auto"/>
          <w:spacing w:val="8"/>
          <w:sz w:val="19"/>
          <w:szCs w:val="19"/>
          <w:highlight w:val="none"/>
        </w:rPr>
        <w:t>：</w:t>
      </w:r>
    </w:p>
    <w:p w14:paraId="33504B87">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（1）企业信用信息：</w:t>
      </w:r>
    </w:p>
    <w:p w14:paraId="7A4A432D">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①投标人通过“信用中国”网站（</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"https://www.creditchina.gov.cn/"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https://www.creditchina.gov.cn/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）查询“重大税收违法失信主体”及“失信被执行人”-跳转至“中国执行信息公开网”网站（</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"https://zxgk.court.gov.cn/shixin/"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https://zxgk.court.gov.cn/shi</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"https://zxgk.court.gov.cn/shixin/"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xin/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查询企业、查询法定代表人、拟派项目经理，并提供查询结果证明材料，有失信记录的将被取消投标资格（投标人须提供网站查询打印页，打印页需包括查询日期，查询日期为公告发布之后，投标截止时间前）。</w:t>
      </w:r>
    </w:p>
    <w:p w14:paraId="5689D3A5">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②投标人未被列入政府采购严重违法失信行为记录名单，须提供企业在“ 中国政府采购网站 ”（w</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"ww.ccgp.gov.cn"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ww.ccgp.gov.cn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）的“政府采购严重违法失信行为名单”查询结果页面截图（查询日期为公告发布之后，投标截止时间前）。</w:t>
      </w:r>
    </w:p>
    <w:p w14:paraId="251CF040">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③凡是被列入全国建筑市场监管公共服务平台“黑名单 ”的，依法拒绝其参与本次投标。查询渠道：“全国建筑市场监管公共服务平台”网站（</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"https://jzsc.mohurd.gov.cn/home"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https://jzsc.mohurd.gov.cn/home</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），须提供查询结果证明材料（投标人须提供网站查询打印页，打印页需包括查询日期，查询日期为公告发布之后，投标截止时间前）。</w:t>
      </w:r>
    </w:p>
    <w:p w14:paraId="1206DBB5">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④单位负责人为同一人或者存在控股、管理关系的不同单位，不得同时参加本项目投标（提供加盖投标人公章的“ 国家企业信用信息公示系统 ”中公示的公司信息、股东或投资人相关信息）。</w:t>
      </w:r>
    </w:p>
    <w:p w14:paraId="2EA827DA">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⑤根据《河南省住房和城乡建设厅关于进一步规范建设工程企业资质管理的通知》 (豫建行规(20 24)7 号)规定，投标所用资质被全国或河南省建筑市场监管公共服务平台标注为资质异常的，不能使用标注异常资质承揽本工程，具体要求详见豫建行规(2024)7 号相关内容(须提供全国或河南省建筑市场监管公共服务平台查询证明)，查询时间为招标公告发布之后，投标截止时间前，查询结果需显示网页时间，并将查询结果附在投标文件中。</w:t>
      </w:r>
    </w:p>
    <w:p w14:paraId="4D893939">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（2）营业执照、资质证书、安全生产许可证；</w:t>
      </w:r>
    </w:p>
    <w:p w14:paraId="2D74949B">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（3）项目经理注册证书及安全生产考核合格证、技术负责人职称证、项目组成人员相关从业资格证书；</w:t>
      </w:r>
    </w:p>
    <w:p w14:paraId="1952CE78">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（4）社保证明</w:t>
      </w:r>
      <w:r>
        <w:rPr>
          <w:rFonts w:hint="eastAsia" w:ascii="仿宋" w:hAnsi="仿宋" w:eastAsia="仿宋" w:cs="仿宋"/>
          <w:color w:val="auto"/>
          <w:sz w:val="24"/>
          <w:highlight w:val="none"/>
          <w:lang w:val="en-US" w:eastAsia="zh-CN"/>
        </w:rPr>
        <w:t>材料</w:t>
      </w:r>
      <w:r>
        <w:rPr>
          <w:rFonts w:hint="eastAsia" w:ascii="仿宋" w:hAnsi="仿宋" w:eastAsia="仿宋" w:cs="仿宋"/>
          <w:color w:val="auto"/>
          <w:sz w:val="24"/>
          <w:highlight w:val="none"/>
        </w:rPr>
        <w:t>：项目经理、技术负责人、项目组成人员、委托代理人等；</w:t>
      </w:r>
    </w:p>
    <w:p w14:paraId="7400D7C0">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（5）财务状况；</w:t>
      </w:r>
    </w:p>
    <w:p w14:paraId="469ACD80">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（6）企业业绩；</w:t>
      </w:r>
    </w:p>
    <w:p w14:paraId="709100DA">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（7）招标人认为需要核查及核评的其他内容。</w:t>
      </w:r>
    </w:p>
    <w:p w14:paraId="52DC208A">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.2 定标委员会应当首先对中标候选人进行核查，形成核查报告，核查报告在定标会议召开前应当保密。本项目不采取考察或质询方式进行核查。</w:t>
      </w:r>
    </w:p>
    <w:p w14:paraId="3924EE10">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.3 核查内容不得设置不合理限制和隐性壁垒。招标文件中没有规定的核查标准和方法不得作为定标核查的依据，不得在定标过程中新增定标条件和要求。</w:t>
      </w:r>
    </w:p>
    <w:p w14:paraId="2085D065">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4定标委员会应当严格履行定标环节核查责任，经核查发现中标候选人确有弄虚作假、串通投标等情形的，应当主动向行政监督部门报告，并依规否决相应中标候选人资格，同时向该候选人书面说明。定标委员会查实有中标候选人存在影响中标结果的违反法律、法规及招标文件相关规定，不符合中标条件的，不得进入定标程序。</w:t>
      </w:r>
    </w:p>
    <w:p w14:paraId="762B9E89">
      <w:pP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经核查后合格的中标候选人即可进入定标程序，如经核查合格的中标候选人数量少于</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家，招标人应重新招标。</w:t>
      </w:r>
    </w:p>
    <w:p w14:paraId="6DD5BEC8">
      <w:pPr>
        <w:spacing w:line="520" w:lineRule="exact"/>
        <w:rPr>
          <w:color w:val="auto"/>
          <w:szCs w:val="21"/>
          <w:highlight w:val="none"/>
        </w:rPr>
      </w:pPr>
      <w:r>
        <w:rPr>
          <w:rFonts w:hint="eastAsia" w:ascii="仿宋" w:hAnsi="仿宋" w:eastAsia="仿宋" w:cs="仿宋"/>
          <w:b/>
          <w:bCs/>
          <w:color w:val="auto"/>
          <w:sz w:val="24"/>
          <w:highlight w:val="none"/>
        </w:rPr>
        <w:t>2.定标会议</w:t>
      </w:r>
      <w:bookmarkEnd w:id="120"/>
      <w:bookmarkEnd w:id="121"/>
    </w:p>
    <w:p w14:paraId="5B37A2D7">
      <w:pPr>
        <w:spacing w:line="460" w:lineRule="exact"/>
        <w:ind w:firstLine="480" w:firstLineChars="200"/>
        <w:rPr>
          <w:rFonts w:hint="eastAsia" w:ascii="仿宋" w:hAnsi="仿宋" w:eastAsia="仿宋" w:cs="仿宋"/>
          <w:color w:val="auto"/>
          <w:sz w:val="24"/>
          <w:highlight w:val="none"/>
        </w:rPr>
      </w:pPr>
      <w:bookmarkStart w:id="122" w:name="_Toc4182"/>
      <w:bookmarkStart w:id="123" w:name="_Toc32607"/>
      <w:bookmarkStart w:id="124" w:name="_Toc19125"/>
      <w:bookmarkStart w:id="125" w:name="_Toc31786"/>
      <w:bookmarkStart w:id="126" w:name="_Toc13905"/>
      <w:bookmarkStart w:id="127" w:name="_Toc5827"/>
      <w:bookmarkStart w:id="128" w:name="_Toc17180"/>
      <w:bookmarkStart w:id="129" w:name="_Toc4982"/>
      <w:bookmarkStart w:id="130" w:name="_Toc4036"/>
      <w:bookmarkStart w:id="131" w:name="_Toc20008"/>
      <w:bookmarkStart w:id="132" w:name="_Toc3394"/>
      <w:bookmarkStart w:id="133" w:name="_Toc25979"/>
      <w:r>
        <w:rPr>
          <w:rFonts w:hint="eastAsia" w:ascii="仿宋" w:hAnsi="仿宋" w:eastAsia="仿宋" w:cs="仿宋"/>
          <w:color w:val="auto"/>
          <w:sz w:val="24"/>
          <w:highlight w:val="none"/>
        </w:rPr>
        <w:t>通过定标核查的中标候选人进入定标会议，本项目采用</w:t>
      </w:r>
      <w:r>
        <w:rPr>
          <w:rFonts w:hint="eastAsia" w:ascii="仿宋" w:hAnsi="仿宋" w:eastAsia="仿宋" w:cs="仿宋"/>
          <w:b/>
          <w:bCs/>
          <w:color w:val="auto"/>
          <w:sz w:val="24"/>
          <w:highlight w:val="none"/>
        </w:rPr>
        <w:t>核查随机法</w:t>
      </w:r>
      <w:r>
        <w:rPr>
          <w:rFonts w:hint="eastAsia" w:ascii="仿宋" w:hAnsi="仿宋" w:eastAsia="仿宋" w:cs="仿宋"/>
          <w:color w:val="auto"/>
          <w:sz w:val="24"/>
          <w:highlight w:val="none"/>
        </w:rPr>
        <w:t>，定标委员会在通过核查的中标候选人中按照随机选取方式确定中标人。</w:t>
      </w:r>
    </w:p>
    <w:p w14:paraId="63B4A4C2">
      <w:pPr>
        <w:spacing w:line="4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定标时间及地点由招标代理机构</w:t>
      </w:r>
      <w:r>
        <w:rPr>
          <w:rFonts w:hint="eastAsia" w:ascii="仿宋" w:hAnsi="仿宋" w:eastAsia="仿宋" w:cs="仿宋"/>
          <w:b/>
          <w:bCs/>
          <w:color w:val="auto"/>
          <w:sz w:val="24"/>
          <w:highlight w:val="none"/>
        </w:rPr>
        <w:t>以邮件方式通知</w:t>
      </w:r>
      <w:r>
        <w:rPr>
          <w:rFonts w:hint="eastAsia" w:ascii="仿宋" w:hAnsi="仿宋" w:eastAsia="仿宋" w:cs="仿宋"/>
          <w:color w:val="auto"/>
          <w:sz w:val="24"/>
          <w:highlight w:val="none"/>
        </w:rPr>
        <w:t>所有通过核查的中标候选人，中标候选人需要通过邮件的方式确定是否参与定标会议；鼓励中标候选人的法定代表人或其授权委托代理人现场参加定标会议，但不得扰乱会场秩序或做出影响定标会议正常进行的其他行为，逾期未回复邮件、未到现场参与定标会议的中标候选人默认认可所有定标过程，招标人不接受未到现场参会的中标候选人对抽取过程提出的异议。未派人员参加定标会议的中标候选人，定标委员会不得否决其中标候选人资格。</w:t>
      </w:r>
    </w:p>
    <w:p w14:paraId="677188B0">
      <w:pPr>
        <w:spacing w:line="4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通过核查的中标候选人（法定代表人或委托代理人）在规定的时间、地点到达现场参与定标活动（</w:t>
      </w:r>
      <w:r>
        <w:rPr>
          <w:rFonts w:hint="eastAsia" w:ascii="仿宋" w:hAnsi="仿宋" w:eastAsia="仿宋" w:cs="仿宋"/>
          <w:b/>
          <w:bCs/>
          <w:color w:val="auto"/>
          <w:sz w:val="24"/>
          <w:highlight w:val="none"/>
        </w:rPr>
        <w:t>法定代表人需提供法定代表人身份证明，委托代理人需提供授权委托书</w:t>
      </w:r>
      <w:r>
        <w:rPr>
          <w:rFonts w:hint="eastAsia" w:ascii="仿宋" w:hAnsi="仿宋" w:eastAsia="仿宋" w:cs="仿宋"/>
          <w:color w:val="auto"/>
          <w:sz w:val="24"/>
          <w:highlight w:val="none"/>
        </w:rPr>
        <w:t>）并进行签到。中标候选人根据自身情况按需参会。</w:t>
      </w:r>
    </w:p>
    <w:p w14:paraId="60456317">
      <w:pPr>
        <w:spacing w:line="4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介绍项目情况、参会人员（监督人员、定标委员会成员和评标委员会推荐的中标候选人）、定标流程及定标纪律，定标委员会成员签署承诺书。</w:t>
      </w:r>
    </w:p>
    <w:p w14:paraId="370D4ABC">
      <w:pPr>
        <w:spacing w:line="4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定标委员会组长宣读该项目通过核查的中标候选人名单。</w:t>
      </w:r>
    </w:p>
    <w:p w14:paraId="7B3B83D1">
      <w:pPr>
        <w:spacing w:line="4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随机选取方式如下：</w:t>
      </w:r>
    </w:p>
    <w:tbl>
      <w:tblPr>
        <w:tblStyle w:val="28"/>
        <w:tblpPr w:leftFromText="180" w:rightFromText="180" w:vertAnchor="text" w:horzAnchor="page" w:tblpX="1707" w:tblpY="466"/>
        <w:tblOverlap w:val="never"/>
        <w:tblW w:w="8941"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57" w:type="dxa"/>
          <w:left w:w="108" w:type="dxa"/>
          <w:bottom w:w="0" w:type="dxa"/>
          <w:right w:w="108" w:type="dxa"/>
        </w:tblCellMar>
      </w:tblPr>
      <w:tblGrid>
        <w:gridCol w:w="912"/>
        <w:gridCol w:w="2290"/>
        <w:gridCol w:w="4187"/>
        <w:gridCol w:w="1552"/>
      </w:tblGrid>
      <w:tr w14:paraId="6D2C71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rPr>
          <w:trHeight w:val="653" w:hRule="atLeast"/>
          <w:tblHeader/>
        </w:trPr>
        <w:tc>
          <w:tcPr>
            <w:tcW w:w="912" w:type="dxa"/>
            <w:noWrap w:val="0"/>
            <w:vAlign w:val="center"/>
          </w:tcPr>
          <w:p w14:paraId="28256716">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2290" w:type="dxa"/>
            <w:noWrap w:val="0"/>
            <w:vAlign w:val="center"/>
          </w:tcPr>
          <w:p w14:paraId="6C7E44C7">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定标过程</w:t>
            </w:r>
          </w:p>
        </w:tc>
        <w:tc>
          <w:tcPr>
            <w:tcW w:w="4187" w:type="dxa"/>
            <w:noWrap w:val="0"/>
            <w:vAlign w:val="center"/>
          </w:tcPr>
          <w:p w14:paraId="0BF63D51">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具体内容</w:t>
            </w:r>
          </w:p>
        </w:tc>
        <w:tc>
          <w:tcPr>
            <w:tcW w:w="1552" w:type="dxa"/>
            <w:noWrap w:val="0"/>
            <w:vAlign w:val="center"/>
          </w:tcPr>
          <w:p w14:paraId="5E3F4DFA">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备注</w:t>
            </w:r>
          </w:p>
        </w:tc>
      </w:tr>
      <w:tr w14:paraId="76674C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c>
          <w:tcPr>
            <w:tcW w:w="912" w:type="dxa"/>
            <w:noWrap w:val="0"/>
            <w:vAlign w:val="center"/>
          </w:tcPr>
          <w:p w14:paraId="08C0E4F9">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2290" w:type="dxa"/>
            <w:noWrap w:val="0"/>
            <w:vAlign w:val="center"/>
          </w:tcPr>
          <w:p w14:paraId="559DEFA2">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由</w:t>
            </w:r>
            <w:r>
              <w:rPr>
                <w:rFonts w:hint="eastAsia" w:ascii="仿宋" w:hAnsi="仿宋" w:eastAsia="仿宋" w:cs="仿宋"/>
                <w:b/>
                <w:bCs/>
                <w:color w:val="auto"/>
                <w:sz w:val="24"/>
                <w:highlight w:val="none"/>
                <w:u w:val="single"/>
              </w:rPr>
              <w:t>定标委员会组长</w:t>
            </w:r>
            <w:r>
              <w:rPr>
                <w:rFonts w:hint="eastAsia" w:ascii="仿宋" w:hAnsi="仿宋" w:eastAsia="仿宋" w:cs="仿宋"/>
                <w:color w:val="auto"/>
                <w:sz w:val="24"/>
                <w:highlight w:val="none"/>
              </w:rPr>
              <w:t>现场随机抽取所使用的成套号码球，并将选取号码球放入抽号箱</w:t>
            </w:r>
          </w:p>
        </w:tc>
        <w:tc>
          <w:tcPr>
            <w:tcW w:w="4187" w:type="dxa"/>
            <w:noWrap w:val="0"/>
            <w:vAlign w:val="center"/>
          </w:tcPr>
          <w:p w14:paraId="1800DF2B">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u w:val="single"/>
              </w:rPr>
              <w:t>监督人员和通过核查的中标候选人</w:t>
            </w:r>
            <w:r>
              <w:rPr>
                <w:rFonts w:hint="eastAsia" w:ascii="仿宋" w:hAnsi="仿宋" w:eastAsia="仿宋" w:cs="仿宋"/>
                <w:color w:val="auto"/>
                <w:sz w:val="24"/>
                <w:highlight w:val="none"/>
              </w:rPr>
              <w:t>现场查验抽号箱及号码球有无异常；</w:t>
            </w:r>
            <w:r>
              <w:rPr>
                <w:rFonts w:hint="eastAsia" w:ascii="仿宋" w:hAnsi="仿宋" w:eastAsia="仿宋" w:cs="仿宋"/>
                <w:b/>
                <w:bCs/>
                <w:color w:val="auto"/>
                <w:sz w:val="24"/>
                <w:highlight w:val="none"/>
                <w:u w:val="single"/>
              </w:rPr>
              <w:t>定标委员会组长</w:t>
            </w:r>
            <w:r>
              <w:rPr>
                <w:rFonts w:hint="eastAsia" w:ascii="仿宋" w:hAnsi="仿宋" w:eastAsia="仿宋" w:cs="仿宋"/>
                <w:color w:val="auto"/>
                <w:sz w:val="24"/>
                <w:highlight w:val="none"/>
              </w:rPr>
              <w:t>现场随机抽取所使用的成套号码球，并将选取号码球放入抽号箱。</w:t>
            </w:r>
          </w:p>
        </w:tc>
        <w:tc>
          <w:tcPr>
            <w:tcW w:w="1552" w:type="dxa"/>
            <w:noWrap w:val="0"/>
            <w:vAlign w:val="center"/>
          </w:tcPr>
          <w:p w14:paraId="3873934F">
            <w:pPr>
              <w:snapToGrid w:val="0"/>
              <w:spacing w:line="360" w:lineRule="auto"/>
              <w:jc w:val="center"/>
              <w:rPr>
                <w:rFonts w:ascii="仿宋" w:hAnsi="仿宋" w:eastAsia="仿宋" w:cs="仿宋"/>
                <w:color w:val="auto"/>
                <w:sz w:val="24"/>
                <w:highlight w:val="none"/>
                <w:u w:val="single"/>
              </w:rPr>
            </w:pPr>
          </w:p>
        </w:tc>
      </w:tr>
      <w:tr w14:paraId="0D7C89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c>
          <w:tcPr>
            <w:tcW w:w="912" w:type="dxa"/>
            <w:noWrap w:val="0"/>
            <w:vAlign w:val="center"/>
          </w:tcPr>
          <w:p w14:paraId="688D612D">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2290" w:type="dxa"/>
            <w:noWrap w:val="0"/>
            <w:vAlign w:val="center"/>
          </w:tcPr>
          <w:p w14:paraId="2416516D">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中标候选人随机抽取对应身份号码球</w:t>
            </w:r>
          </w:p>
        </w:tc>
        <w:tc>
          <w:tcPr>
            <w:tcW w:w="4187" w:type="dxa"/>
            <w:noWrap w:val="0"/>
            <w:vAlign w:val="center"/>
          </w:tcPr>
          <w:p w14:paraId="46763C4C">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通过核查的中标候选人按照</w:t>
            </w:r>
            <w:r>
              <w:rPr>
                <w:rFonts w:hint="eastAsia" w:ascii="仿宋" w:hAnsi="仿宋" w:eastAsia="仿宋" w:cs="仿宋"/>
                <w:b/>
                <w:bCs/>
                <w:color w:val="auto"/>
                <w:sz w:val="24"/>
                <w:highlight w:val="none"/>
                <w:u w:val="single"/>
              </w:rPr>
              <w:t>到达定标会议现场签到</w:t>
            </w:r>
            <w:r>
              <w:rPr>
                <w:rFonts w:hint="eastAsia" w:ascii="仿宋" w:hAnsi="仿宋" w:eastAsia="仿宋" w:cs="仿宋"/>
                <w:color w:val="auto"/>
                <w:sz w:val="24"/>
                <w:highlight w:val="none"/>
              </w:rPr>
              <w:t>的顺序依次抽取号码球，该号码将作为各中标候选人身份号码，参与后续流程的唯一编号，不再变动。定标委员会将对各中标候选人的编号做记录备案。</w:t>
            </w:r>
          </w:p>
        </w:tc>
        <w:tc>
          <w:tcPr>
            <w:tcW w:w="1552" w:type="dxa"/>
            <w:noWrap w:val="0"/>
            <w:vAlign w:val="center"/>
          </w:tcPr>
          <w:p w14:paraId="0331538D">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若中标候选人未到场，则其身份号码球由</w:t>
            </w:r>
            <w:r>
              <w:rPr>
                <w:rFonts w:hint="eastAsia" w:ascii="仿宋" w:hAnsi="仿宋" w:eastAsia="仿宋" w:cs="仿宋"/>
                <w:b/>
                <w:bCs/>
                <w:color w:val="auto"/>
                <w:sz w:val="24"/>
                <w:highlight w:val="none"/>
                <w:u w:val="single"/>
              </w:rPr>
              <w:t>定标委员会组长</w:t>
            </w:r>
            <w:r>
              <w:rPr>
                <w:rFonts w:hint="eastAsia" w:ascii="仿宋" w:hAnsi="仿宋" w:eastAsia="仿宋" w:cs="仿宋"/>
                <w:color w:val="auto"/>
                <w:sz w:val="24"/>
                <w:highlight w:val="none"/>
              </w:rPr>
              <w:t>代抽</w:t>
            </w:r>
          </w:p>
        </w:tc>
      </w:tr>
      <w:tr w14:paraId="49C140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c>
          <w:tcPr>
            <w:tcW w:w="912" w:type="dxa"/>
            <w:noWrap w:val="0"/>
            <w:vAlign w:val="center"/>
          </w:tcPr>
          <w:p w14:paraId="1F42B69B">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2290" w:type="dxa"/>
            <w:noWrap w:val="0"/>
            <w:vAlign w:val="center"/>
          </w:tcPr>
          <w:p w14:paraId="0F609DC0">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随机抽取产生“抽取中标人”的人选</w:t>
            </w:r>
          </w:p>
        </w:tc>
        <w:tc>
          <w:tcPr>
            <w:tcW w:w="4187" w:type="dxa"/>
            <w:noWrap w:val="0"/>
            <w:vAlign w:val="center"/>
          </w:tcPr>
          <w:p w14:paraId="42830128">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由</w:t>
            </w:r>
            <w:r>
              <w:rPr>
                <w:rFonts w:hint="eastAsia" w:ascii="仿宋" w:hAnsi="仿宋" w:eastAsia="仿宋" w:cs="仿宋"/>
                <w:b/>
                <w:bCs/>
                <w:color w:val="auto"/>
                <w:sz w:val="24"/>
                <w:highlight w:val="none"/>
                <w:u w:val="single"/>
              </w:rPr>
              <w:t>定标委员会组长</w:t>
            </w:r>
            <w:r>
              <w:rPr>
                <w:rFonts w:hint="eastAsia" w:ascii="仿宋" w:hAnsi="仿宋" w:eastAsia="仿宋" w:cs="仿宋"/>
                <w:color w:val="auto"/>
                <w:sz w:val="24"/>
                <w:highlight w:val="none"/>
              </w:rPr>
              <w:t>随机抽取一个身份号码球，该号码对应的中标候选人为后续流程“抽取中标人”的人选。定标委员会将对此流程产生的“抽取中标人”的人选的编号做记录备案。</w:t>
            </w:r>
          </w:p>
        </w:tc>
        <w:tc>
          <w:tcPr>
            <w:tcW w:w="1552" w:type="dxa"/>
            <w:noWrap w:val="0"/>
            <w:vAlign w:val="center"/>
          </w:tcPr>
          <w:p w14:paraId="16128801">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若中标候选人未到场，则其身份号码球不参与随机抽取人选</w:t>
            </w:r>
          </w:p>
        </w:tc>
      </w:tr>
      <w:tr w14:paraId="5EC7E0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c>
          <w:tcPr>
            <w:tcW w:w="912" w:type="dxa"/>
            <w:noWrap w:val="0"/>
            <w:vAlign w:val="center"/>
          </w:tcPr>
          <w:p w14:paraId="74E3C1F2">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2290" w:type="dxa"/>
            <w:noWrap w:val="0"/>
            <w:vAlign w:val="center"/>
          </w:tcPr>
          <w:p w14:paraId="7413BAE3">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随机抽取产生</w:t>
            </w:r>
          </w:p>
          <w:p w14:paraId="656D9499">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中标人</w:t>
            </w:r>
          </w:p>
        </w:tc>
        <w:tc>
          <w:tcPr>
            <w:tcW w:w="4187" w:type="dxa"/>
            <w:noWrap w:val="0"/>
            <w:vAlign w:val="center"/>
          </w:tcPr>
          <w:p w14:paraId="688D5843">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由序号3流程产生的“抽取中标人”将号码球当场重新公开验证后放入抽取器具， 并从中随机选取1个号码球，选取的号码球编号所对应的中标候选人即为本项目的中标人。</w:t>
            </w:r>
          </w:p>
          <w:p w14:paraId="619DD7ED">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定标委员会和监督部门人员对中标人对应的号码球和抽取结果进行记录备案，并由中标人的法定代表人或委托代理人签字确认后，定标委员会全体成员和监督部门人员进行签字确认。</w:t>
            </w:r>
          </w:p>
        </w:tc>
        <w:tc>
          <w:tcPr>
            <w:tcW w:w="1552" w:type="dxa"/>
            <w:noWrap w:val="0"/>
            <w:vAlign w:val="center"/>
          </w:tcPr>
          <w:p w14:paraId="396AF86F">
            <w:pPr>
              <w:snapToGrid w:val="0"/>
              <w:spacing w:line="360" w:lineRule="auto"/>
              <w:jc w:val="center"/>
              <w:rPr>
                <w:rFonts w:hint="eastAsia" w:ascii="仿宋" w:hAnsi="仿宋" w:eastAsia="仿宋" w:cs="仿宋"/>
                <w:color w:val="auto"/>
                <w:sz w:val="24"/>
                <w:highlight w:val="none"/>
              </w:rPr>
            </w:pPr>
          </w:p>
        </w:tc>
      </w:tr>
    </w:tbl>
    <w:p w14:paraId="4A00F95F">
      <w:pPr>
        <w:spacing w:line="400" w:lineRule="exact"/>
        <w:ind w:firstLine="480" w:firstLineChars="200"/>
        <w:rPr>
          <w:rFonts w:hint="eastAsia" w:ascii="仿宋" w:hAnsi="仿宋" w:eastAsia="仿宋" w:cs="仿宋"/>
          <w:b/>
          <w:bCs/>
          <w:color w:val="auto"/>
          <w:sz w:val="24"/>
          <w:highlight w:val="none"/>
        </w:rPr>
      </w:pPr>
      <w:bookmarkStart w:id="134" w:name="_Toc450"/>
      <w:bookmarkStart w:id="135" w:name="_Toc1008"/>
      <w:bookmarkStart w:id="136" w:name="_Toc11278"/>
      <w:bookmarkStart w:id="137" w:name="_Toc29372"/>
      <w:bookmarkStart w:id="138" w:name="_Toc16192"/>
      <w:bookmarkStart w:id="139" w:name="_Toc10896"/>
      <w:bookmarkStart w:id="140" w:name="_Toc14216"/>
      <w:bookmarkStart w:id="141" w:name="_Toc20671"/>
      <w:bookmarkStart w:id="142" w:name="_Toc9735"/>
      <w:bookmarkStart w:id="143" w:name="_Toc9988"/>
      <w:bookmarkStart w:id="144" w:name="_Toc27463"/>
      <w:bookmarkStart w:id="145" w:name="_Toc3381"/>
      <w:bookmarkStart w:id="146" w:name="_Toc31796"/>
      <w:r>
        <w:rPr>
          <w:rFonts w:hint="eastAsia" w:ascii="仿宋" w:hAnsi="仿宋" w:eastAsia="仿宋" w:cs="仿宋"/>
          <w:color w:val="auto"/>
          <w:sz w:val="24"/>
          <w:highlight w:val="none"/>
        </w:rPr>
        <w:t>定标委员会应当按照招标文件中明确的定标原则、方法和程序，在中标候选人中确定中标人，并形成书面定标报告，对所出具的定标报告承担责任。</w:t>
      </w:r>
      <w:r>
        <w:rPr>
          <w:rFonts w:hint="eastAsia" w:ascii="仿宋" w:hAnsi="仿宋" w:eastAsia="仿宋" w:cs="仿宋"/>
          <w:b/>
          <w:bCs/>
          <w:color w:val="auto"/>
          <w:sz w:val="24"/>
          <w:highlight w:val="none"/>
        </w:rPr>
        <w:t>定标报告应当包括定标时间、定标地点、定标委员会成员名单、定标委员会组长、定标原则、定标方法、定标程序及定标结果等内容。</w:t>
      </w:r>
    </w:p>
    <w:bookmarkEnd w:id="134"/>
    <w:bookmarkEnd w:id="135"/>
    <w:bookmarkEnd w:id="136"/>
    <w:bookmarkEnd w:id="137"/>
    <w:bookmarkEnd w:id="138"/>
    <w:bookmarkEnd w:id="139"/>
    <w:bookmarkEnd w:id="140"/>
    <w:bookmarkEnd w:id="141"/>
    <w:bookmarkEnd w:id="142"/>
    <w:bookmarkEnd w:id="143"/>
    <w:bookmarkEnd w:id="144"/>
    <w:bookmarkEnd w:id="145"/>
    <w:bookmarkEnd w:id="146"/>
    <w:p w14:paraId="5D28B344">
      <w:pPr>
        <w:spacing w:line="360" w:lineRule="auto"/>
        <w:rPr>
          <w:rFonts w:hint="eastAsia" w:ascii="仿宋" w:hAnsi="仿宋" w:eastAsia="仿宋" w:cs="仿宋"/>
          <w:b/>
          <w:bCs/>
          <w:color w:val="auto"/>
          <w:sz w:val="24"/>
          <w:highlight w:val="none"/>
        </w:rPr>
      </w:pPr>
      <w:bookmarkStart w:id="147" w:name="_Toc27773"/>
      <w:bookmarkStart w:id="148" w:name="_Toc3195"/>
      <w:bookmarkStart w:id="149" w:name="_Toc7555"/>
      <w:bookmarkStart w:id="150" w:name="_Toc4059"/>
      <w:bookmarkStart w:id="151" w:name="_Toc21598"/>
      <w:bookmarkStart w:id="152" w:name="_Toc29649"/>
      <w:bookmarkStart w:id="153" w:name="_Toc26589"/>
      <w:bookmarkStart w:id="154" w:name="_Toc31781"/>
      <w:bookmarkStart w:id="155" w:name="_Toc14479"/>
      <w:bookmarkStart w:id="156" w:name="_Toc25336"/>
      <w:bookmarkStart w:id="157" w:name="_Toc26198"/>
      <w:bookmarkStart w:id="158" w:name="_Toc2213"/>
      <w:bookmarkStart w:id="159" w:name="_Toc4889"/>
      <w:bookmarkStart w:id="160" w:name="_Toc31870"/>
      <w:bookmarkStart w:id="161" w:name="_Toc25866"/>
      <w:bookmarkStart w:id="162" w:name="_Toc17078"/>
      <w:bookmarkStart w:id="163" w:name="_Toc13476"/>
      <w:r>
        <w:rPr>
          <w:rFonts w:hint="eastAsia" w:ascii="仿宋" w:hAnsi="仿宋" w:eastAsia="仿宋" w:cs="仿宋"/>
          <w:b/>
          <w:bCs/>
          <w:color w:val="auto"/>
          <w:sz w:val="24"/>
          <w:highlight w:val="none"/>
        </w:rPr>
        <w:t>五、重新定标</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70D2FF59">
      <w:pPr>
        <w:spacing w:line="360" w:lineRule="auto"/>
        <w:ind w:firstLine="42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bookmarkStart w:id="164" w:name="_Toc27588"/>
      <w:r>
        <w:rPr>
          <w:rFonts w:hint="eastAsia" w:ascii="仿宋" w:hAnsi="仿宋" w:eastAsia="仿宋" w:cs="仿宋"/>
          <w:color w:val="auto"/>
          <w:sz w:val="24"/>
          <w:highlight w:val="none"/>
        </w:rPr>
        <w:t>定标后有下列情形之一的，应当重新定标：</w:t>
      </w:r>
      <w:bookmarkEnd w:id="164"/>
    </w:p>
    <w:p w14:paraId="3EFA1BA9">
      <w:pPr>
        <w:spacing w:line="360" w:lineRule="auto"/>
        <w:ind w:firstLine="420"/>
        <w:rPr>
          <w:rFonts w:hint="eastAsia" w:ascii="仿宋" w:hAnsi="仿宋" w:eastAsia="仿宋" w:cs="仿宋"/>
          <w:color w:val="auto"/>
          <w:sz w:val="24"/>
          <w:highlight w:val="none"/>
        </w:rPr>
      </w:pPr>
      <w:bookmarkStart w:id="165" w:name="_Toc2566"/>
      <w:r>
        <w:rPr>
          <w:rFonts w:hint="eastAsia" w:ascii="仿宋" w:hAnsi="仿宋" w:eastAsia="仿宋" w:cs="仿宋"/>
          <w:color w:val="auto"/>
          <w:sz w:val="24"/>
          <w:highlight w:val="none"/>
        </w:rPr>
        <w:t>（一)定标委员会未按定标办法公正履职的；</w:t>
      </w:r>
      <w:bookmarkEnd w:id="165"/>
    </w:p>
    <w:p w14:paraId="17756096">
      <w:pPr>
        <w:spacing w:line="360" w:lineRule="auto"/>
        <w:ind w:firstLine="420"/>
        <w:rPr>
          <w:rFonts w:hint="eastAsia" w:ascii="仿宋" w:hAnsi="仿宋" w:eastAsia="仿宋" w:cs="仿宋"/>
          <w:color w:val="auto"/>
          <w:sz w:val="24"/>
          <w:highlight w:val="none"/>
        </w:rPr>
      </w:pPr>
      <w:bookmarkStart w:id="166" w:name="_Toc25419"/>
      <w:r>
        <w:rPr>
          <w:rFonts w:hint="eastAsia" w:ascii="仿宋" w:hAnsi="仿宋" w:eastAsia="仿宋" w:cs="仿宋"/>
          <w:color w:val="auto"/>
          <w:sz w:val="24"/>
          <w:highlight w:val="none"/>
        </w:rPr>
        <w:t>（二)定标委员会成员与中标候选人有利害关系且未回避</w:t>
      </w:r>
      <w:bookmarkEnd w:id="166"/>
      <w:r>
        <w:rPr>
          <w:rFonts w:hint="eastAsia" w:ascii="仿宋" w:hAnsi="仿宋" w:eastAsia="仿宋" w:cs="仿宋"/>
          <w:color w:val="auto"/>
          <w:sz w:val="24"/>
          <w:highlight w:val="none"/>
        </w:rPr>
        <w:t>；</w:t>
      </w:r>
    </w:p>
    <w:p w14:paraId="10EA7320">
      <w:pPr>
        <w:spacing w:line="360" w:lineRule="auto"/>
        <w:ind w:firstLine="420"/>
        <w:rPr>
          <w:rFonts w:hint="eastAsia" w:ascii="仿宋" w:hAnsi="仿宋" w:eastAsia="仿宋" w:cs="仿宋"/>
          <w:color w:val="auto"/>
          <w:sz w:val="24"/>
          <w:highlight w:val="none"/>
        </w:rPr>
      </w:pPr>
      <w:bookmarkStart w:id="167" w:name="_Toc15434"/>
      <w:r>
        <w:rPr>
          <w:rFonts w:hint="eastAsia" w:ascii="仿宋" w:hAnsi="仿宋" w:eastAsia="仿宋" w:cs="仿宋"/>
          <w:color w:val="auto"/>
          <w:sz w:val="24"/>
          <w:highlight w:val="none"/>
        </w:rPr>
        <w:t>（三)招标文件规定的其他情形</w:t>
      </w:r>
      <w:bookmarkEnd w:id="167"/>
      <w:r>
        <w:rPr>
          <w:rFonts w:hint="eastAsia" w:ascii="仿宋" w:hAnsi="仿宋" w:eastAsia="仿宋" w:cs="仿宋"/>
          <w:color w:val="auto"/>
          <w:sz w:val="24"/>
          <w:highlight w:val="none"/>
        </w:rPr>
        <w:t>。</w:t>
      </w:r>
    </w:p>
    <w:p w14:paraId="6259A3F0">
      <w:pPr>
        <w:spacing w:line="360" w:lineRule="auto"/>
        <w:ind w:firstLine="420"/>
        <w:rPr>
          <w:rFonts w:hint="eastAsia" w:ascii="仿宋" w:hAnsi="仿宋" w:eastAsia="仿宋" w:cs="仿宋"/>
          <w:color w:val="auto"/>
          <w:sz w:val="24"/>
          <w:highlight w:val="none"/>
        </w:rPr>
      </w:pPr>
      <w:r>
        <w:rPr>
          <w:rFonts w:hint="eastAsia" w:ascii="仿宋" w:hAnsi="仿宋" w:eastAsia="仿宋" w:cs="仿宋"/>
          <w:color w:val="auto"/>
          <w:sz w:val="24"/>
          <w:highlight w:val="none"/>
        </w:rPr>
        <w:t>中标人放弃中标、因不可抗力不能履行合同、不按照招标文件要求提交履约保证金，或者被查实存在影响中标结果的违法行为等情形，不符合中标条件的，招标人可以采用原定标方法，由原定标委员会在剩余中标候选人名单中重新确定中标人并公示，也可以重新招标。</w:t>
      </w:r>
    </w:p>
    <w:p w14:paraId="2CA5A8F8">
      <w:pPr>
        <w:spacing w:line="360" w:lineRule="auto"/>
        <w:outlineLvl w:val="1"/>
        <w:rPr>
          <w:rFonts w:hint="eastAsia" w:ascii="仿宋" w:hAnsi="仿宋" w:eastAsia="仿宋" w:cs="仿宋"/>
          <w:b/>
          <w:color w:val="auto"/>
          <w:sz w:val="24"/>
          <w:highlight w:val="none"/>
        </w:rPr>
      </w:pPr>
      <w:r>
        <w:rPr>
          <w:rFonts w:hint="eastAsia" w:ascii="仿宋" w:hAnsi="仿宋" w:eastAsia="仿宋" w:cs="仿宋"/>
          <w:b/>
          <w:color w:val="auto"/>
          <w:sz w:val="24"/>
          <w:highlight w:val="none"/>
        </w:rPr>
        <w:br w:type="page"/>
      </w:r>
      <w:bookmarkStart w:id="168" w:name="_Toc12517"/>
      <w:r>
        <w:rPr>
          <w:rFonts w:hint="eastAsia" w:ascii="仿宋" w:hAnsi="仿宋" w:eastAsia="仿宋" w:cs="仿宋"/>
          <w:b/>
          <w:color w:val="auto"/>
          <w:sz w:val="24"/>
          <w:highlight w:val="none"/>
        </w:rPr>
        <w:t>1．总则</w:t>
      </w:r>
      <w:bookmarkEnd w:id="122"/>
      <w:bookmarkEnd w:id="123"/>
      <w:bookmarkEnd w:id="124"/>
      <w:bookmarkEnd w:id="125"/>
      <w:bookmarkEnd w:id="126"/>
      <w:bookmarkEnd w:id="127"/>
      <w:bookmarkEnd w:id="128"/>
      <w:bookmarkEnd w:id="129"/>
      <w:bookmarkEnd w:id="130"/>
      <w:bookmarkEnd w:id="131"/>
      <w:bookmarkEnd w:id="132"/>
      <w:bookmarkEnd w:id="133"/>
      <w:bookmarkEnd w:id="168"/>
    </w:p>
    <w:p w14:paraId="40CDC01B">
      <w:pPr>
        <w:pStyle w:val="4"/>
        <w:rPr>
          <w:rFonts w:hint="eastAsia" w:ascii="仿宋" w:hAnsi="仿宋" w:eastAsia="仿宋" w:cs="仿宋"/>
          <w:color w:val="auto"/>
          <w:szCs w:val="24"/>
          <w:highlight w:val="none"/>
        </w:rPr>
      </w:pPr>
      <w:bookmarkStart w:id="169" w:name="_Toc31578"/>
      <w:bookmarkStart w:id="170" w:name="_Toc15851"/>
      <w:bookmarkStart w:id="171" w:name="_Toc8207"/>
      <w:bookmarkStart w:id="172" w:name="_Toc23856"/>
      <w:bookmarkStart w:id="173" w:name="_Toc10960"/>
      <w:bookmarkStart w:id="174" w:name="_Toc31830"/>
      <w:bookmarkStart w:id="175" w:name="_Toc13242"/>
      <w:bookmarkStart w:id="176" w:name="_Toc22585"/>
      <w:bookmarkStart w:id="177" w:name="_Toc14495"/>
      <w:bookmarkStart w:id="178" w:name="_Toc32264"/>
      <w:bookmarkStart w:id="179" w:name="_Toc28173"/>
      <w:bookmarkStart w:id="180" w:name="_Toc4683"/>
      <w:bookmarkStart w:id="181" w:name="_Toc23538"/>
      <w:bookmarkStart w:id="182" w:name="_Toc28795"/>
      <w:bookmarkStart w:id="183" w:name="_Toc9705"/>
      <w:bookmarkStart w:id="184" w:name="_Toc31817"/>
      <w:bookmarkStart w:id="185" w:name="_Toc19541"/>
      <w:bookmarkStart w:id="186" w:name="_Toc21002"/>
      <w:bookmarkStart w:id="187" w:name="_Toc12998"/>
      <w:bookmarkStart w:id="188" w:name="_Toc17480"/>
      <w:r>
        <w:rPr>
          <w:rFonts w:hint="eastAsia" w:ascii="仿宋" w:hAnsi="仿宋" w:eastAsia="仿宋" w:cs="仿宋"/>
          <w:color w:val="auto"/>
          <w:szCs w:val="24"/>
          <w:highlight w:val="none"/>
        </w:rPr>
        <w:t>1.1 项目概况</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14:paraId="163679B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1.1.1 根据《中华人民共和国招标投标法》《中华人民共和国招标投标法实施条例》等有关法律法规和规章的规定，本招标项目已具备招标条件，现对施工进行招标。</w:t>
      </w:r>
    </w:p>
    <w:p w14:paraId="25E3D63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1.1.2 招标人：见投标人须知前附表。</w:t>
      </w:r>
    </w:p>
    <w:p w14:paraId="08F314D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1.1.3 招标代理机构：见投标人须知前附表。</w:t>
      </w:r>
    </w:p>
    <w:p w14:paraId="3ADDFAC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1.1.4 招标项目名称：见投标人须知前附表。</w:t>
      </w:r>
    </w:p>
    <w:p w14:paraId="01A94C1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1.1.5 项目建设地点：见投标人须知前附表。</w:t>
      </w:r>
    </w:p>
    <w:p w14:paraId="684DB75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1.1.6 项目建设规模：见投标人须知前附表。</w:t>
      </w:r>
    </w:p>
    <w:p w14:paraId="33B5FF8F">
      <w:pPr>
        <w:pStyle w:val="4"/>
        <w:rPr>
          <w:rFonts w:hint="eastAsia" w:ascii="仿宋" w:hAnsi="仿宋" w:eastAsia="仿宋" w:cs="仿宋"/>
          <w:color w:val="auto"/>
          <w:szCs w:val="24"/>
          <w:highlight w:val="none"/>
        </w:rPr>
      </w:pPr>
      <w:bookmarkStart w:id="189" w:name="_Toc3452"/>
      <w:bookmarkStart w:id="190" w:name="_Toc8334"/>
      <w:bookmarkStart w:id="191" w:name="_Toc20225"/>
      <w:bookmarkStart w:id="192" w:name="_Toc27475"/>
      <w:bookmarkStart w:id="193" w:name="_Toc12374"/>
      <w:bookmarkStart w:id="194" w:name="_Toc10735"/>
      <w:bookmarkStart w:id="195" w:name="_Toc29499"/>
      <w:bookmarkStart w:id="196" w:name="_Toc19763"/>
      <w:bookmarkStart w:id="197" w:name="_Toc14243"/>
      <w:bookmarkStart w:id="198" w:name="_Toc21816"/>
      <w:bookmarkStart w:id="199" w:name="_Toc27170"/>
      <w:bookmarkStart w:id="200" w:name="_Toc5294"/>
      <w:bookmarkStart w:id="201" w:name="_Toc13384"/>
      <w:bookmarkStart w:id="202" w:name="_Toc21978"/>
      <w:bookmarkStart w:id="203" w:name="_Toc28253"/>
      <w:bookmarkStart w:id="204" w:name="_Toc28019"/>
      <w:bookmarkStart w:id="205" w:name="_Toc8747"/>
      <w:bookmarkStart w:id="206" w:name="_Toc22516"/>
      <w:bookmarkStart w:id="207" w:name="_Toc24282"/>
      <w:bookmarkStart w:id="208" w:name="_Toc16418"/>
      <w:r>
        <w:rPr>
          <w:rFonts w:hint="eastAsia" w:ascii="仿宋" w:hAnsi="仿宋" w:eastAsia="仿宋" w:cs="仿宋"/>
          <w:color w:val="auto"/>
          <w:szCs w:val="24"/>
          <w:highlight w:val="none"/>
        </w:rPr>
        <w:t>1.2 资金来源和落实情况</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5A04DC7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1.2.1 本招标项目的资金来源及比例：见投标人须知前附表。</w:t>
      </w:r>
    </w:p>
    <w:p w14:paraId="67929BC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1.2.2 本招标项目的资金落实情况：见投标人须知前附表。</w:t>
      </w:r>
    </w:p>
    <w:p w14:paraId="4997DF93">
      <w:pPr>
        <w:pStyle w:val="4"/>
        <w:rPr>
          <w:rFonts w:hint="eastAsia" w:ascii="仿宋" w:hAnsi="仿宋" w:eastAsia="仿宋" w:cs="仿宋"/>
          <w:color w:val="auto"/>
          <w:szCs w:val="24"/>
          <w:highlight w:val="none"/>
        </w:rPr>
      </w:pPr>
      <w:bookmarkStart w:id="209" w:name="_Toc8843"/>
      <w:bookmarkStart w:id="210" w:name="_Toc28635"/>
      <w:bookmarkStart w:id="211" w:name="_Toc19889"/>
      <w:bookmarkStart w:id="212" w:name="_Toc20480"/>
      <w:bookmarkStart w:id="213" w:name="_Toc24850"/>
      <w:bookmarkStart w:id="214" w:name="_Toc9083"/>
      <w:bookmarkStart w:id="215" w:name="_Toc13438"/>
      <w:bookmarkStart w:id="216" w:name="_Toc28484"/>
      <w:bookmarkStart w:id="217" w:name="_Toc32235"/>
      <w:bookmarkStart w:id="218" w:name="_Toc17731"/>
      <w:bookmarkStart w:id="219" w:name="_Toc21154"/>
      <w:bookmarkStart w:id="220" w:name="_Toc8281"/>
      <w:bookmarkStart w:id="221" w:name="_Toc12711"/>
      <w:bookmarkStart w:id="222" w:name="_Toc17021"/>
      <w:bookmarkStart w:id="223" w:name="_Toc9547"/>
      <w:bookmarkStart w:id="224" w:name="_Toc30986"/>
      <w:bookmarkStart w:id="225" w:name="_Toc2302"/>
      <w:bookmarkStart w:id="226" w:name="_Toc11173"/>
      <w:bookmarkStart w:id="227" w:name="_Toc20247"/>
      <w:bookmarkStart w:id="228" w:name="_Toc29552"/>
      <w:r>
        <w:rPr>
          <w:rFonts w:hint="eastAsia" w:ascii="仿宋" w:hAnsi="仿宋" w:eastAsia="仿宋" w:cs="仿宋"/>
          <w:color w:val="auto"/>
          <w:szCs w:val="24"/>
          <w:highlight w:val="none"/>
        </w:rPr>
        <w:t>1.3 招标范围、计划工期和质量要求</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1AE83EB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1.3.1 本次招标范围：见投标人须知前附表。</w:t>
      </w:r>
    </w:p>
    <w:p w14:paraId="5EB13A3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1.3.2 本标段的计划工期：见投标人须知前附表。</w:t>
      </w:r>
    </w:p>
    <w:p w14:paraId="773D1AD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1.3.3 本标段的质量要求：见投标人须知前附表。</w:t>
      </w:r>
    </w:p>
    <w:p w14:paraId="3CF55AF5">
      <w:pPr>
        <w:pStyle w:val="4"/>
        <w:rPr>
          <w:rFonts w:hint="eastAsia" w:ascii="仿宋" w:hAnsi="仿宋" w:eastAsia="仿宋" w:cs="仿宋"/>
          <w:color w:val="auto"/>
          <w:szCs w:val="24"/>
          <w:highlight w:val="none"/>
        </w:rPr>
      </w:pPr>
      <w:bookmarkStart w:id="229" w:name="_Toc20886"/>
      <w:bookmarkStart w:id="230" w:name="_Toc3967"/>
      <w:bookmarkStart w:id="231" w:name="_Toc11142"/>
      <w:bookmarkStart w:id="232" w:name="_Toc18026"/>
      <w:bookmarkStart w:id="233" w:name="_Toc8891"/>
      <w:bookmarkStart w:id="234" w:name="_Toc31174"/>
      <w:bookmarkStart w:id="235" w:name="_Toc7865"/>
      <w:bookmarkStart w:id="236" w:name="_Toc17902"/>
      <w:bookmarkStart w:id="237" w:name="_Toc17969"/>
      <w:bookmarkStart w:id="238" w:name="_Toc6965"/>
      <w:bookmarkStart w:id="239" w:name="_Toc20700"/>
      <w:bookmarkStart w:id="240" w:name="_Toc5380"/>
      <w:bookmarkStart w:id="241" w:name="_Toc21489"/>
      <w:bookmarkStart w:id="242" w:name="_Toc10985"/>
      <w:bookmarkStart w:id="243" w:name="_Toc7256"/>
      <w:bookmarkStart w:id="244" w:name="_Toc30557"/>
      <w:bookmarkStart w:id="245" w:name="_Toc21136"/>
      <w:bookmarkStart w:id="246" w:name="_Toc3739"/>
      <w:bookmarkStart w:id="247" w:name="_Toc9042"/>
      <w:bookmarkStart w:id="248" w:name="_Toc16520"/>
      <w:r>
        <w:rPr>
          <w:rFonts w:hint="eastAsia" w:ascii="仿宋" w:hAnsi="仿宋" w:eastAsia="仿宋" w:cs="仿宋"/>
          <w:color w:val="auto"/>
          <w:szCs w:val="24"/>
          <w:highlight w:val="none"/>
        </w:rPr>
        <w:t>1.4 投标人资格要求（适用于资格后审的）</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14:paraId="16886EC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1.4.1 投标人应具备承担本招标项目资质条件、能力和信誉：</w:t>
      </w:r>
    </w:p>
    <w:p w14:paraId="16283D7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（1）资质要求：见投标人须知前附表；</w:t>
      </w:r>
    </w:p>
    <w:p w14:paraId="213D272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（2）项目经理要求：见投标人须知前附表；</w:t>
      </w:r>
    </w:p>
    <w:p w14:paraId="001142A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（3）财务要求：见投标人须知前附表；</w:t>
      </w:r>
    </w:p>
    <w:p w14:paraId="69527F4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（4）信誉要求：见投标人须知前附表；</w:t>
      </w:r>
    </w:p>
    <w:p w14:paraId="29590EF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（5）其他要求：见投标人须知前附表。</w:t>
      </w:r>
    </w:p>
    <w:p w14:paraId="7C0103E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需要提交的相关证明材料见本章第3.5款的规定。</w:t>
      </w:r>
    </w:p>
    <w:p w14:paraId="4C5F2AA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1.4.2 投标人须知前附表规定接受联合体投标的，联合体除应符合本章第1.4.1项和投标人须知前附表的要求外，还应遵守以下规定：</w:t>
      </w:r>
    </w:p>
    <w:p w14:paraId="756CF44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（1）联合体各方应按招标文件提供的格式签订联合体协议书，明确联合体牵头人和各方权利义务，并承诺就中标项目向招标人承担连带责任；</w:t>
      </w:r>
    </w:p>
    <w:p w14:paraId="4DD8958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（2）联合体资质按照联合体协议约定的分工认定，由同一专业的单位组成的联合体，按照资质等级较低的单位确定资质等级；</w:t>
      </w:r>
    </w:p>
    <w:p w14:paraId="35DD511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（3）联合体各方不得再以自己名义单独或参加其他联合体在本招标项目中投标，否则各相关投标均无效；</w:t>
      </w:r>
    </w:p>
    <w:p w14:paraId="79C08B72">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（4）组成联合体的中小企业与联合体内其他企业之间不得存在直接控股、管理关系（适用于执行中小企业政策且专门面向中小企业招标的项目</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w:t>
      </w:r>
    </w:p>
    <w:p w14:paraId="203A7F1E">
      <w:pPr>
        <w:widowControl/>
        <w:spacing w:line="360" w:lineRule="auto"/>
        <w:ind w:firstLine="480" w:firstLineChars="200"/>
        <w:jc w:val="lef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（4）组成联合体或者接受分包的小微企业与联合体内其他企业、分包企业之间存在直接控股、管理关系的，不享受价格评审的优惠政策（适用于执行中小企业政策，非专门面向中小企业招标的项目</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w:t>
      </w:r>
    </w:p>
    <w:p w14:paraId="00FC46E1">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若联合体各方均为中小企业的，联合体视同中小企业。若联合体各方均为小微企业的，联合体视同小微企业。（适用于执行中小企业政策项目）</w:t>
      </w:r>
    </w:p>
    <w:p w14:paraId="52125DB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1.4.3 投标人不得存在下列情形之一：</w:t>
      </w:r>
    </w:p>
    <w:p w14:paraId="6DFAB676">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为招标人不具有独立法人资格的附属机构（单位）；</w:t>
      </w:r>
    </w:p>
    <w:p w14:paraId="4A6F1941">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与招标人存在利害关系且可能影响招标公正性；</w:t>
      </w:r>
    </w:p>
    <w:p w14:paraId="4CEF8FD0">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与本招标项目的其他投标人为同一个单位负责人；</w:t>
      </w:r>
    </w:p>
    <w:p w14:paraId="4915ACB9">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与本招标项目的其他投标人存在控股、管理关系；</w:t>
      </w:r>
    </w:p>
    <w:p w14:paraId="474B2F4E">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为本招标项目的监理人；</w:t>
      </w:r>
    </w:p>
    <w:p w14:paraId="69690A21">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为本招标项目的代建人；</w:t>
      </w:r>
    </w:p>
    <w:p w14:paraId="5AA2B1A1">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为本招标项目的招标代理机构；</w:t>
      </w:r>
    </w:p>
    <w:p w14:paraId="714DE2DD">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与本招标项目的监理人或代建人或招标代理机构或设计或造价咨询同为一个法定代表人；</w:t>
      </w:r>
    </w:p>
    <w:p w14:paraId="0A0C1E37">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与本招标项目的监理人或代建人或招标代理机构或造价咨询存在控股或参股关系；</w:t>
      </w:r>
    </w:p>
    <w:p w14:paraId="34B47317">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为本招标项目前期准备提供设计或造价或咨询服务的；</w:t>
      </w:r>
    </w:p>
    <w:p w14:paraId="3750BE52">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被依法暂停或取消项目所在区域或行业投标资格的；</w:t>
      </w:r>
    </w:p>
    <w:p w14:paraId="6647941E">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被责令停业，暂扣或吊销执照，或吊销资质证书的；</w:t>
      </w:r>
    </w:p>
    <w:p w14:paraId="73663548">
      <w:pPr>
        <w:numPr>
          <w:ilvl w:val="0"/>
          <w:numId w:val="6"/>
        </w:numPr>
        <w:tabs>
          <w:tab w:val="left" w:pos="420"/>
        </w:tabs>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进入清算程序，或被宣告破产，或其他丧失履约能力的；</w:t>
      </w:r>
    </w:p>
    <w:p w14:paraId="2313895D">
      <w:pPr>
        <w:numPr>
          <w:ilvl w:val="0"/>
          <w:numId w:val="6"/>
        </w:numPr>
        <w:tabs>
          <w:tab w:val="left" w:pos="420"/>
        </w:tabs>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投标人或拟派项目经理被列入建筑市场主体“黑名单”且在管理期限内的；</w:t>
      </w:r>
    </w:p>
    <w:p w14:paraId="490E46F5">
      <w:pPr>
        <w:numPr>
          <w:ilvl w:val="0"/>
          <w:numId w:val="6"/>
        </w:numPr>
        <w:tabs>
          <w:tab w:val="left" w:pos="420"/>
        </w:tabs>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在最近三年内发生重大工程质量或安全事故问题（以相关行业主管部门的行政处罚决定或司法机关出具的有关法律文书为准）；</w:t>
      </w:r>
    </w:p>
    <w:p w14:paraId="1835290A">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被市场监管机关在国家企业信用信息公示系统中列入严重违法失信名单且在管理期限内的；</w:t>
      </w:r>
    </w:p>
    <w:p w14:paraId="0A88982A">
      <w:pPr>
        <w:numPr>
          <w:ilvl w:val="0"/>
          <w:numId w:val="6"/>
        </w:numPr>
        <w:tabs>
          <w:tab w:val="left" w:pos="420"/>
        </w:tabs>
        <w:wordWrap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被发现投标人或其法定代表人、拟委任的项目经理在“信用中国”网站（</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http://www.creditchina.gov.cn/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www.creditchina.gov.cn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）中列入失信被执行人中被限制或者禁止参与招标投标活动的“严重失信主体”且在管理期限内的；</w:t>
      </w:r>
    </w:p>
    <w:p w14:paraId="2D5B9564">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投标人拖欠工人工资，情节严重被有关行政主管部门向社会公布且在公布的期限内的；</w:t>
      </w:r>
    </w:p>
    <w:p w14:paraId="41B3F451">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被发现有近三年内投标人或其法定代表人、拟委任的项目经理有行贿犯罪行为且在处罚期内的；</w:t>
      </w:r>
    </w:p>
    <w:p w14:paraId="5DCE3666">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违反法律法规、规章或无正当理由放弃中标资格，被行业主管部门限制投标且在处罚期内的；</w:t>
      </w:r>
    </w:p>
    <w:p w14:paraId="3625B580">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法律法规或投标人须知前附表规定的其他情形。</w:t>
      </w:r>
    </w:p>
    <w:p w14:paraId="35C2BD27">
      <w:pPr>
        <w:pStyle w:val="4"/>
        <w:rPr>
          <w:rFonts w:hint="eastAsia" w:ascii="仿宋" w:hAnsi="仿宋" w:eastAsia="仿宋" w:cs="仿宋"/>
          <w:color w:val="auto"/>
          <w:szCs w:val="24"/>
          <w:highlight w:val="none"/>
        </w:rPr>
      </w:pPr>
      <w:bookmarkStart w:id="249" w:name="_Toc1660"/>
      <w:bookmarkStart w:id="250" w:name="_Toc15973"/>
      <w:bookmarkStart w:id="251" w:name="_Toc8845"/>
      <w:bookmarkStart w:id="252" w:name="_Toc30366"/>
      <w:bookmarkStart w:id="253" w:name="_Toc27978"/>
      <w:bookmarkStart w:id="254" w:name="_Toc306"/>
      <w:bookmarkStart w:id="255" w:name="_Toc5433"/>
      <w:bookmarkStart w:id="256" w:name="_Toc23170"/>
      <w:bookmarkStart w:id="257" w:name="_Toc1807"/>
      <w:bookmarkStart w:id="258" w:name="_Toc749"/>
      <w:bookmarkStart w:id="259" w:name="_Toc12459"/>
      <w:bookmarkStart w:id="260" w:name="_Toc22184"/>
      <w:bookmarkStart w:id="261" w:name="_Toc26688"/>
      <w:bookmarkStart w:id="262" w:name="_Toc18883"/>
      <w:bookmarkStart w:id="263" w:name="_Toc10759"/>
      <w:bookmarkStart w:id="264" w:name="_Toc20462"/>
      <w:bookmarkStart w:id="265" w:name="_Toc26183"/>
      <w:bookmarkStart w:id="266" w:name="_Toc17246"/>
      <w:bookmarkStart w:id="267" w:name="_Toc10654"/>
      <w:bookmarkStart w:id="268" w:name="_Toc5634"/>
      <w:r>
        <w:rPr>
          <w:rFonts w:hint="eastAsia" w:ascii="仿宋" w:hAnsi="仿宋" w:eastAsia="仿宋" w:cs="仿宋"/>
          <w:color w:val="auto"/>
          <w:szCs w:val="24"/>
          <w:highlight w:val="none"/>
        </w:rPr>
        <w:t>1.5 费用承担</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14:paraId="1E9E64E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投标人准备和参加投标活动发生的费用自理。</w:t>
      </w:r>
    </w:p>
    <w:p w14:paraId="4AFEFE8C">
      <w:pPr>
        <w:pStyle w:val="4"/>
        <w:rPr>
          <w:rFonts w:hint="eastAsia" w:ascii="仿宋" w:hAnsi="仿宋" w:eastAsia="仿宋" w:cs="仿宋"/>
          <w:color w:val="auto"/>
          <w:szCs w:val="24"/>
          <w:highlight w:val="none"/>
        </w:rPr>
      </w:pPr>
      <w:bookmarkStart w:id="269" w:name="_Toc25574"/>
      <w:bookmarkStart w:id="270" w:name="_Toc26587"/>
      <w:bookmarkStart w:id="271" w:name="_Toc10388"/>
      <w:bookmarkStart w:id="272" w:name="_Toc31359"/>
      <w:bookmarkStart w:id="273" w:name="_Toc31623"/>
      <w:bookmarkStart w:id="274" w:name="_Toc17456"/>
      <w:bookmarkStart w:id="275" w:name="_Toc23384"/>
      <w:bookmarkStart w:id="276" w:name="_Toc24639"/>
      <w:bookmarkStart w:id="277" w:name="_Toc10849"/>
      <w:bookmarkStart w:id="278" w:name="_Toc26845"/>
      <w:bookmarkStart w:id="279" w:name="_Toc15306"/>
      <w:bookmarkStart w:id="280" w:name="_Toc6529"/>
      <w:bookmarkStart w:id="281" w:name="_Toc19280"/>
      <w:bookmarkStart w:id="282" w:name="_Toc2182"/>
      <w:bookmarkStart w:id="283" w:name="_Toc8350"/>
      <w:bookmarkStart w:id="284" w:name="_Toc2679"/>
      <w:bookmarkStart w:id="285" w:name="_Toc30615"/>
      <w:bookmarkStart w:id="286" w:name="_Toc3779"/>
      <w:bookmarkStart w:id="287" w:name="_Toc16088"/>
      <w:bookmarkStart w:id="288" w:name="_Toc11716"/>
      <w:r>
        <w:rPr>
          <w:rFonts w:hint="eastAsia" w:ascii="仿宋" w:hAnsi="仿宋" w:eastAsia="仿宋" w:cs="仿宋"/>
          <w:color w:val="auto"/>
          <w:szCs w:val="24"/>
          <w:highlight w:val="none"/>
        </w:rPr>
        <w:t>1.6 保密</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0CF0FCB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参与招标投标活动的各方应对招标文件和投标文件中的商业和技术等秘密保密，违者应对由此造成的后果承担法律责任。</w:t>
      </w:r>
    </w:p>
    <w:p w14:paraId="6CE9036E">
      <w:pPr>
        <w:pStyle w:val="4"/>
        <w:rPr>
          <w:rFonts w:hint="eastAsia" w:ascii="仿宋" w:hAnsi="仿宋" w:eastAsia="仿宋" w:cs="仿宋"/>
          <w:color w:val="auto"/>
          <w:szCs w:val="24"/>
          <w:highlight w:val="none"/>
        </w:rPr>
      </w:pPr>
      <w:bookmarkStart w:id="289" w:name="_Toc773"/>
      <w:bookmarkStart w:id="290" w:name="_Toc15067"/>
      <w:bookmarkStart w:id="291" w:name="_Toc32691"/>
      <w:bookmarkStart w:id="292" w:name="_Toc11461"/>
      <w:bookmarkStart w:id="293" w:name="_Toc32228"/>
      <w:bookmarkStart w:id="294" w:name="_Toc3656"/>
      <w:bookmarkStart w:id="295" w:name="_Toc19059"/>
      <w:bookmarkStart w:id="296" w:name="_Toc20168"/>
      <w:bookmarkStart w:id="297" w:name="_Toc11655"/>
      <w:bookmarkStart w:id="298" w:name="_Toc7741"/>
      <w:bookmarkStart w:id="299" w:name="_Toc14481"/>
      <w:bookmarkStart w:id="300" w:name="_Toc2781"/>
      <w:bookmarkStart w:id="301" w:name="_Toc10443"/>
      <w:bookmarkStart w:id="302" w:name="_Toc31281"/>
      <w:bookmarkStart w:id="303" w:name="_Toc13373"/>
      <w:bookmarkStart w:id="304" w:name="_Toc17932"/>
      <w:bookmarkStart w:id="305" w:name="_Toc4864"/>
      <w:bookmarkStart w:id="306" w:name="_Toc13758"/>
      <w:bookmarkStart w:id="307" w:name="_Toc5692"/>
      <w:bookmarkStart w:id="308" w:name="_Toc17495"/>
      <w:r>
        <w:rPr>
          <w:rFonts w:hint="eastAsia" w:ascii="仿宋" w:hAnsi="仿宋" w:eastAsia="仿宋" w:cs="仿宋"/>
          <w:color w:val="auto"/>
          <w:szCs w:val="24"/>
          <w:highlight w:val="none"/>
        </w:rPr>
        <w:t>1.7 语言文字</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39A7589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招标投标文件使用的语言文字为中文。专用术语使用外文的，应附有中文注释。</w:t>
      </w:r>
    </w:p>
    <w:p w14:paraId="0C9D1635">
      <w:pPr>
        <w:pStyle w:val="4"/>
        <w:rPr>
          <w:rFonts w:hint="eastAsia" w:ascii="仿宋" w:hAnsi="仿宋" w:eastAsia="仿宋" w:cs="仿宋"/>
          <w:color w:val="auto"/>
          <w:szCs w:val="24"/>
          <w:highlight w:val="none"/>
        </w:rPr>
      </w:pPr>
      <w:bookmarkStart w:id="309" w:name="_Toc7439"/>
      <w:bookmarkStart w:id="310" w:name="_Toc8772"/>
      <w:bookmarkStart w:id="311" w:name="_Toc19706"/>
      <w:bookmarkStart w:id="312" w:name="_Toc10221"/>
      <w:bookmarkStart w:id="313" w:name="_Toc10382"/>
      <w:bookmarkStart w:id="314" w:name="_Toc18872"/>
      <w:bookmarkStart w:id="315" w:name="_Toc14783"/>
      <w:bookmarkStart w:id="316" w:name="_Toc32561"/>
      <w:bookmarkStart w:id="317" w:name="_Toc14170"/>
      <w:bookmarkStart w:id="318" w:name="_Toc2259"/>
      <w:bookmarkStart w:id="319" w:name="_Toc23051"/>
      <w:bookmarkStart w:id="320" w:name="_Toc23320"/>
      <w:bookmarkStart w:id="321" w:name="_Toc26935"/>
      <w:bookmarkStart w:id="322" w:name="_Toc2279"/>
      <w:bookmarkStart w:id="323" w:name="_Toc19157"/>
      <w:bookmarkStart w:id="324" w:name="_Toc14562"/>
      <w:bookmarkStart w:id="325" w:name="_Toc30954"/>
      <w:bookmarkStart w:id="326" w:name="_Toc26178"/>
      <w:bookmarkStart w:id="327" w:name="_Toc19370"/>
      <w:bookmarkStart w:id="328" w:name="_Toc13126"/>
      <w:r>
        <w:rPr>
          <w:rFonts w:hint="eastAsia" w:ascii="仿宋" w:hAnsi="仿宋" w:eastAsia="仿宋" w:cs="仿宋"/>
          <w:color w:val="auto"/>
          <w:szCs w:val="24"/>
          <w:highlight w:val="none"/>
        </w:rPr>
        <w:t>1.8 计量单位</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14:paraId="76AF843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所有计量均采用中华人民共和国法定计量单位。</w:t>
      </w:r>
    </w:p>
    <w:p w14:paraId="4056D339">
      <w:pPr>
        <w:pStyle w:val="4"/>
        <w:rPr>
          <w:rFonts w:hint="eastAsia" w:ascii="仿宋" w:hAnsi="仿宋" w:eastAsia="仿宋" w:cs="仿宋"/>
          <w:color w:val="auto"/>
          <w:szCs w:val="24"/>
          <w:highlight w:val="none"/>
        </w:rPr>
      </w:pPr>
      <w:bookmarkStart w:id="329" w:name="_Toc289"/>
      <w:bookmarkStart w:id="330" w:name="_Toc12741"/>
      <w:bookmarkStart w:id="331" w:name="_Toc17373"/>
      <w:bookmarkStart w:id="332" w:name="_Toc20214"/>
      <w:bookmarkStart w:id="333" w:name="_Toc12516"/>
      <w:bookmarkStart w:id="334" w:name="_Toc23316"/>
      <w:bookmarkStart w:id="335" w:name="_Toc22089"/>
      <w:bookmarkStart w:id="336" w:name="_Toc23002"/>
      <w:bookmarkStart w:id="337" w:name="_Toc14108"/>
      <w:bookmarkStart w:id="338" w:name="_Toc13323"/>
      <w:bookmarkStart w:id="339" w:name="_Toc25798"/>
      <w:bookmarkStart w:id="340" w:name="_Toc16677"/>
      <w:bookmarkStart w:id="341" w:name="_Toc28423"/>
      <w:bookmarkStart w:id="342" w:name="_Toc6454"/>
      <w:bookmarkStart w:id="343" w:name="_Toc28308"/>
      <w:bookmarkStart w:id="344" w:name="_Toc9991"/>
      <w:bookmarkStart w:id="345" w:name="_Toc18130"/>
      <w:bookmarkStart w:id="346" w:name="_Toc31946"/>
      <w:bookmarkStart w:id="347" w:name="_Toc13889"/>
      <w:bookmarkStart w:id="348" w:name="_Toc4577"/>
      <w:r>
        <w:rPr>
          <w:rFonts w:hint="eastAsia" w:ascii="仿宋" w:hAnsi="仿宋" w:eastAsia="仿宋" w:cs="仿宋"/>
          <w:color w:val="auto"/>
          <w:szCs w:val="24"/>
          <w:highlight w:val="none"/>
        </w:rPr>
        <w:t>1.9 踏勘现场</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14:paraId="6ABE64A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1.9.1 投标人须知前附表规定组织踏勘现场的，招标人按投标人须知前附表规定的时间、地点组织投标人踏勘项目现场。部分投标人未按时参加踏勘现场的，不影响踏勘现场的正常进行。</w:t>
      </w:r>
    </w:p>
    <w:p w14:paraId="45E51F5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1.9.2 投标人踏勘现场发生的费用自理。</w:t>
      </w:r>
    </w:p>
    <w:p w14:paraId="4CF4BC0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1.9.3 除招标人的原因外，投标人自行负责在踏勘现场中所发生的人员伤亡和财产损失。</w:t>
      </w:r>
    </w:p>
    <w:p w14:paraId="1103E833">
      <w:pPr>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1.9.4 招标人在踏勘现场中介绍的工程场地和相关的周边环境情况，供投标人在编制投标文件时参考，招标人不对投标人据此作出的判断和决策负责。</w:t>
      </w:r>
    </w:p>
    <w:p w14:paraId="28F348B8">
      <w:pPr>
        <w:pStyle w:val="4"/>
        <w:rPr>
          <w:rFonts w:hint="eastAsia" w:ascii="仿宋" w:hAnsi="仿宋" w:eastAsia="仿宋" w:cs="仿宋"/>
          <w:color w:val="auto"/>
          <w:szCs w:val="24"/>
          <w:highlight w:val="none"/>
        </w:rPr>
      </w:pPr>
      <w:bookmarkStart w:id="349" w:name="_Toc3822"/>
      <w:bookmarkStart w:id="350" w:name="_Toc32129"/>
      <w:bookmarkStart w:id="351" w:name="_Toc32537"/>
      <w:bookmarkStart w:id="352" w:name="_Toc17199"/>
      <w:bookmarkStart w:id="353" w:name="_Toc22611"/>
      <w:bookmarkStart w:id="354" w:name="_Toc14577"/>
      <w:bookmarkStart w:id="355" w:name="_Toc19614"/>
      <w:bookmarkStart w:id="356" w:name="_Toc3461"/>
      <w:bookmarkStart w:id="357" w:name="_Toc17656"/>
      <w:bookmarkStart w:id="358" w:name="_Toc2330"/>
      <w:bookmarkStart w:id="359" w:name="_Toc8332"/>
      <w:bookmarkStart w:id="360" w:name="_Toc8686"/>
      <w:bookmarkStart w:id="361" w:name="_Toc27608"/>
      <w:bookmarkStart w:id="362" w:name="_Toc11656"/>
      <w:bookmarkStart w:id="363" w:name="_Toc9939"/>
      <w:bookmarkStart w:id="364" w:name="_Toc26149"/>
      <w:bookmarkStart w:id="365" w:name="_Toc12657"/>
      <w:bookmarkStart w:id="366" w:name="_Toc16698"/>
      <w:bookmarkStart w:id="367" w:name="_Toc31589"/>
      <w:bookmarkStart w:id="368" w:name="_Toc881"/>
      <w:r>
        <w:rPr>
          <w:rFonts w:hint="eastAsia" w:ascii="仿宋" w:hAnsi="仿宋" w:eastAsia="仿宋" w:cs="仿宋"/>
          <w:color w:val="auto"/>
          <w:szCs w:val="24"/>
          <w:highlight w:val="none"/>
        </w:rPr>
        <w:t>1.10 分包</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644FBD8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投标人拟在中标后将中标项目的部分非主体、非关键性工作进行分包的，应符合投标人须知前附表规定的分包内容、分包金额和接受分包的第三人资质要求等限制性条件。</w:t>
      </w:r>
    </w:p>
    <w:p w14:paraId="7908E7BD">
      <w:pPr>
        <w:pStyle w:val="4"/>
        <w:rPr>
          <w:rFonts w:hint="eastAsia" w:ascii="仿宋" w:hAnsi="仿宋" w:eastAsia="仿宋" w:cs="仿宋"/>
          <w:color w:val="auto"/>
          <w:szCs w:val="24"/>
          <w:highlight w:val="none"/>
        </w:rPr>
      </w:pPr>
      <w:bookmarkStart w:id="369" w:name="_Toc5253"/>
      <w:bookmarkStart w:id="370" w:name="_Toc12631"/>
      <w:bookmarkStart w:id="371" w:name="_Toc2457"/>
      <w:bookmarkStart w:id="372" w:name="_Toc6753"/>
      <w:bookmarkStart w:id="373" w:name="_Toc25497"/>
      <w:bookmarkStart w:id="374" w:name="_Toc15462"/>
      <w:bookmarkStart w:id="375" w:name="_Toc32706"/>
      <w:bookmarkStart w:id="376" w:name="_Toc13001"/>
      <w:bookmarkStart w:id="377" w:name="_Toc17032"/>
      <w:bookmarkStart w:id="378" w:name="_Toc17485"/>
      <w:bookmarkStart w:id="379" w:name="_Toc11673"/>
      <w:bookmarkStart w:id="380" w:name="_Toc2354"/>
      <w:bookmarkStart w:id="381" w:name="_Toc31443"/>
      <w:bookmarkStart w:id="382" w:name="_Toc18358"/>
      <w:bookmarkStart w:id="383" w:name="_Toc8439"/>
      <w:bookmarkStart w:id="384" w:name="_Toc525"/>
      <w:bookmarkStart w:id="385" w:name="_Toc5144"/>
      <w:bookmarkStart w:id="386" w:name="_Toc26199"/>
      <w:bookmarkStart w:id="387" w:name="_Toc20542"/>
      <w:bookmarkStart w:id="388" w:name="_Toc6071"/>
      <w:r>
        <w:rPr>
          <w:rFonts w:hint="eastAsia" w:ascii="仿宋" w:hAnsi="仿宋" w:eastAsia="仿宋" w:cs="仿宋"/>
          <w:color w:val="auto"/>
          <w:szCs w:val="24"/>
          <w:highlight w:val="none"/>
        </w:rPr>
        <w:t>1.11 偏离</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14:paraId="6F67077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1.11.1 投标文件应当对招标文件的实质性要求和条件作出满足性或更有利于招标人的响应，否则，投标人的投标将被否决。实质性要求和条件见投标人须知前附表。</w:t>
      </w:r>
    </w:p>
    <w:p w14:paraId="36C40FE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1.11.2 投标人应根据招标文件的要求提供投标施工组织设计等内容以对招标文件作出响应。</w:t>
      </w:r>
    </w:p>
    <w:p w14:paraId="0C343AA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1.11.3 投标人须知前附表允许投标文件偏离招标文件某些要求的，偏离应当符合招标文件规定的偏离范围和幅度。</w:t>
      </w:r>
    </w:p>
    <w:p w14:paraId="12454F5A">
      <w:pPr>
        <w:pStyle w:val="3"/>
        <w:spacing w:before="156" w:beforeLines="50" w:after="156" w:afterLines="50" w:line="360" w:lineRule="auto"/>
        <w:rPr>
          <w:rFonts w:hint="eastAsia" w:ascii="仿宋" w:hAnsi="仿宋" w:eastAsia="仿宋" w:cs="仿宋"/>
          <w:b w:val="0"/>
          <w:color w:val="auto"/>
          <w:sz w:val="24"/>
          <w:szCs w:val="24"/>
          <w:highlight w:val="none"/>
        </w:rPr>
      </w:pPr>
      <w:bookmarkStart w:id="389" w:name="_Toc3889"/>
      <w:bookmarkStart w:id="390" w:name="_Toc27530"/>
      <w:bookmarkStart w:id="391" w:name="_Toc8120"/>
      <w:bookmarkStart w:id="392" w:name="_Toc26250"/>
      <w:bookmarkStart w:id="393" w:name="_Toc24075"/>
      <w:bookmarkStart w:id="394" w:name="_Toc31010"/>
      <w:bookmarkStart w:id="395" w:name="_Toc11908"/>
      <w:bookmarkStart w:id="396" w:name="_Toc30872"/>
      <w:bookmarkStart w:id="397" w:name="_Toc472"/>
      <w:bookmarkStart w:id="398" w:name="_Toc26726"/>
      <w:bookmarkStart w:id="399" w:name="_Toc6621"/>
      <w:bookmarkStart w:id="400" w:name="_Toc554"/>
      <w:bookmarkStart w:id="401" w:name="_Toc14965"/>
      <w:r>
        <w:rPr>
          <w:rFonts w:hint="eastAsia" w:ascii="仿宋" w:hAnsi="仿宋" w:eastAsia="仿宋" w:cs="仿宋"/>
          <w:b w:val="0"/>
          <w:color w:val="auto"/>
          <w:sz w:val="24"/>
          <w:szCs w:val="24"/>
          <w:highlight w:val="none"/>
        </w:rPr>
        <w:t>2．招标文件</w:t>
      </w:r>
      <w:bookmarkEnd w:id="389"/>
      <w:bookmarkEnd w:id="390"/>
      <w:bookmarkEnd w:id="391"/>
      <w:bookmarkEnd w:id="392"/>
      <w:bookmarkEnd w:id="393"/>
      <w:bookmarkEnd w:id="394"/>
      <w:bookmarkEnd w:id="395"/>
      <w:bookmarkEnd w:id="396"/>
      <w:bookmarkEnd w:id="397"/>
      <w:bookmarkEnd w:id="398"/>
      <w:bookmarkEnd w:id="399"/>
      <w:bookmarkEnd w:id="400"/>
      <w:bookmarkEnd w:id="401"/>
    </w:p>
    <w:p w14:paraId="4F423313">
      <w:pPr>
        <w:pStyle w:val="4"/>
        <w:rPr>
          <w:rFonts w:hint="eastAsia" w:ascii="仿宋" w:hAnsi="仿宋" w:eastAsia="仿宋" w:cs="仿宋"/>
          <w:color w:val="auto"/>
          <w:szCs w:val="24"/>
          <w:highlight w:val="none"/>
        </w:rPr>
      </w:pPr>
      <w:bookmarkStart w:id="402" w:name="_Toc9368"/>
      <w:bookmarkStart w:id="403" w:name="_Toc18553"/>
      <w:bookmarkStart w:id="404" w:name="_Toc24395"/>
      <w:bookmarkStart w:id="405" w:name="_Toc11549"/>
      <w:bookmarkStart w:id="406" w:name="_Toc25475"/>
      <w:bookmarkStart w:id="407" w:name="_Toc14376"/>
      <w:bookmarkStart w:id="408" w:name="_Toc29506"/>
      <w:bookmarkStart w:id="409" w:name="_Toc1436"/>
      <w:bookmarkStart w:id="410" w:name="_Toc32211"/>
      <w:bookmarkStart w:id="411" w:name="_Toc15048"/>
      <w:bookmarkStart w:id="412" w:name="_Toc19821"/>
      <w:bookmarkStart w:id="413" w:name="_Toc3442"/>
      <w:bookmarkStart w:id="414" w:name="_Toc15581"/>
      <w:bookmarkStart w:id="415" w:name="_Toc4940"/>
      <w:bookmarkStart w:id="416" w:name="_Toc31593"/>
      <w:bookmarkStart w:id="417" w:name="_Toc21981"/>
      <w:bookmarkStart w:id="418" w:name="_Toc482"/>
      <w:bookmarkStart w:id="419" w:name="_Toc8942"/>
      <w:bookmarkStart w:id="420" w:name="_Toc30513"/>
      <w:bookmarkStart w:id="421" w:name="_Toc10795"/>
      <w:r>
        <w:rPr>
          <w:rFonts w:hint="eastAsia" w:ascii="仿宋" w:hAnsi="仿宋" w:eastAsia="仿宋" w:cs="仿宋"/>
          <w:color w:val="auto"/>
          <w:szCs w:val="24"/>
          <w:highlight w:val="none"/>
        </w:rPr>
        <w:t>2.1 招标文件的组成</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330B163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本招标文件包括：</w:t>
      </w:r>
    </w:p>
    <w:p w14:paraId="6FF463E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（1）招标公告；</w:t>
      </w:r>
    </w:p>
    <w:p w14:paraId="072C668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（2）投标人须知；</w:t>
      </w:r>
    </w:p>
    <w:p w14:paraId="1E237EE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（3）评标办法；</w:t>
      </w:r>
    </w:p>
    <w:p w14:paraId="5DB62FC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（4）合同条款及格式；</w:t>
      </w:r>
    </w:p>
    <w:p w14:paraId="76F721C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（5）工程量清单；</w:t>
      </w:r>
    </w:p>
    <w:p w14:paraId="4BDCB88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（6）图纸；</w:t>
      </w:r>
    </w:p>
    <w:p w14:paraId="626AC6F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（7）技术标准和要求；</w:t>
      </w:r>
    </w:p>
    <w:p w14:paraId="7D3E391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（8）投标文件格式；</w:t>
      </w:r>
    </w:p>
    <w:p w14:paraId="4DA9C4F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（9）投标人须知前附表规定的其他材料。</w:t>
      </w:r>
    </w:p>
    <w:p w14:paraId="73EB8D2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根据本章第2.2款和第2.3款对招标文件所做的澄清、修改，构成招标文件的组成部分。</w:t>
      </w:r>
    </w:p>
    <w:p w14:paraId="17F77FA0">
      <w:pPr>
        <w:pStyle w:val="4"/>
        <w:rPr>
          <w:rFonts w:hint="eastAsia" w:ascii="仿宋" w:hAnsi="仿宋" w:eastAsia="仿宋" w:cs="仿宋"/>
          <w:color w:val="auto"/>
          <w:szCs w:val="24"/>
          <w:highlight w:val="none"/>
        </w:rPr>
      </w:pPr>
      <w:bookmarkStart w:id="422" w:name="_Toc19934"/>
      <w:bookmarkStart w:id="423" w:name="_Toc6582"/>
      <w:bookmarkStart w:id="424" w:name="_Toc23713"/>
      <w:bookmarkStart w:id="425" w:name="_Toc22652"/>
      <w:bookmarkStart w:id="426" w:name="_Toc22786"/>
      <w:bookmarkStart w:id="427" w:name="_Toc1780"/>
      <w:bookmarkStart w:id="428" w:name="_Toc14764"/>
      <w:bookmarkStart w:id="429" w:name="_Toc15432"/>
      <w:bookmarkStart w:id="430" w:name="_Toc13743"/>
      <w:bookmarkStart w:id="431" w:name="_Toc19898"/>
      <w:bookmarkStart w:id="432" w:name="_Toc25095"/>
      <w:bookmarkStart w:id="433" w:name="_Toc8265"/>
      <w:bookmarkStart w:id="434" w:name="_Toc6003"/>
      <w:bookmarkStart w:id="435" w:name="_Toc16443"/>
      <w:bookmarkStart w:id="436" w:name="_Toc14536"/>
      <w:bookmarkStart w:id="437" w:name="_Toc29212"/>
      <w:bookmarkStart w:id="438" w:name="_Toc16620"/>
      <w:bookmarkStart w:id="439" w:name="_Toc10878"/>
      <w:bookmarkStart w:id="440" w:name="_Toc18274"/>
      <w:bookmarkStart w:id="441" w:name="_Toc10707"/>
      <w:r>
        <w:rPr>
          <w:rFonts w:hint="eastAsia" w:ascii="仿宋" w:hAnsi="仿宋" w:eastAsia="仿宋" w:cs="仿宋"/>
          <w:color w:val="auto"/>
          <w:szCs w:val="24"/>
          <w:highlight w:val="none"/>
        </w:rPr>
        <w:t>2.2 招标文件的澄清</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14:paraId="18E9692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2.2.1 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3CBDCF6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2.2.2 招标文件的澄清以投标人须知前附表规定的形式发给所有获取招标文件的投标人，但不指明澄清问题的来源。澄清发出的时间距本章第4.2.1项规定的投标截止时间不足15日的，并且澄清内容可能影响投标文件编制的，将相应延长投标截止时间。</w:t>
      </w:r>
    </w:p>
    <w:p w14:paraId="1E21220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2.2.3 除非招标人认为确有必要答复，否则，招标人有权拒绝回复投标人在本章第 2.2.1 项规定的时间后的任何澄清要求。</w:t>
      </w:r>
    </w:p>
    <w:p w14:paraId="285BF681">
      <w:pPr>
        <w:pStyle w:val="4"/>
        <w:rPr>
          <w:rFonts w:hint="eastAsia" w:ascii="仿宋" w:hAnsi="仿宋" w:eastAsia="仿宋" w:cs="仿宋"/>
          <w:color w:val="auto"/>
          <w:szCs w:val="24"/>
          <w:highlight w:val="none"/>
        </w:rPr>
      </w:pPr>
      <w:bookmarkStart w:id="442" w:name="_Toc17254"/>
      <w:bookmarkStart w:id="443" w:name="_Toc2861"/>
      <w:bookmarkStart w:id="444" w:name="_Toc7280"/>
      <w:bookmarkStart w:id="445" w:name="_Toc10488"/>
      <w:bookmarkStart w:id="446" w:name="_Toc19478"/>
      <w:bookmarkStart w:id="447" w:name="_Toc9369"/>
      <w:bookmarkStart w:id="448" w:name="_Toc8720"/>
      <w:bookmarkStart w:id="449" w:name="_Toc17555"/>
      <w:bookmarkStart w:id="450" w:name="_Toc18187"/>
      <w:bookmarkStart w:id="451" w:name="_Toc30515"/>
      <w:bookmarkStart w:id="452" w:name="_Toc6824"/>
      <w:bookmarkStart w:id="453" w:name="_Toc20383"/>
      <w:bookmarkStart w:id="454" w:name="_Toc25538"/>
      <w:bookmarkStart w:id="455" w:name="_Toc18458"/>
      <w:bookmarkStart w:id="456" w:name="_Toc8405"/>
      <w:bookmarkStart w:id="457" w:name="_Toc1842"/>
      <w:bookmarkStart w:id="458" w:name="_Toc16384"/>
      <w:bookmarkStart w:id="459" w:name="_Toc22912"/>
      <w:bookmarkStart w:id="460" w:name="_Toc29055"/>
      <w:bookmarkStart w:id="461" w:name="_Toc14874"/>
      <w:r>
        <w:rPr>
          <w:rFonts w:hint="eastAsia" w:ascii="仿宋" w:hAnsi="仿宋" w:eastAsia="仿宋" w:cs="仿宋"/>
          <w:color w:val="auto"/>
          <w:szCs w:val="24"/>
          <w:highlight w:val="none"/>
        </w:rPr>
        <w:t>2.3 招标文件的修改</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p w14:paraId="7CEFF06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以投标人须知前附表规定的形式修改招标文件，并通知所有已获取招标文件的投标人。修改招标文件的时间距本章第4.2.1项规定的投标截止时间不足15日的，并且修改内容可能影响投标文件编制的，将相应延长投标截止时间。</w:t>
      </w:r>
    </w:p>
    <w:p w14:paraId="717C0E21">
      <w:pPr>
        <w:pStyle w:val="4"/>
        <w:rPr>
          <w:rFonts w:hint="eastAsia" w:ascii="仿宋" w:hAnsi="仿宋" w:eastAsia="仿宋" w:cs="仿宋"/>
          <w:color w:val="auto"/>
          <w:szCs w:val="24"/>
          <w:highlight w:val="none"/>
        </w:rPr>
      </w:pPr>
      <w:bookmarkStart w:id="462" w:name="_Toc26625"/>
      <w:bookmarkStart w:id="463" w:name="_Toc15095"/>
      <w:bookmarkStart w:id="464" w:name="_Toc24550"/>
      <w:bookmarkStart w:id="465" w:name="_Toc18792"/>
      <w:bookmarkStart w:id="466" w:name="_Toc7007"/>
      <w:bookmarkStart w:id="467" w:name="_Toc13461"/>
      <w:bookmarkStart w:id="468" w:name="_Toc15342"/>
      <w:bookmarkStart w:id="469" w:name="_Toc30559"/>
      <w:bookmarkStart w:id="470" w:name="_Toc4223"/>
      <w:bookmarkStart w:id="471" w:name="_Toc15715"/>
      <w:bookmarkStart w:id="472" w:name="_Toc19885"/>
      <w:bookmarkStart w:id="473" w:name="_Toc24875"/>
      <w:bookmarkStart w:id="474" w:name="_Toc30150"/>
      <w:bookmarkStart w:id="475" w:name="_Toc30747"/>
      <w:bookmarkStart w:id="476" w:name="_Toc26530"/>
      <w:bookmarkStart w:id="477" w:name="_Toc2692"/>
      <w:bookmarkStart w:id="478" w:name="_Toc10421"/>
      <w:bookmarkStart w:id="479" w:name="_Toc29164"/>
      <w:bookmarkStart w:id="480" w:name="_Toc5711"/>
      <w:bookmarkStart w:id="481" w:name="_Toc4230"/>
      <w:bookmarkStart w:id="482" w:name="_Toc477"/>
      <w:bookmarkStart w:id="483" w:name="_Toc6339"/>
      <w:r>
        <w:rPr>
          <w:rFonts w:hint="eastAsia" w:ascii="仿宋" w:hAnsi="仿宋" w:eastAsia="仿宋" w:cs="仿宋"/>
          <w:color w:val="auto"/>
          <w:szCs w:val="24"/>
          <w:highlight w:val="none"/>
        </w:rPr>
        <w:t>2.4 招标文件的异议</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p w14:paraId="4C4A523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投标人或者其他利害关系人对招标文件有异议的，应当在投标截止时间10日前通过电子招标投标交易平台提出。招标人将在收到异议之日起3日内作出答复；作出答复前，将暂停招标投标活动。</w:t>
      </w:r>
    </w:p>
    <w:p w14:paraId="46DA40EA">
      <w:pPr>
        <w:pStyle w:val="3"/>
        <w:spacing w:before="156" w:beforeLines="50" w:after="156" w:afterLines="50" w:line="360" w:lineRule="auto"/>
        <w:rPr>
          <w:rFonts w:hint="eastAsia" w:ascii="仿宋" w:hAnsi="仿宋" w:eastAsia="仿宋" w:cs="仿宋"/>
          <w:b w:val="0"/>
          <w:color w:val="auto"/>
          <w:sz w:val="24"/>
          <w:szCs w:val="24"/>
          <w:highlight w:val="none"/>
        </w:rPr>
      </w:pPr>
      <w:bookmarkStart w:id="484" w:name="_Toc15921"/>
      <w:bookmarkStart w:id="485" w:name="_Toc1939"/>
      <w:bookmarkStart w:id="486" w:name="_Toc21357"/>
      <w:bookmarkStart w:id="487" w:name="_Toc2278"/>
      <w:bookmarkStart w:id="488" w:name="_Toc8657"/>
      <w:bookmarkStart w:id="489" w:name="_Toc28367"/>
      <w:bookmarkStart w:id="490" w:name="_Toc7272"/>
      <w:bookmarkStart w:id="491" w:name="_Toc14748"/>
      <w:bookmarkStart w:id="492" w:name="_Toc18396"/>
      <w:bookmarkStart w:id="493" w:name="_Toc21244"/>
      <w:bookmarkStart w:id="494" w:name="_Toc8014"/>
      <w:bookmarkStart w:id="495" w:name="_Toc15598"/>
      <w:bookmarkStart w:id="496" w:name="_Toc26795"/>
      <w:r>
        <w:rPr>
          <w:rFonts w:hint="eastAsia" w:ascii="仿宋" w:hAnsi="仿宋" w:eastAsia="仿宋" w:cs="仿宋"/>
          <w:b w:val="0"/>
          <w:color w:val="auto"/>
          <w:sz w:val="24"/>
          <w:szCs w:val="24"/>
          <w:highlight w:val="none"/>
        </w:rPr>
        <w:t>3．投标文件</w:t>
      </w:r>
      <w:bookmarkEnd w:id="484"/>
      <w:bookmarkEnd w:id="485"/>
      <w:bookmarkEnd w:id="486"/>
      <w:bookmarkEnd w:id="487"/>
      <w:bookmarkEnd w:id="488"/>
      <w:bookmarkEnd w:id="489"/>
      <w:bookmarkEnd w:id="490"/>
      <w:bookmarkEnd w:id="491"/>
      <w:bookmarkEnd w:id="492"/>
      <w:bookmarkEnd w:id="493"/>
      <w:bookmarkEnd w:id="494"/>
      <w:bookmarkEnd w:id="495"/>
      <w:bookmarkEnd w:id="496"/>
    </w:p>
    <w:p w14:paraId="3FB939A8">
      <w:pPr>
        <w:pStyle w:val="4"/>
        <w:rPr>
          <w:rFonts w:hint="eastAsia" w:ascii="仿宋" w:hAnsi="仿宋" w:eastAsia="仿宋" w:cs="仿宋"/>
          <w:color w:val="auto"/>
          <w:szCs w:val="24"/>
          <w:highlight w:val="none"/>
        </w:rPr>
      </w:pPr>
      <w:bookmarkStart w:id="497" w:name="_Toc10237"/>
      <w:bookmarkStart w:id="498" w:name="_Toc8105"/>
      <w:bookmarkStart w:id="499" w:name="_Toc13904"/>
      <w:bookmarkStart w:id="500" w:name="_Toc18126"/>
      <w:bookmarkStart w:id="501" w:name="_Toc29744"/>
      <w:bookmarkStart w:id="502" w:name="_Toc21663"/>
      <w:bookmarkStart w:id="503" w:name="_Toc8719"/>
      <w:bookmarkStart w:id="504" w:name="_Toc8611"/>
      <w:bookmarkStart w:id="505" w:name="_Toc29884"/>
      <w:bookmarkStart w:id="506" w:name="_Toc27562"/>
      <w:bookmarkStart w:id="507" w:name="_Toc16993"/>
      <w:bookmarkStart w:id="508" w:name="_Toc137"/>
      <w:bookmarkStart w:id="509" w:name="_Toc25045"/>
      <w:bookmarkStart w:id="510" w:name="_Toc26693"/>
      <w:bookmarkStart w:id="511" w:name="_Toc1554"/>
      <w:bookmarkStart w:id="512" w:name="_Toc25106"/>
      <w:bookmarkStart w:id="513" w:name="_Toc29580"/>
      <w:bookmarkStart w:id="514" w:name="_Toc17593"/>
      <w:bookmarkStart w:id="515" w:name="_Toc13395"/>
      <w:bookmarkStart w:id="516" w:name="_Toc13223"/>
      <w:r>
        <w:rPr>
          <w:rFonts w:hint="eastAsia" w:ascii="仿宋" w:hAnsi="仿宋" w:eastAsia="仿宋" w:cs="仿宋"/>
          <w:color w:val="auto"/>
          <w:szCs w:val="24"/>
          <w:highlight w:val="none"/>
        </w:rPr>
        <w:t>3.1 投标文件的组成</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04600BC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3.1.1 投标文件应包括下列内容：</w:t>
      </w:r>
    </w:p>
    <w:p w14:paraId="29B1C2DF">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投标函及投标函附录；</w:t>
      </w:r>
    </w:p>
    <w:p w14:paraId="38050EA1">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法定代表人身份证明或授权委托书；</w:t>
      </w:r>
    </w:p>
    <w:p w14:paraId="69FFBB16">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联合体协议书；</w:t>
      </w:r>
    </w:p>
    <w:p w14:paraId="1A7319ED">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投标保证金；</w:t>
      </w:r>
    </w:p>
    <w:p w14:paraId="79BFDFE1">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已标价工程量清单；</w:t>
      </w:r>
    </w:p>
    <w:p w14:paraId="10C6A6B6">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施工组织设计；</w:t>
      </w:r>
    </w:p>
    <w:p w14:paraId="76B21C73">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项目管理机构；</w:t>
      </w:r>
    </w:p>
    <w:p w14:paraId="1B484602">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资格审查资料；</w:t>
      </w:r>
    </w:p>
    <w:p w14:paraId="71F92B6E">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其他资料。</w:t>
      </w:r>
    </w:p>
    <w:p w14:paraId="4A4E9F9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投标人在评标过程中作出的符合法律法规和招标文件规定的澄清确认，构成投标文件的组成部分。</w:t>
      </w:r>
    </w:p>
    <w:p w14:paraId="1BE62DB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3.1.2 投标人须知前附表规定不接受联合体投标的，或投标人没有组成联合体的，投标文件不包括本章第3.1.1（3）目所指的联合体协议书。</w:t>
      </w:r>
    </w:p>
    <w:p w14:paraId="0A1C8B5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3.1.3 投标人须知前附表未要求提交投标保证金的，投标文件不包括本章第 3.1.1（4）目所指的投标保证金。</w:t>
      </w:r>
    </w:p>
    <w:p w14:paraId="235E067A">
      <w:pPr>
        <w:pStyle w:val="4"/>
        <w:rPr>
          <w:rFonts w:hint="eastAsia" w:ascii="仿宋" w:hAnsi="仿宋" w:eastAsia="仿宋" w:cs="仿宋"/>
          <w:color w:val="auto"/>
          <w:szCs w:val="24"/>
          <w:highlight w:val="none"/>
        </w:rPr>
      </w:pPr>
      <w:bookmarkStart w:id="517" w:name="_Toc25038"/>
      <w:bookmarkStart w:id="518" w:name="_Toc31986"/>
      <w:bookmarkStart w:id="519" w:name="_Toc7174"/>
      <w:bookmarkStart w:id="520" w:name="_Toc10094"/>
      <w:bookmarkStart w:id="521" w:name="_Toc28008"/>
      <w:bookmarkStart w:id="522" w:name="_Toc7365"/>
      <w:bookmarkStart w:id="523" w:name="_Toc28577"/>
      <w:bookmarkStart w:id="524" w:name="_Toc14790"/>
      <w:bookmarkStart w:id="525" w:name="_Toc20798"/>
      <w:bookmarkStart w:id="526" w:name="_Toc21907"/>
      <w:bookmarkStart w:id="527" w:name="_Toc30351"/>
      <w:bookmarkStart w:id="528" w:name="_Toc24092"/>
      <w:bookmarkStart w:id="529" w:name="_Toc18137"/>
      <w:bookmarkStart w:id="530" w:name="_Toc6327"/>
      <w:bookmarkStart w:id="531" w:name="_Toc1531"/>
      <w:bookmarkStart w:id="532" w:name="_Toc28002"/>
      <w:bookmarkStart w:id="533" w:name="_Toc30258"/>
      <w:bookmarkStart w:id="534" w:name="_Toc5314"/>
      <w:bookmarkStart w:id="535" w:name="_Toc14150"/>
      <w:bookmarkStart w:id="536" w:name="_Toc29659"/>
      <w:r>
        <w:rPr>
          <w:rFonts w:hint="eastAsia" w:ascii="仿宋" w:hAnsi="仿宋" w:eastAsia="仿宋" w:cs="仿宋"/>
          <w:color w:val="auto"/>
          <w:szCs w:val="24"/>
          <w:highlight w:val="none"/>
        </w:rPr>
        <w:t>3.2 投标报价</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14:paraId="59E25A6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3.2.1 投标报价应包括国家规定的增值税税金，除投标人须知前附表另有规定外，增值税税金按一般计税方法计算。投标人应按第八章“投标文件格式”的要求在投标函中进行报价并填写已标价工程量清单。</w:t>
      </w:r>
    </w:p>
    <w:p w14:paraId="183B7FD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3.2.2 投标人应充分了解该项目的总体情况以及影响投标报价的其他要素。</w:t>
      </w:r>
    </w:p>
    <w:p w14:paraId="7FF16CF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3.2.3 本项目的报价方式见投标人须知前附表。投标人在投标截止时间前修改投标函中的投标报价总额，应同时修改投标文件“已标价工程量清单”中的相应报价。此修改须符合本章第4.3款的有关要求。</w:t>
      </w:r>
    </w:p>
    <w:p w14:paraId="3F78C06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3.2.4 招标人设有最高投标限价的，投标人的投标报价不得超过最高投标限价，最高投标限价在投标人须知前附表中载明。</w:t>
      </w:r>
    </w:p>
    <w:p w14:paraId="1C4F493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3.2.5 投标报价的其他要求见投标人须知前附表。</w:t>
      </w:r>
    </w:p>
    <w:p w14:paraId="11782049">
      <w:pPr>
        <w:pStyle w:val="4"/>
        <w:rPr>
          <w:rFonts w:hint="eastAsia" w:ascii="仿宋" w:hAnsi="仿宋" w:eastAsia="仿宋" w:cs="仿宋"/>
          <w:color w:val="auto"/>
          <w:szCs w:val="24"/>
          <w:highlight w:val="none"/>
        </w:rPr>
      </w:pPr>
      <w:bookmarkStart w:id="537" w:name="_Toc19503"/>
      <w:bookmarkStart w:id="538" w:name="_Toc11437"/>
      <w:bookmarkStart w:id="539" w:name="_Toc1141"/>
      <w:bookmarkStart w:id="540" w:name="_Toc15753"/>
      <w:bookmarkStart w:id="541" w:name="_Toc22351"/>
      <w:bookmarkStart w:id="542" w:name="_Toc19991"/>
      <w:bookmarkStart w:id="543" w:name="_Toc5835"/>
      <w:bookmarkStart w:id="544" w:name="_Toc7792"/>
      <w:bookmarkStart w:id="545" w:name="_Toc22014"/>
      <w:bookmarkStart w:id="546" w:name="_Toc28335"/>
      <w:bookmarkStart w:id="547" w:name="_Toc25273"/>
      <w:bookmarkStart w:id="548" w:name="_Toc21392"/>
      <w:bookmarkStart w:id="549" w:name="_Toc12352"/>
      <w:bookmarkStart w:id="550" w:name="_Toc28950"/>
      <w:bookmarkStart w:id="551" w:name="_Toc21512"/>
      <w:bookmarkStart w:id="552" w:name="_Toc24449"/>
      <w:bookmarkStart w:id="553" w:name="_Toc11816"/>
      <w:bookmarkStart w:id="554" w:name="_Toc31943"/>
      <w:bookmarkStart w:id="555" w:name="_Toc32704"/>
      <w:bookmarkStart w:id="556" w:name="_Toc22189"/>
      <w:r>
        <w:rPr>
          <w:rFonts w:hint="eastAsia" w:ascii="仿宋" w:hAnsi="仿宋" w:eastAsia="仿宋" w:cs="仿宋"/>
          <w:color w:val="auto"/>
          <w:szCs w:val="24"/>
          <w:highlight w:val="none"/>
        </w:rPr>
        <w:t>3.3 投标有效期</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p w14:paraId="2B0B02E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3.3.1 除投标人须知前附表另有规定外，投标有效期为120日历天。</w:t>
      </w:r>
    </w:p>
    <w:p w14:paraId="3B4B62D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3.3.2 在投标有效期内，投标人撤销投标文件的，应承担招标文件和法律规定的责任。</w:t>
      </w:r>
    </w:p>
    <w:p w14:paraId="10166E4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3.3.3 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者支票形式递交的投标保证金的银行同期存款利息。</w:t>
      </w:r>
    </w:p>
    <w:p w14:paraId="541B90B1">
      <w:pPr>
        <w:pStyle w:val="4"/>
        <w:rPr>
          <w:rFonts w:hint="eastAsia" w:ascii="仿宋" w:hAnsi="仿宋" w:eastAsia="仿宋" w:cs="仿宋"/>
          <w:color w:val="auto"/>
          <w:szCs w:val="24"/>
          <w:highlight w:val="none"/>
        </w:rPr>
      </w:pPr>
      <w:bookmarkStart w:id="557" w:name="_Toc18190"/>
      <w:bookmarkStart w:id="558" w:name="_Toc28763"/>
      <w:bookmarkStart w:id="559" w:name="_Toc21500"/>
      <w:bookmarkStart w:id="560" w:name="_Toc22639"/>
      <w:bookmarkStart w:id="561" w:name="_Toc5213"/>
      <w:bookmarkStart w:id="562" w:name="_Toc10814"/>
      <w:bookmarkStart w:id="563" w:name="_Toc21379"/>
      <w:bookmarkStart w:id="564" w:name="_Toc8479"/>
      <w:bookmarkStart w:id="565" w:name="_Toc24340"/>
      <w:bookmarkStart w:id="566" w:name="_Toc9856"/>
      <w:bookmarkStart w:id="567" w:name="_Toc10068"/>
      <w:bookmarkStart w:id="568" w:name="_Toc3573"/>
      <w:bookmarkStart w:id="569" w:name="_Toc19543"/>
      <w:bookmarkStart w:id="570" w:name="_Toc1146"/>
      <w:bookmarkStart w:id="571" w:name="_Toc837"/>
      <w:bookmarkStart w:id="572" w:name="_Toc11901"/>
      <w:bookmarkStart w:id="573" w:name="_Toc30912"/>
      <w:bookmarkStart w:id="574" w:name="_Toc21015"/>
      <w:bookmarkStart w:id="575" w:name="_Toc30356"/>
      <w:bookmarkStart w:id="576" w:name="_Toc1522"/>
      <w:r>
        <w:rPr>
          <w:rFonts w:hint="eastAsia" w:ascii="仿宋" w:hAnsi="仿宋" w:eastAsia="仿宋" w:cs="仿宋"/>
          <w:color w:val="auto"/>
          <w:szCs w:val="24"/>
          <w:highlight w:val="none"/>
        </w:rPr>
        <w:t>3.4 投标保证金</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2C79E8D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3.4.1 投标人在递交投标文件的同时，应按投标人须知前附表规定的金额、形式和第八章“投标文件格式”规定的投标保证金格式递交投标保证金，并作为其投标文件的组成部分。境内投标人以现金或者支票形式提交的投标保证金，应当从其基本账户转出并在投标文件中附上基本账户开户证明。联合体投标的，其投标保证金可以由牵头人递交，并应符合投标人须知前附表的规定。</w:t>
      </w:r>
    </w:p>
    <w:p w14:paraId="1A7993E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3.4.2 投标人不按本章第3.4.1项要求提交投标保证金的，评标委员会将否决其投标。</w:t>
      </w:r>
    </w:p>
    <w:p w14:paraId="700BC7A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3.4.3 招标人在中标结果公示结束后1个工作日内，向未中标人退还投标保证金；最迟将在与中标人签订合同后5日内，向中标人退还投标保证金。</w:t>
      </w:r>
    </w:p>
    <w:p w14:paraId="34C8D69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3.4.4 有下列情形之一的，投标保证金将不予退还：</w:t>
      </w:r>
    </w:p>
    <w:p w14:paraId="445F6E4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（1）投标人在规定的投标有效期内撤销其投标文件；</w:t>
      </w:r>
    </w:p>
    <w:p w14:paraId="04A1D11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（2）中标人在收到中标通知书后，无正当理由不与招标人订立合同，或者在签订合同时向招标人提出附加条件，或者不按照招标文件要求提交履约保证金；</w:t>
      </w:r>
    </w:p>
    <w:p w14:paraId="4FF5B66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（3）发生投标人须知前附表规定的其他可以不予退还投标保证金的情形。</w:t>
      </w:r>
    </w:p>
    <w:p w14:paraId="044E80EA">
      <w:pPr>
        <w:pStyle w:val="4"/>
        <w:rPr>
          <w:rFonts w:hint="eastAsia" w:ascii="仿宋" w:hAnsi="仿宋" w:eastAsia="仿宋" w:cs="仿宋"/>
          <w:color w:val="auto"/>
          <w:szCs w:val="24"/>
          <w:highlight w:val="none"/>
        </w:rPr>
      </w:pPr>
      <w:bookmarkStart w:id="577" w:name="_Toc3625"/>
      <w:bookmarkStart w:id="578" w:name="_Toc14563"/>
      <w:bookmarkStart w:id="579" w:name="_Toc20109"/>
      <w:bookmarkStart w:id="580" w:name="_Toc2652"/>
      <w:bookmarkStart w:id="581" w:name="_Toc12257"/>
      <w:bookmarkStart w:id="582" w:name="_Toc21877"/>
      <w:bookmarkStart w:id="583" w:name="_Toc28183"/>
      <w:bookmarkStart w:id="584" w:name="_Toc2319"/>
      <w:bookmarkStart w:id="585" w:name="_Toc2834"/>
      <w:bookmarkStart w:id="586" w:name="_Toc21110"/>
      <w:bookmarkStart w:id="587" w:name="_Toc9993"/>
      <w:bookmarkStart w:id="588" w:name="_Toc5241"/>
      <w:bookmarkStart w:id="589" w:name="_Toc21817"/>
      <w:bookmarkStart w:id="590" w:name="_Toc1847"/>
      <w:bookmarkStart w:id="591" w:name="_Toc16207"/>
      <w:bookmarkStart w:id="592" w:name="_Toc15235"/>
      <w:bookmarkStart w:id="593" w:name="_Toc12394"/>
      <w:bookmarkStart w:id="594" w:name="_Toc10165"/>
      <w:bookmarkStart w:id="595" w:name="_Toc6559"/>
      <w:bookmarkStart w:id="596" w:name="_Toc23864"/>
      <w:r>
        <w:rPr>
          <w:rFonts w:hint="eastAsia" w:ascii="仿宋" w:hAnsi="仿宋" w:eastAsia="仿宋" w:cs="仿宋"/>
          <w:color w:val="auto"/>
          <w:szCs w:val="24"/>
          <w:highlight w:val="none"/>
        </w:rPr>
        <w:t>3.5 资格审查资料</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14:paraId="2A26FF9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除投标人须知前附表另有规定外，投标人应按下列规定提供资格审查资料，以证明其满足本章第1.4款规定的资质、财务、业绩、信誉等要求。</w:t>
      </w:r>
    </w:p>
    <w:p w14:paraId="18BFE86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3.5.1 “投标人基本情况表”应附投标人营业执照、投标人资质证书和安全生产许可证等材料的复印件或扫描件。</w:t>
      </w:r>
    </w:p>
    <w:p w14:paraId="4F0092D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3.5.2 “近年财务状况表”应附经会计师事务所或审计机构审计的财务会计报表，包括资产负债表、现金流量表、利润表（损益表）和财务情况说明书或附注的复印件或扫描件，具体年份要求见投标人须知前附表。投标人的成立时间少于投标人须知前附表规定年份的，提供基本户银行出具的资信证明。</w:t>
      </w:r>
    </w:p>
    <w:p w14:paraId="1B3A5B7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3.5.3 “近年完成的类似项目情况表”应附满足本章第1.4.1项规定的证明材料复印件或扫描件，具体时间要求见投标人须知前附表。每张表格只填写一个项目，并标明序号。</w:t>
      </w:r>
    </w:p>
    <w:p w14:paraId="5A2153D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3.5.4 “正在施工和新承接的项目情况表”应附满足本章第1.4.1项规定的证明材料复印件或扫描件。每张表格只填写一个项目，并标明序号。</w:t>
      </w:r>
    </w:p>
    <w:p w14:paraId="7AC5AB4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3.5.5 “项目管理机构组成表”应填报满足本章第1.4.1项规定的项目经理和其他主要管理人员的相关信息。</w:t>
      </w:r>
    </w:p>
    <w:p w14:paraId="30E71E5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3.5.6 投标人须知前附表规定接受联合体投标的，本章第3.5.1项至第3.5.5项规定的表格和资料应包括联合体各方相关情况。</w:t>
      </w:r>
    </w:p>
    <w:p w14:paraId="2FF10418">
      <w:pPr>
        <w:pStyle w:val="4"/>
        <w:rPr>
          <w:rFonts w:hint="eastAsia" w:ascii="仿宋" w:hAnsi="仿宋" w:eastAsia="仿宋" w:cs="仿宋"/>
          <w:color w:val="auto"/>
          <w:szCs w:val="24"/>
          <w:highlight w:val="none"/>
        </w:rPr>
      </w:pPr>
      <w:bookmarkStart w:id="597" w:name="_Toc19775"/>
      <w:bookmarkStart w:id="598" w:name="_Toc21741"/>
      <w:bookmarkStart w:id="599" w:name="_Toc19683"/>
      <w:bookmarkStart w:id="600" w:name="_Toc28227"/>
      <w:bookmarkStart w:id="601" w:name="_Toc21112"/>
      <w:bookmarkStart w:id="602" w:name="_Toc810"/>
      <w:bookmarkStart w:id="603" w:name="_Toc5455"/>
      <w:bookmarkStart w:id="604" w:name="_Toc4907"/>
      <w:bookmarkStart w:id="605" w:name="_Toc6992"/>
      <w:bookmarkStart w:id="606" w:name="_Toc26517"/>
      <w:bookmarkStart w:id="607" w:name="_Toc25305"/>
      <w:bookmarkStart w:id="608" w:name="_Toc21718"/>
      <w:bookmarkStart w:id="609" w:name="_Toc32625"/>
      <w:bookmarkStart w:id="610" w:name="_Toc31144"/>
      <w:bookmarkStart w:id="611" w:name="_Toc16788"/>
      <w:bookmarkStart w:id="612" w:name="_Toc26449"/>
      <w:bookmarkStart w:id="613" w:name="_Toc14208"/>
      <w:bookmarkStart w:id="614" w:name="_Toc29134"/>
      <w:bookmarkStart w:id="615" w:name="_Toc19278"/>
      <w:bookmarkStart w:id="616" w:name="_Toc30950"/>
      <w:r>
        <w:rPr>
          <w:rFonts w:hint="eastAsia" w:ascii="仿宋" w:hAnsi="仿宋" w:eastAsia="仿宋" w:cs="仿宋"/>
          <w:color w:val="auto"/>
          <w:szCs w:val="24"/>
          <w:highlight w:val="none"/>
        </w:rPr>
        <w:t>3.6 备选投标方案</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 w14:paraId="5581F6F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3.6.1 除投标人须知前附表规定允许外，投标人不得递交备选投标方案，否则其投标将被否决。</w:t>
      </w:r>
    </w:p>
    <w:p w14:paraId="3F10262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3.6.2 允许投标人递交备选投标方案的，只有中标人所递交的备选投标方案方可予以考虑。评标委员会认为中标人的备选投标方案优于其按照招标文件要求编制的投标方案的，招标人可以接受该备选投标方案。</w:t>
      </w:r>
    </w:p>
    <w:p w14:paraId="076DAEC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3.6.3 投标人提供两个或两个以上投标报价，或者在投标文件中提供一个报价，但同时提供两个或两个以上施工组织设计的，视为提供备选方案。</w:t>
      </w:r>
    </w:p>
    <w:p w14:paraId="2D665F10">
      <w:pPr>
        <w:pStyle w:val="4"/>
        <w:rPr>
          <w:rFonts w:hint="eastAsia" w:ascii="仿宋" w:hAnsi="仿宋" w:eastAsia="仿宋" w:cs="仿宋"/>
          <w:color w:val="auto"/>
          <w:szCs w:val="24"/>
          <w:highlight w:val="none"/>
        </w:rPr>
      </w:pPr>
      <w:bookmarkStart w:id="617" w:name="_Toc674"/>
      <w:bookmarkStart w:id="618" w:name="_Toc31027"/>
      <w:bookmarkStart w:id="619" w:name="_Toc10278"/>
      <w:bookmarkStart w:id="620" w:name="_Toc12632"/>
      <w:bookmarkStart w:id="621" w:name="_Toc10384"/>
      <w:bookmarkStart w:id="622" w:name="_Toc9439"/>
      <w:bookmarkStart w:id="623" w:name="_Toc5060"/>
      <w:bookmarkStart w:id="624" w:name="_Toc27240"/>
      <w:bookmarkStart w:id="625" w:name="_Toc14599"/>
      <w:bookmarkStart w:id="626" w:name="_Toc13150"/>
      <w:bookmarkStart w:id="627" w:name="_Toc16143"/>
      <w:bookmarkStart w:id="628" w:name="_Toc4825"/>
      <w:bookmarkStart w:id="629" w:name="_Toc14265"/>
      <w:bookmarkStart w:id="630" w:name="_Toc764"/>
      <w:bookmarkStart w:id="631" w:name="_Toc18269"/>
      <w:bookmarkStart w:id="632" w:name="_Toc24610"/>
      <w:bookmarkStart w:id="633" w:name="_Toc3349"/>
      <w:bookmarkStart w:id="634" w:name="_Toc4084"/>
      <w:bookmarkStart w:id="635" w:name="_Toc13087"/>
      <w:bookmarkStart w:id="636" w:name="_Toc7628"/>
      <w:r>
        <w:rPr>
          <w:rFonts w:hint="eastAsia" w:ascii="仿宋" w:hAnsi="仿宋" w:eastAsia="仿宋" w:cs="仿宋"/>
          <w:color w:val="auto"/>
          <w:szCs w:val="24"/>
          <w:highlight w:val="none"/>
        </w:rPr>
        <w:t>3.7 投标文件的编制</w:t>
      </w:r>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p w14:paraId="1B70810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3.7.1 投标文件应按第八章“投标文件格式”进行编写，如有必要，可以增加附页，作为投标文件的组成部分。其中，投标函附录在满足招标文件实质性要求的基础上，可以提出比招标文件要求更有利于招标人的承诺。</w:t>
      </w:r>
    </w:p>
    <w:p w14:paraId="7D7CDEE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3.7.2 投标文件应当对招标文件有关工期、投标有效期、质量要求、技术标准和要求、招标范围等实质性内容作出响应。</w:t>
      </w:r>
    </w:p>
    <w:p w14:paraId="5872BCB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3.7.3 投标文件全部采用电子文档，除投标人须知前附表另有规定外，投标文件所附证书证件均为原件复印件或扫描件，并采用单位和个人数字证书，按招标文件要求在相应位置加盖电子印章。由投标人的法定代表人签字或加盖电子印章的，应附法定代表人身份证明，由代理人签字或加盖电子印章的，应附由法定代表人签署的授权委托书。签字或盖章的具体要求见投标人须知前附表。</w:t>
      </w:r>
    </w:p>
    <w:p w14:paraId="3C79007C">
      <w:pPr>
        <w:pStyle w:val="3"/>
        <w:spacing w:before="156" w:beforeLines="50" w:after="156" w:afterLines="50" w:line="360" w:lineRule="auto"/>
        <w:rPr>
          <w:rFonts w:hint="eastAsia" w:ascii="仿宋" w:hAnsi="仿宋" w:eastAsia="仿宋" w:cs="仿宋"/>
          <w:b w:val="0"/>
          <w:color w:val="auto"/>
          <w:sz w:val="24"/>
          <w:szCs w:val="24"/>
          <w:highlight w:val="none"/>
        </w:rPr>
      </w:pPr>
      <w:bookmarkStart w:id="637" w:name="_Toc29015"/>
      <w:bookmarkStart w:id="638" w:name="_Toc22798"/>
      <w:bookmarkStart w:id="639" w:name="_Toc28153"/>
      <w:bookmarkStart w:id="640" w:name="_Toc6012"/>
      <w:bookmarkStart w:id="641" w:name="_Toc32682"/>
      <w:bookmarkStart w:id="642" w:name="_Toc2844"/>
      <w:bookmarkStart w:id="643" w:name="_Toc9176"/>
      <w:bookmarkStart w:id="644" w:name="_Toc8386"/>
      <w:bookmarkStart w:id="645" w:name="_Toc12409"/>
      <w:bookmarkStart w:id="646" w:name="_Toc20688"/>
      <w:bookmarkStart w:id="647" w:name="_Toc32222"/>
      <w:bookmarkStart w:id="648" w:name="_Toc5688"/>
      <w:bookmarkStart w:id="649" w:name="_Toc23278"/>
      <w:r>
        <w:rPr>
          <w:rFonts w:hint="eastAsia" w:ascii="仿宋" w:hAnsi="仿宋" w:eastAsia="仿宋" w:cs="仿宋"/>
          <w:b w:val="0"/>
          <w:color w:val="auto"/>
          <w:sz w:val="24"/>
          <w:szCs w:val="24"/>
          <w:highlight w:val="none"/>
        </w:rPr>
        <w:t>4．投标</w:t>
      </w:r>
      <w:bookmarkEnd w:id="637"/>
      <w:bookmarkEnd w:id="638"/>
      <w:bookmarkEnd w:id="639"/>
      <w:bookmarkEnd w:id="640"/>
      <w:bookmarkEnd w:id="641"/>
      <w:bookmarkEnd w:id="642"/>
      <w:bookmarkEnd w:id="643"/>
      <w:bookmarkEnd w:id="644"/>
      <w:bookmarkEnd w:id="645"/>
      <w:bookmarkEnd w:id="646"/>
      <w:bookmarkEnd w:id="647"/>
      <w:bookmarkEnd w:id="648"/>
      <w:bookmarkEnd w:id="649"/>
    </w:p>
    <w:p w14:paraId="7B52FCAC">
      <w:pPr>
        <w:pStyle w:val="4"/>
        <w:rPr>
          <w:rFonts w:hint="eastAsia" w:ascii="仿宋" w:hAnsi="仿宋" w:eastAsia="仿宋" w:cs="仿宋"/>
          <w:color w:val="auto"/>
          <w:szCs w:val="24"/>
          <w:highlight w:val="none"/>
        </w:rPr>
      </w:pPr>
      <w:bookmarkStart w:id="650" w:name="_Toc31778"/>
      <w:bookmarkStart w:id="651" w:name="_Toc3643"/>
      <w:bookmarkStart w:id="652" w:name="_Toc10354"/>
      <w:bookmarkStart w:id="653" w:name="_Toc28204"/>
      <w:bookmarkStart w:id="654" w:name="_Toc112"/>
      <w:bookmarkStart w:id="655" w:name="_Toc2345"/>
      <w:bookmarkStart w:id="656" w:name="_Toc5977"/>
      <w:bookmarkStart w:id="657" w:name="_Toc18533"/>
      <w:bookmarkStart w:id="658" w:name="_Toc24047"/>
      <w:bookmarkStart w:id="659" w:name="_Toc7117"/>
      <w:bookmarkStart w:id="660" w:name="_Toc29803"/>
      <w:bookmarkStart w:id="661" w:name="_Toc17398"/>
      <w:bookmarkStart w:id="662" w:name="_Toc29706"/>
      <w:bookmarkStart w:id="663" w:name="_Toc29973"/>
      <w:bookmarkStart w:id="664" w:name="_Toc10871"/>
      <w:bookmarkStart w:id="665" w:name="_Toc15808"/>
      <w:bookmarkStart w:id="666" w:name="_Toc6715"/>
      <w:bookmarkStart w:id="667" w:name="_Toc14571"/>
      <w:bookmarkStart w:id="668" w:name="_Toc29730"/>
      <w:bookmarkStart w:id="669" w:name="_Toc3446"/>
      <w:r>
        <w:rPr>
          <w:rFonts w:hint="eastAsia" w:ascii="仿宋" w:hAnsi="仿宋" w:eastAsia="仿宋" w:cs="仿宋"/>
          <w:color w:val="auto"/>
          <w:szCs w:val="24"/>
          <w:highlight w:val="none"/>
        </w:rPr>
        <w:t>4.1 投标文件的加密</w:t>
      </w:r>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p w14:paraId="212ED292">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4.1.1 投标人应当按照招标文件和电子招标投标交易平台的要求加密投标文件，具体要求见投标人须知前附表</w:t>
      </w:r>
      <w:r>
        <w:rPr>
          <w:rFonts w:hint="eastAsia" w:ascii="仿宋" w:hAnsi="仿宋" w:eastAsia="仿宋" w:cs="仿宋"/>
          <w:color w:val="auto"/>
          <w:kern w:val="0"/>
          <w:sz w:val="24"/>
          <w:highlight w:val="none"/>
        </w:rPr>
        <w:t>。</w:t>
      </w:r>
    </w:p>
    <w:p w14:paraId="5AE40C9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4.1.2 未加密的投标文件，电子招标投标交易平台将予以拒收。</w:t>
      </w:r>
    </w:p>
    <w:p w14:paraId="235346D6">
      <w:pPr>
        <w:pStyle w:val="4"/>
        <w:rPr>
          <w:rFonts w:hint="eastAsia" w:ascii="仿宋" w:hAnsi="仿宋" w:eastAsia="仿宋" w:cs="仿宋"/>
          <w:color w:val="auto"/>
          <w:szCs w:val="24"/>
          <w:highlight w:val="none"/>
        </w:rPr>
      </w:pPr>
      <w:bookmarkStart w:id="670" w:name="_Toc2818"/>
      <w:bookmarkStart w:id="671" w:name="_Toc11834"/>
      <w:bookmarkStart w:id="672" w:name="_Toc4156"/>
      <w:bookmarkStart w:id="673" w:name="_Toc5522"/>
      <w:bookmarkStart w:id="674" w:name="_Toc3163"/>
      <w:bookmarkStart w:id="675" w:name="_Toc22721"/>
      <w:bookmarkStart w:id="676" w:name="_Toc19336"/>
      <w:bookmarkStart w:id="677" w:name="_Toc29452"/>
      <w:bookmarkStart w:id="678" w:name="_Toc17535"/>
      <w:bookmarkStart w:id="679" w:name="_Toc11339"/>
      <w:bookmarkStart w:id="680" w:name="_Toc3638"/>
      <w:bookmarkStart w:id="681" w:name="_Toc3693"/>
      <w:bookmarkStart w:id="682" w:name="_Toc19416"/>
      <w:bookmarkStart w:id="683" w:name="_Toc3972"/>
      <w:bookmarkStart w:id="684" w:name="_Toc11570"/>
      <w:bookmarkStart w:id="685" w:name="_Toc11482"/>
      <w:bookmarkStart w:id="686" w:name="_Toc30379"/>
      <w:bookmarkStart w:id="687" w:name="_Toc9936"/>
      <w:bookmarkStart w:id="688" w:name="_Toc15428"/>
      <w:bookmarkStart w:id="689" w:name="_Toc19506"/>
      <w:r>
        <w:rPr>
          <w:rFonts w:hint="eastAsia" w:ascii="仿宋" w:hAnsi="仿宋" w:eastAsia="仿宋" w:cs="仿宋"/>
          <w:color w:val="auto"/>
          <w:szCs w:val="24"/>
          <w:highlight w:val="none"/>
        </w:rPr>
        <w:t>4.2 投标文件的递交</w:t>
      </w:r>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p>
    <w:p w14:paraId="6E2CF9E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4.2.1 投标人应在投标人须知前附表规定的投标截止时间前递交投标文件。</w:t>
      </w:r>
    </w:p>
    <w:p w14:paraId="413ACA5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4.2.2 投标人通过下载招标文件的电子招标投标交易平台递交电子投标文件，具体要求见投标人须知前附表。</w:t>
      </w:r>
    </w:p>
    <w:p w14:paraId="25C5578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4.2.3 投标人完成电子投标文件上传后，电子招标投标交易平台即时向投标人发出递交回执通知。递交时间以递交回执通知载明的传输完成时间为准。</w:t>
      </w:r>
    </w:p>
    <w:p w14:paraId="388D2B2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4.2.4 逾期送达的投标文件，电子招标投标交易平台将予以拒收。</w:t>
      </w:r>
    </w:p>
    <w:p w14:paraId="4A42EEFC">
      <w:pPr>
        <w:pStyle w:val="4"/>
        <w:rPr>
          <w:rFonts w:hint="eastAsia" w:ascii="仿宋" w:hAnsi="仿宋" w:eastAsia="仿宋" w:cs="仿宋"/>
          <w:color w:val="auto"/>
          <w:szCs w:val="24"/>
          <w:highlight w:val="none"/>
        </w:rPr>
      </w:pPr>
      <w:bookmarkStart w:id="690" w:name="_Toc17458"/>
      <w:bookmarkStart w:id="691" w:name="_Toc3270"/>
      <w:bookmarkStart w:id="692" w:name="_Toc4901"/>
      <w:bookmarkStart w:id="693" w:name="_Toc15787"/>
      <w:bookmarkStart w:id="694" w:name="_Toc14819"/>
      <w:bookmarkStart w:id="695" w:name="_Toc16990"/>
      <w:bookmarkStart w:id="696" w:name="_Toc24592"/>
      <w:bookmarkStart w:id="697" w:name="_Toc26023"/>
      <w:bookmarkStart w:id="698" w:name="_Toc16697"/>
      <w:bookmarkStart w:id="699" w:name="_Toc3430"/>
      <w:bookmarkStart w:id="700" w:name="_Toc21760"/>
      <w:bookmarkStart w:id="701" w:name="_Toc1877"/>
      <w:bookmarkStart w:id="702" w:name="_Toc6913"/>
      <w:bookmarkStart w:id="703" w:name="_Toc23704"/>
      <w:bookmarkStart w:id="704" w:name="_Toc8885"/>
      <w:bookmarkStart w:id="705" w:name="_Toc850"/>
      <w:bookmarkStart w:id="706" w:name="_Toc17760"/>
      <w:bookmarkStart w:id="707" w:name="_Toc2723"/>
      <w:bookmarkStart w:id="708" w:name="_Toc6355"/>
      <w:bookmarkStart w:id="709" w:name="_Toc26367"/>
      <w:r>
        <w:rPr>
          <w:rFonts w:hint="eastAsia" w:ascii="仿宋" w:hAnsi="仿宋" w:eastAsia="仿宋" w:cs="仿宋"/>
          <w:color w:val="auto"/>
          <w:szCs w:val="24"/>
          <w:highlight w:val="none"/>
        </w:rPr>
        <w:t>4.3 投标文件的修改与撤回</w:t>
      </w:r>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14:paraId="1EF2A4E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4.3.1 在本章第4.2.1项规定的投标截止时间前，投标人可以修改或撤回已递交的投标文件。</w:t>
      </w:r>
    </w:p>
    <w:p w14:paraId="3FF2155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4.3.2 投标人修改或撤回已递交投标文件的通知，应按照本章第3.7.3项的要求加盖电子印章。电子招标投标交易平台收到通知后，即时向投标人发出确认回执通知。</w:t>
      </w:r>
    </w:p>
    <w:p w14:paraId="40E0599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4.3.3 投标人撤回投标文件的，招标人自收到投标人书面撤回通知之日起5日内退还已收取的投标保证金。</w:t>
      </w:r>
    </w:p>
    <w:p w14:paraId="2C11F18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4.3.4 修改的内容为投标文件的组成部分。修改的投标文件应按照本章第3条、第4条的规定进行编制、加密、标记和递交。</w:t>
      </w:r>
    </w:p>
    <w:p w14:paraId="1100C561">
      <w:pPr>
        <w:pStyle w:val="3"/>
        <w:spacing w:before="156" w:beforeLines="50" w:after="156" w:afterLines="50" w:line="360" w:lineRule="auto"/>
        <w:rPr>
          <w:rFonts w:hint="eastAsia" w:ascii="仿宋" w:hAnsi="仿宋" w:eastAsia="仿宋" w:cs="仿宋"/>
          <w:b w:val="0"/>
          <w:color w:val="auto"/>
          <w:sz w:val="24"/>
          <w:szCs w:val="24"/>
          <w:highlight w:val="none"/>
        </w:rPr>
      </w:pPr>
      <w:bookmarkStart w:id="710" w:name="_Toc20372"/>
      <w:bookmarkStart w:id="711" w:name="_Toc19131"/>
      <w:bookmarkStart w:id="712" w:name="_Toc5954"/>
      <w:bookmarkStart w:id="713" w:name="_Toc17004"/>
      <w:bookmarkStart w:id="714" w:name="_Toc14986"/>
      <w:bookmarkStart w:id="715" w:name="_Toc8897"/>
      <w:bookmarkStart w:id="716" w:name="_Toc16350"/>
      <w:bookmarkStart w:id="717" w:name="_Toc3630"/>
      <w:bookmarkStart w:id="718" w:name="_Toc19700"/>
      <w:bookmarkStart w:id="719" w:name="_Toc11802"/>
      <w:bookmarkStart w:id="720" w:name="_Toc15155"/>
      <w:bookmarkStart w:id="721" w:name="_Toc4749"/>
      <w:bookmarkStart w:id="722" w:name="_Toc31314"/>
      <w:r>
        <w:rPr>
          <w:rFonts w:hint="eastAsia" w:ascii="仿宋" w:hAnsi="仿宋" w:eastAsia="仿宋" w:cs="仿宋"/>
          <w:b w:val="0"/>
          <w:color w:val="auto"/>
          <w:sz w:val="24"/>
          <w:szCs w:val="24"/>
          <w:highlight w:val="none"/>
        </w:rPr>
        <w:t>5．开标</w:t>
      </w:r>
      <w:bookmarkEnd w:id="710"/>
      <w:bookmarkEnd w:id="711"/>
      <w:bookmarkEnd w:id="712"/>
      <w:bookmarkEnd w:id="713"/>
      <w:bookmarkEnd w:id="714"/>
      <w:bookmarkEnd w:id="715"/>
      <w:bookmarkEnd w:id="716"/>
      <w:bookmarkEnd w:id="717"/>
      <w:bookmarkEnd w:id="718"/>
      <w:bookmarkEnd w:id="719"/>
      <w:bookmarkEnd w:id="720"/>
      <w:bookmarkEnd w:id="721"/>
      <w:bookmarkEnd w:id="722"/>
    </w:p>
    <w:p w14:paraId="28D49FB1">
      <w:pPr>
        <w:pStyle w:val="4"/>
        <w:rPr>
          <w:rFonts w:hint="eastAsia" w:ascii="仿宋" w:hAnsi="仿宋" w:eastAsia="仿宋" w:cs="仿宋"/>
          <w:color w:val="auto"/>
          <w:szCs w:val="24"/>
          <w:highlight w:val="none"/>
        </w:rPr>
      </w:pPr>
      <w:bookmarkStart w:id="723" w:name="_Toc32345"/>
      <w:bookmarkStart w:id="724" w:name="_Toc28043"/>
      <w:bookmarkStart w:id="725" w:name="_Toc27186"/>
      <w:bookmarkStart w:id="726" w:name="_Toc29918"/>
      <w:bookmarkStart w:id="727" w:name="_Toc12415"/>
      <w:bookmarkStart w:id="728" w:name="_Toc11093"/>
      <w:bookmarkStart w:id="729" w:name="_Toc15594"/>
      <w:bookmarkStart w:id="730" w:name="_Toc9091"/>
      <w:bookmarkStart w:id="731" w:name="_Toc27646"/>
      <w:bookmarkStart w:id="732" w:name="_Toc31560"/>
      <w:bookmarkStart w:id="733" w:name="_Toc24981"/>
      <w:bookmarkStart w:id="734" w:name="_Toc29208"/>
      <w:bookmarkStart w:id="735" w:name="_Toc24734"/>
      <w:bookmarkStart w:id="736" w:name="_Toc17695"/>
      <w:bookmarkStart w:id="737" w:name="_Toc3502"/>
      <w:bookmarkStart w:id="738" w:name="_Toc27957"/>
      <w:bookmarkStart w:id="739" w:name="_Toc21843"/>
      <w:bookmarkStart w:id="740" w:name="_Toc4603"/>
      <w:bookmarkStart w:id="741" w:name="_Toc6731"/>
      <w:bookmarkStart w:id="742" w:name="_Toc27181"/>
      <w:r>
        <w:rPr>
          <w:rFonts w:hint="eastAsia" w:ascii="仿宋" w:hAnsi="仿宋" w:eastAsia="仿宋" w:cs="仿宋"/>
          <w:color w:val="auto"/>
          <w:szCs w:val="24"/>
          <w:highlight w:val="none"/>
        </w:rPr>
        <w:t>5.1 开标时间和地点</w:t>
      </w:r>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p w14:paraId="42D2524A">
      <w:pPr>
        <w:autoSpaceDE w:val="0"/>
        <w:autoSpaceDN w:val="0"/>
        <w:adjustRightInd w:val="0"/>
        <w:spacing w:line="360" w:lineRule="auto"/>
        <w:ind w:left="102" w:right="142"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招标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在</w:t>
      </w:r>
      <w:r>
        <w:rPr>
          <w:rFonts w:hint="eastAsia" w:ascii="仿宋" w:hAnsi="仿宋" w:eastAsia="仿宋" w:cs="仿宋"/>
          <w:color w:val="auto"/>
          <w:spacing w:val="-2"/>
          <w:kern w:val="0"/>
          <w:sz w:val="24"/>
          <w:highlight w:val="none"/>
        </w:rPr>
        <w:t>本</w:t>
      </w:r>
      <w:r>
        <w:rPr>
          <w:rFonts w:hint="eastAsia" w:ascii="仿宋" w:hAnsi="仿宋" w:eastAsia="仿宋" w:cs="仿宋"/>
          <w:color w:val="auto"/>
          <w:kern w:val="0"/>
          <w:sz w:val="24"/>
          <w:highlight w:val="none"/>
        </w:rPr>
        <w:t>章第4.2.1</w:t>
      </w:r>
      <w:r>
        <w:rPr>
          <w:rFonts w:hint="eastAsia" w:ascii="仿宋" w:hAnsi="仿宋" w:eastAsia="仿宋" w:cs="仿宋"/>
          <w:color w:val="auto"/>
          <w:spacing w:val="-2"/>
          <w:kern w:val="0"/>
          <w:sz w:val="24"/>
          <w:highlight w:val="none"/>
        </w:rPr>
        <w:t>项</w:t>
      </w:r>
      <w:r>
        <w:rPr>
          <w:rFonts w:hint="eastAsia" w:ascii="仿宋" w:hAnsi="仿宋" w:eastAsia="仿宋" w:cs="仿宋"/>
          <w:color w:val="auto"/>
          <w:kern w:val="0"/>
          <w:sz w:val="24"/>
          <w:highlight w:val="none"/>
        </w:rPr>
        <w:t>规定</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截</w:t>
      </w:r>
      <w:r>
        <w:rPr>
          <w:rFonts w:hint="eastAsia" w:ascii="仿宋" w:hAnsi="仿宋" w:eastAsia="仿宋" w:cs="仿宋"/>
          <w:color w:val="auto"/>
          <w:spacing w:val="-2"/>
          <w:kern w:val="0"/>
          <w:sz w:val="24"/>
          <w:highlight w:val="none"/>
        </w:rPr>
        <w:t>止</w:t>
      </w:r>
      <w:r>
        <w:rPr>
          <w:rFonts w:hint="eastAsia" w:ascii="仿宋" w:hAnsi="仿宋" w:eastAsia="仿宋" w:cs="仿宋"/>
          <w:color w:val="auto"/>
          <w:kern w:val="0"/>
          <w:sz w:val="24"/>
          <w:highlight w:val="none"/>
        </w:rPr>
        <w:t>时</w:t>
      </w:r>
      <w:r>
        <w:rPr>
          <w:rFonts w:hint="eastAsia" w:ascii="仿宋" w:hAnsi="仿宋" w:eastAsia="仿宋" w:cs="仿宋"/>
          <w:color w:val="auto"/>
          <w:spacing w:val="-2"/>
          <w:kern w:val="0"/>
          <w:sz w:val="24"/>
          <w:highlight w:val="none"/>
        </w:rPr>
        <w:t>间</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开</w:t>
      </w:r>
      <w:r>
        <w:rPr>
          <w:rFonts w:hint="eastAsia" w:ascii="仿宋" w:hAnsi="仿宋" w:eastAsia="仿宋" w:cs="仿宋"/>
          <w:color w:val="auto"/>
          <w:kern w:val="0"/>
          <w:sz w:val="24"/>
          <w:highlight w:val="none"/>
        </w:rPr>
        <w:t>标时</w:t>
      </w:r>
      <w:r>
        <w:rPr>
          <w:rFonts w:hint="eastAsia" w:ascii="仿宋" w:hAnsi="仿宋" w:eastAsia="仿宋" w:cs="仿宋"/>
          <w:color w:val="auto"/>
          <w:spacing w:val="-2"/>
          <w:kern w:val="0"/>
          <w:sz w:val="24"/>
          <w:highlight w:val="none"/>
        </w:rPr>
        <w:t>间</w:t>
      </w:r>
      <w:r>
        <w:rPr>
          <w:rFonts w:hint="eastAsia" w:ascii="仿宋" w:hAnsi="仿宋" w:eastAsia="仿宋" w:cs="仿宋"/>
          <w:color w:val="auto"/>
          <w:kern w:val="0"/>
          <w:sz w:val="24"/>
          <w:highlight w:val="none"/>
        </w:rPr>
        <w:t>），通</w:t>
      </w:r>
      <w:r>
        <w:rPr>
          <w:rFonts w:hint="eastAsia" w:ascii="仿宋" w:hAnsi="仿宋" w:eastAsia="仿宋" w:cs="仿宋"/>
          <w:color w:val="auto"/>
          <w:spacing w:val="-2"/>
          <w:kern w:val="0"/>
          <w:sz w:val="24"/>
          <w:highlight w:val="none"/>
        </w:rPr>
        <w:t>过</w:t>
      </w:r>
      <w:r>
        <w:rPr>
          <w:rFonts w:hint="eastAsia" w:ascii="仿宋" w:hAnsi="仿宋" w:eastAsia="仿宋" w:cs="仿宋"/>
          <w:color w:val="auto"/>
          <w:kern w:val="0"/>
          <w:sz w:val="24"/>
          <w:highlight w:val="none"/>
        </w:rPr>
        <w:t>电</w:t>
      </w:r>
      <w:r>
        <w:rPr>
          <w:rFonts w:hint="eastAsia" w:ascii="仿宋" w:hAnsi="仿宋" w:eastAsia="仿宋" w:cs="仿宋"/>
          <w:color w:val="auto"/>
          <w:spacing w:val="-2"/>
          <w:kern w:val="0"/>
          <w:sz w:val="24"/>
          <w:highlight w:val="none"/>
        </w:rPr>
        <w:t>子</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标投</w:t>
      </w:r>
      <w:r>
        <w:rPr>
          <w:rFonts w:hint="eastAsia" w:ascii="仿宋" w:hAnsi="仿宋" w:eastAsia="仿宋" w:cs="仿宋"/>
          <w:color w:val="auto"/>
          <w:kern w:val="0"/>
          <w:sz w:val="24"/>
          <w:highlight w:val="none"/>
        </w:rPr>
        <w:t>标交</w:t>
      </w:r>
      <w:r>
        <w:rPr>
          <w:rFonts w:hint="eastAsia" w:ascii="仿宋" w:hAnsi="仿宋" w:eastAsia="仿宋" w:cs="仿宋"/>
          <w:color w:val="auto"/>
          <w:spacing w:val="-2"/>
          <w:kern w:val="0"/>
          <w:sz w:val="24"/>
          <w:highlight w:val="none"/>
        </w:rPr>
        <w:t>易</w:t>
      </w:r>
      <w:r>
        <w:rPr>
          <w:rFonts w:hint="eastAsia" w:ascii="仿宋" w:hAnsi="仿宋" w:eastAsia="仿宋" w:cs="仿宋"/>
          <w:color w:val="auto"/>
          <w:kern w:val="0"/>
          <w:sz w:val="24"/>
          <w:highlight w:val="none"/>
        </w:rPr>
        <w:t>平</w:t>
      </w:r>
      <w:r>
        <w:rPr>
          <w:rFonts w:hint="eastAsia" w:ascii="仿宋" w:hAnsi="仿宋" w:eastAsia="仿宋" w:cs="仿宋"/>
          <w:color w:val="auto"/>
          <w:spacing w:val="-2"/>
          <w:kern w:val="0"/>
          <w:sz w:val="24"/>
          <w:highlight w:val="none"/>
        </w:rPr>
        <w:t>台</w:t>
      </w:r>
      <w:r>
        <w:rPr>
          <w:rFonts w:hint="eastAsia" w:ascii="仿宋" w:hAnsi="仿宋" w:eastAsia="仿宋" w:cs="仿宋"/>
          <w:color w:val="auto"/>
          <w:kern w:val="0"/>
          <w:sz w:val="24"/>
          <w:highlight w:val="none"/>
        </w:rPr>
        <w:t>公开开</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所</w:t>
      </w:r>
      <w:r>
        <w:rPr>
          <w:rFonts w:hint="eastAsia" w:ascii="仿宋" w:hAnsi="仿宋" w:eastAsia="仿宋" w:cs="仿宋"/>
          <w:color w:val="auto"/>
          <w:kern w:val="0"/>
          <w:sz w:val="24"/>
          <w:highlight w:val="none"/>
        </w:rPr>
        <w:t>有</w:t>
      </w:r>
      <w:r>
        <w:rPr>
          <w:rFonts w:hint="eastAsia" w:ascii="仿宋" w:hAnsi="仿宋" w:eastAsia="仿宋" w:cs="仿宋"/>
          <w:color w:val="auto"/>
          <w:spacing w:val="-2"/>
          <w:kern w:val="0"/>
          <w:sz w:val="24"/>
          <w:highlight w:val="none"/>
        </w:rPr>
        <w:t>投</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的</w:t>
      </w:r>
      <w:r>
        <w:rPr>
          <w:rFonts w:hint="eastAsia" w:ascii="仿宋" w:hAnsi="仿宋" w:eastAsia="仿宋" w:cs="仿宋"/>
          <w:color w:val="auto"/>
          <w:spacing w:val="-2"/>
          <w:kern w:val="0"/>
          <w:sz w:val="24"/>
          <w:highlight w:val="none"/>
        </w:rPr>
        <w:t>法</w:t>
      </w:r>
      <w:r>
        <w:rPr>
          <w:rFonts w:hint="eastAsia" w:ascii="仿宋" w:hAnsi="仿宋" w:eastAsia="仿宋" w:cs="仿宋"/>
          <w:color w:val="auto"/>
          <w:kern w:val="0"/>
          <w:sz w:val="24"/>
          <w:highlight w:val="none"/>
        </w:rPr>
        <w:t>定代</w:t>
      </w:r>
      <w:r>
        <w:rPr>
          <w:rFonts w:hint="eastAsia" w:ascii="仿宋" w:hAnsi="仿宋" w:eastAsia="仿宋" w:cs="仿宋"/>
          <w:color w:val="auto"/>
          <w:spacing w:val="-2"/>
          <w:kern w:val="0"/>
          <w:sz w:val="24"/>
          <w:highlight w:val="none"/>
        </w:rPr>
        <w:t>表</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或</w:t>
      </w:r>
      <w:r>
        <w:rPr>
          <w:rFonts w:hint="eastAsia" w:ascii="仿宋" w:hAnsi="仿宋" w:eastAsia="仿宋" w:cs="仿宋"/>
          <w:color w:val="auto"/>
          <w:kern w:val="0"/>
          <w:sz w:val="24"/>
          <w:highlight w:val="none"/>
        </w:rPr>
        <w:t>其</w:t>
      </w:r>
      <w:r>
        <w:rPr>
          <w:rFonts w:hint="eastAsia" w:ascii="仿宋" w:hAnsi="仿宋" w:eastAsia="仿宋" w:cs="仿宋"/>
          <w:color w:val="auto"/>
          <w:spacing w:val="-2"/>
          <w:kern w:val="0"/>
          <w:sz w:val="24"/>
          <w:highlight w:val="none"/>
        </w:rPr>
        <w:t>委</w:t>
      </w:r>
      <w:r>
        <w:rPr>
          <w:rFonts w:hint="eastAsia" w:ascii="仿宋" w:hAnsi="仿宋" w:eastAsia="仿宋" w:cs="仿宋"/>
          <w:color w:val="auto"/>
          <w:kern w:val="0"/>
          <w:sz w:val="24"/>
          <w:highlight w:val="none"/>
        </w:rPr>
        <w:t>托</w:t>
      </w:r>
      <w:r>
        <w:rPr>
          <w:rFonts w:hint="eastAsia" w:ascii="仿宋" w:hAnsi="仿宋" w:eastAsia="仿宋" w:cs="仿宋"/>
          <w:color w:val="auto"/>
          <w:spacing w:val="-2"/>
          <w:kern w:val="0"/>
          <w:sz w:val="24"/>
          <w:highlight w:val="none"/>
        </w:rPr>
        <w:t>代</w:t>
      </w:r>
      <w:r>
        <w:rPr>
          <w:rFonts w:hint="eastAsia" w:ascii="仿宋" w:hAnsi="仿宋" w:eastAsia="仿宋" w:cs="仿宋"/>
          <w:color w:val="auto"/>
          <w:kern w:val="0"/>
          <w:sz w:val="24"/>
          <w:highlight w:val="none"/>
        </w:rPr>
        <w:t>理</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应当</w:t>
      </w:r>
      <w:r>
        <w:rPr>
          <w:rFonts w:hint="eastAsia" w:ascii="仿宋" w:hAnsi="仿宋" w:eastAsia="仿宋" w:cs="仿宋"/>
          <w:color w:val="auto"/>
          <w:spacing w:val="-2"/>
          <w:kern w:val="0"/>
          <w:sz w:val="24"/>
          <w:highlight w:val="none"/>
        </w:rPr>
        <w:t>准</w:t>
      </w:r>
      <w:r>
        <w:rPr>
          <w:rFonts w:hint="eastAsia" w:ascii="仿宋" w:hAnsi="仿宋" w:eastAsia="仿宋" w:cs="仿宋"/>
          <w:color w:val="auto"/>
          <w:kern w:val="0"/>
          <w:sz w:val="24"/>
          <w:highlight w:val="none"/>
        </w:rPr>
        <w:t>时</w:t>
      </w:r>
      <w:r>
        <w:rPr>
          <w:rFonts w:hint="eastAsia" w:ascii="仿宋" w:hAnsi="仿宋" w:eastAsia="仿宋" w:cs="仿宋"/>
          <w:color w:val="auto"/>
          <w:spacing w:val="-2"/>
          <w:kern w:val="0"/>
          <w:sz w:val="24"/>
          <w:highlight w:val="none"/>
        </w:rPr>
        <w:t>参</w:t>
      </w:r>
      <w:r>
        <w:rPr>
          <w:rFonts w:hint="eastAsia" w:ascii="仿宋" w:hAnsi="仿宋" w:eastAsia="仿宋" w:cs="仿宋"/>
          <w:color w:val="auto"/>
          <w:kern w:val="0"/>
          <w:sz w:val="24"/>
          <w:highlight w:val="none"/>
        </w:rPr>
        <w:t>加。开标地点</w:t>
      </w:r>
      <w:r>
        <w:rPr>
          <w:rFonts w:hint="eastAsia" w:ascii="仿宋" w:hAnsi="仿宋" w:eastAsia="仿宋" w:cs="仿宋"/>
          <w:color w:val="auto"/>
          <w:sz w:val="24"/>
          <w:highlight w:val="none"/>
        </w:rPr>
        <w:t>：驻马店市公共资源交易中心不见面开标三厅</w:t>
      </w:r>
    </w:p>
    <w:p w14:paraId="1EDC206B">
      <w:pPr>
        <w:pStyle w:val="4"/>
        <w:rPr>
          <w:rFonts w:hint="eastAsia" w:ascii="仿宋" w:hAnsi="仿宋" w:eastAsia="仿宋" w:cs="仿宋"/>
          <w:color w:val="auto"/>
          <w:szCs w:val="24"/>
          <w:highlight w:val="none"/>
        </w:rPr>
      </w:pPr>
      <w:bookmarkStart w:id="743" w:name="_Toc19721"/>
      <w:bookmarkStart w:id="744" w:name="_Toc22526"/>
      <w:bookmarkStart w:id="745" w:name="_Toc28857"/>
      <w:bookmarkStart w:id="746" w:name="_Toc7056"/>
      <w:bookmarkStart w:id="747" w:name="_Toc25719"/>
      <w:bookmarkStart w:id="748" w:name="_Toc5270"/>
      <w:bookmarkStart w:id="749" w:name="_Toc8554"/>
      <w:bookmarkStart w:id="750" w:name="_Toc6179"/>
      <w:bookmarkStart w:id="751" w:name="_Toc3953"/>
      <w:bookmarkStart w:id="752" w:name="_Toc12299"/>
      <w:bookmarkStart w:id="753" w:name="_Toc32740"/>
      <w:bookmarkStart w:id="754" w:name="_Toc11575"/>
      <w:bookmarkStart w:id="755" w:name="_Toc4763"/>
      <w:bookmarkStart w:id="756" w:name="_Toc11787"/>
      <w:bookmarkStart w:id="757" w:name="_Toc30364"/>
      <w:bookmarkStart w:id="758" w:name="_Toc5281"/>
      <w:bookmarkStart w:id="759" w:name="_Toc26785"/>
      <w:bookmarkStart w:id="760" w:name="_Toc15384"/>
      <w:bookmarkStart w:id="761" w:name="_Toc23762"/>
      <w:bookmarkStart w:id="762" w:name="_Toc17134"/>
      <w:r>
        <w:rPr>
          <w:rFonts w:hint="eastAsia" w:ascii="仿宋" w:hAnsi="仿宋" w:eastAsia="仿宋" w:cs="仿宋"/>
          <w:color w:val="auto"/>
          <w:szCs w:val="24"/>
          <w:highlight w:val="none"/>
        </w:rPr>
        <w:t>5.2 开标程序</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75E5BEB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5.2.1 主持人按下列程序进行开标：</w:t>
      </w:r>
    </w:p>
    <w:p w14:paraId="3CBCAF5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（1）宣布开标纪律；</w:t>
      </w:r>
    </w:p>
    <w:p w14:paraId="47D3BAB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（2）公布在投标截止时间前递交投标文件的投标人名称；</w:t>
      </w:r>
    </w:p>
    <w:p w14:paraId="4C1A098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投标人通过电子招标投标交易平台对已递交的电子投标文件进行解密，因投标人原因造成投标文件未能解密的，视为撤销其投标文件；因投标人之外的原因造成投标文件未解密的，视为撤回其投标文件，投标人有权要求责任方赔偿因此遭受的直接损失。部分投标文件未解密的，其他投标文件的开标继续进行；</w:t>
      </w:r>
    </w:p>
    <w:p w14:paraId="2A8F8D7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（4）公布招标项目名称、投标人名称、投标保证金的递交情况、投标报价、项目经理、工期及其他内容；</w:t>
      </w:r>
    </w:p>
    <w:p w14:paraId="7998DDB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（5）开标结束，生成开标记录；</w:t>
      </w:r>
    </w:p>
    <w:p w14:paraId="53E4BAB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（6）招标人或招标代理机构按投标人须知前附表规定查询相关信息。</w:t>
      </w:r>
    </w:p>
    <w:p w14:paraId="3C71835F">
      <w:pPr>
        <w:pStyle w:val="4"/>
        <w:rPr>
          <w:rFonts w:hint="eastAsia" w:ascii="仿宋" w:hAnsi="仿宋" w:eastAsia="仿宋" w:cs="仿宋"/>
          <w:color w:val="auto"/>
          <w:szCs w:val="24"/>
          <w:highlight w:val="none"/>
        </w:rPr>
      </w:pPr>
      <w:bookmarkStart w:id="763" w:name="_Toc11059"/>
      <w:bookmarkStart w:id="764" w:name="_Toc18125"/>
      <w:bookmarkStart w:id="765" w:name="_Toc11720"/>
      <w:bookmarkStart w:id="766" w:name="_Toc27678"/>
      <w:bookmarkStart w:id="767" w:name="_Toc24371"/>
      <w:bookmarkStart w:id="768" w:name="_Toc21227"/>
      <w:bookmarkStart w:id="769" w:name="_Toc30086"/>
      <w:bookmarkStart w:id="770" w:name="_Toc7562"/>
      <w:bookmarkStart w:id="771" w:name="_Toc27024"/>
      <w:bookmarkStart w:id="772" w:name="_Toc30989"/>
      <w:bookmarkStart w:id="773" w:name="_Toc19422"/>
      <w:bookmarkStart w:id="774" w:name="_Toc11212"/>
      <w:bookmarkStart w:id="775" w:name="_Toc15576"/>
      <w:bookmarkStart w:id="776" w:name="_Toc27788"/>
      <w:bookmarkStart w:id="777" w:name="_Toc17559"/>
      <w:bookmarkStart w:id="778" w:name="_Toc32156"/>
      <w:bookmarkStart w:id="779" w:name="_Toc14657"/>
      <w:bookmarkStart w:id="780" w:name="_Toc5575"/>
      <w:bookmarkStart w:id="781" w:name="_Toc23640"/>
      <w:bookmarkStart w:id="782" w:name="_Toc27525"/>
      <w:bookmarkStart w:id="783" w:name="_Toc3506"/>
      <w:bookmarkStart w:id="784" w:name="_Toc5828"/>
      <w:r>
        <w:rPr>
          <w:rFonts w:hint="eastAsia" w:ascii="仿宋" w:hAnsi="仿宋" w:eastAsia="仿宋" w:cs="仿宋"/>
          <w:color w:val="auto"/>
          <w:szCs w:val="24"/>
          <w:highlight w:val="none"/>
        </w:rPr>
        <w:t>5.3 开标异议</w:t>
      </w:r>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p>
    <w:p w14:paraId="6217FEA6">
      <w:pPr>
        <w:autoSpaceDE w:val="0"/>
        <w:autoSpaceDN w:val="0"/>
        <w:adjustRightInd w:val="0"/>
        <w:spacing w:line="360" w:lineRule="auto"/>
        <w:ind w:right="-20" w:firstLine="480" w:firstLineChars="200"/>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投标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对</w:t>
      </w:r>
      <w:r>
        <w:rPr>
          <w:rFonts w:hint="eastAsia" w:ascii="仿宋" w:hAnsi="仿宋" w:eastAsia="仿宋" w:cs="仿宋"/>
          <w:color w:val="auto"/>
          <w:spacing w:val="-2"/>
          <w:kern w:val="0"/>
          <w:sz w:val="24"/>
          <w:highlight w:val="none"/>
        </w:rPr>
        <w:t>开</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有</w:t>
      </w:r>
      <w:r>
        <w:rPr>
          <w:rFonts w:hint="eastAsia" w:ascii="仿宋" w:hAnsi="仿宋" w:eastAsia="仿宋" w:cs="仿宋"/>
          <w:color w:val="auto"/>
          <w:kern w:val="0"/>
          <w:sz w:val="24"/>
          <w:highlight w:val="none"/>
        </w:rPr>
        <w:t>异</w:t>
      </w:r>
      <w:r>
        <w:rPr>
          <w:rFonts w:hint="eastAsia" w:ascii="仿宋" w:hAnsi="仿宋" w:eastAsia="仿宋" w:cs="仿宋"/>
          <w:color w:val="auto"/>
          <w:spacing w:val="-2"/>
          <w:kern w:val="0"/>
          <w:sz w:val="24"/>
          <w:highlight w:val="none"/>
        </w:rPr>
        <w:t>议</w:t>
      </w:r>
      <w:r>
        <w:rPr>
          <w:rFonts w:hint="eastAsia" w:ascii="仿宋" w:hAnsi="仿宋" w:eastAsia="仿宋" w:cs="仿宋"/>
          <w:color w:val="auto"/>
          <w:kern w:val="0"/>
          <w:sz w:val="24"/>
          <w:highlight w:val="none"/>
        </w:rPr>
        <w:t>的</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应当</w:t>
      </w:r>
      <w:r>
        <w:rPr>
          <w:rFonts w:hint="eastAsia" w:ascii="仿宋" w:hAnsi="仿宋" w:eastAsia="仿宋" w:cs="仿宋"/>
          <w:color w:val="auto"/>
          <w:spacing w:val="-2"/>
          <w:kern w:val="0"/>
          <w:sz w:val="24"/>
          <w:highlight w:val="none"/>
        </w:rPr>
        <w:t>在</w:t>
      </w:r>
      <w:r>
        <w:rPr>
          <w:rFonts w:hint="eastAsia" w:ascii="仿宋" w:hAnsi="仿宋" w:eastAsia="仿宋" w:cs="仿宋"/>
          <w:color w:val="auto"/>
          <w:kern w:val="0"/>
          <w:sz w:val="24"/>
          <w:highlight w:val="none"/>
        </w:rPr>
        <w:t>开</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现</w:t>
      </w:r>
      <w:r>
        <w:rPr>
          <w:rFonts w:hint="eastAsia" w:ascii="仿宋" w:hAnsi="仿宋" w:eastAsia="仿宋" w:cs="仿宋"/>
          <w:color w:val="auto"/>
          <w:spacing w:val="-2"/>
          <w:kern w:val="0"/>
          <w:sz w:val="24"/>
          <w:highlight w:val="none"/>
        </w:rPr>
        <w:t>场</w:t>
      </w:r>
      <w:r>
        <w:rPr>
          <w:rFonts w:hint="eastAsia" w:ascii="仿宋" w:hAnsi="仿宋" w:eastAsia="仿宋" w:cs="仿宋"/>
          <w:color w:val="auto"/>
          <w:kern w:val="0"/>
          <w:sz w:val="24"/>
          <w:highlight w:val="none"/>
        </w:rPr>
        <w:t>提</w:t>
      </w:r>
      <w:r>
        <w:rPr>
          <w:rFonts w:hint="eastAsia" w:ascii="仿宋" w:hAnsi="仿宋" w:eastAsia="仿宋" w:cs="仿宋"/>
          <w:color w:val="auto"/>
          <w:spacing w:val="-2"/>
          <w:kern w:val="0"/>
          <w:sz w:val="24"/>
          <w:highlight w:val="none"/>
        </w:rPr>
        <w:t>出</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招</w:t>
      </w:r>
      <w:r>
        <w:rPr>
          <w:rFonts w:hint="eastAsia" w:ascii="仿宋" w:hAnsi="仿宋" w:eastAsia="仿宋" w:cs="仿宋"/>
          <w:color w:val="auto"/>
          <w:kern w:val="0"/>
          <w:sz w:val="24"/>
          <w:highlight w:val="none"/>
        </w:rPr>
        <w:t>标人</w:t>
      </w:r>
      <w:r>
        <w:rPr>
          <w:rFonts w:hint="eastAsia" w:ascii="仿宋" w:hAnsi="仿宋" w:eastAsia="仿宋" w:cs="仿宋"/>
          <w:color w:val="auto"/>
          <w:spacing w:val="-2"/>
          <w:kern w:val="0"/>
          <w:sz w:val="24"/>
          <w:highlight w:val="none"/>
        </w:rPr>
        <w:t>当</w:t>
      </w:r>
      <w:r>
        <w:rPr>
          <w:rFonts w:hint="eastAsia" w:ascii="仿宋" w:hAnsi="仿宋" w:eastAsia="仿宋" w:cs="仿宋"/>
          <w:color w:val="auto"/>
          <w:kern w:val="0"/>
          <w:sz w:val="24"/>
          <w:highlight w:val="none"/>
        </w:rPr>
        <w:t>场</w:t>
      </w:r>
      <w:r>
        <w:rPr>
          <w:rFonts w:hint="eastAsia" w:ascii="仿宋" w:hAnsi="仿宋" w:eastAsia="仿宋" w:cs="仿宋"/>
          <w:color w:val="auto"/>
          <w:spacing w:val="-2"/>
          <w:kern w:val="0"/>
          <w:sz w:val="24"/>
          <w:highlight w:val="none"/>
        </w:rPr>
        <w:t>作</w:t>
      </w:r>
      <w:r>
        <w:rPr>
          <w:rFonts w:hint="eastAsia" w:ascii="仿宋" w:hAnsi="仿宋" w:eastAsia="仿宋" w:cs="仿宋"/>
          <w:color w:val="auto"/>
          <w:kern w:val="0"/>
          <w:sz w:val="24"/>
          <w:highlight w:val="none"/>
        </w:rPr>
        <w:t>出</w:t>
      </w:r>
      <w:r>
        <w:rPr>
          <w:rFonts w:hint="eastAsia" w:ascii="仿宋" w:hAnsi="仿宋" w:eastAsia="仿宋" w:cs="仿宋"/>
          <w:color w:val="auto"/>
          <w:spacing w:val="-2"/>
          <w:kern w:val="0"/>
          <w:sz w:val="24"/>
          <w:highlight w:val="none"/>
        </w:rPr>
        <w:t>答</w:t>
      </w:r>
      <w:r>
        <w:rPr>
          <w:rFonts w:hint="eastAsia" w:ascii="仿宋" w:hAnsi="仿宋" w:eastAsia="仿宋" w:cs="仿宋"/>
          <w:color w:val="auto"/>
          <w:kern w:val="0"/>
          <w:sz w:val="24"/>
          <w:highlight w:val="none"/>
        </w:rPr>
        <w:t>复</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并</w:t>
      </w:r>
      <w:r>
        <w:rPr>
          <w:rFonts w:hint="eastAsia" w:ascii="仿宋" w:hAnsi="仿宋" w:eastAsia="仿宋" w:cs="仿宋"/>
          <w:color w:val="auto"/>
          <w:spacing w:val="-2"/>
          <w:kern w:val="0"/>
          <w:sz w:val="24"/>
          <w:highlight w:val="none"/>
        </w:rPr>
        <w:t>制</w:t>
      </w:r>
      <w:r>
        <w:rPr>
          <w:rFonts w:hint="eastAsia" w:ascii="仿宋" w:hAnsi="仿宋" w:eastAsia="仿宋" w:cs="仿宋"/>
          <w:color w:val="auto"/>
          <w:kern w:val="0"/>
          <w:sz w:val="24"/>
          <w:highlight w:val="none"/>
        </w:rPr>
        <w:t>作记</w:t>
      </w:r>
      <w:r>
        <w:rPr>
          <w:rFonts w:hint="eastAsia" w:ascii="仿宋" w:hAnsi="仿宋" w:eastAsia="仿宋" w:cs="仿宋"/>
          <w:color w:val="auto"/>
          <w:spacing w:val="-2"/>
          <w:kern w:val="0"/>
          <w:sz w:val="24"/>
          <w:highlight w:val="none"/>
        </w:rPr>
        <w:t>录</w:t>
      </w:r>
      <w:r>
        <w:rPr>
          <w:rFonts w:hint="eastAsia" w:ascii="仿宋" w:hAnsi="仿宋" w:eastAsia="仿宋" w:cs="仿宋"/>
          <w:color w:val="auto"/>
          <w:kern w:val="0"/>
          <w:sz w:val="24"/>
          <w:highlight w:val="none"/>
        </w:rPr>
        <w:t>。</w:t>
      </w:r>
    </w:p>
    <w:p w14:paraId="44C5DA36">
      <w:pPr>
        <w:pStyle w:val="3"/>
        <w:spacing w:before="156" w:beforeLines="50" w:after="156" w:afterLines="50" w:line="360" w:lineRule="auto"/>
        <w:rPr>
          <w:rFonts w:hint="eastAsia" w:ascii="仿宋" w:hAnsi="仿宋" w:eastAsia="仿宋" w:cs="仿宋"/>
          <w:b w:val="0"/>
          <w:color w:val="auto"/>
          <w:sz w:val="24"/>
          <w:szCs w:val="24"/>
          <w:highlight w:val="none"/>
        </w:rPr>
      </w:pPr>
      <w:bookmarkStart w:id="785" w:name="_Toc8226"/>
      <w:bookmarkStart w:id="786" w:name="_Toc21100"/>
      <w:bookmarkStart w:id="787" w:name="_Toc14102"/>
      <w:bookmarkStart w:id="788" w:name="_Toc17283"/>
      <w:bookmarkStart w:id="789" w:name="_Toc27067"/>
      <w:bookmarkStart w:id="790" w:name="_Toc21715"/>
      <w:bookmarkStart w:id="791" w:name="_Toc23255"/>
      <w:bookmarkStart w:id="792" w:name="_Toc13075"/>
      <w:bookmarkStart w:id="793" w:name="_Toc20020"/>
      <w:bookmarkStart w:id="794" w:name="_Toc16890"/>
      <w:bookmarkStart w:id="795" w:name="_Toc23299"/>
      <w:bookmarkStart w:id="796" w:name="_Toc15554"/>
      <w:bookmarkStart w:id="797" w:name="_Toc9795"/>
      <w:r>
        <w:rPr>
          <w:rFonts w:hint="eastAsia" w:ascii="仿宋" w:hAnsi="仿宋" w:eastAsia="仿宋" w:cs="仿宋"/>
          <w:b w:val="0"/>
          <w:color w:val="auto"/>
          <w:sz w:val="24"/>
          <w:szCs w:val="24"/>
          <w:highlight w:val="none"/>
        </w:rPr>
        <w:t>6．评标</w:t>
      </w:r>
      <w:bookmarkEnd w:id="785"/>
      <w:bookmarkEnd w:id="786"/>
      <w:bookmarkEnd w:id="787"/>
      <w:bookmarkEnd w:id="788"/>
      <w:bookmarkEnd w:id="789"/>
      <w:bookmarkEnd w:id="790"/>
      <w:bookmarkEnd w:id="791"/>
      <w:bookmarkEnd w:id="792"/>
      <w:bookmarkEnd w:id="793"/>
      <w:bookmarkEnd w:id="794"/>
      <w:bookmarkEnd w:id="795"/>
      <w:bookmarkEnd w:id="796"/>
      <w:bookmarkEnd w:id="797"/>
    </w:p>
    <w:p w14:paraId="51007D68">
      <w:pPr>
        <w:pStyle w:val="4"/>
        <w:rPr>
          <w:rFonts w:hint="eastAsia" w:ascii="仿宋" w:hAnsi="仿宋" w:eastAsia="仿宋" w:cs="仿宋"/>
          <w:color w:val="auto"/>
          <w:szCs w:val="24"/>
          <w:highlight w:val="none"/>
        </w:rPr>
      </w:pPr>
      <w:bookmarkStart w:id="798" w:name="_Toc5447"/>
      <w:bookmarkStart w:id="799" w:name="_Toc7832"/>
      <w:bookmarkStart w:id="800" w:name="_Toc23520"/>
      <w:bookmarkStart w:id="801" w:name="_Toc27755"/>
      <w:bookmarkStart w:id="802" w:name="_Toc11439"/>
      <w:bookmarkStart w:id="803" w:name="_Toc4823"/>
      <w:bookmarkStart w:id="804" w:name="_Toc1772"/>
      <w:bookmarkStart w:id="805" w:name="_Toc20004"/>
      <w:bookmarkStart w:id="806" w:name="_Toc24543"/>
      <w:bookmarkStart w:id="807" w:name="_Toc20122"/>
      <w:bookmarkStart w:id="808" w:name="_Toc15840"/>
      <w:bookmarkStart w:id="809" w:name="_Toc21509"/>
      <w:bookmarkStart w:id="810" w:name="_Toc28157"/>
      <w:bookmarkStart w:id="811" w:name="_Toc29128"/>
      <w:bookmarkStart w:id="812" w:name="_Toc30968"/>
      <w:bookmarkStart w:id="813" w:name="_Toc14804"/>
      <w:bookmarkStart w:id="814" w:name="_Toc20665"/>
      <w:bookmarkStart w:id="815" w:name="_Toc21418"/>
      <w:bookmarkStart w:id="816" w:name="_Toc14112"/>
      <w:bookmarkStart w:id="817" w:name="_Toc12315"/>
      <w:r>
        <w:rPr>
          <w:rFonts w:hint="eastAsia" w:ascii="仿宋" w:hAnsi="仿宋" w:eastAsia="仿宋" w:cs="仿宋"/>
          <w:color w:val="auto"/>
          <w:szCs w:val="24"/>
          <w:highlight w:val="none"/>
        </w:rPr>
        <w:t>6.1 评标委员会</w:t>
      </w:r>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p>
    <w:p w14:paraId="3CAE2CA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6.1.1 评标由招标人依法组建的评标委员会负责。评标委员会由招标人代表，以及有关技术、经济等方面的专家组成。评标委员会成员人数以及技术、经济等方面专家的确定方式见投标人须知前附表。</w:t>
      </w:r>
    </w:p>
    <w:p w14:paraId="421DAFF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6.1.2 评标委员会成员有下列情形之一的，应当回避：</w:t>
      </w:r>
    </w:p>
    <w:p w14:paraId="2BE3D64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（1）投标人或者投标人主要负责人的近亲属；</w:t>
      </w:r>
    </w:p>
    <w:p w14:paraId="3658F42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（2）项目主管部门或者对该项目有监督职责的行政主管部门的工作人员；</w:t>
      </w:r>
    </w:p>
    <w:p w14:paraId="3E9A67A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（3）与投标人有经济利益等利害关系，可能影响公正评审的；</w:t>
      </w:r>
    </w:p>
    <w:p w14:paraId="5BC3FF3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（4）曾因在招标、评标以及其他与招标投标有关活动中从事违法行为而受过行政处罚或刑事处罚的；</w:t>
      </w:r>
    </w:p>
    <w:p w14:paraId="3C196E69">
      <w:pPr>
        <w:spacing w:line="360" w:lineRule="auto"/>
        <w:ind w:firstLine="480" w:firstLineChars="200"/>
        <w:rPr>
          <w:rFonts w:hint="eastAsia" w:ascii="仿宋" w:hAnsi="仿宋" w:eastAsia="仿宋" w:cs="仿宋"/>
          <w:color w:val="auto"/>
          <w:sz w:val="24"/>
          <w:highlight w:val="none"/>
        </w:rPr>
      </w:pPr>
      <w:bookmarkStart w:id="818" w:name="OLE_LINK13"/>
      <w:bookmarkStart w:id="819" w:name="OLE_LINK12"/>
      <w:r>
        <w:rPr>
          <w:rFonts w:hint="eastAsia" w:ascii="仿宋" w:hAnsi="仿宋" w:eastAsia="仿宋" w:cs="仿宋"/>
          <w:color w:val="auto"/>
          <w:sz w:val="24"/>
          <w:highlight w:val="none"/>
        </w:rPr>
        <w:t>（5）</w:t>
      </w:r>
      <w:bookmarkEnd w:id="818"/>
      <w:bookmarkEnd w:id="819"/>
      <w:r>
        <w:rPr>
          <w:rFonts w:hint="eastAsia" w:ascii="仿宋" w:hAnsi="仿宋" w:eastAsia="仿宋" w:cs="仿宋"/>
          <w:color w:val="auto"/>
          <w:sz w:val="24"/>
          <w:highlight w:val="none"/>
        </w:rPr>
        <w:t>招标项目代理机构的在职人员作为评标专家的；</w:t>
      </w:r>
    </w:p>
    <w:p w14:paraId="2C1A1A6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（6）法律法规和规章规定的其他情形。</w:t>
      </w:r>
    </w:p>
    <w:p w14:paraId="41B7AE5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6.1.3 评标过程中，评标委员会成员有回避事由、擅离职守或者因健康等原因不能继续评标的，招标人有权更换。被更换的评标委员会成员作出的评审结论无效，由更换后的评标委员会成员重新进行评审。</w:t>
      </w:r>
    </w:p>
    <w:p w14:paraId="299C28C3">
      <w:pPr>
        <w:pStyle w:val="4"/>
        <w:rPr>
          <w:rFonts w:hint="eastAsia" w:ascii="仿宋" w:hAnsi="仿宋" w:eastAsia="仿宋" w:cs="仿宋"/>
          <w:color w:val="auto"/>
          <w:szCs w:val="24"/>
          <w:highlight w:val="none"/>
        </w:rPr>
      </w:pPr>
      <w:bookmarkStart w:id="820" w:name="_Toc10821"/>
      <w:bookmarkStart w:id="821" w:name="_Toc25345"/>
      <w:bookmarkStart w:id="822" w:name="_Toc26652"/>
      <w:bookmarkStart w:id="823" w:name="_Toc32313"/>
      <w:bookmarkStart w:id="824" w:name="_Toc12284"/>
      <w:bookmarkStart w:id="825" w:name="_Toc27030"/>
      <w:bookmarkStart w:id="826" w:name="_Toc15718"/>
      <w:bookmarkStart w:id="827" w:name="_Toc5262"/>
      <w:bookmarkStart w:id="828" w:name="_Toc27575"/>
      <w:bookmarkStart w:id="829" w:name="_Toc26862"/>
      <w:bookmarkStart w:id="830" w:name="_Toc17366"/>
      <w:bookmarkStart w:id="831" w:name="_Toc17720"/>
      <w:bookmarkStart w:id="832" w:name="_Toc8787"/>
      <w:bookmarkStart w:id="833" w:name="_Toc16"/>
      <w:bookmarkStart w:id="834" w:name="_Toc20261"/>
      <w:bookmarkStart w:id="835" w:name="_Toc12143"/>
      <w:bookmarkStart w:id="836" w:name="_Toc11270"/>
      <w:bookmarkStart w:id="837" w:name="_Toc5404"/>
      <w:bookmarkStart w:id="838" w:name="_Toc12345"/>
      <w:bookmarkStart w:id="839" w:name="_Toc11197"/>
      <w:r>
        <w:rPr>
          <w:rFonts w:hint="eastAsia" w:ascii="仿宋" w:hAnsi="仿宋" w:eastAsia="仿宋" w:cs="仿宋"/>
          <w:color w:val="auto"/>
          <w:szCs w:val="24"/>
          <w:highlight w:val="none"/>
        </w:rPr>
        <w:t>6.2 评标原则</w:t>
      </w:r>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p>
    <w:p w14:paraId="719F607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评标活动遵循公平、公正、科学和择优的原则。</w:t>
      </w:r>
    </w:p>
    <w:p w14:paraId="0EE578C5">
      <w:pPr>
        <w:pStyle w:val="4"/>
        <w:rPr>
          <w:rFonts w:hint="eastAsia" w:ascii="仿宋" w:hAnsi="仿宋" w:eastAsia="仿宋" w:cs="仿宋"/>
          <w:color w:val="auto"/>
          <w:szCs w:val="24"/>
          <w:highlight w:val="none"/>
        </w:rPr>
      </w:pPr>
      <w:bookmarkStart w:id="840" w:name="_Toc27842"/>
      <w:bookmarkStart w:id="841" w:name="_Toc17216"/>
      <w:bookmarkStart w:id="842" w:name="_Toc5838"/>
      <w:bookmarkStart w:id="843" w:name="_Toc158"/>
      <w:bookmarkStart w:id="844" w:name="_Toc401"/>
      <w:bookmarkStart w:id="845" w:name="_Toc26420"/>
      <w:bookmarkStart w:id="846" w:name="_Toc21902"/>
      <w:bookmarkStart w:id="847" w:name="_Toc5542"/>
      <w:bookmarkStart w:id="848" w:name="_Toc1139"/>
      <w:bookmarkStart w:id="849" w:name="_Toc28568"/>
      <w:bookmarkStart w:id="850" w:name="_Toc8760"/>
      <w:bookmarkStart w:id="851" w:name="_Toc4839"/>
      <w:bookmarkStart w:id="852" w:name="_Toc28905"/>
      <w:bookmarkStart w:id="853" w:name="_Toc25580"/>
      <w:bookmarkStart w:id="854" w:name="_Toc16535"/>
      <w:bookmarkStart w:id="855" w:name="_Toc27398"/>
      <w:bookmarkStart w:id="856" w:name="_Toc21825"/>
      <w:bookmarkStart w:id="857" w:name="_Toc10184"/>
      <w:bookmarkStart w:id="858" w:name="_Toc10234"/>
      <w:bookmarkStart w:id="859" w:name="_Toc19186"/>
      <w:r>
        <w:rPr>
          <w:rFonts w:hint="eastAsia" w:ascii="仿宋" w:hAnsi="仿宋" w:eastAsia="仿宋" w:cs="仿宋"/>
          <w:color w:val="auto"/>
          <w:szCs w:val="24"/>
          <w:highlight w:val="none"/>
        </w:rPr>
        <w:t>6.3 评标</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p>
    <w:p w14:paraId="46E61BE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6.3.1 评标委员会按照第三章“评标办法”规定的方法、评审因素、标准和程序对投标文件进行评审。第三章“评标办法”没有规定的方法、评审因素和标准，不作为评标依据。</w:t>
      </w:r>
    </w:p>
    <w:p w14:paraId="43F7473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6.3.2 评标完成后，评标委员会应当向招标人提交书面评标报告和中标候选人名单。评标委员会推荐中标候选人的人数见投标人须知前附表。</w:t>
      </w:r>
    </w:p>
    <w:p w14:paraId="56EC3A03">
      <w:pPr>
        <w:pStyle w:val="4"/>
        <w:rPr>
          <w:rFonts w:hint="eastAsia" w:ascii="仿宋" w:hAnsi="仿宋" w:eastAsia="仿宋" w:cs="仿宋"/>
          <w:color w:val="auto"/>
          <w:szCs w:val="24"/>
          <w:highlight w:val="none"/>
        </w:rPr>
      </w:pPr>
      <w:bookmarkStart w:id="860" w:name="_Toc3027"/>
      <w:bookmarkStart w:id="861" w:name="_Toc2591"/>
      <w:bookmarkStart w:id="862" w:name="_Toc8608"/>
      <w:bookmarkStart w:id="863" w:name="_Toc19500"/>
      <w:bookmarkStart w:id="864" w:name="_Toc32134"/>
      <w:bookmarkStart w:id="865" w:name="_Toc34"/>
      <w:bookmarkStart w:id="866" w:name="_Toc11763"/>
      <w:bookmarkStart w:id="867" w:name="_Toc2687"/>
      <w:bookmarkStart w:id="868" w:name="_Toc23337"/>
      <w:bookmarkStart w:id="869" w:name="_Toc10529"/>
      <w:bookmarkStart w:id="870" w:name="_Toc17673"/>
      <w:bookmarkStart w:id="871" w:name="_Toc26676"/>
      <w:bookmarkStart w:id="872" w:name="_Toc23272"/>
      <w:bookmarkStart w:id="873" w:name="_Toc13993"/>
      <w:bookmarkStart w:id="874" w:name="_Toc31403"/>
      <w:bookmarkStart w:id="875" w:name="_Toc23693"/>
      <w:bookmarkStart w:id="876" w:name="_Toc29516"/>
      <w:bookmarkStart w:id="877" w:name="_Toc3799"/>
      <w:bookmarkStart w:id="878" w:name="_Toc7854"/>
      <w:bookmarkStart w:id="879" w:name="_Toc14652"/>
      <w:r>
        <w:rPr>
          <w:rFonts w:hint="eastAsia" w:ascii="仿宋" w:hAnsi="仿宋" w:eastAsia="仿宋" w:cs="仿宋"/>
          <w:color w:val="auto"/>
          <w:szCs w:val="24"/>
          <w:highlight w:val="none"/>
        </w:rPr>
        <w:t>6.4 评标报告审查</w:t>
      </w:r>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 w14:paraId="787087A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在发布中标候选人公示前应当对评标委员会提交的书面评标报告进行审查，发现异常情形的，依照法定程序进行复核，确认存在问题的，依照法定程序予以纠正。重点关注评标委员会是否按照招标文件规定的评标标准和方法进行评标；是否存在对客观评审因素评分不一致，或者评分畸高、畸低现象；是否对可能低于成本或者影响履约的异常低价投标和严重不平衡报价进行分析研判；是否依法通知投标人进行澄清、说明；是否存在随意否决投标的情况。</w:t>
      </w:r>
    </w:p>
    <w:p w14:paraId="102E51FB">
      <w:pPr>
        <w:pStyle w:val="3"/>
        <w:spacing w:before="156" w:beforeLines="50" w:after="156" w:afterLines="50" w:line="360" w:lineRule="auto"/>
        <w:rPr>
          <w:rFonts w:hint="eastAsia" w:ascii="仿宋" w:hAnsi="仿宋" w:eastAsia="仿宋" w:cs="仿宋"/>
          <w:b w:val="0"/>
          <w:color w:val="auto"/>
          <w:sz w:val="24"/>
          <w:szCs w:val="24"/>
          <w:highlight w:val="none"/>
        </w:rPr>
      </w:pPr>
      <w:bookmarkStart w:id="880" w:name="_Toc2885"/>
      <w:bookmarkStart w:id="881" w:name="_Toc12805"/>
      <w:bookmarkStart w:id="882" w:name="_Toc27844"/>
      <w:bookmarkStart w:id="883" w:name="_Toc32390"/>
      <w:bookmarkStart w:id="884" w:name="_Toc24792"/>
      <w:bookmarkStart w:id="885" w:name="_Toc30254"/>
      <w:bookmarkStart w:id="886" w:name="_Toc32466"/>
      <w:bookmarkStart w:id="887" w:name="_Toc15789"/>
      <w:bookmarkStart w:id="888" w:name="_Toc24413"/>
      <w:bookmarkStart w:id="889" w:name="_Toc19400"/>
      <w:bookmarkStart w:id="890" w:name="_Toc12101"/>
      <w:bookmarkStart w:id="891" w:name="_Toc30886"/>
      <w:bookmarkStart w:id="892" w:name="_Toc29768"/>
      <w:r>
        <w:rPr>
          <w:rFonts w:hint="eastAsia" w:ascii="仿宋" w:hAnsi="仿宋" w:eastAsia="仿宋" w:cs="仿宋"/>
          <w:b w:val="0"/>
          <w:color w:val="auto"/>
          <w:sz w:val="24"/>
          <w:szCs w:val="24"/>
          <w:highlight w:val="none"/>
        </w:rPr>
        <w:t>7．合同授予</w:t>
      </w:r>
      <w:bookmarkEnd w:id="880"/>
      <w:bookmarkEnd w:id="881"/>
      <w:bookmarkEnd w:id="882"/>
      <w:bookmarkEnd w:id="883"/>
      <w:bookmarkEnd w:id="884"/>
      <w:bookmarkEnd w:id="885"/>
      <w:bookmarkEnd w:id="886"/>
      <w:bookmarkEnd w:id="887"/>
      <w:bookmarkEnd w:id="888"/>
      <w:bookmarkEnd w:id="889"/>
      <w:bookmarkEnd w:id="890"/>
      <w:bookmarkEnd w:id="891"/>
      <w:bookmarkEnd w:id="892"/>
    </w:p>
    <w:p w14:paraId="5936EA6A">
      <w:pPr>
        <w:pStyle w:val="4"/>
        <w:rPr>
          <w:rFonts w:hint="eastAsia" w:ascii="仿宋" w:hAnsi="仿宋" w:eastAsia="仿宋" w:cs="仿宋"/>
          <w:color w:val="auto"/>
          <w:szCs w:val="24"/>
          <w:highlight w:val="none"/>
        </w:rPr>
      </w:pPr>
      <w:bookmarkStart w:id="893" w:name="_Toc11428"/>
      <w:bookmarkStart w:id="894" w:name="_Toc2207"/>
      <w:bookmarkStart w:id="895" w:name="_Toc13177"/>
      <w:bookmarkStart w:id="896" w:name="_Toc31995"/>
      <w:bookmarkStart w:id="897" w:name="_Toc29047"/>
      <w:bookmarkStart w:id="898" w:name="_Toc10567"/>
      <w:bookmarkStart w:id="899" w:name="_Toc12931"/>
      <w:bookmarkStart w:id="900" w:name="_Toc30471"/>
      <w:bookmarkStart w:id="901" w:name="_Toc2314"/>
      <w:bookmarkStart w:id="902" w:name="_Toc23101"/>
      <w:bookmarkStart w:id="903" w:name="_Toc3198"/>
      <w:bookmarkStart w:id="904" w:name="_Toc8574"/>
      <w:bookmarkStart w:id="905" w:name="_Toc27479"/>
      <w:bookmarkStart w:id="906" w:name="_Toc5496"/>
      <w:bookmarkStart w:id="907" w:name="_Toc19857"/>
      <w:bookmarkStart w:id="908" w:name="_Toc32723"/>
      <w:bookmarkStart w:id="909" w:name="_Toc32290"/>
      <w:bookmarkStart w:id="910" w:name="_Toc22888"/>
      <w:bookmarkStart w:id="911" w:name="_Toc5653"/>
      <w:bookmarkStart w:id="912" w:name="_Toc12319"/>
      <w:bookmarkStart w:id="913" w:name="_Toc26333"/>
      <w:bookmarkStart w:id="914" w:name="_Toc12650"/>
      <w:r>
        <w:rPr>
          <w:rFonts w:hint="eastAsia" w:ascii="仿宋" w:hAnsi="仿宋" w:eastAsia="仿宋" w:cs="仿宋"/>
          <w:color w:val="auto"/>
          <w:szCs w:val="24"/>
          <w:highlight w:val="none"/>
        </w:rPr>
        <w:t>7.1 中标候选人公示</w:t>
      </w:r>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p>
    <w:p w14:paraId="68B0137F">
      <w:pPr>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7.1.1 招标人在收到评标报告之日起3日内，按照投标人须知前附表规定的公示媒介和期限公示中标候选人，公示期不得少于3日。</w:t>
      </w:r>
    </w:p>
    <w:p w14:paraId="31FFBDE1">
      <w:pPr>
        <w:pStyle w:val="4"/>
        <w:rPr>
          <w:rFonts w:hint="eastAsia" w:ascii="仿宋" w:hAnsi="仿宋" w:eastAsia="仿宋" w:cs="仿宋"/>
          <w:color w:val="auto"/>
          <w:szCs w:val="24"/>
          <w:highlight w:val="none"/>
        </w:rPr>
      </w:pPr>
      <w:bookmarkStart w:id="915" w:name="_Toc19413"/>
      <w:bookmarkStart w:id="916" w:name="_Toc25391"/>
      <w:bookmarkStart w:id="917" w:name="_Toc25236"/>
      <w:bookmarkStart w:id="918" w:name="_Toc134"/>
      <w:bookmarkStart w:id="919" w:name="_Toc18034"/>
      <w:bookmarkStart w:id="920" w:name="_Toc18556"/>
      <w:bookmarkStart w:id="921" w:name="_Toc25188"/>
      <w:bookmarkStart w:id="922" w:name="_Toc9277"/>
      <w:bookmarkStart w:id="923" w:name="_Toc7858"/>
      <w:bookmarkStart w:id="924" w:name="_Toc21312"/>
      <w:bookmarkStart w:id="925" w:name="_Toc17149"/>
      <w:bookmarkStart w:id="926" w:name="_Toc28080"/>
      <w:bookmarkStart w:id="927" w:name="_Toc19398"/>
      <w:bookmarkStart w:id="928" w:name="_Toc8434"/>
      <w:bookmarkStart w:id="929" w:name="_Toc16578"/>
      <w:bookmarkStart w:id="930" w:name="_Toc9479"/>
      <w:bookmarkStart w:id="931" w:name="_Toc9854"/>
      <w:bookmarkStart w:id="932" w:name="_Toc4956"/>
      <w:bookmarkStart w:id="933" w:name="_Toc12917"/>
      <w:bookmarkStart w:id="934" w:name="_Toc31229"/>
      <w:bookmarkStart w:id="935" w:name="_Toc30419"/>
      <w:r>
        <w:rPr>
          <w:rFonts w:hint="eastAsia" w:ascii="仿宋" w:hAnsi="仿宋" w:eastAsia="仿宋" w:cs="仿宋"/>
          <w:color w:val="auto"/>
          <w:szCs w:val="24"/>
          <w:highlight w:val="none"/>
        </w:rPr>
        <w:t>7.2 评标结果异议</w:t>
      </w:r>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p>
    <w:p w14:paraId="3B76210F">
      <w:pPr>
        <w:autoSpaceDE w:val="0"/>
        <w:autoSpaceDN w:val="0"/>
        <w:adjustRightInd w:val="0"/>
        <w:spacing w:line="360" w:lineRule="auto"/>
        <w:ind w:left="100" w:right="43"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投标人或者其他利</w:t>
      </w:r>
      <w:r>
        <w:rPr>
          <w:rFonts w:hint="eastAsia" w:ascii="仿宋" w:hAnsi="仿宋" w:eastAsia="仿宋" w:cs="仿宋"/>
          <w:color w:val="auto"/>
          <w:spacing w:val="-2"/>
          <w:kern w:val="0"/>
          <w:sz w:val="24"/>
          <w:highlight w:val="none"/>
        </w:rPr>
        <w:t>害</w:t>
      </w:r>
      <w:r>
        <w:rPr>
          <w:rFonts w:hint="eastAsia" w:ascii="仿宋" w:hAnsi="仿宋" w:eastAsia="仿宋" w:cs="仿宋"/>
          <w:color w:val="auto"/>
          <w:kern w:val="0"/>
          <w:sz w:val="24"/>
          <w:highlight w:val="none"/>
        </w:rPr>
        <w:t>关</w:t>
      </w:r>
      <w:r>
        <w:rPr>
          <w:rFonts w:hint="eastAsia" w:ascii="仿宋" w:hAnsi="仿宋" w:eastAsia="仿宋" w:cs="仿宋"/>
          <w:color w:val="auto"/>
          <w:spacing w:val="-2"/>
          <w:kern w:val="0"/>
          <w:sz w:val="24"/>
          <w:highlight w:val="none"/>
        </w:rPr>
        <w:t>系</w:t>
      </w:r>
      <w:r>
        <w:rPr>
          <w:rFonts w:hint="eastAsia" w:ascii="仿宋" w:hAnsi="仿宋" w:eastAsia="仿宋" w:cs="仿宋"/>
          <w:color w:val="auto"/>
          <w:kern w:val="0"/>
          <w:sz w:val="24"/>
          <w:highlight w:val="none"/>
        </w:rPr>
        <w:t>人对评标结果有异</w:t>
      </w:r>
      <w:r>
        <w:rPr>
          <w:rFonts w:hint="eastAsia" w:ascii="仿宋" w:hAnsi="仿宋" w:eastAsia="仿宋" w:cs="仿宋"/>
          <w:color w:val="auto"/>
          <w:spacing w:val="-2"/>
          <w:kern w:val="0"/>
          <w:sz w:val="24"/>
          <w:highlight w:val="none"/>
        </w:rPr>
        <w:t>议</w:t>
      </w:r>
      <w:r>
        <w:rPr>
          <w:rFonts w:hint="eastAsia" w:ascii="仿宋" w:hAnsi="仿宋" w:eastAsia="仿宋" w:cs="仿宋"/>
          <w:color w:val="auto"/>
          <w:kern w:val="0"/>
          <w:sz w:val="24"/>
          <w:highlight w:val="none"/>
        </w:rPr>
        <w:t>的</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应当在中标候选人</w:t>
      </w:r>
      <w:r>
        <w:rPr>
          <w:rFonts w:hint="eastAsia" w:ascii="仿宋" w:hAnsi="仿宋" w:eastAsia="仿宋" w:cs="仿宋"/>
          <w:color w:val="auto"/>
          <w:spacing w:val="-2"/>
          <w:kern w:val="0"/>
          <w:sz w:val="24"/>
          <w:highlight w:val="none"/>
        </w:rPr>
        <w:t>公</w:t>
      </w:r>
      <w:r>
        <w:rPr>
          <w:rFonts w:hint="eastAsia" w:ascii="仿宋" w:hAnsi="仿宋" w:eastAsia="仿宋" w:cs="仿宋"/>
          <w:color w:val="auto"/>
          <w:kern w:val="0"/>
          <w:sz w:val="24"/>
          <w:highlight w:val="none"/>
        </w:rPr>
        <w:t>示</w:t>
      </w:r>
      <w:r>
        <w:rPr>
          <w:rFonts w:hint="eastAsia" w:ascii="仿宋" w:hAnsi="仿宋" w:eastAsia="仿宋" w:cs="仿宋"/>
          <w:color w:val="auto"/>
          <w:spacing w:val="-2"/>
          <w:kern w:val="0"/>
          <w:sz w:val="24"/>
          <w:highlight w:val="none"/>
        </w:rPr>
        <w:t>期</w:t>
      </w:r>
      <w:r>
        <w:rPr>
          <w:rFonts w:hint="eastAsia" w:ascii="仿宋" w:hAnsi="仿宋" w:eastAsia="仿宋" w:cs="仿宋"/>
          <w:color w:val="auto"/>
          <w:kern w:val="0"/>
          <w:sz w:val="24"/>
          <w:highlight w:val="none"/>
        </w:rPr>
        <w:t>间提出。招标人将</w:t>
      </w:r>
      <w:r>
        <w:rPr>
          <w:rFonts w:hint="eastAsia" w:ascii="仿宋" w:hAnsi="仿宋" w:eastAsia="仿宋" w:cs="仿宋"/>
          <w:color w:val="auto"/>
          <w:spacing w:val="-2"/>
          <w:kern w:val="0"/>
          <w:sz w:val="24"/>
          <w:highlight w:val="none"/>
        </w:rPr>
        <w:t>在</w:t>
      </w:r>
      <w:r>
        <w:rPr>
          <w:rFonts w:hint="eastAsia" w:ascii="仿宋" w:hAnsi="仿宋" w:eastAsia="仿宋" w:cs="仿宋"/>
          <w:color w:val="auto"/>
          <w:kern w:val="0"/>
          <w:sz w:val="24"/>
          <w:highlight w:val="none"/>
        </w:rPr>
        <w:t>收</w:t>
      </w:r>
      <w:r>
        <w:rPr>
          <w:rFonts w:hint="eastAsia" w:ascii="仿宋" w:hAnsi="仿宋" w:eastAsia="仿宋" w:cs="仿宋"/>
          <w:color w:val="auto"/>
          <w:spacing w:val="-3"/>
          <w:kern w:val="0"/>
          <w:sz w:val="24"/>
          <w:highlight w:val="none"/>
        </w:rPr>
        <w:t>到</w:t>
      </w:r>
      <w:r>
        <w:rPr>
          <w:rFonts w:hint="eastAsia" w:ascii="仿宋" w:hAnsi="仿宋" w:eastAsia="仿宋" w:cs="仿宋"/>
          <w:color w:val="auto"/>
          <w:kern w:val="0"/>
          <w:sz w:val="24"/>
          <w:highlight w:val="none"/>
        </w:rPr>
        <w:t>异</w:t>
      </w:r>
      <w:r>
        <w:rPr>
          <w:rFonts w:hint="eastAsia" w:ascii="仿宋" w:hAnsi="仿宋" w:eastAsia="仿宋" w:cs="仿宋"/>
          <w:color w:val="auto"/>
          <w:spacing w:val="-2"/>
          <w:kern w:val="0"/>
          <w:sz w:val="24"/>
          <w:highlight w:val="none"/>
        </w:rPr>
        <w:t>议</w:t>
      </w:r>
      <w:r>
        <w:rPr>
          <w:rFonts w:hint="eastAsia" w:ascii="仿宋" w:hAnsi="仿宋" w:eastAsia="仿宋" w:cs="仿宋"/>
          <w:color w:val="auto"/>
          <w:kern w:val="0"/>
          <w:sz w:val="24"/>
          <w:highlight w:val="none"/>
        </w:rPr>
        <w:t>之</w:t>
      </w:r>
      <w:r>
        <w:rPr>
          <w:rFonts w:hint="eastAsia" w:ascii="仿宋" w:hAnsi="仿宋" w:eastAsia="仿宋" w:cs="仿宋"/>
          <w:color w:val="auto"/>
          <w:spacing w:val="-2"/>
          <w:kern w:val="0"/>
          <w:sz w:val="24"/>
          <w:highlight w:val="none"/>
        </w:rPr>
        <w:t>日</w:t>
      </w:r>
      <w:r>
        <w:rPr>
          <w:rFonts w:hint="eastAsia" w:ascii="仿宋" w:hAnsi="仿宋" w:eastAsia="仿宋" w:cs="仿宋"/>
          <w:color w:val="auto"/>
          <w:kern w:val="0"/>
          <w:sz w:val="24"/>
          <w:highlight w:val="none"/>
        </w:rPr>
        <w:t>起</w:t>
      </w:r>
      <w:r>
        <w:rPr>
          <w:rFonts w:hint="eastAsia" w:ascii="仿宋" w:hAnsi="仿宋" w:eastAsia="仿宋" w:cs="仿宋"/>
          <w:color w:val="auto"/>
          <w:spacing w:val="-10"/>
          <w:kern w:val="0"/>
          <w:sz w:val="24"/>
          <w:highlight w:val="none"/>
        </w:rPr>
        <w:t xml:space="preserve"> </w:t>
      </w:r>
      <w:r>
        <w:rPr>
          <w:rFonts w:hint="eastAsia" w:ascii="仿宋" w:hAnsi="仿宋" w:eastAsia="仿宋" w:cs="仿宋"/>
          <w:color w:val="auto"/>
          <w:kern w:val="0"/>
          <w:sz w:val="24"/>
          <w:highlight w:val="none"/>
        </w:rPr>
        <w:t>3</w:t>
      </w:r>
      <w:r>
        <w:rPr>
          <w:rFonts w:hint="eastAsia" w:ascii="仿宋" w:hAnsi="仿宋" w:eastAsia="仿宋" w:cs="仿宋"/>
          <w:color w:val="auto"/>
          <w:spacing w:val="-2"/>
          <w:kern w:val="0"/>
          <w:sz w:val="24"/>
          <w:highlight w:val="none"/>
        </w:rPr>
        <w:t xml:space="preserve"> </w:t>
      </w:r>
      <w:r>
        <w:rPr>
          <w:rFonts w:hint="eastAsia" w:ascii="仿宋" w:hAnsi="仿宋" w:eastAsia="仿宋" w:cs="仿宋"/>
          <w:color w:val="auto"/>
          <w:kern w:val="0"/>
          <w:sz w:val="24"/>
          <w:highlight w:val="none"/>
        </w:rPr>
        <w:t>日内</w:t>
      </w:r>
      <w:r>
        <w:rPr>
          <w:rFonts w:hint="eastAsia" w:ascii="仿宋" w:hAnsi="仿宋" w:eastAsia="仿宋" w:cs="仿宋"/>
          <w:color w:val="auto"/>
          <w:spacing w:val="-2"/>
          <w:kern w:val="0"/>
          <w:sz w:val="24"/>
          <w:highlight w:val="none"/>
        </w:rPr>
        <w:t>作</w:t>
      </w:r>
      <w:r>
        <w:rPr>
          <w:rFonts w:hint="eastAsia" w:ascii="仿宋" w:hAnsi="仿宋" w:eastAsia="仿宋" w:cs="仿宋"/>
          <w:color w:val="auto"/>
          <w:kern w:val="0"/>
          <w:sz w:val="24"/>
          <w:highlight w:val="none"/>
        </w:rPr>
        <w:t>出</w:t>
      </w:r>
      <w:r>
        <w:rPr>
          <w:rFonts w:hint="eastAsia" w:ascii="仿宋" w:hAnsi="仿宋" w:eastAsia="仿宋" w:cs="仿宋"/>
          <w:color w:val="auto"/>
          <w:spacing w:val="-2"/>
          <w:kern w:val="0"/>
          <w:sz w:val="24"/>
          <w:highlight w:val="none"/>
        </w:rPr>
        <w:t>答</w:t>
      </w:r>
      <w:r>
        <w:rPr>
          <w:rFonts w:hint="eastAsia" w:ascii="仿宋" w:hAnsi="仿宋" w:eastAsia="仿宋" w:cs="仿宋"/>
          <w:color w:val="auto"/>
          <w:kern w:val="0"/>
          <w:sz w:val="24"/>
          <w:highlight w:val="none"/>
        </w:rPr>
        <w:t>复</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作</w:t>
      </w:r>
      <w:r>
        <w:rPr>
          <w:rFonts w:hint="eastAsia" w:ascii="仿宋" w:hAnsi="仿宋" w:eastAsia="仿宋" w:cs="仿宋"/>
          <w:color w:val="auto"/>
          <w:spacing w:val="-2"/>
          <w:kern w:val="0"/>
          <w:sz w:val="24"/>
          <w:highlight w:val="none"/>
        </w:rPr>
        <w:t>出</w:t>
      </w:r>
      <w:r>
        <w:rPr>
          <w:rFonts w:hint="eastAsia" w:ascii="仿宋" w:hAnsi="仿宋" w:eastAsia="仿宋" w:cs="仿宋"/>
          <w:color w:val="auto"/>
          <w:kern w:val="0"/>
          <w:sz w:val="24"/>
          <w:highlight w:val="none"/>
        </w:rPr>
        <w:t>答</w:t>
      </w:r>
      <w:r>
        <w:rPr>
          <w:rFonts w:hint="eastAsia" w:ascii="仿宋" w:hAnsi="仿宋" w:eastAsia="仿宋" w:cs="仿宋"/>
          <w:color w:val="auto"/>
          <w:spacing w:val="-2"/>
          <w:kern w:val="0"/>
          <w:sz w:val="24"/>
          <w:highlight w:val="none"/>
        </w:rPr>
        <w:t>复</w:t>
      </w:r>
      <w:r>
        <w:rPr>
          <w:rFonts w:hint="eastAsia" w:ascii="仿宋" w:hAnsi="仿宋" w:eastAsia="仿宋" w:cs="仿宋"/>
          <w:color w:val="auto"/>
          <w:kern w:val="0"/>
          <w:sz w:val="24"/>
          <w:highlight w:val="none"/>
        </w:rPr>
        <w:t>前，</w:t>
      </w:r>
      <w:r>
        <w:rPr>
          <w:rFonts w:hint="eastAsia" w:ascii="仿宋" w:hAnsi="仿宋" w:eastAsia="仿宋" w:cs="仿宋"/>
          <w:color w:val="auto"/>
          <w:spacing w:val="-2"/>
          <w:kern w:val="0"/>
          <w:sz w:val="24"/>
          <w:highlight w:val="none"/>
        </w:rPr>
        <w:t>将</w:t>
      </w:r>
      <w:r>
        <w:rPr>
          <w:rFonts w:hint="eastAsia" w:ascii="仿宋" w:hAnsi="仿宋" w:eastAsia="仿宋" w:cs="仿宋"/>
          <w:color w:val="auto"/>
          <w:kern w:val="0"/>
          <w:sz w:val="24"/>
          <w:highlight w:val="none"/>
        </w:rPr>
        <w:t>暂</w:t>
      </w:r>
      <w:r>
        <w:rPr>
          <w:rFonts w:hint="eastAsia" w:ascii="仿宋" w:hAnsi="仿宋" w:eastAsia="仿宋" w:cs="仿宋"/>
          <w:color w:val="auto"/>
          <w:spacing w:val="-2"/>
          <w:kern w:val="0"/>
          <w:sz w:val="24"/>
          <w:highlight w:val="none"/>
        </w:rPr>
        <w:t>停</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活</w:t>
      </w:r>
      <w:r>
        <w:rPr>
          <w:rFonts w:hint="eastAsia" w:ascii="仿宋" w:hAnsi="仿宋" w:eastAsia="仿宋" w:cs="仿宋"/>
          <w:color w:val="auto"/>
          <w:spacing w:val="-2"/>
          <w:kern w:val="0"/>
          <w:sz w:val="24"/>
          <w:highlight w:val="none"/>
        </w:rPr>
        <w:t>动</w:t>
      </w:r>
      <w:r>
        <w:rPr>
          <w:rFonts w:hint="eastAsia" w:ascii="仿宋" w:hAnsi="仿宋" w:eastAsia="仿宋" w:cs="仿宋"/>
          <w:color w:val="auto"/>
          <w:kern w:val="0"/>
          <w:sz w:val="24"/>
          <w:highlight w:val="none"/>
        </w:rPr>
        <w:t>。</w:t>
      </w:r>
    </w:p>
    <w:p w14:paraId="65B87E70">
      <w:pPr>
        <w:pStyle w:val="4"/>
        <w:rPr>
          <w:rFonts w:hint="eastAsia" w:ascii="仿宋" w:hAnsi="仿宋" w:eastAsia="仿宋" w:cs="仿宋"/>
          <w:color w:val="auto"/>
          <w:szCs w:val="24"/>
          <w:highlight w:val="none"/>
        </w:rPr>
      </w:pPr>
      <w:bookmarkStart w:id="936" w:name="_Toc2953"/>
      <w:bookmarkStart w:id="937" w:name="_Toc25764"/>
      <w:bookmarkStart w:id="938" w:name="_Toc9026"/>
      <w:bookmarkStart w:id="939" w:name="_Toc25478"/>
      <w:bookmarkStart w:id="940" w:name="_Toc12328"/>
      <w:bookmarkStart w:id="941" w:name="_Toc183"/>
      <w:bookmarkStart w:id="942" w:name="_Toc32506"/>
      <w:bookmarkStart w:id="943" w:name="_Toc18389"/>
      <w:bookmarkStart w:id="944" w:name="_Toc17619"/>
      <w:bookmarkStart w:id="945" w:name="_Toc1879"/>
      <w:bookmarkStart w:id="946" w:name="_Toc20339"/>
      <w:bookmarkStart w:id="947" w:name="_Toc5626"/>
      <w:bookmarkStart w:id="948" w:name="_Toc9069"/>
      <w:bookmarkStart w:id="949" w:name="_Toc24501"/>
      <w:bookmarkStart w:id="950" w:name="_Toc1799"/>
      <w:bookmarkStart w:id="951" w:name="_Toc31143"/>
      <w:bookmarkStart w:id="952" w:name="_Toc22810"/>
      <w:bookmarkStart w:id="953" w:name="_Toc8111"/>
      <w:bookmarkStart w:id="954" w:name="_Toc7758"/>
      <w:bookmarkStart w:id="955" w:name="_Toc23740"/>
      <w:r>
        <w:rPr>
          <w:rFonts w:hint="eastAsia" w:ascii="仿宋" w:hAnsi="仿宋" w:eastAsia="仿宋" w:cs="仿宋"/>
          <w:color w:val="auto"/>
          <w:szCs w:val="24"/>
          <w:highlight w:val="none"/>
        </w:rPr>
        <w:t>7.3 中标候选人履约能力审查</w:t>
      </w:r>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p>
    <w:p w14:paraId="3F7BB522">
      <w:pPr>
        <w:tabs>
          <w:tab w:val="left" w:pos="4900"/>
          <w:tab w:val="left" w:pos="6527"/>
        </w:tabs>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中标候选人的经营、财务状况发生较大变化或存在违法行为，招标人认为可能影响其履约能力的，将在发出中标通知书前提请原评标委员会按照招标文件规定的标准和方法进行审查确认。</w:t>
      </w:r>
    </w:p>
    <w:p w14:paraId="0AF537C1">
      <w:pPr>
        <w:pStyle w:val="4"/>
        <w:rPr>
          <w:rFonts w:hint="eastAsia" w:ascii="仿宋" w:hAnsi="仿宋" w:eastAsia="仿宋" w:cs="仿宋"/>
          <w:color w:val="auto"/>
          <w:szCs w:val="24"/>
          <w:highlight w:val="none"/>
        </w:rPr>
      </w:pPr>
      <w:bookmarkStart w:id="956" w:name="_Toc14501"/>
      <w:bookmarkStart w:id="957" w:name="_Toc6839"/>
      <w:bookmarkStart w:id="958" w:name="_Toc2150"/>
      <w:bookmarkStart w:id="959" w:name="_Toc29245"/>
      <w:bookmarkStart w:id="960" w:name="_Toc27139"/>
      <w:bookmarkStart w:id="961" w:name="_Toc13118"/>
      <w:bookmarkStart w:id="962" w:name="_Toc17547"/>
      <w:bookmarkStart w:id="963" w:name="_Toc13065"/>
      <w:bookmarkStart w:id="964" w:name="_Toc30021"/>
      <w:bookmarkStart w:id="965" w:name="_Toc6815"/>
      <w:bookmarkStart w:id="966" w:name="_Toc8869"/>
      <w:bookmarkStart w:id="967" w:name="_Toc14884"/>
      <w:bookmarkStart w:id="968" w:name="_Toc13151"/>
      <w:bookmarkStart w:id="969" w:name="_Toc25465"/>
      <w:bookmarkStart w:id="970" w:name="_Toc13382"/>
      <w:bookmarkStart w:id="971" w:name="_Toc5776"/>
      <w:bookmarkStart w:id="972" w:name="_Toc18570"/>
      <w:bookmarkStart w:id="973" w:name="_Toc21898"/>
      <w:bookmarkStart w:id="974" w:name="_Toc3179"/>
      <w:bookmarkStart w:id="975" w:name="_Toc13589"/>
      <w:bookmarkStart w:id="976" w:name="_Toc19308"/>
      <w:bookmarkStart w:id="977" w:name="_Toc16950"/>
      <w:r>
        <w:rPr>
          <w:rFonts w:hint="eastAsia" w:ascii="仿宋" w:hAnsi="仿宋" w:eastAsia="仿宋" w:cs="仿宋"/>
          <w:color w:val="auto"/>
          <w:szCs w:val="24"/>
          <w:highlight w:val="none"/>
        </w:rPr>
        <w:t>7.4 定标</w:t>
      </w:r>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p>
    <w:p w14:paraId="73A0E1CE">
      <w:pPr>
        <w:autoSpaceDE w:val="0"/>
        <w:autoSpaceDN w:val="0"/>
        <w:adjustRightInd w:val="0"/>
        <w:spacing w:line="360" w:lineRule="auto"/>
        <w:ind w:left="520"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7.4.1 按照</w:t>
      </w:r>
      <w:r>
        <w:rPr>
          <w:rFonts w:hint="eastAsia" w:ascii="仿宋" w:hAnsi="仿宋" w:eastAsia="仿宋" w:cs="仿宋"/>
          <w:color w:val="auto"/>
          <w:spacing w:val="-2"/>
          <w:kern w:val="0"/>
          <w:sz w:val="24"/>
          <w:highlight w:val="none"/>
        </w:rPr>
        <w:t>投</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须</w:t>
      </w:r>
      <w:r>
        <w:rPr>
          <w:rFonts w:hint="eastAsia" w:ascii="仿宋" w:hAnsi="仿宋" w:eastAsia="仿宋" w:cs="仿宋"/>
          <w:color w:val="auto"/>
          <w:spacing w:val="-2"/>
          <w:kern w:val="0"/>
          <w:sz w:val="24"/>
          <w:highlight w:val="none"/>
        </w:rPr>
        <w:t>知</w:t>
      </w:r>
      <w:r>
        <w:rPr>
          <w:rFonts w:hint="eastAsia" w:ascii="仿宋" w:hAnsi="仿宋" w:eastAsia="仿宋" w:cs="仿宋"/>
          <w:color w:val="auto"/>
          <w:kern w:val="0"/>
          <w:sz w:val="24"/>
          <w:highlight w:val="none"/>
        </w:rPr>
        <w:t>前</w:t>
      </w:r>
      <w:r>
        <w:rPr>
          <w:rFonts w:hint="eastAsia" w:ascii="仿宋" w:hAnsi="仿宋" w:eastAsia="仿宋" w:cs="仿宋"/>
          <w:color w:val="auto"/>
          <w:spacing w:val="-2"/>
          <w:kern w:val="0"/>
          <w:sz w:val="24"/>
          <w:highlight w:val="none"/>
        </w:rPr>
        <w:t>附</w:t>
      </w:r>
      <w:r>
        <w:rPr>
          <w:rFonts w:hint="eastAsia" w:ascii="仿宋" w:hAnsi="仿宋" w:eastAsia="仿宋" w:cs="仿宋"/>
          <w:color w:val="auto"/>
          <w:kern w:val="0"/>
          <w:sz w:val="24"/>
          <w:highlight w:val="none"/>
        </w:rPr>
        <w:t>表</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规定</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或</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授</w:t>
      </w:r>
      <w:r>
        <w:rPr>
          <w:rFonts w:hint="eastAsia" w:ascii="仿宋" w:hAnsi="仿宋" w:eastAsia="仿宋" w:cs="仿宋"/>
          <w:color w:val="auto"/>
          <w:kern w:val="0"/>
          <w:sz w:val="24"/>
          <w:highlight w:val="none"/>
        </w:rPr>
        <w:t>权的</w:t>
      </w:r>
      <w:r>
        <w:rPr>
          <w:rFonts w:hint="eastAsia" w:ascii="仿宋" w:hAnsi="仿宋" w:eastAsia="仿宋" w:cs="仿宋"/>
          <w:color w:val="auto"/>
          <w:spacing w:val="-2"/>
          <w:kern w:val="0"/>
          <w:sz w:val="24"/>
          <w:highlight w:val="none"/>
        </w:rPr>
        <w:t>评</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委</w:t>
      </w:r>
      <w:r>
        <w:rPr>
          <w:rFonts w:hint="eastAsia" w:ascii="仿宋" w:hAnsi="仿宋" w:eastAsia="仿宋" w:cs="仿宋"/>
          <w:color w:val="auto"/>
          <w:kern w:val="0"/>
          <w:sz w:val="24"/>
          <w:highlight w:val="none"/>
        </w:rPr>
        <w:t>员</w:t>
      </w:r>
      <w:r>
        <w:rPr>
          <w:rFonts w:hint="eastAsia" w:ascii="仿宋" w:hAnsi="仿宋" w:eastAsia="仿宋" w:cs="仿宋"/>
          <w:color w:val="auto"/>
          <w:spacing w:val="-2"/>
          <w:kern w:val="0"/>
          <w:sz w:val="24"/>
          <w:highlight w:val="none"/>
        </w:rPr>
        <w:t>会</w:t>
      </w:r>
      <w:r>
        <w:rPr>
          <w:rFonts w:hint="eastAsia" w:ascii="仿宋" w:hAnsi="仿宋" w:eastAsia="仿宋" w:cs="仿宋"/>
          <w:color w:val="auto"/>
          <w:kern w:val="0"/>
          <w:sz w:val="24"/>
          <w:highlight w:val="none"/>
        </w:rPr>
        <w:t>依</w:t>
      </w:r>
      <w:r>
        <w:rPr>
          <w:rFonts w:hint="eastAsia" w:ascii="仿宋" w:hAnsi="仿宋" w:eastAsia="仿宋" w:cs="仿宋"/>
          <w:color w:val="auto"/>
          <w:spacing w:val="-2"/>
          <w:kern w:val="0"/>
          <w:sz w:val="24"/>
          <w:highlight w:val="none"/>
        </w:rPr>
        <w:t>法</w:t>
      </w:r>
      <w:r>
        <w:rPr>
          <w:rFonts w:hint="eastAsia" w:ascii="仿宋" w:hAnsi="仿宋" w:eastAsia="仿宋" w:cs="仿宋"/>
          <w:color w:val="auto"/>
          <w:kern w:val="0"/>
          <w:sz w:val="24"/>
          <w:highlight w:val="none"/>
        </w:rPr>
        <w:t>确</w:t>
      </w:r>
      <w:r>
        <w:rPr>
          <w:rFonts w:hint="eastAsia" w:ascii="仿宋" w:hAnsi="仿宋" w:eastAsia="仿宋" w:cs="仿宋"/>
          <w:color w:val="auto"/>
          <w:spacing w:val="-2"/>
          <w:kern w:val="0"/>
          <w:sz w:val="24"/>
          <w:highlight w:val="none"/>
        </w:rPr>
        <w:t>定</w:t>
      </w:r>
      <w:r>
        <w:rPr>
          <w:rFonts w:hint="eastAsia" w:ascii="仿宋" w:hAnsi="仿宋" w:eastAsia="仿宋" w:cs="仿宋"/>
          <w:color w:val="auto"/>
          <w:kern w:val="0"/>
          <w:sz w:val="24"/>
          <w:highlight w:val="none"/>
        </w:rPr>
        <w:t>中标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w:t>
      </w:r>
    </w:p>
    <w:p w14:paraId="3AE08781">
      <w:pPr>
        <w:autoSpaceDE w:val="0"/>
        <w:autoSpaceDN w:val="0"/>
        <w:adjustRightInd w:val="0"/>
        <w:spacing w:line="360" w:lineRule="auto"/>
        <w:ind w:left="520"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7.4.2 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人采用评定分离方式确</w:t>
      </w:r>
      <w:r>
        <w:rPr>
          <w:rFonts w:hint="eastAsia" w:ascii="仿宋" w:hAnsi="仿宋" w:eastAsia="仿宋" w:cs="仿宋"/>
          <w:color w:val="auto"/>
          <w:spacing w:val="-2"/>
          <w:kern w:val="0"/>
          <w:sz w:val="24"/>
          <w:highlight w:val="none"/>
        </w:rPr>
        <w:t>定</w:t>
      </w:r>
      <w:r>
        <w:rPr>
          <w:rFonts w:hint="eastAsia" w:ascii="仿宋" w:hAnsi="仿宋" w:eastAsia="仿宋" w:cs="仿宋"/>
          <w:color w:val="auto"/>
          <w:kern w:val="0"/>
          <w:sz w:val="24"/>
          <w:highlight w:val="none"/>
        </w:rPr>
        <w:t>中标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的，按下列程序进行：</w:t>
      </w:r>
    </w:p>
    <w:p w14:paraId="74BC2FF1">
      <w:pPr>
        <w:pStyle w:val="9"/>
        <w:spacing w:after="0" w:line="360" w:lineRule="auto"/>
        <w:ind w:right="2" w:firstLine="480" w:firstLineChars="200"/>
        <w:jc w:val="left"/>
        <w:rPr>
          <w:rFonts w:hint="eastAsia" w:ascii="仿宋" w:hAnsi="仿宋" w:eastAsia="仿宋" w:cs="仿宋"/>
          <w:color w:val="auto"/>
          <w:sz w:val="24"/>
          <w:highlight w:val="none"/>
        </w:rPr>
      </w:pPr>
      <w:bookmarkStart w:id="978" w:name="_Toc4415"/>
      <w:bookmarkStart w:id="979" w:name="_Toc4532"/>
      <w:bookmarkStart w:id="980" w:name="_Toc25541"/>
      <w:bookmarkStart w:id="981" w:name="_Toc22173"/>
      <w:bookmarkStart w:id="982" w:name="_Toc10876"/>
      <w:bookmarkStart w:id="983" w:name="_Toc2152"/>
      <w:bookmarkStart w:id="984" w:name="_Toc20493"/>
      <w:bookmarkStart w:id="985" w:name="_Toc18785"/>
      <w:bookmarkStart w:id="986" w:name="_Toc29485"/>
      <w:bookmarkStart w:id="987" w:name="_Toc28096"/>
      <w:bookmarkStart w:id="988" w:name="_Toc29981"/>
      <w:bookmarkStart w:id="989" w:name="_Toc18262"/>
      <w:bookmarkStart w:id="990" w:name="_Toc22870"/>
      <w:bookmarkStart w:id="991" w:name="_Toc16883"/>
      <w:bookmarkStart w:id="992" w:name="_Toc3302"/>
      <w:bookmarkStart w:id="993" w:name="_Toc23885"/>
      <w:bookmarkStart w:id="994" w:name="_Toc627"/>
      <w:bookmarkStart w:id="995" w:name="_Toc25672"/>
      <w:bookmarkStart w:id="996" w:name="_Toc4754"/>
      <w:bookmarkStart w:id="997" w:name="_Toc31334"/>
      <w:r>
        <w:rPr>
          <w:rFonts w:hint="eastAsia" w:ascii="仿宋" w:hAnsi="仿宋" w:eastAsia="仿宋" w:cs="仿宋"/>
          <w:color w:val="auto"/>
          <w:sz w:val="24"/>
          <w:highlight w:val="none"/>
        </w:rPr>
        <w:t>（1）定标委员会的组建：见投标人须知前附表；</w:t>
      </w:r>
    </w:p>
    <w:p w14:paraId="7D7EA732">
      <w:pPr>
        <w:pStyle w:val="9"/>
        <w:spacing w:after="0" w:line="360" w:lineRule="auto"/>
        <w:ind w:right="2"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（2）定标方式：见投标人须知前附表；</w:t>
      </w:r>
    </w:p>
    <w:p w14:paraId="032C8577">
      <w:pPr>
        <w:pStyle w:val="9"/>
        <w:spacing w:after="0" w:line="360" w:lineRule="auto"/>
        <w:ind w:right="2"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（3）定标因素及具体内容：见投标人须知前附表。</w:t>
      </w:r>
    </w:p>
    <w:p w14:paraId="7BE45A4B">
      <w:pPr>
        <w:pStyle w:val="4"/>
        <w:rPr>
          <w:rFonts w:hint="eastAsia" w:ascii="仿宋" w:hAnsi="仿宋" w:eastAsia="仿宋" w:cs="仿宋"/>
          <w:color w:val="auto"/>
          <w:szCs w:val="24"/>
          <w:highlight w:val="none"/>
        </w:rPr>
      </w:pPr>
      <w:bookmarkStart w:id="998" w:name="_Toc24176"/>
      <w:r>
        <w:rPr>
          <w:rFonts w:hint="eastAsia" w:ascii="仿宋" w:hAnsi="仿宋" w:eastAsia="仿宋" w:cs="仿宋"/>
          <w:color w:val="auto"/>
          <w:szCs w:val="24"/>
          <w:highlight w:val="none"/>
        </w:rPr>
        <w:t>7.5 中标通知</w:t>
      </w:r>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p>
    <w:p w14:paraId="767ECEB3">
      <w:pPr>
        <w:autoSpaceDE w:val="0"/>
        <w:autoSpaceDN w:val="0"/>
        <w:adjustRightInd w:val="0"/>
        <w:spacing w:line="360" w:lineRule="auto"/>
        <w:ind w:left="100" w:right="40"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在本</w:t>
      </w:r>
      <w:r>
        <w:rPr>
          <w:rFonts w:hint="eastAsia" w:ascii="仿宋" w:hAnsi="仿宋" w:eastAsia="仿宋" w:cs="仿宋"/>
          <w:color w:val="auto"/>
          <w:spacing w:val="-2"/>
          <w:kern w:val="0"/>
          <w:sz w:val="24"/>
          <w:highlight w:val="none"/>
        </w:rPr>
        <w:t>章</w:t>
      </w:r>
      <w:r>
        <w:rPr>
          <w:rFonts w:hint="eastAsia" w:ascii="仿宋" w:hAnsi="仿宋" w:eastAsia="仿宋" w:cs="仿宋"/>
          <w:color w:val="auto"/>
          <w:kern w:val="0"/>
          <w:sz w:val="24"/>
          <w:highlight w:val="none"/>
        </w:rPr>
        <w:t>第3.3款</w:t>
      </w:r>
      <w:r>
        <w:rPr>
          <w:rFonts w:hint="eastAsia" w:ascii="仿宋" w:hAnsi="仿宋" w:eastAsia="仿宋" w:cs="仿宋"/>
          <w:color w:val="auto"/>
          <w:spacing w:val="-2"/>
          <w:kern w:val="0"/>
          <w:sz w:val="24"/>
          <w:highlight w:val="none"/>
        </w:rPr>
        <w:t>规</w:t>
      </w:r>
      <w:r>
        <w:rPr>
          <w:rFonts w:hint="eastAsia" w:ascii="仿宋" w:hAnsi="仿宋" w:eastAsia="仿宋" w:cs="仿宋"/>
          <w:color w:val="auto"/>
          <w:kern w:val="0"/>
          <w:sz w:val="24"/>
          <w:highlight w:val="none"/>
        </w:rPr>
        <w:t>定</w:t>
      </w:r>
      <w:r>
        <w:rPr>
          <w:rFonts w:hint="eastAsia" w:ascii="仿宋" w:hAnsi="仿宋" w:eastAsia="仿宋" w:cs="仿宋"/>
          <w:color w:val="auto"/>
          <w:spacing w:val="-2"/>
          <w:kern w:val="0"/>
          <w:sz w:val="24"/>
          <w:highlight w:val="none"/>
        </w:rPr>
        <w:t>的投</w:t>
      </w:r>
      <w:r>
        <w:rPr>
          <w:rFonts w:hint="eastAsia" w:ascii="仿宋" w:hAnsi="仿宋" w:eastAsia="仿宋" w:cs="仿宋"/>
          <w:color w:val="auto"/>
          <w:kern w:val="0"/>
          <w:sz w:val="24"/>
          <w:highlight w:val="none"/>
        </w:rPr>
        <w:t>标有</w:t>
      </w:r>
      <w:r>
        <w:rPr>
          <w:rFonts w:hint="eastAsia" w:ascii="仿宋" w:hAnsi="仿宋" w:eastAsia="仿宋" w:cs="仿宋"/>
          <w:color w:val="auto"/>
          <w:spacing w:val="-2"/>
          <w:kern w:val="0"/>
          <w:sz w:val="24"/>
          <w:highlight w:val="none"/>
        </w:rPr>
        <w:t>效</w:t>
      </w:r>
      <w:r>
        <w:rPr>
          <w:rFonts w:hint="eastAsia" w:ascii="仿宋" w:hAnsi="仿宋" w:eastAsia="仿宋" w:cs="仿宋"/>
          <w:color w:val="auto"/>
          <w:kern w:val="0"/>
          <w:sz w:val="24"/>
          <w:highlight w:val="none"/>
        </w:rPr>
        <w:t>期</w:t>
      </w:r>
      <w:r>
        <w:rPr>
          <w:rFonts w:hint="eastAsia" w:ascii="仿宋" w:hAnsi="仿宋" w:eastAsia="仿宋" w:cs="仿宋"/>
          <w:color w:val="auto"/>
          <w:spacing w:val="-2"/>
          <w:kern w:val="0"/>
          <w:sz w:val="24"/>
          <w:highlight w:val="none"/>
        </w:rPr>
        <w:t>内</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招</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以</w:t>
      </w:r>
      <w:r>
        <w:rPr>
          <w:rFonts w:hint="eastAsia" w:ascii="仿宋" w:hAnsi="仿宋" w:eastAsia="仿宋" w:cs="仿宋"/>
          <w:color w:val="auto"/>
          <w:spacing w:val="-2"/>
          <w:kern w:val="0"/>
          <w:sz w:val="24"/>
          <w:highlight w:val="none"/>
        </w:rPr>
        <w:t>书</w:t>
      </w:r>
      <w:r>
        <w:rPr>
          <w:rFonts w:hint="eastAsia" w:ascii="仿宋" w:hAnsi="仿宋" w:eastAsia="仿宋" w:cs="仿宋"/>
          <w:color w:val="auto"/>
          <w:kern w:val="0"/>
          <w:sz w:val="24"/>
          <w:highlight w:val="none"/>
        </w:rPr>
        <w:t>面形</w:t>
      </w:r>
      <w:r>
        <w:rPr>
          <w:rFonts w:hint="eastAsia" w:ascii="仿宋" w:hAnsi="仿宋" w:eastAsia="仿宋" w:cs="仿宋"/>
          <w:color w:val="auto"/>
          <w:spacing w:val="-2"/>
          <w:kern w:val="0"/>
          <w:sz w:val="24"/>
          <w:highlight w:val="none"/>
        </w:rPr>
        <w:t>式</w:t>
      </w:r>
      <w:r>
        <w:rPr>
          <w:rFonts w:hint="eastAsia" w:ascii="仿宋" w:hAnsi="仿宋" w:eastAsia="仿宋" w:cs="仿宋"/>
          <w:color w:val="auto"/>
          <w:kern w:val="0"/>
          <w:sz w:val="24"/>
          <w:highlight w:val="none"/>
        </w:rPr>
        <w:t>向</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发</w:t>
      </w:r>
      <w:r>
        <w:rPr>
          <w:rFonts w:hint="eastAsia" w:ascii="仿宋" w:hAnsi="仿宋" w:eastAsia="仿宋" w:cs="仿宋"/>
          <w:color w:val="auto"/>
          <w:spacing w:val="-2"/>
          <w:kern w:val="0"/>
          <w:sz w:val="24"/>
          <w:highlight w:val="none"/>
        </w:rPr>
        <w:t>出</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通知</w:t>
      </w:r>
      <w:r>
        <w:rPr>
          <w:rFonts w:hint="eastAsia" w:ascii="仿宋" w:hAnsi="仿宋" w:eastAsia="仿宋" w:cs="仿宋"/>
          <w:color w:val="auto"/>
          <w:spacing w:val="-2"/>
          <w:kern w:val="0"/>
          <w:sz w:val="24"/>
          <w:highlight w:val="none"/>
        </w:rPr>
        <w:t>书</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同</w:t>
      </w:r>
      <w:r>
        <w:rPr>
          <w:rFonts w:hint="eastAsia" w:ascii="仿宋" w:hAnsi="仿宋" w:eastAsia="仿宋" w:cs="仿宋"/>
          <w:color w:val="auto"/>
          <w:kern w:val="0"/>
          <w:sz w:val="24"/>
          <w:highlight w:val="none"/>
        </w:rPr>
        <w:t>时将中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结</w:t>
      </w:r>
      <w:r>
        <w:rPr>
          <w:rFonts w:hint="eastAsia" w:ascii="仿宋" w:hAnsi="仿宋" w:eastAsia="仿宋" w:cs="仿宋"/>
          <w:color w:val="auto"/>
          <w:spacing w:val="-2"/>
          <w:kern w:val="0"/>
          <w:sz w:val="24"/>
          <w:highlight w:val="none"/>
        </w:rPr>
        <w:t>果</w:t>
      </w:r>
      <w:r>
        <w:rPr>
          <w:rFonts w:hint="eastAsia" w:ascii="仿宋" w:hAnsi="仿宋" w:eastAsia="仿宋" w:cs="仿宋"/>
          <w:color w:val="auto"/>
          <w:kern w:val="0"/>
          <w:sz w:val="24"/>
          <w:highlight w:val="none"/>
        </w:rPr>
        <w:t>通</w:t>
      </w:r>
      <w:r>
        <w:rPr>
          <w:rFonts w:hint="eastAsia" w:ascii="仿宋" w:hAnsi="仿宋" w:eastAsia="仿宋" w:cs="仿宋"/>
          <w:color w:val="auto"/>
          <w:spacing w:val="-2"/>
          <w:kern w:val="0"/>
          <w:sz w:val="24"/>
          <w:highlight w:val="none"/>
        </w:rPr>
        <w:t>知</w:t>
      </w:r>
      <w:r>
        <w:rPr>
          <w:rFonts w:hint="eastAsia" w:ascii="仿宋" w:hAnsi="仿宋" w:eastAsia="仿宋" w:cs="仿宋"/>
          <w:color w:val="auto"/>
          <w:kern w:val="0"/>
          <w:sz w:val="24"/>
          <w:highlight w:val="none"/>
        </w:rPr>
        <w:t>未</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投标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w:t>
      </w:r>
    </w:p>
    <w:p w14:paraId="332688CC">
      <w:pPr>
        <w:pStyle w:val="4"/>
        <w:rPr>
          <w:rFonts w:hint="eastAsia" w:ascii="仿宋" w:hAnsi="仿宋" w:eastAsia="仿宋" w:cs="仿宋"/>
          <w:color w:val="auto"/>
          <w:szCs w:val="24"/>
          <w:highlight w:val="none"/>
        </w:rPr>
      </w:pPr>
      <w:bookmarkStart w:id="999" w:name="_Toc20957"/>
      <w:r>
        <w:rPr>
          <w:rFonts w:hint="eastAsia" w:ascii="仿宋" w:hAnsi="仿宋" w:eastAsia="仿宋" w:cs="仿宋"/>
          <w:color w:val="auto"/>
          <w:szCs w:val="24"/>
          <w:highlight w:val="none"/>
        </w:rPr>
        <w:t>7.5 中标结果公示（评定分离项目）</w:t>
      </w:r>
      <w:bookmarkEnd w:id="999"/>
    </w:p>
    <w:p w14:paraId="0D4F760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7.5.1招标人在定标工作完成后3日内发布中标结果公示，按照投标人须知前附表规定的公示媒介和期限公示中标人，公示期不少于3日。中标结果公示应当载明定标时间、定标地点、定标方法、中标人名称、中标价格、质量、工期、资格条件、项目负责人信息，中标候选人的核查、考察、比较优势，核查未通过的中标候选人名单和原因，以及异议和投诉渠道等内容。对中标结果公示有异议的，应当在公示期内向招标人提出。</w:t>
      </w:r>
    </w:p>
    <w:p w14:paraId="44B4F9A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7.5.2在本章第3.3款规定的投标有效期内，招标人以书面形式向中标人发出中标通知书。</w:t>
      </w:r>
    </w:p>
    <w:p w14:paraId="230DCA0C">
      <w:pPr>
        <w:pStyle w:val="4"/>
        <w:rPr>
          <w:rFonts w:hint="eastAsia" w:ascii="仿宋" w:hAnsi="仿宋" w:eastAsia="仿宋" w:cs="仿宋"/>
          <w:color w:val="auto"/>
          <w:szCs w:val="24"/>
          <w:highlight w:val="none"/>
        </w:rPr>
      </w:pPr>
      <w:bookmarkStart w:id="1000" w:name="_Toc23348"/>
      <w:bookmarkStart w:id="1001" w:name="_Toc2034"/>
      <w:bookmarkStart w:id="1002" w:name="_Toc6170"/>
      <w:bookmarkStart w:id="1003" w:name="_Toc21232"/>
      <w:bookmarkStart w:id="1004" w:name="_Toc19361"/>
      <w:bookmarkStart w:id="1005" w:name="_Toc17060"/>
      <w:bookmarkStart w:id="1006" w:name="_Toc6962"/>
      <w:bookmarkStart w:id="1007" w:name="_Toc5042"/>
      <w:bookmarkStart w:id="1008" w:name="_Toc1205"/>
      <w:bookmarkStart w:id="1009" w:name="_Toc8549"/>
      <w:bookmarkStart w:id="1010" w:name="_Toc21924"/>
      <w:bookmarkStart w:id="1011" w:name="_Toc2738"/>
      <w:bookmarkStart w:id="1012" w:name="_Toc17146"/>
      <w:bookmarkStart w:id="1013" w:name="_Toc4564"/>
      <w:bookmarkStart w:id="1014" w:name="_Toc24529"/>
      <w:bookmarkStart w:id="1015" w:name="_Toc18697"/>
      <w:bookmarkStart w:id="1016" w:name="_Toc17188"/>
      <w:bookmarkStart w:id="1017" w:name="_Toc5713"/>
      <w:bookmarkStart w:id="1018" w:name="_Toc6948"/>
      <w:bookmarkStart w:id="1019" w:name="_Toc20804"/>
      <w:bookmarkStart w:id="1020" w:name="_Toc9911"/>
      <w:bookmarkStart w:id="1021" w:name="_Toc28114"/>
      <w:r>
        <w:rPr>
          <w:rFonts w:hint="eastAsia" w:ascii="仿宋" w:hAnsi="仿宋" w:eastAsia="仿宋" w:cs="仿宋"/>
          <w:color w:val="auto"/>
          <w:szCs w:val="24"/>
          <w:highlight w:val="none"/>
        </w:rPr>
        <w:t>7.6 履约保证金</w:t>
      </w:r>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p>
    <w:p w14:paraId="67443450">
      <w:pPr>
        <w:autoSpaceDE w:val="0"/>
        <w:autoSpaceDN w:val="0"/>
        <w:adjustRightInd w:val="0"/>
        <w:spacing w:before="11" w:line="360" w:lineRule="auto"/>
        <w:ind w:left="100" w:right="140"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7.6.1 在签订合同前，中标人应按投标人须知前附表规定的形式、金额和招标文件第四章“合同条款及格式”规定的或者事先经过招标人书面认可的履约保证金格式向招标人提交履约保证金。联合体中标的，其履约保证金以联合体各方或者联合体中牵头人的名义提交。</w:t>
      </w:r>
    </w:p>
    <w:p w14:paraId="0DDD83B4">
      <w:pPr>
        <w:autoSpaceDE w:val="0"/>
        <w:autoSpaceDN w:val="0"/>
        <w:adjustRightInd w:val="0"/>
        <w:spacing w:before="11" w:line="360" w:lineRule="auto"/>
        <w:ind w:left="100" w:right="140"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7.6.2</w:t>
      </w:r>
      <w:r>
        <w:rPr>
          <w:rFonts w:hint="eastAsia" w:ascii="仿宋" w:hAnsi="仿宋" w:eastAsia="仿宋" w:cs="仿宋"/>
          <w:color w:val="auto"/>
          <w:spacing w:val="51"/>
          <w:kern w:val="0"/>
          <w:sz w:val="24"/>
          <w:highlight w:val="none"/>
        </w:rPr>
        <w:t xml:space="preserve"> </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不</w:t>
      </w:r>
      <w:r>
        <w:rPr>
          <w:rFonts w:hint="eastAsia" w:ascii="仿宋" w:hAnsi="仿宋" w:eastAsia="仿宋" w:cs="仿宋"/>
          <w:color w:val="auto"/>
          <w:kern w:val="0"/>
          <w:sz w:val="24"/>
          <w:highlight w:val="none"/>
        </w:rPr>
        <w:t>能</w:t>
      </w:r>
      <w:r>
        <w:rPr>
          <w:rFonts w:hint="eastAsia" w:ascii="仿宋" w:hAnsi="仿宋" w:eastAsia="仿宋" w:cs="仿宋"/>
          <w:color w:val="auto"/>
          <w:spacing w:val="-2"/>
          <w:kern w:val="0"/>
          <w:sz w:val="24"/>
          <w:highlight w:val="none"/>
        </w:rPr>
        <w:t>按</w:t>
      </w:r>
      <w:r>
        <w:rPr>
          <w:rFonts w:hint="eastAsia" w:ascii="仿宋" w:hAnsi="仿宋" w:eastAsia="仿宋" w:cs="仿宋"/>
          <w:color w:val="auto"/>
          <w:kern w:val="0"/>
          <w:sz w:val="24"/>
          <w:highlight w:val="none"/>
        </w:rPr>
        <w:t>本</w:t>
      </w:r>
      <w:r>
        <w:rPr>
          <w:rFonts w:hint="eastAsia" w:ascii="仿宋" w:hAnsi="仿宋" w:eastAsia="仿宋" w:cs="仿宋"/>
          <w:color w:val="auto"/>
          <w:spacing w:val="-2"/>
          <w:kern w:val="0"/>
          <w:sz w:val="24"/>
          <w:highlight w:val="none"/>
        </w:rPr>
        <w:t>章</w:t>
      </w:r>
      <w:r>
        <w:rPr>
          <w:rFonts w:hint="eastAsia" w:ascii="仿宋" w:hAnsi="仿宋" w:eastAsia="仿宋" w:cs="仿宋"/>
          <w:color w:val="auto"/>
          <w:kern w:val="0"/>
          <w:sz w:val="24"/>
          <w:highlight w:val="none"/>
        </w:rPr>
        <w:t>第7.6.1项</w:t>
      </w:r>
      <w:r>
        <w:rPr>
          <w:rFonts w:hint="eastAsia" w:ascii="仿宋" w:hAnsi="仿宋" w:eastAsia="仿宋" w:cs="仿宋"/>
          <w:color w:val="auto"/>
          <w:spacing w:val="-2"/>
          <w:kern w:val="0"/>
          <w:sz w:val="24"/>
          <w:highlight w:val="none"/>
        </w:rPr>
        <w:t>要</w:t>
      </w:r>
      <w:r>
        <w:rPr>
          <w:rFonts w:hint="eastAsia" w:ascii="仿宋" w:hAnsi="仿宋" w:eastAsia="仿宋" w:cs="仿宋"/>
          <w:color w:val="auto"/>
          <w:kern w:val="0"/>
          <w:sz w:val="24"/>
          <w:highlight w:val="none"/>
        </w:rPr>
        <w:t>求</w:t>
      </w:r>
      <w:r>
        <w:rPr>
          <w:rFonts w:hint="eastAsia" w:ascii="仿宋" w:hAnsi="仿宋" w:eastAsia="仿宋" w:cs="仿宋"/>
          <w:color w:val="auto"/>
          <w:spacing w:val="-2"/>
          <w:kern w:val="0"/>
          <w:sz w:val="24"/>
          <w:highlight w:val="none"/>
        </w:rPr>
        <w:t>提</w:t>
      </w:r>
      <w:r>
        <w:rPr>
          <w:rFonts w:hint="eastAsia" w:ascii="仿宋" w:hAnsi="仿宋" w:eastAsia="仿宋" w:cs="仿宋"/>
          <w:color w:val="auto"/>
          <w:kern w:val="0"/>
          <w:sz w:val="24"/>
          <w:highlight w:val="none"/>
        </w:rPr>
        <w:t>交</w:t>
      </w:r>
      <w:r>
        <w:rPr>
          <w:rFonts w:hint="eastAsia" w:ascii="仿宋" w:hAnsi="仿宋" w:eastAsia="仿宋" w:cs="仿宋"/>
          <w:color w:val="auto"/>
          <w:spacing w:val="-2"/>
          <w:kern w:val="0"/>
          <w:sz w:val="24"/>
          <w:highlight w:val="none"/>
        </w:rPr>
        <w:t>履</w:t>
      </w:r>
      <w:r>
        <w:rPr>
          <w:rFonts w:hint="eastAsia" w:ascii="仿宋" w:hAnsi="仿宋" w:eastAsia="仿宋" w:cs="仿宋"/>
          <w:color w:val="auto"/>
          <w:kern w:val="0"/>
          <w:sz w:val="24"/>
          <w:highlight w:val="none"/>
        </w:rPr>
        <w:t>约</w:t>
      </w:r>
      <w:r>
        <w:rPr>
          <w:rFonts w:hint="eastAsia" w:ascii="仿宋" w:hAnsi="仿宋" w:eastAsia="仿宋" w:cs="仿宋"/>
          <w:color w:val="auto"/>
          <w:spacing w:val="-2"/>
          <w:kern w:val="0"/>
          <w:sz w:val="24"/>
          <w:highlight w:val="none"/>
        </w:rPr>
        <w:t>保</w:t>
      </w:r>
      <w:r>
        <w:rPr>
          <w:rFonts w:hint="eastAsia" w:ascii="仿宋" w:hAnsi="仿宋" w:eastAsia="仿宋" w:cs="仿宋"/>
          <w:color w:val="auto"/>
          <w:kern w:val="0"/>
          <w:sz w:val="24"/>
          <w:highlight w:val="none"/>
        </w:rPr>
        <w:t>证金</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视</w:t>
      </w:r>
      <w:r>
        <w:rPr>
          <w:rFonts w:hint="eastAsia" w:ascii="仿宋" w:hAnsi="仿宋" w:eastAsia="仿宋" w:cs="仿宋"/>
          <w:color w:val="auto"/>
          <w:kern w:val="0"/>
          <w:sz w:val="24"/>
          <w:highlight w:val="none"/>
        </w:rPr>
        <w:t>为</w:t>
      </w:r>
      <w:r>
        <w:rPr>
          <w:rFonts w:hint="eastAsia" w:ascii="仿宋" w:hAnsi="仿宋" w:eastAsia="仿宋" w:cs="仿宋"/>
          <w:color w:val="auto"/>
          <w:spacing w:val="-2"/>
          <w:kern w:val="0"/>
          <w:sz w:val="24"/>
          <w:highlight w:val="none"/>
        </w:rPr>
        <w:t>放</w:t>
      </w:r>
      <w:r>
        <w:rPr>
          <w:rFonts w:hint="eastAsia" w:ascii="仿宋" w:hAnsi="仿宋" w:eastAsia="仿宋" w:cs="仿宋"/>
          <w:color w:val="auto"/>
          <w:kern w:val="0"/>
          <w:sz w:val="24"/>
          <w:highlight w:val="none"/>
        </w:rPr>
        <w:t>弃</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其投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保</w:t>
      </w:r>
      <w:r>
        <w:rPr>
          <w:rFonts w:hint="eastAsia" w:ascii="仿宋" w:hAnsi="仿宋" w:eastAsia="仿宋" w:cs="仿宋"/>
          <w:color w:val="auto"/>
          <w:spacing w:val="-2"/>
          <w:kern w:val="0"/>
          <w:sz w:val="24"/>
          <w:highlight w:val="none"/>
        </w:rPr>
        <w:t>证</w:t>
      </w:r>
      <w:r>
        <w:rPr>
          <w:rFonts w:hint="eastAsia" w:ascii="仿宋" w:hAnsi="仿宋" w:eastAsia="仿宋" w:cs="仿宋"/>
          <w:color w:val="auto"/>
          <w:kern w:val="0"/>
          <w:sz w:val="24"/>
          <w:highlight w:val="none"/>
        </w:rPr>
        <w:t>金不予</w:t>
      </w:r>
      <w:r>
        <w:rPr>
          <w:rFonts w:hint="eastAsia" w:ascii="仿宋" w:hAnsi="仿宋" w:eastAsia="仿宋" w:cs="仿宋"/>
          <w:color w:val="auto"/>
          <w:spacing w:val="-2"/>
          <w:kern w:val="0"/>
          <w:sz w:val="24"/>
          <w:highlight w:val="none"/>
        </w:rPr>
        <w:t>退</w:t>
      </w:r>
      <w:r>
        <w:rPr>
          <w:rFonts w:hint="eastAsia" w:ascii="仿宋" w:hAnsi="仿宋" w:eastAsia="仿宋" w:cs="仿宋"/>
          <w:color w:val="auto"/>
          <w:kern w:val="0"/>
          <w:sz w:val="24"/>
          <w:highlight w:val="none"/>
        </w:rPr>
        <w:t>还</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给</w:t>
      </w:r>
      <w:r>
        <w:rPr>
          <w:rFonts w:hint="eastAsia" w:ascii="仿宋" w:hAnsi="仿宋" w:eastAsia="仿宋" w:cs="仿宋"/>
          <w:color w:val="auto"/>
          <w:spacing w:val="-2"/>
          <w:kern w:val="0"/>
          <w:sz w:val="24"/>
          <w:highlight w:val="none"/>
        </w:rPr>
        <w:t>招</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造</w:t>
      </w:r>
      <w:r>
        <w:rPr>
          <w:rFonts w:hint="eastAsia" w:ascii="仿宋" w:hAnsi="仿宋" w:eastAsia="仿宋" w:cs="仿宋"/>
          <w:color w:val="auto"/>
          <w:spacing w:val="-2"/>
          <w:kern w:val="0"/>
          <w:sz w:val="24"/>
          <w:highlight w:val="none"/>
        </w:rPr>
        <w:t>成</w:t>
      </w:r>
      <w:r>
        <w:rPr>
          <w:rFonts w:hint="eastAsia" w:ascii="仿宋" w:hAnsi="仿宋" w:eastAsia="仿宋" w:cs="仿宋"/>
          <w:color w:val="auto"/>
          <w:kern w:val="0"/>
          <w:sz w:val="24"/>
          <w:highlight w:val="none"/>
        </w:rPr>
        <w:t>的损</w:t>
      </w:r>
      <w:r>
        <w:rPr>
          <w:rFonts w:hint="eastAsia" w:ascii="仿宋" w:hAnsi="仿宋" w:eastAsia="仿宋" w:cs="仿宋"/>
          <w:color w:val="auto"/>
          <w:spacing w:val="-2"/>
          <w:kern w:val="0"/>
          <w:sz w:val="24"/>
          <w:highlight w:val="none"/>
        </w:rPr>
        <w:t>失</w:t>
      </w:r>
      <w:r>
        <w:rPr>
          <w:rFonts w:hint="eastAsia" w:ascii="仿宋" w:hAnsi="仿宋" w:eastAsia="仿宋" w:cs="仿宋"/>
          <w:color w:val="auto"/>
          <w:kern w:val="0"/>
          <w:sz w:val="24"/>
          <w:highlight w:val="none"/>
        </w:rPr>
        <w:t>超</w:t>
      </w:r>
      <w:r>
        <w:rPr>
          <w:rFonts w:hint="eastAsia" w:ascii="仿宋" w:hAnsi="仿宋" w:eastAsia="仿宋" w:cs="仿宋"/>
          <w:color w:val="auto"/>
          <w:spacing w:val="-2"/>
          <w:kern w:val="0"/>
          <w:sz w:val="24"/>
          <w:highlight w:val="none"/>
        </w:rPr>
        <w:t>过</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保</w:t>
      </w:r>
      <w:r>
        <w:rPr>
          <w:rFonts w:hint="eastAsia" w:ascii="仿宋" w:hAnsi="仿宋" w:eastAsia="仿宋" w:cs="仿宋"/>
          <w:color w:val="auto"/>
          <w:spacing w:val="-2"/>
          <w:kern w:val="0"/>
          <w:sz w:val="24"/>
          <w:highlight w:val="none"/>
        </w:rPr>
        <w:t>证</w:t>
      </w:r>
      <w:r>
        <w:rPr>
          <w:rFonts w:hint="eastAsia" w:ascii="仿宋" w:hAnsi="仿宋" w:eastAsia="仿宋" w:cs="仿宋"/>
          <w:color w:val="auto"/>
          <w:kern w:val="0"/>
          <w:sz w:val="24"/>
          <w:highlight w:val="none"/>
        </w:rPr>
        <w:t>金</w:t>
      </w:r>
      <w:r>
        <w:rPr>
          <w:rFonts w:hint="eastAsia" w:ascii="仿宋" w:hAnsi="仿宋" w:eastAsia="仿宋" w:cs="仿宋"/>
          <w:color w:val="auto"/>
          <w:spacing w:val="-2"/>
          <w:kern w:val="0"/>
          <w:sz w:val="24"/>
          <w:highlight w:val="none"/>
        </w:rPr>
        <w:t>数</w:t>
      </w:r>
      <w:r>
        <w:rPr>
          <w:rFonts w:hint="eastAsia" w:ascii="仿宋" w:hAnsi="仿宋" w:eastAsia="仿宋" w:cs="仿宋"/>
          <w:color w:val="auto"/>
          <w:kern w:val="0"/>
          <w:sz w:val="24"/>
          <w:highlight w:val="none"/>
        </w:rPr>
        <w:t>额的</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还</w:t>
      </w:r>
      <w:r>
        <w:rPr>
          <w:rFonts w:hint="eastAsia" w:ascii="仿宋" w:hAnsi="仿宋" w:eastAsia="仿宋" w:cs="仿宋"/>
          <w:color w:val="auto"/>
          <w:kern w:val="0"/>
          <w:sz w:val="24"/>
          <w:highlight w:val="none"/>
        </w:rPr>
        <w:t>应</w:t>
      </w:r>
      <w:r>
        <w:rPr>
          <w:rFonts w:hint="eastAsia" w:ascii="仿宋" w:hAnsi="仿宋" w:eastAsia="仿宋" w:cs="仿宋"/>
          <w:color w:val="auto"/>
          <w:spacing w:val="-2"/>
          <w:kern w:val="0"/>
          <w:sz w:val="24"/>
          <w:highlight w:val="none"/>
        </w:rPr>
        <w:t>当</w:t>
      </w:r>
      <w:r>
        <w:rPr>
          <w:rFonts w:hint="eastAsia" w:ascii="仿宋" w:hAnsi="仿宋" w:eastAsia="仿宋" w:cs="仿宋"/>
          <w:color w:val="auto"/>
          <w:kern w:val="0"/>
          <w:sz w:val="24"/>
          <w:highlight w:val="none"/>
        </w:rPr>
        <w:t>对</w:t>
      </w:r>
      <w:r>
        <w:rPr>
          <w:rFonts w:hint="eastAsia" w:ascii="仿宋" w:hAnsi="仿宋" w:eastAsia="仿宋" w:cs="仿宋"/>
          <w:color w:val="auto"/>
          <w:spacing w:val="-2"/>
          <w:kern w:val="0"/>
          <w:sz w:val="24"/>
          <w:highlight w:val="none"/>
        </w:rPr>
        <w:t>超</w:t>
      </w:r>
      <w:r>
        <w:rPr>
          <w:rFonts w:hint="eastAsia" w:ascii="仿宋" w:hAnsi="仿宋" w:eastAsia="仿宋" w:cs="仿宋"/>
          <w:color w:val="auto"/>
          <w:kern w:val="0"/>
          <w:sz w:val="24"/>
          <w:highlight w:val="none"/>
        </w:rPr>
        <w:t>过部</w:t>
      </w:r>
      <w:r>
        <w:rPr>
          <w:rFonts w:hint="eastAsia" w:ascii="仿宋" w:hAnsi="仿宋" w:eastAsia="仿宋" w:cs="仿宋"/>
          <w:color w:val="auto"/>
          <w:spacing w:val="-2"/>
          <w:kern w:val="0"/>
          <w:sz w:val="24"/>
          <w:highlight w:val="none"/>
        </w:rPr>
        <w:t>分</w:t>
      </w:r>
      <w:r>
        <w:rPr>
          <w:rFonts w:hint="eastAsia" w:ascii="仿宋" w:hAnsi="仿宋" w:eastAsia="仿宋" w:cs="仿宋"/>
          <w:color w:val="auto"/>
          <w:kern w:val="0"/>
          <w:sz w:val="24"/>
          <w:highlight w:val="none"/>
        </w:rPr>
        <w:t>予</w:t>
      </w:r>
      <w:r>
        <w:rPr>
          <w:rFonts w:hint="eastAsia" w:ascii="仿宋" w:hAnsi="仿宋" w:eastAsia="仿宋" w:cs="仿宋"/>
          <w:color w:val="auto"/>
          <w:spacing w:val="-2"/>
          <w:kern w:val="0"/>
          <w:sz w:val="24"/>
          <w:highlight w:val="none"/>
        </w:rPr>
        <w:t>以</w:t>
      </w:r>
      <w:r>
        <w:rPr>
          <w:rFonts w:hint="eastAsia" w:ascii="仿宋" w:hAnsi="仿宋" w:eastAsia="仿宋" w:cs="仿宋"/>
          <w:color w:val="auto"/>
          <w:kern w:val="0"/>
          <w:sz w:val="24"/>
          <w:highlight w:val="none"/>
        </w:rPr>
        <w:t>赔</w:t>
      </w:r>
      <w:r>
        <w:rPr>
          <w:rFonts w:hint="eastAsia" w:ascii="仿宋" w:hAnsi="仿宋" w:eastAsia="仿宋" w:cs="仿宋"/>
          <w:color w:val="auto"/>
          <w:spacing w:val="-2"/>
          <w:kern w:val="0"/>
          <w:sz w:val="24"/>
          <w:highlight w:val="none"/>
        </w:rPr>
        <w:t>偿</w:t>
      </w:r>
      <w:r>
        <w:rPr>
          <w:rFonts w:hint="eastAsia" w:ascii="仿宋" w:hAnsi="仿宋" w:eastAsia="仿宋" w:cs="仿宋"/>
          <w:color w:val="auto"/>
          <w:kern w:val="0"/>
          <w:sz w:val="24"/>
          <w:highlight w:val="none"/>
        </w:rPr>
        <w:t>。</w:t>
      </w:r>
    </w:p>
    <w:p w14:paraId="0EF7F9FF">
      <w:pPr>
        <w:pStyle w:val="4"/>
        <w:rPr>
          <w:rFonts w:hint="eastAsia" w:ascii="仿宋" w:hAnsi="仿宋" w:eastAsia="仿宋" w:cs="仿宋"/>
          <w:color w:val="auto"/>
          <w:szCs w:val="24"/>
          <w:highlight w:val="none"/>
        </w:rPr>
      </w:pPr>
      <w:bookmarkStart w:id="1022" w:name="_Toc28078"/>
      <w:bookmarkStart w:id="1023" w:name="_Toc20392"/>
      <w:bookmarkStart w:id="1024" w:name="_Toc28017"/>
      <w:bookmarkStart w:id="1025" w:name="_Toc19762"/>
      <w:bookmarkStart w:id="1026" w:name="_Toc18031"/>
      <w:bookmarkStart w:id="1027" w:name="_Toc28518"/>
      <w:bookmarkStart w:id="1028" w:name="_Toc22744"/>
      <w:bookmarkStart w:id="1029" w:name="_Toc12987"/>
      <w:bookmarkStart w:id="1030" w:name="_Toc8598"/>
      <w:bookmarkStart w:id="1031" w:name="_Toc27832"/>
      <w:bookmarkStart w:id="1032" w:name="_Toc20138"/>
      <w:bookmarkStart w:id="1033" w:name="_Toc25124"/>
      <w:bookmarkStart w:id="1034" w:name="_Toc20871"/>
      <w:bookmarkStart w:id="1035" w:name="_Toc26304"/>
      <w:bookmarkStart w:id="1036" w:name="_Toc32754"/>
      <w:bookmarkStart w:id="1037" w:name="_Toc14585"/>
      <w:bookmarkStart w:id="1038" w:name="_Toc15926"/>
      <w:bookmarkStart w:id="1039" w:name="_Toc31466"/>
      <w:bookmarkStart w:id="1040" w:name="_Toc27396"/>
      <w:bookmarkStart w:id="1041" w:name="_Toc27044"/>
      <w:bookmarkStart w:id="1042" w:name="_Toc15364"/>
      <w:bookmarkStart w:id="1043" w:name="_Toc14570"/>
      <w:r>
        <w:rPr>
          <w:rFonts w:hint="eastAsia" w:ascii="仿宋" w:hAnsi="仿宋" w:eastAsia="仿宋" w:cs="仿宋"/>
          <w:color w:val="auto"/>
          <w:szCs w:val="24"/>
          <w:highlight w:val="none"/>
        </w:rPr>
        <w:t>7.7 签订合同</w:t>
      </w:r>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p>
    <w:p w14:paraId="4639900D">
      <w:pPr>
        <w:autoSpaceDE w:val="0"/>
        <w:autoSpaceDN w:val="0"/>
        <w:adjustRightInd w:val="0"/>
        <w:spacing w:line="360" w:lineRule="auto"/>
        <w:ind w:left="100" w:right="140"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7.7.1</w:t>
      </w:r>
      <w:r>
        <w:rPr>
          <w:rFonts w:hint="eastAsia" w:ascii="仿宋" w:hAnsi="仿宋" w:eastAsia="仿宋" w:cs="仿宋"/>
          <w:color w:val="auto"/>
          <w:spacing w:val="51"/>
          <w:kern w:val="0"/>
          <w:sz w:val="24"/>
          <w:highlight w:val="none"/>
        </w:rPr>
        <w:t xml:space="preserve"> </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和</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应当</w:t>
      </w:r>
      <w:r>
        <w:rPr>
          <w:rFonts w:hint="eastAsia" w:ascii="仿宋" w:hAnsi="仿宋" w:eastAsia="仿宋" w:cs="仿宋"/>
          <w:color w:val="auto"/>
          <w:kern w:val="0"/>
          <w:sz w:val="24"/>
          <w:highlight w:val="none"/>
        </w:rPr>
        <w:t>在中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通</w:t>
      </w:r>
      <w:r>
        <w:rPr>
          <w:rFonts w:hint="eastAsia" w:ascii="仿宋" w:hAnsi="仿宋" w:eastAsia="仿宋" w:cs="仿宋"/>
          <w:color w:val="auto"/>
          <w:spacing w:val="-2"/>
          <w:kern w:val="0"/>
          <w:sz w:val="24"/>
          <w:highlight w:val="none"/>
        </w:rPr>
        <w:t>知</w:t>
      </w:r>
      <w:r>
        <w:rPr>
          <w:rFonts w:hint="eastAsia" w:ascii="仿宋" w:hAnsi="仿宋" w:eastAsia="仿宋" w:cs="仿宋"/>
          <w:color w:val="auto"/>
          <w:kern w:val="0"/>
          <w:sz w:val="24"/>
          <w:highlight w:val="none"/>
        </w:rPr>
        <w:t>书</w:t>
      </w:r>
      <w:r>
        <w:rPr>
          <w:rFonts w:hint="eastAsia" w:ascii="仿宋" w:hAnsi="仿宋" w:eastAsia="仿宋" w:cs="仿宋"/>
          <w:color w:val="auto"/>
          <w:spacing w:val="-2"/>
          <w:kern w:val="0"/>
          <w:sz w:val="24"/>
          <w:highlight w:val="none"/>
        </w:rPr>
        <w:t>发</w:t>
      </w:r>
      <w:r>
        <w:rPr>
          <w:rFonts w:hint="eastAsia" w:ascii="仿宋" w:hAnsi="仿宋" w:eastAsia="仿宋" w:cs="仿宋"/>
          <w:color w:val="auto"/>
          <w:kern w:val="0"/>
          <w:sz w:val="24"/>
          <w:highlight w:val="none"/>
        </w:rPr>
        <w:t>出</w:t>
      </w:r>
      <w:r>
        <w:rPr>
          <w:rFonts w:hint="eastAsia" w:ascii="仿宋" w:hAnsi="仿宋" w:eastAsia="仿宋" w:cs="仿宋"/>
          <w:color w:val="auto"/>
          <w:spacing w:val="-2"/>
          <w:kern w:val="0"/>
          <w:sz w:val="24"/>
          <w:highlight w:val="none"/>
        </w:rPr>
        <w:t>之</w:t>
      </w:r>
      <w:r>
        <w:rPr>
          <w:rFonts w:hint="eastAsia" w:ascii="仿宋" w:hAnsi="仿宋" w:eastAsia="仿宋" w:cs="仿宋"/>
          <w:color w:val="auto"/>
          <w:kern w:val="0"/>
          <w:sz w:val="24"/>
          <w:highlight w:val="none"/>
        </w:rPr>
        <w:t>日起30日</w:t>
      </w:r>
      <w:r>
        <w:rPr>
          <w:rFonts w:hint="eastAsia" w:ascii="仿宋" w:hAnsi="仿宋" w:eastAsia="仿宋" w:cs="仿宋"/>
          <w:color w:val="auto"/>
          <w:spacing w:val="-2"/>
          <w:kern w:val="0"/>
          <w:sz w:val="24"/>
          <w:highlight w:val="none"/>
        </w:rPr>
        <w:t>内</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根</w:t>
      </w:r>
      <w:r>
        <w:rPr>
          <w:rFonts w:hint="eastAsia" w:ascii="仿宋" w:hAnsi="仿宋" w:eastAsia="仿宋" w:cs="仿宋"/>
          <w:color w:val="auto"/>
          <w:kern w:val="0"/>
          <w:sz w:val="24"/>
          <w:highlight w:val="none"/>
        </w:rPr>
        <w:t>据</w:t>
      </w:r>
      <w:r>
        <w:rPr>
          <w:rFonts w:hint="eastAsia" w:ascii="仿宋" w:hAnsi="仿宋" w:eastAsia="仿宋" w:cs="仿宋"/>
          <w:color w:val="auto"/>
          <w:spacing w:val="-2"/>
          <w:kern w:val="0"/>
          <w:sz w:val="24"/>
          <w:highlight w:val="none"/>
        </w:rPr>
        <w:t>招</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文</w:t>
      </w:r>
      <w:r>
        <w:rPr>
          <w:rFonts w:hint="eastAsia" w:ascii="仿宋" w:hAnsi="仿宋" w:eastAsia="仿宋" w:cs="仿宋"/>
          <w:color w:val="auto"/>
          <w:kern w:val="0"/>
          <w:sz w:val="24"/>
          <w:highlight w:val="none"/>
        </w:rPr>
        <w:t>件</w:t>
      </w:r>
      <w:r>
        <w:rPr>
          <w:rFonts w:hint="eastAsia" w:ascii="仿宋" w:hAnsi="仿宋" w:eastAsia="仿宋" w:cs="仿宋"/>
          <w:color w:val="auto"/>
          <w:spacing w:val="-2"/>
          <w:kern w:val="0"/>
          <w:sz w:val="24"/>
          <w:highlight w:val="none"/>
        </w:rPr>
        <w:t>和</w:t>
      </w:r>
      <w:r>
        <w:rPr>
          <w:rFonts w:hint="eastAsia" w:ascii="仿宋" w:hAnsi="仿宋" w:eastAsia="仿宋" w:cs="仿宋"/>
          <w:color w:val="auto"/>
          <w:kern w:val="0"/>
          <w:sz w:val="24"/>
          <w:highlight w:val="none"/>
        </w:rPr>
        <w:t>中标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的投标文件订立书面</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同。</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标人无正当理由</w:t>
      </w:r>
      <w:r>
        <w:rPr>
          <w:rFonts w:hint="eastAsia" w:ascii="仿宋" w:hAnsi="仿宋" w:eastAsia="仿宋" w:cs="仿宋"/>
          <w:color w:val="auto"/>
          <w:spacing w:val="-2"/>
          <w:kern w:val="0"/>
          <w:sz w:val="24"/>
          <w:highlight w:val="none"/>
        </w:rPr>
        <w:t>拒</w:t>
      </w:r>
      <w:r>
        <w:rPr>
          <w:rFonts w:hint="eastAsia" w:ascii="仿宋" w:hAnsi="仿宋" w:eastAsia="仿宋" w:cs="仿宋"/>
          <w:color w:val="auto"/>
          <w:kern w:val="0"/>
          <w:sz w:val="24"/>
          <w:highlight w:val="none"/>
        </w:rPr>
        <w:t>签合</w:t>
      </w:r>
      <w:r>
        <w:rPr>
          <w:rFonts w:hint="eastAsia" w:ascii="仿宋" w:hAnsi="仿宋" w:eastAsia="仿宋" w:cs="仿宋"/>
          <w:color w:val="auto"/>
          <w:spacing w:val="-2"/>
          <w:kern w:val="0"/>
          <w:sz w:val="24"/>
          <w:highlight w:val="none"/>
        </w:rPr>
        <w:t>同</w:t>
      </w:r>
      <w:r>
        <w:rPr>
          <w:rFonts w:hint="eastAsia" w:ascii="仿宋" w:hAnsi="仿宋" w:eastAsia="仿宋" w:cs="仿宋"/>
          <w:color w:val="auto"/>
          <w:kern w:val="0"/>
          <w:sz w:val="24"/>
          <w:highlight w:val="none"/>
        </w:rPr>
        <w:t>，在签订合同时</w:t>
      </w:r>
      <w:r>
        <w:rPr>
          <w:rFonts w:hint="eastAsia" w:ascii="仿宋" w:hAnsi="仿宋" w:eastAsia="仿宋" w:cs="仿宋"/>
          <w:color w:val="auto"/>
          <w:spacing w:val="-2"/>
          <w:kern w:val="0"/>
          <w:sz w:val="24"/>
          <w:highlight w:val="none"/>
        </w:rPr>
        <w:t>向</w:t>
      </w:r>
      <w:r>
        <w:rPr>
          <w:rFonts w:hint="eastAsia" w:ascii="仿宋" w:hAnsi="仿宋" w:eastAsia="仿宋" w:cs="仿宋"/>
          <w:color w:val="auto"/>
          <w:kern w:val="0"/>
          <w:sz w:val="24"/>
          <w:highlight w:val="none"/>
        </w:rPr>
        <w:t>招标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提出附加条件</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或者不按照招标文</w:t>
      </w:r>
      <w:r>
        <w:rPr>
          <w:rFonts w:hint="eastAsia" w:ascii="仿宋" w:hAnsi="仿宋" w:eastAsia="仿宋" w:cs="仿宋"/>
          <w:color w:val="auto"/>
          <w:spacing w:val="-2"/>
          <w:kern w:val="0"/>
          <w:sz w:val="24"/>
          <w:highlight w:val="none"/>
        </w:rPr>
        <w:t>件</w:t>
      </w:r>
      <w:r>
        <w:rPr>
          <w:rFonts w:hint="eastAsia" w:ascii="仿宋" w:hAnsi="仿宋" w:eastAsia="仿宋" w:cs="仿宋"/>
          <w:color w:val="auto"/>
          <w:kern w:val="0"/>
          <w:sz w:val="24"/>
          <w:highlight w:val="none"/>
        </w:rPr>
        <w:t>要求</w:t>
      </w:r>
      <w:r>
        <w:rPr>
          <w:rFonts w:hint="eastAsia" w:ascii="仿宋" w:hAnsi="仿宋" w:eastAsia="仿宋" w:cs="仿宋"/>
          <w:color w:val="auto"/>
          <w:spacing w:val="-2"/>
          <w:kern w:val="0"/>
          <w:sz w:val="24"/>
          <w:highlight w:val="none"/>
        </w:rPr>
        <w:t>提</w:t>
      </w:r>
      <w:r>
        <w:rPr>
          <w:rFonts w:hint="eastAsia" w:ascii="仿宋" w:hAnsi="仿宋" w:eastAsia="仿宋" w:cs="仿宋"/>
          <w:color w:val="auto"/>
          <w:kern w:val="0"/>
          <w:sz w:val="24"/>
          <w:highlight w:val="none"/>
        </w:rPr>
        <w:t>交履约保证金的</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招标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有权取消其中标</w:t>
      </w:r>
      <w:r>
        <w:rPr>
          <w:rFonts w:hint="eastAsia" w:ascii="仿宋" w:hAnsi="仿宋" w:eastAsia="仿宋" w:cs="仿宋"/>
          <w:color w:val="auto"/>
          <w:spacing w:val="-2"/>
          <w:kern w:val="0"/>
          <w:sz w:val="24"/>
          <w:highlight w:val="none"/>
        </w:rPr>
        <w:t>资</w:t>
      </w:r>
      <w:r>
        <w:rPr>
          <w:rFonts w:hint="eastAsia" w:ascii="仿宋" w:hAnsi="仿宋" w:eastAsia="仿宋" w:cs="仿宋"/>
          <w:color w:val="auto"/>
          <w:kern w:val="0"/>
          <w:sz w:val="24"/>
          <w:highlight w:val="none"/>
        </w:rPr>
        <w:t>格，</w:t>
      </w:r>
      <w:r>
        <w:rPr>
          <w:rFonts w:hint="eastAsia" w:ascii="仿宋" w:hAnsi="仿宋" w:eastAsia="仿宋" w:cs="仿宋"/>
          <w:color w:val="auto"/>
          <w:spacing w:val="-2"/>
          <w:kern w:val="0"/>
          <w:sz w:val="24"/>
          <w:highlight w:val="none"/>
        </w:rPr>
        <w:t>其</w:t>
      </w:r>
      <w:r>
        <w:rPr>
          <w:rFonts w:hint="eastAsia" w:ascii="仿宋" w:hAnsi="仿宋" w:eastAsia="仿宋" w:cs="仿宋"/>
          <w:color w:val="auto"/>
          <w:kern w:val="0"/>
          <w:sz w:val="24"/>
          <w:highlight w:val="none"/>
        </w:rPr>
        <w:t>投标保证金不</w:t>
      </w:r>
      <w:r>
        <w:rPr>
          <w:rFonts w:hint="eastAsia" w:ascii="仿宋" w:hAnsi="仿宋" w:eastAsia="仿宋" w:cs="仿宋"/>
          <w:color w:val="auto"/>
          <w:spacing w:val="-2"/>
          <w:kern w:val="0"/>
          <w:sz w:val="24"/>
          <w:highlight w:val="none"/>
        </w:rPr>
        <w:t>予</w:t>
      </w:r>
      <w:r>
        <w:rPr>
          <w:rFonts w:hint="eastAsia" w:ascii="仿宋" w:hAnsi="仿宋" w:eastAsia="仿宋" w:cs="仿宋"/>
          <w:color w:val="auto"/>
          <w:kern w:val="0"/>
          <w:sz w:val="24"/>
          <w:highlight w:val="none"/>
        </w:rPr>
        <w:t>退还；</w:t>
      </w:r>
      <w:r>
        <w:rPr>
          <w:rFonts w:hint="eastAsia" w:ascii="仿宋" w:hAnsi="仿宋" w:eastAsia="仿宋" w:cs="仿宋"/>
          <w:color w:val="auto"/>
          <w:spacing w:val="-2"/>
          <w:kern w:val="0"/>
          <w:sz w:val="24"/>
          <w:highlight w:val="none"/>
        </w:rPr>
        <w:t>给</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造</w:t>
      </w:r>
      <w:r>
        <w:rPr>
          <w:rFonts w:hint="eastAsia" w:ascii="仿宋" w:hAnsi="仿宋" w:eastAsia="仿宋" w:cs="仿宋"/>
          <w:color w:val="auto"/>
          <w:kern w:val="0"/>
          <w:sz w:val="24"/>
          <w:highlight w:val="none"/>
        </w:rPr>
        <w:t>成</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损</w:t>
      </w:r>
      <w:r>
        <w:rPr>
          <w:rFonts w:hint="eastAsia" w:ascii="仿宋" w:hAnsi="仿宋" w:eastAsia="仿宋" w:cs="仿宋"/>
          <w:color w:val="auto"/>
          <w:spacing w:val="-2"/>
          <w:kern w:val="0"/>
          <w:sz w:val="24"/>
          <w:highlight w:val="none"/>
        </w:rPr>
        <w:t>失</w:t>
      </w:r>
      <w:r>
        <w:rPr>
          <w:rFonts w:hint="eastAsia" w:ascii="仿宋" w:hAnsi="仿宋" w:eastAsia="仿宋" w:cs="仿宋"/>
          <w:color w:val="auto"/>
          <w:kern w:val="0"/>
          <w:sz w:val="24"/>
          <w:highlight w:val="none"/>
        </w:rPr>
        <w:t>超过</w:t>
      </w:r>
      <w:r>
        <w:rPr>
          <w:rFonts w:hint="eastAsia" w:ascii="仿宋" w:hAnsi="仿宋" w:eastAsia="仿宋" w:cs="仿宋"/>
          <w:color w:val="auto"/>
          <w:spacing w:val="-2"/>
          <w:kern w:val="0"/>
          <w:sz w:val="24"/>
          <w:highlight w:val="none"/>
        </w:rPr>
        <w:t>投</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保</w:t>
      </w:r>
      <w:r>
        <w:rPr>
          <w:rFonts w:hint="eastAsia" w:ascii="仿宋" w:hAnsi="仿宋" w:eastAsia="仿宋" w:cs="仿宋"/>
          <w:color w:val="auto"/>
          <w:kern w:val="0"/>
          <w:sz w:val="24"/>
          <w:highlight w:val="none"/>
        </w:rPr>
        <w:t>证</w:t>
      </w:r>
      <w:r>
        <w:rPr>
          <w:rFonts w:hint="eastAsia" w:ascii="仿宋" w:hAnsi="仿宋" w:eastAsia="仿宋" w:cs="仿宋"/>
          <w:color w:val="auto"/>
          <w:spacing w:val="-2"/>
          <w:kern w:val="0"/>
          <w:sz w:val="24"/>
          <w:highlight w:val="none"/>
        </w:rPr>
        <w:t>金</w:t>
      </w:r>
      <w:r>
        <w:rPr>
          <w:rFonts w:hint="eastAsia" w:ascii="仿宋" w:hAnsi="仿宋" w:eastAsia="仿宋" w:cs="仿宋"/>
          <w:color w:val="auto"/>
          <w:kern w:val="0"/>
          <w:sz w:val="24"/>
          <w:highlight w:val="none"/>
        </w:rPr>
        <w:t>数</w:t>
      </w:r>
      <w:r>
        <w:rPr>
          <w:rFonts w:hint="eastAsia" w:ascii="仿宋" w:hAnsi="仿宋" w:eastAsia="仿宋" w:cs="仿宋"/>
          <w:color w:val="auto"/>
          <w:spacing w:val="-2"/>
          <w:kern w:val="0"/>
          <w:sz w:val="24"/>
          <w:highlight w:val="none"/>
        </w:rPr>
        <w:t>额</w:t>
      </w:r>
      <w:r>
        <w:rPr>
          <w:rFonts w:hint="eastAsia" w:ascii="仿宋" w:hAnsi="仿宋" w:eastAsia="仿宋" w:cs="仿宋"/>
          <w:color w:val="auto"/>
          <w:kern w:val="0"/>
          <w:sz w:val="24"/>
          <w:highlight w:val="none"/>
        </w:rPr>
        <w:t>的</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中标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还</w:t>
      </w:r>
      <w:r>
        <w:rPr>
          <w:rFonts w:hint="eastAsia" w:ascii="仿宋" w:hAnsi="仿宋" w:eastAsia="仿宋" w:cs="仿宋"/>
          <w:color w:val="auto"/>
          <w:spacing w:val="-2"/>
          <w:kern w:val="0"/>
          <w:sz w:val="24"/>
          <w:highlight w:val="none"/>
        </w:rPr>
        <w:t>应</w:t>
      </w:r>
      <w:r>
        <w:rPr>
          <w:rFonts w:hint="eastAsia" w:ascii="仿宋" w:hAnsi="仿宋" w:eastAsia="仿宋" w:cs="仿宋"/>
          <w:color w:val="auto"/>
          <w:kern w:val="0"/>
          <w:sz w:val="24"/>
          <w:highlight w:val="none"/>
        </w:rPr>
        <w:t>当</w:t>
      </w:r>
      <w:r>
        <w:rPr>
          <w:rFonts w:hint="eastAsia" w:ascii="仿宋" w:hAnsi="仿宋" w:eastAsia="仿宋" w:cs="仿宋"/>
          <w:color w:val="auto"/>
          <w:spacing w:val="-2"/>
          <w:kern w:val="0"/>
          <w:sz w:val="24"/>
          <w:highlight w:val="none"/>
        </w:rPr>
        <w:t>对</w:t>
      </w:r>
      <w:r>
        <w:rPr>
          <w:rFonts w:hint="eastAsia" w:ascii="仿宋" w:hAnsi="仿宋" w:eastAsia="仿宋" w:cs="仿宋"/>
          <w:color w:val="auto"/>
          <w:kern w:val="0"/>
          <w:sz w:val="24"/>
          <w:highlight w:val="none"/>
        </w:rPr>
        <w:t>超</w:t>
      </w:r>
      <w:r>
        <w:rPr>
          <w:rFonts w:hint="eastAsia" w:ascii="仿宋" w:hAnsi="仿宋" w:eastAsia="仿宋" w:cs="仿宋"/>
          <w:color w:val="auto"/>
          <w:spacing w:val="-2"/>
          <w:kern w:val="0"/>
          <w:sz w:val="24"/>
          <w:highlight w:val="none"/>
        </w:rPr>
        <w:t>过</w:t>
      </w:r>
      <w:r>
        <w:rPr>
          <w:rFonts w:hint="eastAsia" w:ascii="仿宋" w:hAnsi="仿宋" w:eastAsia="仿宋" w:cs="仿宋"/>
          <w:color w:val="auto"/>
          <w:kern w:val="0"/>
          <w:sz w:val="24"/>
          <w:highlight w:val="none"/>
        </w:rPr>
        <w:t>部</w:t>
      </w:r>
      <w:r>
        <w:rPr>
          <w:rFonts w:hint="eastAsia" w:ascii="仿宋" w:hAnsi="仿宋" w:eastAsia="仿宋" w:cs="仿宋"/>
          <w:color w:val="auto"/>
          <w:spacing w:val="-2"/>
          <w:kern w:val="0"/>
          <w:sz w:val="24"/>
          <w:highlight w:val="none"/>
        </w:rPr>
        <w:t>分</w:t>
      </w:r>
      <w:r>
        <w:rPr>
          <w:rFonts w:hint="eastAsia" w:ascii="仿宋" w:hAnsi="仿宋" w:eastAsia="仿宋" w:cs="仿宋"/>
          <w:color w:val="auto"/>
          <w:kern w:val="0"/>
          <w:sz w:val="24"/>
          <w:highlight w:val="none"/>
        </w:rPr>
        <w:t>予以</w:t>
      </w:r>
      <w:r>
        <w:rPr>
          <w:rFonts w:hint="eastAsia" w:ascii="仿宋" w:hAnsi="仿宋" w:eastAsia="仿宋" w:cs="仿宋"/>
          <w:color w:val="auto"/>
          <w:spacing w:val="-2"/>
          <w:kern w:val="0"/>
          <w:sz w:val="24"/>
          <w:highlight w:val="none"/>
        </w:rPr>
        <w:t>赔</w:t>
      </w:r>
      <w:r>
        <w:rPr>
          <w:rFonts w:hint="eastAsia" w:ascii="仿宋" w:hAnsi="仿宋" w:eastAsia="仿宋" w:cs="仿宋"/>
          <w:color w:val="auto"/>
          <w:kern w:val="0"/>
          <w:sz w:val="24"/>
          <w:highlight w:val="none"/>
        </w:rPr>
        <w:t>偿。</w:t>
      </w:r>
    </w:p>
    <w:p w14:paraId="050BF13D">
      <w:pPr>
        <w:autoSpaceDE w:val="0"/>
        <w:autoSpaceDN w:val="0"/>
        <w:adjustRightInd w:val="0"/>
        <w:spacing w:before="10" w:line="360" w:lineRule="auto"/>
        <w:ind w:left="100" w:right="139"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7.7.2 发</w:t>
      </w:r>
      <w:r>
        <w:rPr>
          <w:rFonts w:hint="eastAsia" w:ascii="仿宋" w:hAnsi="仿宋" w:eastAsia="仿宋" w:cs="仿宋"/>
          <w:color w:val="auto"/>
          <w:spacing w:val="-2"/>
          <w:kern w:val="0"/>
          <w:sz w:val="24"/>
          <w:highlight w:val="none"/>
        </w:rPr>
        <w:t>出</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通</w:t>
      </w:r>
      <w:r>
        <w:rPr>
          <w:rFonts w:hint="eastAsia" w:ascii="仿宋" w:hAnsi="仿宋" w:eastAsia="仿宋" w:cs="仿宋"/>
          <w:color w:val="auto"/>
          <w:spacing w:val="-2"/>
          <w:kern w:val="0"/>
          <w:sz w:val="24"/>
          <w:highlight w:val="none"/>
        </w:rPr>
        <w:t>知</w:t>
      </w:r>
      <w:r>
        <w:rPr>
          <w:rFonts w:hint="eastAsia" w:ascii="仿宋" w:hAnsi="仿宋" w:eastAsia="仿宋" w:cs="仿宋"/>
          <w:color w:val="auto"/>
          <w:kern w:val="0"/>
          <w:sz w:val="24"/>
          <w:highlight w:val="none"/>
        </w:rPr>
        <w:t>书后</w:t>
      </w:r>
      <w:r>
        <w:rPr>
          <w:rFonts w:hint="eastAsia" w:ascii="仿宋" w:hAnsi="仿宋" w:eastAsia="仿宋" w:cs="仿宋"/>
          <w:color w:val="auto"/>
          <w:spacing w:val="-41"/>
          <w:kern w:val="0"/>
          <w:sz w:val="24"/>
          <w:highlight w:val="none"/>
        </w:rPr>
        <w:t>，</w:t>
      </w:r>
      <w:r>
        <w:rPr>
          <w:rFonts w:hint="eastAsia" w:ascii="仿宋" w:hAnsi="仿宋" w:eastAsia="仿宋" w:cs="仿宋"/>
          <w:color w:val="auto"/>
          <w:kern w:val="0"/>
          <w:sz w:val="24"/>
          <w:highlight w:val="none"/>
        </w:rPr>
        <w:t>招标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无</w:t>
      </w:r>
      <w:r>
        <w:rPr>
          <w:rFonts w:hint="eastAsia" w:ascii="仿宋" w:hAnsi="仿宋" w:eastAsia="仿宋" w:cs="仿宋"/>
          <w:color w:val="auto"/>
          <w:spacing w:val="-2"/>
          <w:kern w:val="0"/>
          <w:sz w:val="24"/>
          <w:highlight w:val="none"/>
        </w:rPr>
        <w:t>正</w:t>
      </w:r>
      <w:r>
        <w:rPr>
          <w:rFonts w:hint="eastAsia" w:ascii="仿宋" w:hAnsi="仿宋" w:eastAsia="仿宋" w:cs="仿宋"/>
          <w:color w:val="auto"/>
          <w:kern w:val="0"/>
          <w:sz w:val="24"/>
          <w:highlight w:val="none"/>
        </w:rPr>
        <w:t>当</w:t>
      </w:r>
      <w:r>
        <w:rPr>
          <w:rFonts w:hint="eastAsia" w:ascii="仿宋" w:hAnsi="仿宋" w:eastAsia="仿宋" w:cs="仿宋"/>
          <w:color w:val="auto"/>
          <w:spacing w:val="-2"/>
          <w:kern w:val="0"/>
          <w:sz w:val="24"/>
          <w:highlight w:val="none"/>
        </w:rPr>
        <w:t>理</w:t>
      </w:r>
      <w:r>
        <w:rPr>
          <w:rFonts w:hint="eastAsia" w:ascii="仿宋" w:hAnsi="仿宋" w:eastAsia="仿宋" w:cs="仿宋"/>
          <w:color w:val="auto"/>
          <w:kern w:val="0"/>
          <w:sz w:val="24"/>
          <w:highlight w:val="none"/>
        </w:rPr>
        <w:t>由</w:t>
      </w:r>
      <w:r>
        <w:rPr>
          <w:rFonts w:hint="eastAsia" w:ascii="仿宋" w:hAnsi="仿宋" w:eastAsia="仿宋" w:cs="仿宋"/>
          <w:color w:val="auto"/>
          <w:spacing w:val="-2"/>
          <w:kern w:val="0"/>
          <w:sz w:val="24"/>
          <w:highlight w:val="none"/>
        </w:rPr>
        <w:t>拒</w:t>
      </w:r>
      <w:r>
        <w:rPr>
          <w:rFonts w:hint="eastAsia" w:ascii="仿宋" w:hAnsi="仿宋" w:eastAsia="仿宋" w:cs="仿宋"/>
          <w:color w:val="auto"/>
          <w:kern w:val="0"/>
          <w:sz w:val="24"/>
          <w:highlight w:val="none"/>
        </w:rPr>
        <w:t>签</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同</w:t>
      </w:r>
      <w:r>
        <w:rPr>
          <w:rFonts w:hint="eastAsia" w:ascii="仿宋" w:hAnsi="仿宋" w:eastAsia="仿宋" w:cs="仿宋"/>
          <w:color w:val="auto"/>
          <w:spacing w:val="-38"/>
          <w:kern w:val="0"/>
          <w:sz w:val="24"/>
          <w:highlight w:val="none"/>
        </w:rPr>
        <w:t>，</w:t>
      </w:r>
      <w:r>
        <w:rPr>
          <w:rFonts w:hint="eastAsia" w:ascii="仿宋" w:hAnsi="仿宋" w:eastAsia="仿宋" w:cs="仿宋"/>
          <w:color w:val="auto"/>
          <w:spacing w:val="-2"/>
          <w:kern w:val="0"/>
          <w:sz w:val="24"/>
          <w:highlight w:val="none"/>
        </w:rPr>
        <w:t>或</w:t>
      </w:r>
      <w:r>
        <w:rPr>
          <w:rFonts w:hint="eastAsia" w:ascii="仿宋" w:hAnsi="仿宋" w:eastAsia="仿宋" w:cs="仿宋"/>
          <w:color w:val="auto"/>
          <w:kern w:val="0"/>
          <w:sz w:val="24"/>
          <w:highlight w:val="none"/>
        </w:rPr>
        <w:t>者</w:t>
      </w:r>
      <w:r>
        <w:rPr>
          <w:rFonts w:hint="eastAsia" w:ascii="仿宋" w:hAnsi="仿宋" w:eastAsia="仿宋" w:cs="仿宋"/>
          <w:color w:val="auto"/>
          <w:spacing w:val="-2"/>
          <w:kern w:val="0"/>
          <w:sz w:val="24"/>
          <w:highlight w:val="none"/>
        </w:rPr>
        <w:t>在</w:t>
      </w:r>
      <w:r>
        <w:rPr>
          <w:rFonts w:hint="eastAsia" w:ascii="仿宋" w:hAnsi="仿宋" w:eastAsia="仿宋" w:cs="仿宋"/>
          <w:color w:val="auto"/>
          <w:kern w:val="0"/>
          <w:sz w:val="24"/>
          <w:highlight w:val="none"/>
        </w:rPr>
        <w:t>签</w:t>
      </w:r>
      <w:r>
        <w:rPr>
          <w:rFonts w:hint="eastAsia" w:ascii="仿宋" w:hAnsi="仿宋" w:eastAsia="仿宋" w:cs="仿宋"/>
          <w:color w:val="auto"/>
          <w:spacing w:val="-2"/>
          <w:kern w:val="0"/>
          <w:sz w:val="24"/>
          <w:highlight w:val="none"/>
        </w:rPr>
        <w:t>订</w:t>
      </w:r>
      <w:r>
        <w:rPr>
          <w:rFonts w:hint="eastAsia" w:ascii="仿宋" w:hAnsi="仿宋" w:eastAsia="仿宋" w:cs="仿宋"/>
          <w:color w:val="auto"/>
          <w:kern w:val="0"/>
          <w:sz w:val="24"/>
          <w:highlight w:val="none"/>
        </w:rPr>
        <w:t>合</w:t>
      </w:r>
      <w:r>
        <w:rPr>
          <w:rFonts w:hint="eastAsia" w:ascii="仿宋" w:hAnsi="仿宋" w:eastAsia="仿宋" w:cs="仿宋"/>
          <w:color w:val="auto"/>
          <w:spacing w:val="-2"/>
          <w:kern w:val="0"/>
          <w:sz w:val="24"/>
          <w:highlight w:val="none"/>
        </w:rPr>
        <w:t>同</w:t>
      </w:r>
      <w:r>
        <w:rPr>
          <w:rFonts w:hint="eastAsia" w:ascii="仿宋" w:hAnsi="仿宋" w:eastAsia="仿宋" w:cs="仿宋"/>
          <w:color w:val="auto"/>
          <w:kern w:val="0"/>
          <w:sz w:val="24"/>
          <w:highlight w:val="none"/>
        </w:rPr>
        <w:t>时</w:t>
      </w:r>
      <w:r>
        <w:rPr>
          <w:rFonts w:hint="eastAsia" w:ascii="仿宋" w:hAnsi="仿宋" w:eastAsia="仿宋" w:cs="仿宋"/>
          <w:color w:val="auto"/>
          <w:spacing w:val="-2"/>
          <w:kern w:val="0"/>
          <w:sz w:val="24"/>
          <w:highlight w:val="none"/>
        </w:rPr>
        <w:t>向</w:t>
      </w:r>
      <w:r>
        <w:rPr>
          <w:rFonts w:hint="eastAsia" w:ascii="仿宋" w:hAnsi="仿宋" w:eastAsia="仿宋" w:cs="仿宋"/>
          <w:color w:val="auto"/>
          <w:kern w:val="0"/>
          <w:sz w:val="24"/>
          <w:highlight w:val="none"/>
        </w:rPr>
        <w:t>中标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提</w:t>
      </w:r>
      <w:r>
        <w:rPr>
          <w:rFonts w:hint="eastAsia" w:ascii="仿宋" w:hAnsi="仿宋" w:eastAsia="仿宋" w:cs="仿宋"/>
          <w:color w:val="auto"/>
          <w:spacing w:val="-2"/>
          <w:kern w:val="0"/>
          <w:sz w:val="24"/>
          <w:highlight w:val="none"/>
        </w:rPr>
        <w:t>出</w:t>
      </w:r>
      <w:r>
        <w:rPr>
          <w:rFonts w:hint="eastAsia" w:ascii="仿宋" w:hAnsi="仿宋" w:eastAsia="仿宋" w:cs="仿宋"/>
          <w:color w:val="auto"/>
          <w:kern w:val="0"/>
          <w:sz w:val="24"/>
          <w:highlight w:val="none"/>
        </w:rPr>
        <w:t>附加条</w:t>
      </w:r>
      <w:r>
        <w:rPr>
          <w:rFonts w:hint="eastAsia" w:ascii="仿宋" w:hAnsi="仿宋" w:eastAsia="仿宋" w:cs="仿宋"/>
          <w:color w:val="auto"/>
          <w:spacing w:val="-2"/>
          <w:kern w:val="0"/>
          <w:sz w:val="24"/>
          <w:highlight w:val="none"/>
        </w:rPr>
        <w:t>件</w:t>
      </w:r>
      <w:r>
        <w:rPr>
          <w:rFonts w:hint="eastAsia" w:ascii="仿宋" w:hAnsi="仿宋" w:eastAsia="仿宋" w:cs="仿宋"/>
          <w:color w:val="auto"/>
          <w:kern w:val="0"/>
          <w:sz w:val="24"/>
          <w:highlight w:val="none"/>
        </w:rPr>
        <w:t>的</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向</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人退</w:t>
      </w:r>
      <w:r>
        <w:rPr>
          <w:rFonts w:hint="eastAsia" w:ascii="仿宋" w:hAnsi="仿宋" w:eastAsia="仿宋" w:cs="仿宋"/>
          <w:color w:val="auto"/>
          <w:spacing w:val="-2"/>
          <w:kern w:val="0"/>
          <w:sz w:val="24"/>
          <w:highlight w:val="none"/>
        </w:rPr>
        <w:t>还</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保</w:t>
      </w:r>
      <w:r>
        <w:rPr>
          <w:rFonts w:hint="eastAsia" w:ascii="仿宋" w:hAnsi="仿宋" w:eastAsia="仿宋" w:cs="仿宋"/>
          <w:color w:val="auto"/>
          <w:spacing w:val="-2"/>
          <w:kern w:val="0"/>
          <w:sz w:val="24"/>
          <w:highlight w:val="none"/>
        </w:rPr>
        <w:t>证</w:t>
      </w:r>
      <w:r>
        <w:rPr>
          <w:rFonts w:hint="eastAsia" w:ascii="仿宋" w:hAnsi="仿宋" w:eastAsia="仿宋" w:cs="仿宋"/>
          <w:color w:val="auto"/>
          <w:kern w:val="0"/>
          <w:sz w:val="24"/>
          <w:highlight w:val="none"/>
        </w:rPr>
        <w:t>金</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给</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标人</w:t>
      </w:r>
      <w:r>
        <w:rPr>
          <w:rFonts w:hint="eastAsia" w:ascii="仿宋" w:hAnsi="仿宋" w:eastAsia="仿宋" w:cs="仿宋"/>
          <w:color w:val="auto"/>
          <w:spacing w:val="-2"/>
          <w:kern w:val="0"/>
          <w:sz w:val="24"/>
          <w:highlight w:val="none"/>
        </w:rPr>
        <w:t>造</w:t>
      </w:r>
      <w:r>
        <w:rPr>
          <w:rFonts w:hint="eastAsia" w:ascii="仿宋" w:hAnsi="仿宋" w:eastAsia="仿宋" w:cs="仿宋"/>
          <w:color w:val="auto"/>
          <w:kern w:val="0"/>
          <w:sz w:val="24"/>
          <w:highlight w:val="none"/>
        </w:rPr>
        <w:t>成</w:t>
      </w:r>
      <w:r>
        <w:rPr>
          <w:rFonts w:hint="eastAsia" w:ascii="仿宋" w:hAnsi="仿宋" w:eastAsia="仿宋" w:cs="仿宋"/>
          <w:color w:val="auto"/>
          <w:spacing w:val="-2"/>
          <w:kern w:val="0"/>
          <w:sz w:val="24"/>
          <w:highlight w:val="none"/>
        </w:rPr>
        <w:t>损</w:t>
      </w:r>
      <w:r>
        <w:rPr>
          <w:rFonts w:hint="eastAsia" w:ascii="仿宋" w:hAnsi="仿宋" w:eastAsia="仿宋" w:cs="仿宋"/>
          <w:color w:val="auto"/>
          <w:kern w:val="0"/>
          <w:sz w:val="24"/>
          <w:highlight w:val="none"/>
        </w:rPr>
        <w:t>失</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还</w:t>
      </w:r>
      <w:r>
        <w:rPr>
          <w:rFonts w:hint="eastAsia" w:ascii="仿宋" w:hAnsi="仿宋" w:eastAsia="仿宋" w:cs="仿宋"/>
          <w:color w:val="auto"/>
          <w:kern w:val="0"/>
          <w:sz w:val="24"/>
          <w:highlight w:val="none"/>
        </w:rPr>
        <w:t>应</w:t>
      </w:r>
      <w:r>
        <w:rPr>
          <w:rFonts w:hint="eastAsia" w:ascii="仿宋" w:hAnsi="仿宋" w:eastAsia="仿宋" w:cs="仿宋"/>
          <w:color w:val="auto"/>
          <w:spacing w:val="-2"/>
          <w:kern w:val="0"/>
          <w:sz w:val="24"/>
          <w:highlight w:val="none"/>
        </w:rPr>
        <w:t>当</w:t>
      </w:r>
      <w:r>
        <w:rPr>
          <w:rFonts w:hint="eastAsia" w:ascii="仿宋" w:hAnsi="仿宋" w:eastAsia="仿宋" w:cs="仿宋"/>
          <w:color w:val="auto"/>
          <w:kern w:val="0"/>
          <w:sz w:val="24"/>
          <w:highlight w:val="none"/>
        </w:rPr>
        <w:t>赔偿</w:t>
      </w:r>
      <w:r>
        <w:rPr>
          <w:rFonts w:hint="eastAsia" w:ascii="仿宋" w:hAnsi="仿宋" w:eastAsia="仿宋" w:cs="仿宋"/>
          <w:color w:val="auto"/>
          <w:spacing w:val="-2"/>
          <w:kern w:val="0"/>
          <w:sz w:val="24"/>
          <w:highlight w:val="none"/>
        </w:rPr>
        <w:t>损</w:t>
      </w:r>
      <w:r>
        <w:rPr>
          <w:rFonts w:hint="eastAsia" w:ascii="仿宋" w:hAnsi="仿宋" w:eastAsia="仿宋" w:cs="仿宋"/>
          <w:color w:val="auto"/>
          <w:kern w:val="0"/>
          <w:sz w:val="24"/>
          <w:highlight w:val="none"/>
        </w:rPr>
        <w:t>失。</w:t>
      </w:r>
    </w:p>
    <w:p w14:paraId="5ECF8284">
      <w:pPr>
        <w:autoSpaceDE w:val="0"/>
        <w:autoSpaceDN w:val="0"/>
        <w:adjustRightInd w:val="0"/>
        <w:spacing w:before="7" w:line="360" w:lineRule="auto"/>
        <w:ind w:left="100" w:right="140"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7.7.3</w:t>
      </w:r>
      <w:r>
        <w:rPr>
          <w:rFonts w:hint="eastAsia" w:ascii="仿宋" w:hAnsi="仿宋" w:eastAsia="仿宋" w:cs="仿宋"/>
          <w:color w:val="auto"/>
          <w:spacing w:val="-2"/>
          <w:kern w:val="0"/>
          <w:sz w:val="24"/>
          <w:highlight w:val="none"/>
        </w:rPr>
        <w:t xml:space="preserve"> </w:t>
      </w:r>
      <w:r>
        <w:rPr>
          <w:rFonts w:hint="eastAsia" w:ascii="仿宋" w:hAnsi="仿宋" w:eastAsia="仿宋" w:cs="仿宋"/>
          <w:color w:val="auto"/>
          <w:kern w:val="0"/>
          <w:sz w:val="24"/>
          <w:highlight w:val="none"/>
        </w:rPr>
        <w:t>联</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体</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标的</w:t>
      </w:r>
      <w:r>
        <w:rPr>
          <w:rFonts w:hint="eastAsia" w:ascii="仿宋" w:hAnsi="仿宋" w:eastAsia="仿宋" w:cs="仿宋"/>
          <w:color w:val="auto"/>
          <w:spacing w:val="-14"/>
          <w:kern w:val="0"/>
          <w:sz w:val="24"/>
          <w:highlight w:val="none"/>
        </w:rPr>
        <w:t>，</w:t>
      </w:r>
      <w:r>
        <w:rPr>
          <w:rFonts w:hint="eastAsia" w:ascii="仿宋" w:hAnsi="仿宋" w:eastAsia="仿宋" w:cs="仿宋"/>
          <w:color w:val="auto"/>
          <w:kern w:val="0"/>
          <w:sz w:val="24"/>
          <w:highlight w:val="none"/>
        </w:rPr>
        <w:t>联</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体各</w:t>
      </w:r>
      <w:r>
        <w:rPr>
          <w:rFonts w:hint="eastAsia" w:ascii="仿宋" w:hAnsi="仿宋" w:eastAsia="仿宋" w:cs="仿宋"/>
          <w:color w:val="auto"/>
          <w:spacing w:val="-2"/>
          <w:kern w:val="0"/>
          <w:sz w:val="24"/>
          <w:highlight w:val="none"/>
        </w:rPr>
        <w:t>方</w:t>
      </w:r>
      <w:r>
        <w:rPr>
          <w:rFonts w:hint="eastAsia" w:ascii="仿宋" w:hAnsi="仿宋" w:eastAsia="仿宋" w:cs="仿宋"/>
          <w:color w:val="auto"/>
          <w:kern w:val="0"/>
          <w:sz w:val="24"/>
          <w:highlight w:val="none"/>
        </w:rPr>
        <w:t>应</w:t>
      </w:r>
      <w:r>
        <w:rPr>
          <w:rFonts w:hint="eastAsia" w:ascii="仿宋" w:hAnsi="仿宋" w:eastAsia="仿宋" w:cs="仿宋"/>
          <w:color w:val="auto"/>
          <w:spacing w:val="-2"/>
          <w:kern w:val="0"/>
          <w:sz w:val="24"/>
          <w:highlight w:val="none"/>
        </w:rPr>
        <w:t>当</w:t>
      </w:r>
      <w:r>
        <w:rPr>
          <w:rFonts w:hint="eastAsia" w:ascii="仿宋" w:hAnsi="仿宋" w:eastAsia="仿宋" w:cs="仿宋"/>
          <w:color w:val="auto"/>
          <w:kern w:val="0"/>
          <w:sz w:val="24"/>
          <w:highlight w:val="none"/>
        </w:rPr>
        <w:t>共</w:t>
      </w:r>
      <w:r>
        <w:rPr>
          <w:rFonts w:hint="eastAsia" w:ascii="仿宋" w:hAnsi="仿宋" w:eastAsia="仿宋" w:cs="仿宋"/>
          <w:color w:val="auto"/>
          <w:spacing w:val="-2"/>
          <w:kern w:val="0"/>
          <w:sz w:val="24"/>
          <w:highlight w:val="none"/>
        </w:rPr>
        <w:t>同</w:t>
      </w:r>
      <w:r>
        <w:rPr>
          <w:rFonts w:hint="eastAsia" w:ascii="仿宋" w:hAnsi="仿宋" w:eastAsia="仿宋" w:cs="仿宋"/>
          <w:color w:val="auto"/>
          <w:kern w:val="0"/>
          <w:sz w:val="24"/>
          <w:highlight w:val="none"/>
        </w:rPr>
        <w:t>与</w:t>
      </w:r>
      <w:r>
        <w:rPr>
          <w:rFonts w:hint="eastAsia" w:ascii="仿宋" w:hAnsi="仿宋" w:eastAsia="仿宋" w:cs="仿宋"/>
          <w:color w:val="auto"/>
          <w:spacing w:val="-2"/>
          <w:kern w:val="0"/>
          <w:sz w:val="24"/>
          <w:highlight w:val="none"/>
        </w:rPr>
        <w:t>招</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签订</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同</w:t>
      </w:r>
      <w:r>
        <w:rPr>
          <w:rFonts w:hint="eastAsia" w:ascii="仿宋" w:hAnsi="仿宋" w:eastAsia="仿宋" w:cs="仿宋"/>
          <w:color w:val="auto"/>
          <w:spacing w:val="-14"/>
          <w:kern w:val="0"/>
          <w:sz w:val="24"/>
          <w:highlight w:val="none"/>
        </w:rPr>
        <w:t>，</w:t>
      </w:r>
      <w:r>
        <w:rPr>
          <w:rFonts w:hint="eastAsia" w:ascii="仿宋" w:hAnsi="仿宋" w:eastAsia="仿宋" w:cs="仿宋"/>
          <w:color w:val="auto"/>
          <w:kern w:val="0"/>
          <w:sz w:val="24"/>
          <w:highlight w:val="none"/>
        </w:rPr>
        <w:t>就</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项</w:t>
      </w:r>
      <w:r>
        <w:rPr>
          <w:rFonts w:hint="eastAsia" w:ascii="仿宋" w:hAnsi="仿宋" w:eastAsia="仿宋" w:cs="仿宋"/>
          <w:color w:val="auto"/>
          <w:kern w:val="0"/>
          <w:sz w:val="24"/>
          <w:highlight w:val="none"/>
        </w:rPr>
        <w:t>目</w:t>
      </w:r>
      <w:r>
        <w:rPr>
          <w:rFonts w:hint="eastAsia" w:ascii="仿宋" w:hAnsi="仿宋" w:eastAsia="仿宋" w:cs="仿宋"/>
          <w:color w:val="auto"/>
          <w:spacing w:val="-2"/>
          <w:kern w:val="0"/>
          <w:sz w:val="24"/>
          <w:highlight w:val="none"/>
        </w:rPr>
        <w:t>向</w:t>
      </w:r>
      <w:r>
        <w:rPr>
          <w:rFonts w:hint="eastAsia" w:ascii="仿宋" w:hAnsi="仿宋" w:eastAsia="仿宋" w:cs="仿宋"/>
          <w:color w:val="auto"/>
          <w:kern w:val="0"/>
          <w:sz w:val="24"/>
          <w:highlight w:val="none"/>
        </w:rPr>
        <w:t>招标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承</w:t>
      </w:r>
      <w:r>
        <w:rPr>
          <w:rFonts w:hint="eastAsia" w:ascii="仿宋" w:hAnsi="仿宋" w:eastAsia="仿宋" w:cs="仿宋"/>
          <w:color w:val="auto"/>
          <w:spacing w:val="-2"/>
          <w:kern w:val="0"/>
          <w:sz w:val="24"/>
          <w:highlight w:val="none"/>
        </w:rPr>
        <w:t>担</w:t>
      </w:r>
      <w:r>
        <w:rPr>
          <w:rFonts w:hint="eastAsia" w:ascii="仿宋" w:hAnsi="仿宋" w:eastAsia="仿宋" w:cs="仿宋"/>
          <w:color w:val="auto"/>
          <w:kern w:val="0"/>
          <w:sz w:val="24"/>
          <w:highlight w:val="none"/>
        </w:rPr>
        <w:t>连带责</w:t>
      </w:r>
      <w:r>
        <w:rPr>
          <w:rFonts w:hint="eastAsia" w:ascii="仿宋" w:hAnsi="仿宋" w:eastAsia="仿宋" w:cs="仿宋"/>
          <w:color w:val="auto"/>
          <w:spacing w:val="-2"/>
          <w:kern w:val="0"/>
          <w:sz w:val="24"/>
          <w:highlight w:val="none"/>
        </w:rPr>
        <w:t>任</w:t>
      </w:r>
      <w:r>
        <w:rPr>
          <w:rFonts w:hint="eastAsia" w:ascii="仿宋" w:hAnsi="仿宋" w:eastAsia="仿宋" w:cs="仿宋"/>
          <w:color w:val="auto"/>
          <w:kern w:val="0"/>
          <w:sz w:val="24"/>
          <w:highlight w:val="none"/>
        </w:rPr>
        <w:t>。</w:t>
      </w:r>
    </w:p>
    <w:p w14:paraId="7410DDB2">
      <w:pPr>
        <w:pStyle w:val="3"/>
        <w:spacing w:before="156" w:beforeLines="50" w:after="156" w:afterLines="50" w:line="360" w:lineRule="auto"/>
        <w:rPr>
          <w:rFonts w:hint="eastAsia" w:ascii="仿宋" w:hAnsi="仿宋" w:eastAsia="仿宋" w:cs="仿宋"/>
          <w:b w:val="0"/>
          <w:color w:val="auto"/>
          <w:sz w:val="24"/>
          <w:szCs w:val="24"/>
          <w:highlight w:val="none"/>
        </w:rPr>
      </w:pPr>
      <w:bookmarkStart w:id="1044" w:name="_Toc4000"/>
      <w:bookmarkStart w:id="1045" w:name="_Toc14459"/>
      <w:bookmarkStart w:id="1046" w:name="_Toc24713"/>
      <w:bookmarkStart w:id="1047" w:name="_Toc21918"/>
      <w:bookmarkStart w:id="1048" w:name="_Toc3108"/>
      <w:bookmarkStart w:id="1049" w:name="_Toc17467"/>
      <w:bookmarkStart w:id="1050" w:name="_Toc32003"/>
      <w:bookmarkStart w:id="1051" w:name="_Toc26513"/>
      <w:bookmarkStart w:id="1052" w:name="_Toc20505"/>
      <w:bookmarkStart w:id="1053" w:name="_Toc1951"/>
      <w:bookmarkStart w:id="1054" w:name="_Toc29230"/>
      <w:bookmarkStart w:id="1055" w:name="_Toc19333"/>
      <w:bookmarkStart w:id="1056" w:name="_Toc2303"/>
      <w:r>
        <w:rPr>
          <w:rFonts w:hint="eastAsia" w:ascii="仿宋" w:hAnsi="仿宋" w:eastAsia="仿宋" w:cs="仿宋"/>
          <w:b w:val="0"/>
          <w:color w:val="auto"/>
          <w:sz w:val="24"/>
          <w:szCs w:val="24"/>
          <w:highlight w:val="none"/>
        </w:rPr>
        <w:t>8．重新招标和不再招标</w:t>
      </w:r>
      <w:bookmarkEnd w:id="1044"/>
      <w:bookmarkEnd w:id="1045"/>
      <w:bookmarkEnd w:id="1046"/>
      <w:bookmarkEnd w:id="1047"/>
      <w:bookmarkEnd w:id="1048"/>
      <w:bookmarkEnd w:id="1049"/>
      <w:bookmarkEnd w:id="1050"/>
      <w:bookmarkEnd w:id="1051"/>
      <w:bookmarkEnd w:id="1052"/>
      <w:bookmarkEnd w:id="1053"/>
      <w:bookmarkEnd w:id="1054"/>
      <w:bookmarkEnd w:id="1055"/>
      <w:bookmarkEnd w:id="1056"/>
    </w:p>
    <w:p w14:paraId="0BB26B51">
      <w:pPr>
        <w:pStyle w:val="4"/>
        <w:rPr>
          <w:rFonts w:hint="eastAsia" w:ascii="仿宋" w:hAnsi="仿宋" w:eastAsia="仿宋" w:cs="仿宋"/>
          <w:color w:val="auto"/>
          <w:szCs w:val="24"/>
          <w:highlight w:val="none"/>
        </w:rPr>
      </w:pPr>
      <w:bookmarkStart w:id="1057" w:name="_Toc21197"/>
      <w:bookmarkStart w:id="1058" w:name="_Toc1274"/>
      <w:bookmarkStart w:id="1059" w:name="_Toc18943"/>
      <w:bookmarkStart w:id="1060" w:name="_Toc26374"/>
      <w:bookmarkStart w:id="1061" w:name="_Toc23360"/>
      <w:bookmarkStart w:id="1062" w:name="_Toc28422"/>
      <w:bookmarkStart w:id="1063" w:name="_Toc17827"/>
      <w:bookmarkStart w:id="1064" w:name="_Toc19208"/>
      <w:bookmarkStart w:id="1065" w:name="_Toc24177"/>
      <w:bookmarkStart w:id="1066" w:name="_Toc21274"/>
      <w:bookmarkStart w:id="1067" w:name="_Toc3646"/>
      <w:bookmarkStart w:id="1068" w:name="_Toc16681"/>
      <w:bookmarkStart w:id="1069" w:name="_Toc12183"/>
      <w:bookmarkStart w:id="1070" w:name="_Toc1198"/>
      <w:bookmarkStart w:id="1071" w:name="_Toc30183"/>
      <w:bookmarkStart w:id="1072" w:name="_Toc1783"/>
      <w:bookmarkStart w:id="1073" w:name="_Toc493"/>
      <w:bookmarkStart w:id="1074" w:name="_Toc21701"/>
      <w:bookmarkStart w:id="1075" w:name="_Toc15514"/>
      <w:bookmarkStart w:id="1076" w:name="_Toc4604"/>
      <w:r>
        <w:rPr>
          <w:rFonts w:hint="eastAsia" w:ascii="仿宋" w:hAnsi="仿宋" w:eastAsia="仿宋" w:cs="仿宋"/>
          <w:color w:val="auto"/>
          <w:szCs w:val="24"/>
          <w:highlight w:val="none"/>
        </w:rPr>
        <w:t>8.1 重新招标</w:t>
      </w:r>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p>
    <w:p w14:paraId="431B7E4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有下列情形之一的，招标人将重新招标：</w:t>
      </w:r>
    </w:p>
    <w:p w14:paraId="315AD95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（1）投标截止时间止，投标人少于3个的；</w:t>
      </w:r>
    </w:p>
    <w:p w14:paraId="328E87F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（2）经评标委员会评审后否决所有投标的；</w:t>
      </w:r>
    </w:p>
    <w:p w14:paraId="7C3E14F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（3）通过初步评审的投标人少于3个的，按投标人须知前附表处理；</w:t>
      </w:r>
    </w:p>
    <w:p w14:paraId="4A3F19E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（4）同意延长投标有效期的投标人少于3个的。</w:t>
      </w:r>
    </w:p>
    <w:p w14:paraId="2E4B2333">
      <w:pPr>
        <w:pStyle w:val="4"/>
        <w:rPr>
          <w:rFonts w:hint="eastAsia" w:ascii="仿宋" w:hAnsi="仿宋" w:eastAsia="仿宋" w:cs="仿宋"/>
          <w:color w:val="auto"/>
          <w:szCs w:val="24"/>
          <w:highlight w:val="none"/>
        </w:rPr>
      </w:pPr>
      <w:bookmarkStart w:id="1077" w:name="_Toc27433"/>
      <w:bookmarkStart w:id="1078" w:name="_Toc32092"/>
      <w:bookmarkStart w:id="1079" w:name="_Toc27069"/>
      <w:bookmarkStart w:id="1080" w:name="_Toc22062"/>
      <w:bookmarkStart w:id="1081" w:name="_Toc10257"/>
      <w:bookmarkStart w:id="1082" w:name="_Toc1915"/>
      <w:bookmarkStart w:id="1083" w:name="_Toc20058"/>
      <w:bookmarkStart w:id="1084" w:name="_Toc27739"/>
      <w:bookmarkStart w:id="1085" w:name="_Toc4265"/>
      <w:bookmarkStart w:id="1086" w:name="_Toc7483"/>
      <w:bookmarkStart w:id="1087" w:name="_Toc19672"/>
      <w:bookmarkStart w:id="1088" w:name="_Toc17630"/>
      <w:bookmarkStart w:id="1089" w:name="_Toc31756"/>
      <w:bookmarkStart w:id="1090" w:name="_Toc19147"/>
      <w:bookmarkStart w:id="1091" w:name="_Toc9590"/>
      <w:bookmarkStart w:id="1092" w:name="_Toc31029"/>
      <w:bookmarkStart w:id="1093" w:name="_Toc10890"/>
      <w:bookmarkStart w:id="1094" w:name="_Toc20863"/>
      <w:bookmarkStart w:id="1095" w:name="_Toc26743"/>
      <w:bookmarkStart w:id="1096" w:name="_Toc23683"/>
      <w:r>
        <w:rPr>
          <w:rFonts w:hint="eastAsia" w:ascii="仿宋" w:hAnsi="仿宋" w:eastAsia="仿宋" w:cs="仿宋"/>
          <w:color w:val="auto"/>
          <w:szCs w:val="24"/>
          <w:highlight w:val="none"/>
        </w:rPr>
        <w:t>8.2 不再招标</w:t>
      </w:r>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p>
    <w:p w14:paraId="72E3837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重新招标后投标人仍少于3个或者所有投标被否决的，属于必须审批或核准的工程建设项目，经原审批或核准部门批准后不再进行招标。</w:t>
      </w:r>
    </w:p>
    <w:p w14:paraId="1610D12F">
      <w:pPr>
        <w:pStyle w:val="3"/>
        <w:spacing w:before="156" w:beforeLines="50" w:after="156" w:afterLines="50" w:line="360" w:lineRule="auto"/>
        <w:rPr>
          <w:rFonts w:hint="eastAsia" w:ascii="仿宋" w:hAnsi="仿宋" w:eastAsia="仿宋" w:cs="仿宋"/>
          <w:b w:val="0"/>
          <w:color w:val="auto"/>
          <w:sz w:val="24"/>
          <w:szCs w:val="24"/>
          <w:highlight w:val="none"/>
        </w:rPr>
      </w:pPr>
      <w:bookmarkStart w:id="1097" w:name="_Toc4326"/>
      <w:bookmarkStart w:id="1098" w:name="_Toc10915"/>
      <w:bookmarkStart w:id="1099" w:name="_Toc28598"/>
      <w:bookmarkStart w:id="1100" w:name="_Toc28482"/>
      <w:bookmarkStart w:id="1101" w:name="_Toc32602"/>
      <w:bookmarkStart w:id="1102" w:name="_Toc30729"/>
      <w:bookmarkStart w:id="1103" w:name="_Toc3060"/>
      <w:bookmarkStart w:id="1104" w:name="_Toc16009"/>
      <w:bookmarkStart w:id="1105" w:name="_Toc6552"/>
      <w:bookmarkStart w:id="1106" w:name="_Toc16122"/>
      <w:bookmarkStart w:id="1107" w:name="_Toc1770"/>
      <w:bookmarkStart w:id="1108" w:name="_Toc12914"/>
      <w:bookmarkStart w:id="1109" w:name="_Toc24562"/>
      <w:r>
        <w:rPr>
          <w:rFonts w:hint="eastAsia" w:ascii="仿宋" w:hAnsi="仿宋" w:eastAsia="仿宋" w:cs="仿宋"/>
          <w:b w:val="0"/>
          <w:color w:val="auto"/>
          <w:sz w:val="24"/>
          <w:szCs w:val="24"/>
          <w:highlight w:val="none"/>
        </w:rPr>
        <w:t>9．纪律和监督</w:t>
      </w:r>
      <w:bookmarkEnd w:id="1097"/>
      <w:bookmarkEnd w:id="1098"/>
      <w:bookmarkEnd w:id="1099"/>
      <w:bookmarkEnd w:id="1100"/>
      <w:bookmarkEnd w:id="1101"/>
      <w:bookmarkEnd w:id="1102"/>
      <w:bookmarkEnd w:id="1103"/>
      <w:bookmarkEnd w:id="1104"/>
      <w:bookmarkEnd w:id="1105"/>
      <w:bookmarkEnd w:id="1106"/>
      <w:bookmarkEnd w:id="1107"/>
      <w:bookmarkEnd w:id="1108"/>
      <w:bookmarkEnd w:id="1109"/>
    </w:p>
    <w:bookmarkEnd w:id="26"/>
    <w:bookmarkEnd w:id="27"/>
    <w:bookmarkEnd w:id="28"/>
    <w:p w14:paraId="49F1CD22">
      <w:pPr>
        <w:pStyle w:val="4"/>
        <w:rPr>
          <w:rFonts w:hint="eastAsia" w:ascii="仿宋" w:hAnsi="仿宋" w:eastAsia="仿宋" w:cs="仿宋"/>
          <w:color w:val="auto"/>
          <w:szCs w:val="24"/>
          <w:highlight w:val="none"/>
        </w:rPr>
      </w:pPr>
      <w:bookmarkStart w:id="1110" w:name="_Toc2122"/>
      <w:bookmarkStart w:id="1111" w:name="_Toc14000"/>
      <w:bookmarkStart w:id="1112" w:name="_Toc13403"/>
      <w:bookmarkStart w:id="1113" w:name="_Toc1171"/>
      <w:bookmarkStart w:id="1114" w:name="_Toc27136"/>
      <w:bookmarkStart w:id="1115" w:name="_Toc29333"/>
      <w:bookmarkStart w:id="1116" w:name="_Toc17965"/>
      <w:bookmarkStart w:id="1117" w:name="_Toc7326"/>
      <w:bookmarkStart w:id="1118" w:name="_Toc31352"/>
      <w:bookmarkStart w:id="1119" w:name="_Toc9507"/>
      <w:bookmarkStart w:id="1120" w:name="_Toc23582"/>
      <w:bookmarkStart w:id="1121" w:name="_Toc19528"/>
      <w:bookmarkStart w:id="1122" w:name="_Toc21606"/>
      <w:bookmarkStart w:id="1123" w:name="_Toc19244"/>
      <w:bookmarkStart w:id="1124" w:name="_Toc18663"/>
      <w:bookmarkStart w:id="1125" w:name="_Toc11460"/>
      <w:bookmarkStart w:id="1126" w:name="_Toc18614"/>
      <w:bookmarkStart w:id="1127" w:name="_Toc24373"/>
      <w:bookmarkStart w:id="1128" w:name="_Toc15103"/>
      <w:bookmarkStart w:id="1129" w:name="_Toc6837"/>
      <w:r>
        <w:rPr>
          <w:rFonts w:hint="eastAsia" w:ascii="仿宋" w:hAnsi="仿宋" w:eastAsia="仿宋" w:cs="仿宋"/>
          <w:color w:val="auto"/>
          <w:szCs w:val="24"/>
          <w:highlight w:val="none"/>
        </w:rPr>
        <w:t>9.1 对招标人的纪律要求</w:t>
      </w:r>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p>
    <w:p w14:paraId="7E06973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招标人不得泄露招标投标活动中应当保密的情况和资料，不得与投标人串通损害国家利益、社会公共利益或者他人合法权益。</w:t>
      </w:r>
    </w:p>
    <w:p w14:paraId="689AABF1">
      <w:pPr>
        <w:pStyle w:val="4"/>
        <w:rPr>
          <w:rFonts w:hint="eastAsia" w:ascii="仿宋" w:hAnsi="仿宋" w:eastAsia="仿宋" w:cs="仿宋"/>
          <w:color w:val="auto"/>
          <w:szCs w:val="24"/>
          <w:highlight w:val="none"/>
        </w:rPr>
      </w:pPr>
      <w:bookmarkStart w:id="1130" w:name="_Toc10012"/>
      <w:bookmarkStart w:id="1131" w:name="_Toc6548"/>
      <w:bookmarkStart w:id="1132" w:name="_Toc1962"/>
      <w:bookmarkStart w:id="1133" w:name="_Toc21861"/>
      <w:bookmarkStart w:id="1134" w:name="_Toc8180"/>
      <w:bookmarkStart w:id="1135" w:name="_Toc25344"/>
      <w:bookmarkStart w:id="1136" w:name="_Toc14383"/>
      <w:bookmarkStart w:id="1137" w:name="_Toc5286"/>
      <w:bookmarkStart w:id="1138" w:name="_Toc10837"/>
      <w:bookmarkStart w:id="1139" w:name="_Toc9828"/>
      <w:bookmarkStart w:id="1140" w:name="_Toc22847"/>
      <w:bookmarkStart w:id="1141" w:name="_Toc22636"/>
      <w:bookmarkStart w:id="1142" w:name="_Toc12207"/>
      <w:bookmarkStart w:id="1143" w:name="_Toc19440"/>
      <w:bookmarkStart w:id="1144" w:name="_Toc6634"/>
      <w:bookmarkStart w:id="1145" w:name="_Toc17415"/>
      <w:bookmarkStart w:id="1146" w:name="_Toc19199"/>
      <w:bookmarkStart w:id="1147" w:name="_Toc384"/>
      <w:bookmarkStart w:id="1148" w:name="_Toc864"/>
      <w:bookmarkStart w:id="1149" w:name="_Toc11662"/>
      <w:r>
        <w:rPr>
          <w:rFonts w:hint="eastAsia" w:ascii="仿宋" w:hAnsi="仿宋" w:eastAsia="仿宋" w:cs="仿宋"/>
          <w:color w:val="auto"/>
          <w:szCs w:val="24"/>
          <w:highlight w:val="none"/>
        </w:rPr>
        <w:t>9.2 对投标人的纪律要求</w:t>
      </w:r>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p>
    <w:p w14:paraId="6A10826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7295D0C8">
      <w:pPr>
        <w:pStyle w:val="4"/>
        <w:rPr>
          <w:rFonts w:hint="eastAsia" w:ascii="仿宋" w:hAnsi="仿宋" w:eastAsia="仿宋" w:cs="仿宋"/>
          <w:color w:val="auto"/>
          <w:szCs w:val="24"/>
          <w:highlight w:val="none"/>
        </w:rPr>
      </w:pPr>
      <w:bookmarkStart w:id="1150" w:name="_Toc21847"/>
      <w:bookmarkStart w:id="1151" w:name="_Toc11403"/>
      <w:bookmarkStart w:id="1152" w:name="_Toc25503"/>
      <w:bookmarkStart w:id="1153" w:name="_Toc1734"/>
      <w:bookmarkStart w:id="1154" w:name="_Toc5005"/>
      <w:bookmarkStart w:id="1155" w:name="_Toc7054"/>
      <w:bookmarkStart w:id="1156" w:name="_Toc7899"/>
      <w:bookmarkStart w:id="1157" w:name="_Toc13155"/>
      <w:bookmarkStart w:id="1158" w:name="_Toc2637"/>
      <w:bookmarkStart w:id="1159" w:name="_Toc8355"/>
      <w:bookmarkStart w:id="1160" w:name="_Toc30836"/>
      <w:bookmarkStart w:id="1161" w:name="_Toc17378"/>
      <w:bookmarkStart w:id="1162" w:name="_Toc23040"/>
      <w:bookmarkStart w:id="1163" w:name="_Toc22900"/>
      <w:bookmarkStart w:id="1164" w:name="_Toc16989"/>
      <w:bookmarkStart w:id="1165" w:name="_Toc30653"/>
      <w:bookmarkStart w:id="1166" w:name="_Toc3906"/>
      <w:bookmarkStart w:id="1167" w:name="_Toc22027"/>
      <w:bookmarkStart w:id="1168" w:name="_Toc28924"/>
      <w:bookmarkStart w:id="1169" w:name="_Toc15047"/>
      <w:r>
        <w:rPr>
          <w:rFonts w:hint="eastAsia" w:ascii="仿宋" w:hAnsi="仿宋" w:eastAsia="仿宋" w:cs="仿宋"/>
          <w:color w:val="auto"/>
          <w:szCs w:val="24"/>
          <w:highlight w:val="none"/>
        </w:rPr>
        <w:t>9.3 对评标委员会成员的纪律要求</w:t>
      </w:r>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p>
    <w:p w14:paraId="13F536D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委员会成员不得收受他人的财物或者其他好处，不得向他人透露对投标文件的评审和比较、中标候选人的推荐情况以及与评标有关的其他情况。在评标活动中，评标委员会成员应当客观、公正地履行职责，遵守职业道德，不得擅离职守，影响评标程序正常进行，不得使用第三章“评标办法”没有规定的评审因素和标准进行评标。</w:t>
      </w:r>
    </w:p>
    <w:p w14:paraId="30BB514D">
      <w:pPr>
        <w:pStyle w:val="4"/>
        <w:rPr>
          <w:rFonts w:hint="eastAsia" w:ascii="仿宋" w:hAnsi="仿宋" w:eastAsia="仿宋" w:cs="仿宋"/>
          <w:color w:val="auto"/>
          <w:szCs w:val="24"/>
          <w:highlight w:val="none"/>
        </w:rPr>
      </w:pPr>
      <w:bookmarkStart w:id="1170" w:name="_Toc6022"/>
      <w:bookmarkStart w:id="1171" w:name="_Toc8373"/>
      <w:bookmarkStart w:id="1172" w:name="_Toc5897"/>
      <w:bookmarkStart w:id="1173" w:name="_Toc4685"/>
      <w:bookmarkStart w:id="1174" w:name="_Toc22248"/>
      <w:bookmarkStart w:id="1175" w:name="_Toc7734"/>
      <w:bookmarkStart w:id="1176" w:name="_Toc28093"/>
      <w:bookmarkStart w:id="1177" w:name="_Toc22124"/>
      <w:bookmarkStart w:id="1178" w:name="_Toc22577"/>
      <w:bookmarkStart w:id="1179" w:name="_Toc22511"/>
      <w:bookmarkStart w:id="1180" w:name="_Toc5767"/>
      <w:bookmarkStart w:id="1181" w:name="_Toc11820"/>
      <w:bookmarkStart w:id="1182" w:name="_Toc27318"/>
      <w:bookmarkStart w:id="1183" w:name="_Toc6527"/>
      <w:bookmarkStart w:id="1184" w:name="_Toc23259"/>
      <w:bookmarkStart w:id="1185" w:name="_Toc10038"/>
      <w:bookmarkStart w:id="1186" w:name="_Toc19161"/>
      <w:bookmarkStart w:id="1187" w:name="_Toc22572"/>
      <w:bookmarkStart w:id="1188" w:name="_Toc16754"/>
      <w:bookmarkStart w:id="1189" w:name="_Toc28553"/>
      <w:r>
        <w:rPr>
          <w:rFonts w:hint="eastAsia" w:ascii="仿宋" w:hAnsi="仿宋" w:eastAsia="仿宋" w:cs="仿宋"/>
          <w:color w:val="auto"/>
          <w:szCs w:val="24"/>
          <w:highlight w:val="none"/>
        </w:rPr>
        <w:t>9.4 对与评标活动有关的工作人员的纪律要求</w:t>
      </w:r>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p>
    <w:p w14:paraId="4147CB5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与评标活动有关的工作人员不得收受他人的财物或者其他好处，不得向他人透露对投标文件的评审和比较、中标候选人的推荐情况以及与评标有关的其他情况。在评标活动中，与评标活动有关的工作人员不得擅离职守，影响评标程序正常进行。</w:t>
      </w:r>
    </w:p>
    <w:p w14:paraId="109E4AB3">
      <w:pPr>
        <w:pStyle w:val="4"/>
        <w:rPr>
          <w:rFonts w:hint="eastAsia" w:ascii="仿宋" w:hAnsi="仿宋" w:eastAsia="仿宋" w:cs="仿宋"/>
          <w:color w:val="auto"/>
          <w:szCs w:val="24"/>
          <w:highlight w:val="none"/>
        </w:rPr>
      </w:pPr>
      <w:bookmarkStart w:id="1190" w:name="_Toc12816"/>
      <w:bookmarkStart w:id="1191" w:name="_Toc6929"/>
      <w:bookmarkStart w:id="1192" w:name="_Toc11525"/>
      <w:bookmarkStart w:id="1193" w:name="_Toc18850"/>
      <w:bookmarkStart w:id="1194" w:name="_Toc18448"/>
      <w:bookmarkStart w:id="1195" w:name="_Toc22552"/>
      <w:bookmarkStart w:id="1196" w:name="_Toc24966"/>
      <w:bookmarkStart w:id="1197" w:name="_Toc18925"/>
      <w:bookmarkStart w:id="1198" w:name="_Toc31602"/>
      <w:bookmarkStart w:id="1199" w:name="_Toc22221"/>
      <w:bookmarkStart w:id="1200" w:name="_Toc16573"/>
      <w:bookmarkStart w:id="1201" w:name="_Toc18451"/>
      <w:bookmarkStart w:id="1202" w:name="_Toc25071"/>
      <w:bookmarkStart w:id="1203" w:name="_Toc18672"/>
      <w:bookmarkStart w:id="1204" w:name="_Toc7068"/>
      <w:bookmarkStart w:id="1205" w:name="_Toc19737"/>
      <w:bookmarkStart w:id="1206" w:name="_Toc29606"/>
      <w:bookmarkStart w:id="1207" w:name="_Toc4995"/>
      <w:bookmarkStart w:id="1208" w:name="_Toc26379"/>
      <w:bookmarkStart w:id="1209" w:name="_Toc20154"/>
      <w:r>
        <w:rPr>
          <w:rFonts w:hint="eastAsia" w:ascii="仿宋" w:hAnsi="仿宋" w:eastAsia="仿宋" w:cs="仿宋"/>
          <w:color w:val="auto"/>
          <w:szCs w:val="24"/>
          <w:highlight w:val="none"/>
        </w:rPr>
        <w:t>9.5 投诉</w:t>
      </w:r>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p>
    <w:p w14:paraId="07888C2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9.5.1 投标人或者其他利害关系人认为招标投标活动不符合法律、行政法规规定的，可以自知道或者应当知道之日起10日内向有关行政监督部门投诉。投诉应当有明确的请求和必要的证明材料。</w:t>
      </w:r>
    </w:p>
    <w:p w14:paraId="60745F2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9.5.2 投标人或者其他利害关系人对招标文件、开标和评标结果提出投诉的，应当按照投标人须知第2.4款、第5.3款、第7.2款、第7.5款（评定分离项目）的规定先向招标人提出异议。异议答复期间不计算在第9.5.1项规定的期限内。</w:t>
      </w:r>
    </w:p>
    <w:p w14:paraId="6A42F0E5">
      <w:pPr>
        <w:pStyle w:val="3"/>
        <w:spacing w:before="156" w:beforeLines="50" w:after="156" w:afterLines="50" w:line="360" w:lineRule="auto"/>
        <w:rPr>
          <w:rFonts w:hint="eastAsia" w:ascii="仿宋" w:hAnsi="仿宋" w:eastAsia="仿宋" w:cs="仿宋"/>
          <w:b w:val="0"/>
          <w:bCs/>
          <w:color w:val="auto"/>
          <w:sz w:val="24"/>
          <w:szCs w:val="24"/>
          <w:highlight w:val="none"/>
        </w:rPr>
      </w:pPr>
      <w:bookmarkStart w:id="1210" w:name="_Toc13917"/>
      <w:bookmarkStart w:id="1211" w:name="_Toc5726"/>
      <w:bookmarkStart w:id="1212" w:name="_Toc3698"/>
      <w:bookmarkStart w:id="1213" w:name="_Toc552"/>
      <w:bookmarkStart w:id="1214" w:name="_Toc24503"/>
      <w:bookmarkStart w:id="1215" w:name="_Toc9859"/>
      <w:bookmarkStart w:id="1216" w:name="_Toc8759"/>
      <w:bookmarkStart w:id="1217" w:name="_Toc9373"/>
      <w:bookmarkStart w:id="1218" w:name="_Toc10398"/>
      <w:bookmarkStart w:id="1219" w:name="_Toc13757"/>
      <w:bookmarkStart w:id="1220" w:name="_Toc28251"/>
      <w:bookmarkStart w:id="1221" w:name="_Toc27199"/>
      <w:bookmarkStart w:id="1222" w:name="_Toc11691"/>
      <w:bookmarkStart w:id="1223" w:name="_Toc184635080"/>
      <w:bookmarkStart w:id="1224" w:name="_Toc7717"/>
      <w:bookmarkStart w:id="1225" w:name="_Toc12942"/>
      <w:r>
        <w:rPr>
          <w:rFonts w:hint="eastAsia" w:ascii="仿宋" w:hAnsi="仿宋" w:eastAsia="仿宋" w:cs="仿宋"/>
          <w:b w:val="0"/>
          <w:bCs/>
          <w:color w:val="auto"/>
          <w:sz w:val="24"/>
          <w:szCs w:val="24"/>
          <w:highlight w:val="none"/>
        </w:rPr>
        <w:t>10.需要补充的其他内容</w:t>
      </w:r>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p>
    <w:p w14:paraId="0E4AD26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需要补充的其他内容：见投标人须知前附表。</w:t>
      </w:r>
    </w:p>
    <w:p w14:paraId="382B2DA4">
      <w:pPr>
        <w:pStyle w:val="4"/>
        <w:rPr>
          <w:rFonts w:hint="eastAsia" w:ascii="仿宋" w:hAnsi="仿宋" w:eastAsia="仿宋" w:cs="仿宋"/>
          <w:color w:val="auto"/>
          <w:szCs w:val="24"/>
          <w:highlight w:val="none"/>
        </w:rPr>
        <w:sectPr>
          <w:footerReference r:id="rId9" w:type="first"/>
          <w:footerReference r:id="rId8" w:type="default"/>
          <w:pgSz w:w="11906" w:h="16838"/>
          <w:pgMar w:top="1418" w:right="1555" w:bottom="1418" w:left="1531" w:header="851" w:footer="992" w:gutter="0"/>
          <w:pgNumType w:fmt="decimal"/>
          <w:cols w:space="720" w:num="1"/>
          <w:docGrid w:type="lines" w:linePitch="312" w:charSpace="0"/>
        </w:sectPr>
      </w:pPr>
    </w:p>
    <w:p w14:paraId="362BB58C">
      <w:pPr>
        <w:rPr>
          <w:rFonts w:hint="eastAsia" w:ascii="仿宋" w:hAnsi="仿宋" w:eastAsia="仿宋" w:cs="仿宋"/>
          <w:color w:val="auto"/>
          <w:sz w:val="24"/>
          <w:highlight w:val="none"/>
        </w:rPr>
      </w:pPr>
      <w:bookmarkStart w:id="1226" w:name="_Toc5549"/>
      <w:bookmarkStart w:id="1227" w:name="_Toc20856"/>
      <w:bookmarkStart w:id="1228" w:name="_Toc16274"/>
      <w:bookmarkStart w:id="1229" w:name="_Toc14964"/>
      <w:bookmarkStart w:id="1230" w:name="_Toc5411"/>
      <w:bookmarkStart w:id="1231" w:name="_Toc99"/>
      <w:bookmarkStart w:id="1232" w:name="_Toc5405"/>
      <w:bookmarkStart w:id="1233" w:name="_Toc22541"/>
      <w:bookmarkStart w:id="1234" w:name="_Toc15535"/>
      <w:bookmarkStart w:id="1235" w:name="_Toc8176"/>
      <w:r>
        <w:rPr>
          <w:rFonts w:hint="eastAsia" w:ascii="仿宋" w:hAnsi="仿宋" w:eastAsia="仿宋" w:cs="仿宋"/>
          <w:color w:val="auto"/>
          <w:sz w:val="24"/>
          <w:highlight w:val="none"/>
        </w:rPr>
        <w:t>附表一：开标记录表</w:t>
      </w:r>
      <w:bookmarkEnd w:id="1226"/>
      <w:bookmarkEnd w:id="1227"/>
      <w:bookmarkEnd w:id="1228"/>
      <w:bookmarkEnd w:id="1229"/>
      <w:bookmarkEnd w:id="1230"/>
      <w:bookmarkEnd w:id="1231"/>
      <w:bookmarkEnd w:id="1232"/>
      <w:bookmarkEnd w:id="1233"/>
      <w:bookmarkEnd w:id="1234"/>
      <w:bookmarkEnd w:id="1235"/>
      <w:r>
        <w:rPr>
          <w:rFonts w:hint="eastAsia" w:ascii="仿宋" w:hAnsi="仿宋" w:eastAsia="仿宋" w:cs="仿宋"/>
          <w:color w:val="auto"/>
          <w:sz w:val="24"/>
          <w:highlight w:val="none"/>
        </w:rPr>
        <w:t>（参考格式）</w:t>
      </w:r>
    </w:p>
    <w:p w14:paraId="7DAEF7EE">
      <w:pPr>
        <w:spacing w:before="240" w:beforeLines="100" w:after="240" w:afterLines="100" w:line="400" w:lineRule="exact"/>
        <w:ind w:firstLine="1960" w:firstLineChars="7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标段施工开标记录表</w:t>
      </w:r>
    </w:p>
    <w:p w14:paraId="0FE49B8B">
      <w:pPr>
        <w:spacing w:line="400" w:lineRule="exact"/>
        <w:ind w:firstLine="120" w:firstLineChars="50"/>
        <w:rPr>
          <w:rFonts w:hint="eastAsia" w:ascii="仿宋" w:hAnsi="仿宋" w:eastAsia="仿宋" w:cs="仿宋"/>
          <w:color w:val="auto"/>
          <w:sz w:val="24"/>
          <w:highlight w:val="none"/>
        </w:rPr>
      </w:pPr>
      <w:r>
        <w:rPr>
          <w:rFonts w:hint="eastAsia" w:ascii="仿宋" w:hAnsi="仿宋" w:eastAsia="仿宋" w:cs="仿宋"/>
          <w:color w:val="auto"/>
          <w:sz w:val="24"/>
          <w:highlight w:val="none"/>
        </w:rPr>
        <w:t>开标时间：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时</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分</w:t>
      </w:r>
    </w:p>
    <w:p w14:paraId="50121B90">
      <w:pPr>
        <w:spacing w:line="400" w:lineRule="exact"/>
        <w:ind w:firstLine="120" w:firstLineChars="50"/>
        <w:rPr>
          <w:rFonts w:hint="eastAsia" w:ascii="仿宋" w:hAnsi="仿宋" w:eastAsia="仿宋" w:cs="仿宋"/>
          <w:color w:val="auto"/>
          <w:sz w:val="24"/>
          <w:highlight w:val="none"/>
        </w:rPr>
      </w:pPr>
      <w:r>
        <w:rPr>
          <w:rFonts w:hint="eastAsia" w:ascii="仿宋" w:hAnsi="仿宋" w:eastAsia="仿宋" w:cs="仿宋"/>
          <w:color w:val="auto"/>
          <w:sz w:val="24"/>
          <w:highlight w:val="none"/>
        </w:rPr>
        <w:t>开标地点：</w:t>
      </w:r>
      <w:r>
        <w:rPr>
          <w:rFonts w:hint="eastAsia" w:ascii="仿宋" w:hAnsi="仿宋" w:eastAsia="仿宋" w:cs="仿宋"/>
          <w:color w:val="auto"/>
          <w:sz w:val="24"/>
          <w:highlight w:val="none"/>
          <w:u w:val="single"/>
        </w:rPr>
        <w:t xml:space="preserve">                                </w:t>
      </w:r>
    </w:p>
    <w:p w14:paraId="16154391">
      <w:pPr>
        <w:spacing w:line="400" w:lineRule="exact"/>
        <w:ind w:firstLine="105" w:firstLineChars="5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（一）唱标记录</w:t>
      </w:r>
    </w:p>
    <w:tbl>
      <w:tblPr>
        <w:tblStyle w:val="28"/>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6"/>
        <w:gridCol w:w="922"/>
        <w:gridCol w:w="1078"/>
        <w:gridCol w:w="1262"/>
        <w:gridCol w:w="1390"/>
        <w:gridCol w:w="1105"/>
        <w:gridCol w:w="748"/>
        <w:gridCol w:w="750"/>
        <w:gridCol w:w="750"/>
      </w:tblGrid>
      <w:tr w14:paraId="2251F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666" w:type="dxa"/>
            <w:noWrap w:val="0"/>
            <w:tcMar>
              <w:left w:w="28" w:type="dxa"/>
              <w:right w:w="28" w:type="dxa"/>
            </w:tcMar>
            <w:vAlign w:val="center"/>
          </w:tcPr>
          <w:p w14:paraId="5C216A19">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922" w:type="dxa"/>
            <w:noWrap w:val="0"/>
            <w:tcMar>
              <w:left w:w="28" w:type="dxa"/>
              <w:right w:w="28" w:type="dxa"/>
            </w:tcMar>
            <w:vAlign w:val="center"/>
          </w:tcPr>
          <w:p w14:paraId="7D629D64">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w:t>
            </w:r>
          </w:p>
        </w:tc>
        <w:tc>
          <w:tcPr>
            <w:tcW w:w="1078" w:type="dxa"/>
            <w:noWrap w:val="0"/>
            <w:tcMar>
              <w:left w:w="28" w:type="dxa"/>
              <w:right w:w="28" w:type="dxa"/>
            </w:tcMar>
            <w:vAlign w:val="center"/>
          </w:tcPr>
          <w:p w14:paraId="182ED1BD">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密封情况</w:t>
            </w:r>
          </w:p>
        </w:tc>
        <w:tc>
          <w:tcPr>
            <w:tcW w:w="1262" w:type="dxa"/>
            <w:noWrap w:val="0"/>
            <w:tcMar>
              <w:left w:w="28" w:type="dxa"/>
              <w:right w:w="28" w:type="dxa"/>
            </w:tcMar>
            <w:vAlign w:val="center"/>
          </w:tcPr>
          <w:p w14:paraId="73751A33">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投标保证金</w:t>
            </w:r>
          </w:p>
        </w:tc>
        <w:tc>
          <w:tcPr>
            <w:tcW w:w="1390" w:type="dxa"/>
            <w:noWrap w:val="0"/>
            <w:tcMar>
              <w:left w:w="28" w:type="dxa"/>
              <w:right w:w="28" w:type="dxa"/>
            </w:tcMar>
            <w:vAlign w:val="center"/>
          </w:tcPr>
          <w:p w14:paraId="1B49721B">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投标报价（元）</w:t>
            </w:r>
          </w:p>
        </w:tc>
        <w:tc>
          <w:tcPr>
            <w:tcW w:w="1105" w:type="dxa"/>
            <w:noWrap w:val="0"/>
            <w:tcMar>
              <w:left w:w="28" w:type="dxa"/>
              <w:right w:w="28" w:type="dxa"/>
            </w:tcMar>
            <w:vAlign w:val="center"/>
          </w:tcPr>
          <w:p w14:paraId="347344DD">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质量目标</w:t>
            </w:r>
          </w:p>
        </w:tc>
        <w:tc>
          <w:tcPr>
            <w:tcW w:w="748" w:type="dxa"/>
            <w:noWrap w:val="0"/>
            <w:tcMar>
              <w:left w:w="28" w:type="dxa"/>
              <w:right w:w="28" w:type="dxa"/>
            </w:tcMar>
            <w:vAlign w:val="center"/>
          </w:tcPr>
          <w:p w14:paraId="5BA5989C">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工期</w:t>
            </w:r>
          </w:p>
        </w:tc>
        <w:tc>
          <w:tcPr>
            <w:tcW w:w="750" w:type="dxa"/>
            <w:noWrap w:val="0"/>
            <w:tcMar>
              <w:left w:w="28" w:type="dxa"/>
              <w:right w:w="28" w:type="dxa"/>
            </w:tcMar>
            <w:vAlign w:val="center"/>
          </w:tcPr>
          <w:p w14:paraId="050A978B">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c>
          <w:tcPr>
            <w:tcW w:w="750" w:type="dxa"/>
            <w:noWrap w:val="0"/>
            <w:tcMar>
              <w:left w:w="28" w:type="dxa"/>
              <w:right w:w="28" w:type="dxa"/>
            </w:tcMar>
            <w:vAlign w:val="center"/>
          </w:tcPr>
          <w:p w14:paraId="79DD5D35">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签名</w:t>
            </w:r>
          </w:p>
        </w:tc>
      </w:tr>
      <w:tr w14:paraId="6905F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666" w:type="dxa"/>
            <w:noWrap w:val="0"/>
            <w:tcMar>
              <w:left w:w="28" w:type="dxa"/>
              <w:right w:w="28" w:type="dxa"/>
            </w:tcMar>
            <w:vAlign w:val="center"/>
          </w:tcPr>
          <w:p w14:paraId="6245B6CE">
            <w:pPr>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34E80907">
            <w:pPr>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34B410AF">
            <w:pPr>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60F58A34">
            <w:pPr>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2AB0E92C">
            <w:pPr>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6D464256">
            <w:pPr>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270E757B">
            <w:pPr>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638165C8">
            <w:pPr>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7D28F845">
            <w:pPr>
              <w:jc w:val="center"/>
              <w:rPr>
                <w:rFonts w:hint="eastAsia" w:ascii="仿宋" w:hAnsi="仿宋" w:eastAsia="仿宋" w:cs="仿宋"/>
                <w:color w:val="auto"/>
                <w:szCs w:val="21"/>
                <w:highlight w:val="none"/>
              </w:rPr>
            </w:pPr>
          </w:p>
        </w:tc>
      </w:tr>
      <w:tr w14:paraId="345C5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6" w:type="dxa"/>
            <w:noWrap w:val="0"/>
            <w:tcMar>
              <w:left w:w="28" w:type="dxa"/>
              <w:right w:w="28" w:type="dxa"/>
            </w:tcMar>
            <w:vAlign w:val="center"/>
          </w:tcPr>
          <w:p w14:paraId="6BD8C304">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79505269">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366526BF">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4A946A40">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121AE2EE">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1F923332">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00DBAE2B">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00CC7AE8">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42D4BE42">
            <w:pPr>
              <w:spacing w:line="400" w:lineRule="exact"/>
              <w:jc w:val="center"/>
              <w:rPr>
                <w:rFonts w:hint="eastAsia" w:ascii="仿宋" w:hAnsi="仿宋" w:eastAsia="仿宋" w:cs="仿宋"/>
                <w:color w:val="auto"/>
                <w:szCs w:val="21"/>
                <w:highlight w:val="none"/>
              </w:rPr>
            </w:pPr>
          </w:p>
        </w:tc>
      </w:tr>
      <w:tr w14:paraId="63802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66" w:type="dxa"/>
            <w:noWrap w:val="0"/>
            <w:tcMar>
              <w:left w:w="28" w:type="dxa"/>
              <w:right w:w="28" w:type="dxa"/>
            </w:tcMar>
            <w:vAlign w:val="center"/>
          </w:tcPr>
          <w:p w14:paraId="1CD0B68C">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4AC54EC7">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66EF9270">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755F8D8C">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579D2D3C">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4AAF4C5A">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34E925C6">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15FAE691">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7DF72481">
            <w:pPr>
              <w:spacing w:line="400" w:lineRule="exact"/>
              <w:jc w:val="center"/>
              <w:rPr>
                <w:rFonts w:hint="eastAsia" w:ascii="仿宋" w:hAnsi="仿宋" w:eastAsia="仿宋" w:cs="仿宋"/>
                <w:color w:val="auto"/>
                <w:szCs w:val="21"/>
                <w:highlight w:val="none"/>
              </w:rPr>
            </w:pPr>
          </w:p>
        </w:tc>
      </w:tr>
      <w:tr w14:paraId="7F1D4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6" w:type="dxa"/>
            <w:noWrap w:val="0"/>
            <w:tcMar>
              <w:left w:w="28" w:type="dxa"/>
              <w:right w:w="28" w:type="dxa"/>
            </w:tcMar>
            <w:vAlign w:val="center"/>
          </w:tcPr>
          <w:p w14:paraId="75695F9F">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5D71E392">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34FEE9D3">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61C93156">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7CB904BD">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550320D5">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1BC73EFB">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1BB79AD2">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186F39D1">
            <w:pPr>
              <w:spacing w:line="400" w:lineRule="exact"/>
              <w:jc w:val="center"/>
              <w:rPr>
                <w:rFonts w:hint="eastAsia" w:ascii="仿宋" w:hAnsi="仿宋" w:eastAsia="仿宋" w:cs="仿宋"/>
                <w:color w:val="auto"/>
                <w:szCs w:val="21"/>
                <w:highlight w:val="none"/>
              </w:rPr>
            </w:pPr>
          </w:p>
        </w:tc>
      </w:tr>
      <w:tr w14:paraId="3FE65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66" w:type="dxa"/>
            <w:noWrap w:val="0"/>
            <w:tcMar>
              <w:left w:w="28" w:type="dxa"/>
              <w:right w:w="28" w:type="dxa"/>
            </w:tcMar>
            <w:vAlign w:val="center"/>
          </w:tcPr>
          <w:p w14:paraId="44B0203F">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38772D3E">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593DA6EF">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6C9A08EE">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75BDC25C">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77D0833E">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21A4B1FA">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07EBF274">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115BE91E">
            <w:pPr>
              <w:spacing w:line="400" w:lineRule="exact"/>
              <w:jc w:val="center"/>
              <w:rPr>
                <w:rFonts w:hint="eastAsia" w:ascii="仿宋" w:hAnsi="仿宋" w:eastAsia="仿宋" w:cs="仿宋"/>
                <w:color w:val="auto"/>
                <w:szCs w:val="21"/>
                <w:highlight w:val="none"/>
              </w:rPr>
            </w:pPr>
          </w:p>
        </w:tc>
      </w:tr>
      <w:tr w14:paraId="1448A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6" w:type="dxa"/>
            <w:noWrap w:val="0"/>
            <w:tcMar>
              <w:left w:w="28" w:type="dxa"/>
              <w:right w:w="28" w:type="dxa"/>
            </w:tcMar>
            <w:vAlign w:val="center"/>
          </w:tcPr>
          <w:p w14:paraId="42983F08">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0BB1816D">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0B4AB547">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766EE509">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6F877462">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062D14EF">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0C66F5EE">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53EFC201">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21FF6C29">
            <w:pPr>
              <w:spacing w:line="400" w:lineRule="exact"/>
              <w:jc w:val="center"/>
              <w:rPr>
                <w:rFonts w:hint="eastAsia" w:ascii="仿宋" w:hAnsi="仿宋" w:eastAsia="仿宋" w:cs="仿宋"/>
                <w:color w:val="auto"/>
                <w:szCs w:val="21"/>
                <w:highlight w:val="none"/>
              </w:rPr>
            </w:pPr>
          </w:p>
        </w:tc>
      </w:tr>
      <w:tr w14:paraId="42A4B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66" w:type="dxa"/>
            <w:noWrap w:val="0"/>
            <w:tcMar>
              <w:left w:w="28" w:type="dxa"/>
              <w:right w:w="28" w:type="dxa"/>
            </w:tcMar>
            <w:vAlign w:val="center"/>
          </w:tcPr>
          <w:p w14:paraId="1A657DDB">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5ADF651D">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4187F9AF">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0BC2EFEB">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27D4C527">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7818946C">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41EEC86D">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014BCB66">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0BEAD51A">
            <w:pPr>
              <w:spacing w:line="400" w:lineRule="exact"/>
              <w:jc w:val="center"/>
              <w:rPr>
                <w:rFonts w:hint="eastAsia" w:ascii="仿宋" w:hAnsi="仿宋" w:eastAsia="仿宋" w:cs="仿宋"/>
                <w:color w:val="auto"/>
                <w:szCs w:val="21"/>
                <w:highlight w:val="none"/>
              </w:rPr>
            </w:pPr>
          </w:p>
        </w:tc>
      </w:tr>
      <w:tr w14:paraId="39232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6" w:type="dxa"/>
            <w:noWrap w:val="0"/>
            <w:tcMar>
              <w:left w:w="28" w:type="dxa"/>
              <w:right w:w="28" w:type="dxa"/>
            </w:tcMar>
            <w:vAlign w:val="center"/>
          </w:tcPr>
          <w:p w14:paraId="5D905D83">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0A964AE3">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59535062">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2DB1EFC2">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7F8BBB3C">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3E1BD4FB">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7EBAE1BF">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14A01E5D">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18351836">
            <w:pPr>
              <w:spacing w:line="400" w:lineRule="exact"/>
              <w:jc w:val="center"/>
              <w:rPr>
                <w:rFonts w:hint="eastAsia" w:ascii="仿宋" w:hAnsi="仿宋" w:eastAsia="仿宋" w:cs="仿宋"/>
                <w:color w:val="auto"/>
                <w:szCs w:val="21"/>
                <w:highlight w:val="none"/>
              </w:rPr>
            </w:pPr>
          </w:p>
        </w:tc>
      </w:tr>
      <w:tr w14:paraId="4CA56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66" w:type="dxa"/>
            <w:noWrap w:val="0"/>
            <w:tcMar>
              <w:left w:w="28" w:type="dxa"/>
              <w:right w:w="28" w:type="dxa"/>
            </w:tcMar>
            <w:vAlign w:val="center"/>
          </w:tcPr>
          <w:p w14:paraId="088B6FF7">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11ACA4A4">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750CAEA4">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219B5318">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50ECA501">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573D2BE0">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33E65293">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30A7BDCB">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7B8B51D1">
            <w:pPr>
              <w:spacing w:line="400" w:lineRule="exact"/>
              <w:jc w:val="center"/>
              <w:rPr>
                <w:rFonts w:hint="eastAsia" w:ascii="仿宋" w:hAnsi="仿宋" w:eastAsia="仿宋" w:cs="仿宋"/>
                <w:color w:val="auto"/>
                <w:szCs w:val="21"/>
                <w:highlight w:val="none"/>
              </w:rPr>
            </w:pPr>
          </w:p>
        </w:tc>
      </w:tr>
      <w:tr w14:paraId="1AC13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666" w:type="dxa"/>
            <w:gridSpan w:val="3"/>
            <w:noWrap w:val="0"/>
            <w:tcMar>
              <w:left w:w="28" w:type="dxa"/>
              <w:right w:w="28" w:type="dxa"/>
            </w:tcMar>
            <w:vAlign w:val="center"/>
          </w:tcPr>
          <w:p w14:paraId="0C33E744">
            <w:pP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招标人编制的标底（如果有）</w:t>
            </w:r>
          </w:p>
        </w:tc>
        <w:tc>
          <w:tcPr>
            <w:tcW w:w="6004" w:type="dxa"/>
            <w:gridSpan w:val="6"/>
            <w:noWrap w:val="0"/>
            <w:tcMar>
              <w:left w:w="28" w:type="dxa"/>
              <w:right w:w="28" w:type="dxa"/>
            </w:tcMar>
            <w:vAlign w:val="center"/>
          </w:tcPr>
          <w:p w14:paraId="69008BF8">
            <w:pPr>
              <w:spacing w:line="400" w:lineRule="exact"/>
              <w:jc w:val="center"/>
              <w:rPr>
                <w:rFonts w:hint="eastAsia" w:ascii="仿宋" w:hAnsi="仿宋" w:eastAsia="仿宋" w:cs="仿宋"/>
                <w:color w:val="auto"/>
                <w:szCs w:val="21"/>
                <w:highlight w:val="none"/>
              </w:rPr>
            </w:pPr>
          </w:p>
        </w:tc>
      </w:tr>
    </w:tbl>
    <w:p w14:paraId="0A9E3183">
      <w:pPr>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（二）开标过程中的其他事项记录</w:t>
      </w:r>
    </w:p>
    <w:p w14:paraId="7C4D24F6">
      <w:pPr>
        <w:spacing w:line="4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u w:val="single"/>
        </w:rPr>
        <w:t xml:space="preserve">                                                                             </w:t>
      </w:r>
    </w:p>
    <w:p w14:paraId="55A09C9E">
      <w:pPr>
        <w:spacing w:line="4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u w:val="single"/>
        </w:rPr>
        <w:t xml:space="preserve">                                                                             </w:t>
      </w:r>
    </w:p>
    <w:p w14:paraId="76AD038E">
      <w:pPr>
        <w:spacing w:line="4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u w:val="single"/>
        </w:rPr>
        <w:t xml:space="preserve">                                                                             </w:t>
      </w:r>
    </w:p>
    <w:p w14:paraId="27CEE069">
      <w:pPr>
        <w:spacing w:line="4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u w:val="single"/>
        </w:rPr>
        <w:t xml:space="preserve">                                                                             </w:t>
      </w:r>
    </w:p>
    <w:p w14:paraId="0523F241">
      <w:pPr>
        <w:spacing w:line="4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u w:val="single"/>
        </w:rPr>
        <w:t xml:space="preserve">                                                                             </w:t>
      </w:r>
    </w:p>
    <w:p w14:paraId="4CE6FA37">
      <w:pPr>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（三）出席开标会的单位和人员（附签到表）</w:t>
      </w:r>
    </w:p>
    <w:p w14:paraId="772B397F">
      <w:pPr>
        <w:spacing w:line="400" w:lineRule="exact"/>
        <w:rPr>
          <w:rFonts w:hint="eastAsia" w:ascii="仿宋" w:hAnsi="仿宋" w:eastAsia="仿宋" w:cs="仿宋"/>
          <w:color w:val="auto"/>
          <w:szCs w:val="21"/>
          <w:highlight w:val="none"/>
        </w:rPr>
      </w:pPr>
    </w:p>
    <w:p w14:paraId="4C5CAF26">
      <w:pPr>
        <w:spacing w:line="400" w:lineRule="exact"/>
        <w:rPr>
          <w:rFonts w:hint="eastAsia" w:ascii="仿宋" w:hAnsi="仿宋" w:eastAsia="仿宋" w:cs="仿宋"/>
          <w:color w:val="auto"/>
          <w:szCs w:val="21"/>
          <w:highlight w:val="none"/>
        </w:rPr>
      </w:pPr>
    </w:p>
    <w:p w14:paraId="05AEC366">
      <w:pPr>
        <w:spacing w:line="400" w:lineRule="exact"/>
        <w:rPr>
          <w:rFonts w:hint="eastAsia" w:ascii="仿宋" w:hAnsi="仿宋" w:eastAsia="仿宋" w:cs="仿宋"/>
          <w:color w:val="auto"/>
          <w:szCs w:val="21"/>
          <w:highlight w:val="none"/>
        </w:rPr>
      </w:pPr>
    </w:p>
    <w:p w14:paraId="10D5BE0D">
      <w:pPr>
        <w:spacing w:line="400" w:lineRule="exact"/>
        <w:rPr>
          <w:rFonts w:hint="eastAsia" w:ascii="仿宋" w:hAnsi="仿宋" w:eastAsia="仿宋" w:cs="仿宋"/>
          <w:color w:val="auto"/>
          <w:szCs w:val="21"/>
          <w:highlight w:val="none"/>
        </w:rPr>
      </w:pPr>
    </w:p>
    <w:p w14:paraId="776B92CF">
      <w:pP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招标人代表：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记录人：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监标人：</w:t>
      </w:r>
      <w:r>
        <w:rPr>
          <w:rFonts w:hint="eastAsia" w:ascii="仿宋" w:hAnsi="仿宋" w:eastAsia="仿宋" w:cs="仿宋"/>
          <w:color w:val="auto"/>
          <w:sz w:val="24"/>
          <w:highlight w:val="none"/>
          <w:u w:val="single"/>
        </w:rPr>
        <w:t xml:space="preserve">               </w:t>
      </w:r>
    </w:p>
    <w:p w14:paraId="0221830D">
      <w:pPr>
        <w:spacing w:line="400" w:lineRule="exact"/>
        <w:rPr>
          <w:rFonts w:hint="eastAsia" w:ascii="仿宋" w:hAnsi="仿宋" w:eastAsia="仿宋" w:cs="仿宋"/>
          <w:color w:val="auto"/>
          <w:sz w:val="24"/>
          <w:highlight w:val="none"/>
        </w:rPr>
      </w:pPr>
    </w:p>
    <w:p w14:paraId="26480607">
      <w:pPr>
        <w:spacing w:line="400" w:lineRule="exact"/>
        <w:ind w:firstLine="4320" w:firstLineChars="18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3B9235ED">
      <w:pPr>
        <w:spacing w:line="400" w:lineRule="exact"/>
        <w:ind w:firstLine="3780" w:firstLineChars="1800"/>
        <w:rPr>
          <w:rFonts w:hint="eastAsia" w:ascii="仿宋" w:hAnsi="仿宋" w:eastAsia="仿宋" w:cs="仿宋"/>
          <w:color w:val="auto"/>
          <w:highlight w:val="none"/>
        </w:rPr>
      </w:pPr>
    </w:p>
    <w:p w14:paraId="17ACDB81">
      <w:pP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1236" w:name="_Toc21738"/>
      <w:bookmarkStart w:id="1237" w:name="_Toc3049"/>
      <w:bookmarkStart w:id="1238" w:name="_Toc27528"/>
      <w:bookmarkStart w:id="1239" w:name="_Toc11506"/>
      <w:bookmarkStart w:id="1240" w:name="_Toc2159"/>
      <w:bookmarkStart w:id="1241" w:name="_Toc4481"/>
      <w:bookmarkStart w:id="1242" w:name="_Toc19971"/>
      <w:bookmarkStart w:id="1243" w:name="_Toc26699"/>
      <w:bookmarkStart w:id="1244" w:name="_Toc24372"/>
      <w:bookmarkStart w:id="1245" w:name="_Toc29471"/>
      <w:r>
        <w:rPr>
          <w:rFonts w:hint="eastAsia" w:ascii="仿宋" w:hAnsi="仿宋" w:eastAsia="仿宋" w:cs="仿宋"/>
          <w:color w:val="auto"/>
          <w:sz w:val="24"/>
          <w:highlight w:val="none"/>
        </w:rPr>
        <w:t>附表二：问题澄清通知</w:t>
      </w:r>
      <w:bookmarkEnd w:id="1236"/>
      <w:bookmarkEnd w:id="1237"/>
      <w:bookmarkEnd w:id="1238"/>
      <w:bookmarkEnd w:id="1239"/>
      <w:bookmarkEnd w:id="1240"/>
      <w:bookmarkEnd w:id="1241"/>
      <w:bookmarkEnd w:id="1242"/>
      <w:bookmarkEnd w:id="1243"/>
      <w:bookmarkEnd w:id="1244"/>
      <w:bookmarkEnd w:id="1245"/>
    </w:p>
    <w:p w14:paraId="2BFE1E06">
      <w:pPr>
        <w:spacing w:before="240" w:beforeLines="100" w:after="240" w:afterLines="100" w:line="40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问题澄清通知</w:t>
      </w:r>
    </w:p>
    <w:p w14:paraId="08A67AE0">
      <w:pPr>
        <w:spacing w:line="400" w:lineRule="exact"/>
        <w:ind w:firstLine="6120" w:firstLineChars="255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编号：</w:t>
      </w:r>
      <w:r>
        <w:rPr>
          <w:rFonts w:hint="eastAsia" w:ascii="仿宋" w:hAnsi="仿宋" w:eastAsia="仿宋" w:cs="仿宋"/>
          <w:color w:val="auto"/>
          <w:sz w:val="24"/>
          <w:highlight w:val="none"/>
          <w:u w:val="single"/>
        </w:rPr>
        <w:t xml:space="preserve">                  </w:t>
      </w:r>
    </w:p>
    <w:p w14:paraId="45641992">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（投标人名称）：</w:t>
      </w:r>
    </w:p>
    <w:p w14:paraId="16E5E008">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rPr>
        <w:t xml:space="preserve">        标</w:t>
      </w:r>
      <w:r>
        <w:rPr>
          <w:rFonts w:hint="eastAsia" w:ascii="仿宋" w:hAnsi="仿宋" w:eastAsia="仿宋" w:cs="仿宋"/>
          <w:color w:val="auto"/>
          <w:sz w:val="24"/>
          <w:highlight w:val="none"/>
        </w:rPr>
        <w:t>段施工招标的评标委员会，对你方的投标文件进行了仔细的审查，现需你方对本通知所附质疑问卷中的问题以书面形式予以澄清、说明或者补正。</w:t>
      </w:r>
    </w:p>
    <w:p w14:paraId="18DBB7A9">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请将上述问题的澄清、说明或者补正于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时前密封递交至</w:t>
      </w:r>
      <w:r>
        <w:rPr>
          <w:rFonts w:hint="eastAsia" w:ascii="仿宋" w:hAnsi="仿宋" w:eastAsia="仿宋" w:cs="仿宋"/>
          <w:color w:val="auto"/>
          <w:sz w:val="24"/>
          <w:highlight w:val="none"/>
          <w:u w:val="single"/>
        </w:rPr>
        <w:t xml:space="preserve">（详细地址）  </w:t>
      </w:r>
      <w:r>
        <w:rPr>
          <w:rFonts w:hint="eastAsia" w:ascii="仿宋" w:hAnsi="仿宋" w:eastAsia="仿宋" w:cs="仿宋"/>
          <w:color w:val="auto"/>
          <w:sz w:val="24"/>
          <w:highlight w:val="none"/>
        </w:rPr>
        <w:t>或传真至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（传真号码）。采用传真方式的，应在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时前将原件递交至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（详细地址）。</w:t>
      </w:r>
    </w:p>
    <w:p w14:paraId="01875313">
      <w:pPr>
        <w:spacing w:line="480" w:lineRule="exact"/>
        <w:rPr>
          <w:rFonts w:hint="eastAsia" w:ascii="仿宋" w:hAnsi="仿宋" w:eastAsia="仿宋" w:cs="仿宋"/>
          <w:color w:val="auto"/>
          <w:sz w:val="24"/>
          <w:highlight w:val="none"/>
        </w:rPr>
      </w:pPr>
    </w:p>
    <w:p w14:paraId="637E901A">
      <w:pP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附件：质疑问卷</w:t>
      </w:r>
    </w:p>
    <w:p w14:paraId="51764378">
      <w:pPr>
        <w:spacing w:line="48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（项目名称）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标段施工招标评标委员会</w:t>
      </w:r>
    </w:p>
    <w:p w14:paraId="7957382E">
      <w:pPr>
        <w:spacing w:line="48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（经评标委员会授权的招标人代表签字或招标人加盖单位章）</w:t>
      </w:r>
    </w:p>
    <w:p w14:paraId="0C2F48DA">
      <w:pPr>
        <w:spacing w:line="480" w:lineRule="exact"/>
        <w:ind w:firstLine="5280" w:firstLineChars="22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2340BCE9">
      <w:pP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1246" w:name="_Toc12945"/>
      <w:bookmarkStart w:id="1247" w:name="_Toc3605"/>
      <w:bookmarkStart w:id="1248" w:name="_Toc22460"/>
      <w:bookmarkStart w:id="1249" w:name="_Toc25706"/>
      <w:bookmarkStart w:id="1250" w:name="_Toc31052"/>
      <w:bookmarkStart w:id="1251" w:name="_Toc22868"/>
      <w:bookmarkStart w:id="1252" w:name="_Toc26873"/>
      <w:bookmarkStart w:id="1253" w:name="_Toc29975"/>
      <w:bookmarkStart w:id="1254" w:name="_Toc4680"/>
      <w:bookmarkStart w:id="1255" w:name="_Toc10432"/>
      <w:r>
        <w:rPr>
          <w:rFonts w:hint="eastAsia" w:ascii="仿宋" w:hAnsi="仿宋" w:eastAsia="仿宋" w:cs="仿宋"/>
          <w:color w:val="auto"/>
          <w:sz w:val="24"/>
          <w:highlight w:val="none"/>
        </w:rPr>
        <w:t>附表三：问题的澄清</w:t>
      </w:r>
      <w:bookmarkEnd w:id="1246"/>
      <w:bookmarkEnd w:id="1247"/>
      <w:bookmarkEnd w:id="1248"/>
      <w:bookmarkEnd w:id="1249"/>
      <w:bookmarkEnd w:id="1250"/>
      <w:bookmarkEnd w:id="1251"/>
      <w:bookmarkEnd w:id="1252"/>
      <w:bookmarkEnd w:id="1253"/>
      <w:bookmarkEnd w:id="1254"/>
      <w:bookmarkEnd w:id="1255"/>
    </w:p>
    <w:p w14:paraId="270B1889">
      <w:pPr>
        <w:spacing w:before="240" w:beforeLines="100" w:after="240" w:afterLines="100"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问题的澄清、说明或补正</w:t>
      </w:r>
    </w:p>
    <w:p w14:paraId="0C7D21A3">
      <w:pPr>
        <w:spacing w:line="400" w:lineRule="exact"/>
        <w:ind w:firstLine="6120" w:firstLineChars="255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编号：</w:t>
      </w:r>
      <w:r>
        <w:rPr>
          <w:rFonts w:hint="eastAsia" w:ascii="仿宋" w:hAnsi="仿宋" w:eastAsia="仿宋" w:cs="仿宋"/>
          <w:color w:val="auto"/>
          <w:sz w:val="24"/>
          <w:highlight w:val="none"/>
          <w:u w:val="single"/>
        </w:rPr>
        <w:t xml:space="preserve">                  </w:t>
      </w:r>
    </w:p>
    <w:p w14:paraId="1E1FFA0F">
      <w:pP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标段施工招标评标委员会：</w:t>
      </w:r>
    </w:p>
    <w:p w14:paraId="27324A2C">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问题澄清通知（编号：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）已收悉，现澄清、说明或者补正如下：</w:t>
      </w:r>
    </w:p>
    <w:p w14:paraId="6B31A262">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p w14:paraId="2081FF14">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p w14:paraId="497BDDD5">
      <w:pPr>
        <w:spacing w:line="480" w:lineRule="exact"/>
        <w:ind w:firstLine="420" w:firstLineChars="200"/>
        <w:rPr>
          <w:rFonts w:hint="eastAsia" w:ascii="仿宋" w:hAnsi="仿宋" w:eastAsia="仿宋" w:cs="仿宋"/>
          <w:color w:val="auto"/>
          <w:highlight w:val="none"/>
        </w:rPr>
      </w:pPr>
    </w:p>
    <w:p w14:paraId="2C612E61">
      <w:pPr>
        <w:spacing w:line="480" w:lineRule="exact"/>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w:t>
      </w:r>
    </w:p>
    <w:p w14:paraId="363EE826">
      <w:pPr>
        <w:spacing w:line="480" w:lineRule="exact"/>
        <w:ind w:firstLine="420" w:firstLineChars="200"/>
        <w:rPr>
          <w:rFonts w:hint="eastAsia" w:ascii="仿宋" w:hAnsi="仿宋" w:eastAsia="仿宋" w:cs="仿宋"/>
          <w:color w:val="auto"/>
          <w:highlight w:val="none"/>
        </w:rPr>
      </w:pPr>
    </w:p>
    <w:p w14:paraId="7C2AD655">
      <w:pPr>
        <w:spacing w:line="480" w:lineRule="exact"/>
        <w:ind w:firstLine="420" w:firstLineChars="200"/>
        <w:rPr>
          <w:rFonts w:hint="eastAsia" w:ascii="仿宋" w:hAnsi="仿宋" w:eastAsia="仿宋" w:cs="仿宋"/>
          <w:color w:val="auto"/>
          <w:highlight w:val="none"/>
        </w:rPr>
      </w:pPr>
    </w:p>
    <w:p w14:paraId="450AEF4F">
      <w:pPr>
        <w:spacing w:line="480" w:lineRule="exact"/>
        <w:ind w:firstLine="420" w:firstLineChars="200"/>
        <w:rPr>
          <w:rFonts w:hint="eastAsia" w:ascii="仿宋" w:hAnsi="仿宋" w:eastAsia="仿宋" w:cs="仿宋"/>
          <w:color w:val="auto"/>
          <w:highlight w:val="none"/>
        </w:rPr>
      </w:pPr>
    </w:p>
    <w:p w14:paraId="7A881001">
      <w:pPr>
        <w:spacing w:line="480" w:lineRule="exact"/>
        <w:ind w:firstLine="420" w:firstLineChars="200"/>
        <w:rPr>
          <w:rFonts w:hint="eastAsia" w:ascii="仿宋" w:hAnsi="仿宋" w:eastAsia="仿宋" w:cs="仿宋"/>
          <w:color w:val="auto"/>
          <w:highlight w:val="none"/>
        </w:rPr>
      </w:pPr>
    </w:p>
    <w:p w14:paraId="4FC482CB">
      <w:pPr>
        <w:spacing w:line="480" w:lineRule="exact"/>
        <w:ind w:firstLine="420" w:firstLineChars="200"/>
        <w:rPr>
          <w:rFonts w:hint="eastAsia" w:ascii="仿宋" w:hAnsi="仿宋" w:eastAsia="仿宋" w:cs="仿宋"/>
          <w:color w:val="auto"/>
          <w:highlight w:val="none"/>
        </w:rPr>
      </w:pPr>
    </w:p>
    <w:p w14:paraId="477BDAF0">
      <w:pPr>
        <w:spacing w:line="480" w:lineRule="exact"/>
        <w:ind w:firstLine="480" w:firstLineChars="200"/>
        <w:rPr>
          <w:rFonts w:hint="eastAsia" w:ascii="仿宋" w:hAnsi="仿宋" w:eastAsia="仿宋" w:cs="仿宋"/>
          <w:color w:val="auto"/>
          <w:sz w:val="24"/>
          <w:highlight w:val="none"/>
        </w:rPr>
      </w:pPr>
    </w:p>
    <w:p w14:paraId="47B188B9">
      <w:pPr>
        <w:wordWrap w:val="0"/>
        <w:spacing w:line="48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（盖单位章） </w:t>
      </w:r>
    </w:p>
    <w:p w14:paraId="51D602E0">
      <w:pPr>
        <w:wordWrap w:val="0"/>
        <w:spacing w:before="120" w:beforeLines="50" w:after="120" w:afterLines="50" w:line="480" w:lineRule="exact"/>
        <w:ind w:right="21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（签字）      </w:t>
      </w:r>
    </w:p>
    <w:p w14:paraId="17EF64CA">
      <w:pPr>
        <w:spacing w:line="48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77066343">
      <w:pP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1256" w:name="_Toc5608"/>
      <w:bookmarkStart w:id="1257" w:name="_Toc23284"/>
      <w:bookmarkStart w:id="1258" w:name="_Toc15793"/>
      <w:bookmarkStart w:id="1259" w:name="_Toc19980"/>
      <w:bookmarkStart w:id="1260" w:name="_Toc3063"/>
      <w:bookmarkStart w:id="1261" w:name="_Toc1026"/>
      <w:bookmarkStart w:id="1262" w:name="_Toc202"/>
      <w:bookmarkStart w:id="1263" w:name="_Toc27697"/>
      <w:bookmarkStart w:id="1264" w:name="_Toc10485"/>
      <w:bookmarkStart w:id="1265" w:name="_Toc15349"/>
      <w:r>
        <w:rPr>
          <w:rFonts w:hint="eastAsia" w:ascii="仿宋" w:hAnsi="仿宋" w:eastAsia="仿宋" w:cs="仿宋"/>
          <w:color w:val="auto"/>
          <w:sz w:val="24"/>
          <w:highlight w:val="none"/>
        </w:rPr>
        <w:t>附表四：中标通知书</w:t>
      </w:r>
      <w:bookmarkEnd w:id="1256"/>
      <w:bookmarkEnd w:id="1257"/>
      <w:bookmarkEnd w:id="1258"/>
      <w:bookmarkEnd w:id="1259"/>
      <w:bookmarkEnd w:id="1260"/>
      <w:bookmarkEnd w:id="1261"/>
      <w:bookmarkEnd w:id="1262"/>
      <w:bookmarkEnd w:id="1263"/>
      <w:bookmarkEnd w:id="1264"/>
      <w:bookmarkEnd w:id="1265"/>
    </w:p>
    <w:p w14:paraId="65CD8210">
      <w:pPr>
        <w:spacing w:before="240" w:beforeLines="100" w:after="240" w:afterLines="100"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中标通知书</w:t>
      </w:r>
    </w:p>
    <w:p w14:paraId="5B7AD078">
      <w:pP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（中标人名称）：</w:t>
      </w:r>
    </w:p>
    <w:p w14:paraId="4129E85A">
      <w:pPr>
        <w:spacing w:line="480" w:lineRule="exact"/>
        <w:rPr>
          <w:rFonts w:hint="eastAsia" w:ascii="仿宋" w:hAnsi="仿宋" w:eastAsia="仿宋" w:cs="仿宋"/>
          <w:color w:val="auto"/>
          <w:highlight w:val="none"/>
        </w:rPr>
      </w:pPr>
    </w:p>
    <w:p w14:paraId="4296B924">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你方于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（投标日期）所递交的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标段施工投标文件已被我方接受，被确定为中标人。</w:t>
      </w:r>
    </w:p>
    <w:p w14:paraId="75A92A26">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中标价：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元。</w:t>
      </w:r>
    </w:p>
    <w:p w14:paraId="531E7C57">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日历天。</w:t>
      </w:r>
    </w:p>
    <w:p w14:paraId="4D5858A2">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工程质量：符合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标准。</w:t>
      </w:r>
    </w:p>
    <w:p w14:paraId="0744EBFB">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（姓名）。</w:t>
      </w:r>
    </w:p>
    <w:p w14:paraId="5084A284">
      <w:pPr>
        <w:spacing w:line="480" w:lineRule="exact"/>
        <w:ind w:firstLine="480" w:firstLineChars="200"/>
        <w:rPr>
          <w:rFonts w:hint="eastAsia" w:ascii="仿宋" w:hAnsi="仿宋" w:eastAsia="仿宋" w:cs="仿宋"/>
          <w:color w:val="auto"/>
          <w:sz w:val="24"/>
          <w:highlight w:val="none"/>
        </w:rPr>
      </w:pPr>
    </w:p>
    <w:p w14:paraId="3D491960">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请你方在接到本通知书后的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（指定地点）与我方签订施工承包合同，在此之前按招标文件第二章“投标人须知”第7.3款规定向我方提交履约担保。</w:t>
      </w:r>
    </w:p>
    <w:p w14:paraId="125FE7E8">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特此通知。</w:t>
      </w:r>
    </w:p>
    <w:p w14:paraId="355D44A0">
      <w:pPr>
        <w:spacing w:line="480" w:lineRule="exact"/>
        <w:ind w:firstLine="420" w:firstLineChars="200"/>
        <w:rPr>
          <w:rFonts w:hint="eastAsia" w:ascii="仿宋" w:hAnsi="仿宋" w:eastAsia="仿宋" w:cs="仿宋"/>
          <w:color w:val="auto"/>
          <w:highlight w:val="none"/>
        </w:rPr>
      </w:pPr>
    </w:p>
    <w:p w14:paraId="6EFC6900">
      <w:pPr>
        <w:spacing w:line="480" w:lineRule="exact"/>
        <w:ind w:firstLine="420" w:firstLineChars="200"/>
        <w:rPr>
          <w:rFonts w:hint="eastAsia" w:ascii="仿宋" w:hAnsi="仿宋" w:eastAsia="仿宋" w:cs="仿宋"/>
          <w:color w:val="auto"/>
          <w:highlight w:val="none"/>
        </w:rPr>
      </w:pPr>
    </w:p>
    <w:p w14:paraId="30F1F922">
      <w:pPr>
        <w:spacing w:line="480" w:lineRule="exact"/>
        <w:ind w:firstLine="420" w:firstLineChars="200"/>
        <w:rPr>
          <w:rFonts w:hint="eastAsia" w:ascii="仿宋" w:hAnsi="仿宋" w:eastAsia="仿宋" w:cs="仿宋"/>
          <w:color w:val="auto"/>
          <w:highlight w:val="none"/>
        </w:rPr>
      </w:pPr>
    </w:p>
    <w:p w14:paraId="7FDB29E0">
      <w:pPr>
        <w:spacing w:line="480" w:lineRule="exact"/>
        <w:ind w:firstLine="420" w:firstLineChars="200"/>
        <w:rPr>
          <w:rFonts w:hint="eastAsia" w:ascii="仿宋" w:hAnsi="仿宋" w:eastAsia="仿宋" w:cs="仿宋"/>
          <w:color w:val="auto"/>
          <w:highlight w:val="none"/>
        </w:rPr>
      </w:pPr>
    </w:p>
    <w:p w14:paraId="467DBC43">
      <w:pPr>
        <w:wordWrap w:val="0"/>
        <w:spacing w:line="48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（盖单位章）</w:t>
      </w:r>
    </w:p>
    <w:p w14:paraId="55A7B5DD">
      <w:pPr>
        <w:wordWrap w:val="0"/>
        <w:spacing w:line="48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（签字）</w:t>
      </w:r>
    </w:p>
    <w:p w14:paraId="798CC35F">
      <w:pPr>
        <w:spacing w:line="48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6B779DF0">
      <w:pP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1266" w:name="_Toc30889"/>
      <w:bookmarkStart w:id="1267" w:name="_Toc15575"/>
      <w:bookmarkStart w:id="1268" w:name="_Toc26184"/>
      <w:bookmarkStart w:id="1269" w:name="_Toc15381"/>
      <w:bookmarkStart w:id="1270" w:name="_Toc20246"/>
      <w:bookmarkStart w:id="1271" w:name="_Toc16258"/>
      <w:bookmarkStart w:id="1272" w:name="_Toc11043"/>
      <w:bookmarkStart w:id="1273" w:name="_Toc616"/>
      <w:bookmarkStart w:id="1274" w:name="_Toc22668"/>
      <w:bookmarkStart w:id="1275" w:name="_Toc18228"/>
      <w:r>
        <w:rPr>
          <w:rFonts w:hint="eastAsia" w:ascii="仿宋" w:hAnsi="仿宋" w:eastAsia="仿宋" w:cs="仿宋"/>
          <w:color w:val="auto"/>
          <w:sz w:val="24"/>
          <w:highlight w:val="none"/>
        </w:rPr>
        <w:t>附表五：中标结果通知书</w:t>
      </w:r>
      <w:bookmarkEnd w:id="1266"/>
      <w:bookmarkEnd w:id="1267"/>
      <w:bookmarkEnd w:id="1268"/>
      <w:bookmarkEnd w:id="1269"/>
      <w:bookmarkEnd w:id="1270"/>
      <w:bookmarkEnd w:id="1271"/>
      <w:bookmarkEnd w:id="1272"/>
      <w:bookmarkEnd w:id="1273"/>
      <w:bookmarkEnd w:id="1274"/>
      <w:bookmarkEnd w:id="1275"/>
    </w:p>
    <w:p w14:paraId="2DF1DA9E">
      <w:pPr>
        <w:spacing w:before="240" w:beforeLines="100" w:after="240" w:afterLines="100"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中标结果通知书</w:t>
      </w:r>
    </w:p>
    <w:p w14:paraId="59C3A909">
      <w:pP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（未中标人名称）：</w:t>
      </w:r>
    </w:p>
    <w:p w14:paraId="3CD5F408">
      <w:pPr>
        <w:spacing w:line="480" w:lineRule="exact"/>
        <w:rPr>
          <w:rFonts w:hint="eastAsia" w:ascii="仿宋" w:hAnsi="仿宋" w:eastAsia="仿宋" w:cs="仿宋"/>
          <w:color w:val="auto"/>
          <w:sz w:val="24"/>
          <w:highlight w:val="none"/>
        </w:rPr>
      </w:pPr>
    </w:p>
    <w:p w14:paraId="17FC9D53">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我方已接受</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（中标人名称）于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（投标日期）所递交的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标段施工投标文件，确定</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（中标人名称）为中标人。</w:t>
      </w:r>
    </w:p>
    <w:p w14:paraId="106F2407">
      <w:pPr>
        <w:spacing w:line="480" w:lineRule="exact"/>
        <w:ind w:firstLine="480" w:firstLineChars="200"/>
        <w:rPr>
          <w:rFonts w:hint="eastAsia" w:ascii="仿宋" w:hAnsi="仿宋" w:eastAsia="仿宋" w:cs="仿宋"/>
          <w:color w:val="auto"/>
          <w:sz w:val="24"/>
          <w:highlight w:val="none"/>
        </w:rPr>
      </w:pPr>
    </w:p>
    <w:p w14:paraId="13936443">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感谢你单位对我方工作的大力支持!</w:t>
      </w:r>
    </w:p>
    <w:p w14:paraId="38E36BBD">
      <w:pPr>
        <w:spacing w:line="480" w:lineRule="exact"/>
        <w:ind w:firstLine="480" w:firstLineChars="200"/>
        <w:rPr>
          <w:rFonts w:hint="eastAsia" w:ascii="仿宋" w:hAnsi="仿宋" w:eastAsia="仿宋" w:cs="仿宋"/>
          <w:color w:val="auto"/>
          <w:sz w:val="24"/>
          <w:highlight w:val="none"/>
        </w:rPr>
      </w:pPr>
    </w:p>
    <w:p w14:paraId="77612921">
      <w:pPr>
        <w:spacing w:line="480" w:lineRule="exact"/>
        <w:ind w:firstLine="420" w:firstLineChars="200"/>
        <w:rPr>
          <w:rFonts w:hint="eastAsia" w:ascii="仿宋" w:hAnsi="仿宋" w:eastAsia="仿宋" w:cs="仿宋"/>
          <w:color w:val="auto"/>
          <w:highlight w:val="none"/>
        </w:rPr>
      </w:pPr>
    </w:p>
    <w:p w14:paraId="65C78C1E">
      <w:pPr>
        <w:spacing w:line="480" w:lineRule="exact"/>
        <w:ind w:firstLine="420" w:firstLineChars="200"/>
        <w:rPr>
          <w:rFonts w:hint="eastAsia" w:ascii="仿宋" w:hAnsi="仿宋" w:eastAsia="仿宋" w:cs="仿宋"/>
          <w:color w:val="auto"/>
          <w:highlight w:val="none"/>
        </w:rPr>
      </w:pPr>
    </w:p>
    <w:p w14:paraId="361F9CEE">
      <w:pPr>
        <w:spacing w:line="480" w:lineRule="exact"/>
        <w:ind w:firstLine="420" w:firstLineChars="200"/>
        <w:rPr>
          <w:rFonts w:hint="eastAsia" w:ascii="仿宋" w:hAnsi="仿宋" w:eastAsia="仿宋" w:cs="仿宋"/>
          <w:color w:val="auto"/>
          <w:highlight w:val="none"/>
        </w:rPr>
      </w:pPr>
    </w:p>
    <w:p w14:paraId="0EC364D9">
      <w:pPr>
        <w:wordWrap w:val="0"/>
        <w:spacing w:line="48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（盖单位章）</w:t>
      </w:r>
    </w:p>
    <w:p w14:paraId="3022243F">
      <w:pPr>
        <w:wordWrap w:val="0"/>
        <w:spacing w:line="48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（签字）</w:t>
      </w:r>
    </w:p>
    <w:p w14:paraId="1F50BBAC">
      <w:pPr>
        <w:spacing w:line="480" w:lineRule="exact"/>
        <w:ind w:firstLine="5359" w:firstLineChars="2233"/>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49D98655">
      <w:pP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1276" w:name="_Toc12013"/>
      <w:bookmarkStart w:id="1277" w:name="_Toc9946"/>
      <w:bookmarkStart w:id="1278" w:name="_Toc10505"/>
      <w:bookmarkStart w:id="1279" w:name="_Toc9436"/>
      <w:bookmarkStart w:id="1280" w:name="_Toc25502"/>
      <w:bookmarkStart w:id="1281" w:name="_Toc31875"/>
      <w:bookmarkStart w:id="1282" w:name="_Toc21651"/>
      <w:bookmarkStart w:id="1283" w:name="_Toc25178"/>
      <w:bookmarkStart w:id="1284" w:name="_Toc18701"/>
      <w:bookmarkStart w:id="1285" w:name="_Toc17167"/>
      <w:r>
        <w:rPr>
          <w:rFonts w:hint="eastAsia"/>
          <w:color w:val="auto"/>
          <w:sz w:val="24"/>
          <w:highlight w:val="none"/>
        </w:rPr>
        <w:t>附表六：确认通知</w:t>
      </w:r>
      <w:bookmarkEnd w:id="1276"/>
      <w:bookmarkEnd w:id="1277"/>
      <w:bookmarkEnd w:id="1278"/>
      <w:bookmarkEnd w:id="1279"/>
      <w:bookmarkEnd w:id="1280"/>
      <w:bookmarkEnd w:id="1281"/>
      <w:bookmarkEnd w:id="1282"/>
      <w:bookmarkEnd w:id="1283"/>
      <w:bookmarkEnd w:id="1284"/>
      <w:bookmarkEnd w:id="1285"/>
    </w:p>
    <w:p w14:paraId="1274C154">
      <w:pPr>
        <w:spacing w:before="240" w:beforeLines="100" w:after="240" w:afterLines="100"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确认通知</w:t>
      </w:r>
    </w:p>
    <w:p w14:paraId="0D82FF59">
      <w:pP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（招标人名称）：</w:t>
      </w:r>
    </w:p>
    <w:p w14:paraId="6F6263F6">
      <w:pPr>
        <w:spacing w:line="480" w:lineRule="exact"/>
        <w:rPr>
          <w:rFonts w:hint="eastAsia" w:ascii="仿宋" w:hAnsi="仿宋" w:eastAsia="仿宋" w:cs="仿宋"/>
          <w:color w:val="auto"/>
          <w:sz w:val="24"/>
          <w:highlight w:val="none"/>
        </w:rPr>
      </w:pPr>
    </w:p>
    <w:p w14:paraId="3B7C1FE2">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你方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日发出的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标段施工招标关于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的通知，我方已于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日收到。</w:t>
      </w:r>
    </w:p>
    <w:p w14:paraId="57952136">
      <w:pPr>
        <w:spacing w:line="480" w:lineRule="exact"/>
        <w:ind w:firstLine="480" w:firstLineChars="200"/>
        <w:rPr>
          <w:rFonts w:hint="eastAsia" w:ascii="仿宋" w:hAnsi="仿宋" w:eastAsia="仿宋" w:cs="仿宋"/>
          <w:color w:val="auto"/>
          <w:sz w:val="24"/>
          <w:highlight w:val="none"/>
        </w:rPr>
      </w:pPr>
    </w:p>
    <w:p w14:paraId="6BE6FD97">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特此确认。</w:t>
      </w:r>
    </w:p>
    <w:p w14:paraId="6DCAE288">
      <w:pPr>
        <w:spacing w:line="480" w:lineRule="exact"/>
        <w:ind w:firstLine="420" w:firstLineChars="200"/>
        <w:rPr>
          <w:rFonts w:hint="eastAsia" w:ascii="仿宋" w:hAnsi="仿宋" w:eastAsia="仿宋" w:cs="仿宋"/>
          <w:color w:val="auto"/>
          <w:highlight w:val="none"/>
        </w:rPr>
      </w:pPr>
    </w:p>
    <w:p w14:paraId="15AD7D9F">
      <w:pPr>
        <w:spacing w:line="480" w:lineRule="exact"/>
        <w:ind w:firstLine="420" w:firstLineChars="200"/>
        <w:rPr>
          <w:rFonts w:hint="eastAsia" w:ascii="仿宋" w:hAnsi="仿宋" w:eastAsia="仿宋" w:cs="仿宋"/>
          <w:color w:val="auto"/>
          <w:highlight w:val="none"/>
        </w:rPr>
      </w:pPr>
    </w:p>
    <w:p w14:paraId="05A2BA3C">
      <w:pPr>
        <w:spacing w:line="480" w:lineRule="exact"/>
        <w:ind w:firstLine="420" w:firstLineChars="200"/>
        <w:rPr>
          <w:rFonts w:hint="eastAsia" w:ascii="仿宋" w:hAnsi="仿宋" w:eastAsia="仿宋" w:cs="仿宋"/>
          <w:color w:val="auto"/>
          <w:highlight w:val="none"/>
        </w:rPr>
      </w:pPr>
    </w:p>
    <w:p w14:paraId="7B5C5DE3">
      <w:pPr>
        <w:spacing w:line="480" w:lineRule="exact"/>
        <w:ind w:firstLine="420" w:firstLineChars="200"/>
        <w:rPr>
          <w:rFonts w:hint="eastAsia" w:ascii="仿宋" w:hAnsi="仿宋" w:eastAsia="仿宋" w:cs="仿宋"/>
          <w:color w:val="auto"/>
          <w:highlight w:val="none"/>
        </w:rPr>
      </w:pPr>
    </w:p>
    <w:p w14:paraId="5DA09171">
      <w:pPr>
        <w:wordWrap w:val="0"/>
        <w:spacing w:line="48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（盖单位章）     </w:t>
      </w:r>
    </w:p>
    <w:p w14:paraId="3B05FD46">
      <w:pPr>
        <w:wordWrap w:val="0"/>
        <w:spacing w:line="48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      </w:t>
      </w:r>
    </w:p>
    <w:p w14:paraId="2CAA3F31">
      <w:pP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1286" w:name="_Toc21208"/>
      <w:bookmarkStart w:id="1287" w:name="_Toc22991"/>
      <w:bookmarkStart w:id="1288" w:name="_Toc24480"/>
      <w:bookmarkStart w:id="1289" w:name="_Toc29025"/>
      <w:bookmarkStart w:id="1290" w:name="_Toc10294"/>
      <w:bookmarkStart w:id="1291" w:name="_Toc24231"/>
      <w:bookmarkStart w:id="1292" w:name="_Toc20290"/>
      <w:bookmarkStart w:id="1293" w:name="_Toc9120"/>
      <w:bookmarkStart w:id="1294" w:name="_Toc23394"/>
      <w:bookmarkStart w:id="1295" w:name="_Toc10210"/>
      <w:r>
        <w:rPr>
          <w:rFonts w:hint="eastAsia" w:ascii="仿宋" w:hAnsi="仿宋" w:eastAsia="仿宋" w:cs="仿宋"/>
          <w:color w:val="auto"/>
          <w:sz w:val="24"/>
          <w:highlight w:val="none"/>
        </w:rPr>
        <w:t>附表七：备选投标方案编制要求</w:t>
      </w:r>
      <w:bookmarkEnd w:id="1286"/>
      <w:bookmarkEnd w:id="1287"/>
      <w:bookmarkEnd w:id="1288"/>
      <w:bookmarkEnd w:id="1289"/>
      <w:bookmarkEnd w:id="1290"/>
      <w:bookmarkEnd w:id="1291"/>
      <w:bookmarkEnd w:id="1292"/>
      <w:bookmarkEnd w:id="1293"/>
      <w:bookmarkEnd w:id="1294"/>
      <w:bookmarkEnd w:id="1295"/>
    </w:p>
    <w:p w14:paraId="1BFA8A60">
      <w:pPr>
        <w:spacing w:before="360" w:beforeLines="150" w:after="360" w:afterLines="150"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备选投标方案编制要求</w:t>
      </w:r>
    </w:p>
    <w:p w14:paraId="4FDE49FF">
      <w:pPr>
        <w:spacing w:line="4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备注：允许备选投标方案时，本附表应当作为本章“投标人须知”的附件，由招标人根据招标项目的具体情况和第三章“评标办法”中所附的评审和比较方法，对备选投标方案是否或在多大程度上可以偏离投标文件相关实质性要求、备选投标方案的组成内容，装订和递交要求等给予具体规定。</w:t>
      </w:r>
    </w:p>
    <w:p w14:paraId="19A12ED8">
      <w:pPr>
        <w:spacing w:line="360" w:lineRule="auto"/>
        <w:ind w:firstLine="420" w:firstLineChars="200"/>
        <w:rPr>
          <w:rFonts w:hint="eastAsia" w:ascii="仿宋" w:hAnsi="仿宋" w:eastAsia="仿宋" w:cs="仿宋"/>
          <w:color w:val="auto"/>
          <w:szCs w:val="21"/>
          <w:highlight w:val="none"/>
        </w:rPr>
      </w:pPr>
    </w:p>
    <w:p w14:paraId="0E254892">
      <w:pPr>
        <w:spacing w:line="420" w:lineRule="exact"/>
        <w:jc w:val="center"/>
        <w:outlineLvl w:val="9"/>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1296" w:name="_Toc5121"/>
      <w:bookmarkStart w:id="1297" w:name="_Toc13063"/>
      <w:bookmarkStart w:id="1298" w:name="_Toc28375"/>
      <w:bookmarkStart w:id="1299" w:name="_Toc32120"/>
      <w:bookmarkStart w:id="1300" w:name="_Toc29763"/>
      <w:bookmarkStart w:id="1301" w:name="_Toc20503"/>
      <w:bookmarkStart w:id="1302" w:name="_Toc8920"/>
      <w:bookmarkStart w:id="1303" w:name="_Toc20477"/>
      <w:bookmarkStart w:id="1304" w:name="_Toc17814"/>
      <w:bookmarkStart w:id="1305" w:name="_Toc12544"/>
      <w:bookmarkStart w:id="1306" w:name="_Toc30241"/>
      <w:bookmarkStart w:id="1307" w:name="_Toc352"/>
      <w:bookmarkStart w:id="1308" w:name="_Toc6562"/>
      <w:bookmarkStart w:id="1309" w:name="_Toc10626"/>
      <w:bookmarkStart w:id="1310" w:name="_Toc32421"/>
    </w:p>
    <w:p w14:paraId="17EA8B54">
      <w:pPr>
        <w:spacing w:line="420" w:lineRule="exact"/>
        <w:jc w:val="center"/>
        <w:outlineLvl w:val="9"/>
        <w:rPr>
          <w:rFonts w:hint="eastAsia" w:ascii="仿宋" w:hAnsi="仿宋" w:eastAsia="仿宋" w:cs="仿宋"/>
          <w:color w:val="auto"/>
          <w:highlight w:val="none"/>
        </w:rPr>
      </w:pPr>
    </w:p>
    <w:p w14:paraId="358A13EC">
      <w:pPr>
        <w:spacing w:line="420" w:lineRule="exact"/>
        <w:jc w:val="center"/>
        <w:outlineLvl w:val="9"/>
        <w:rPr>
          <w:rFonts w:hint="eastAsia" w:ascii="仿宋" w:hAnsi="仿宋" w:eastAsia="仿宋" w:cs="仿宋"/>
          <w:color w:val="auto"/>
          <w:highlight w:val="none"/>
        </w:rPr>
      </w:pPr>
    </w:p>
    <w:p w14:paraId="0339CB3E">
      <w:pPr>
        <w:spacing w:line="420" w:lineRule="exact"/>
        <w:jc w:val="center"/>
        <w:outlineLvl w:val="9"/>
        <w:rPr>
          <w:rFonts w:hint="eastAsia" w:ascii="仿宋" w:hAnsi="仿宋" w:eastAsia="仿宋" w:cs="仿宋"/>
          <w:color w:val="auto"/>
          <w:highlight w:val="none"/>
        </w:rPr>
      </w:pPr>
    </w:p>
    <w:p w14:paraId="19A76B5F">
      <w:pPr>
        <w:spacing w:line="420" w:lineRule="exact"/>
        <w:jc w:val="center"/>
        <w:outlineLvl w:val="9"/>
        <w:rPr>
          <w:rFonts w:hint="eastAsia" w:ascii="仿宋" w:hAnsi="仿宋" w:eastAsia="仿宋" w:cs="仿宋"/>
          <w:color w:val="auto"/>
          <w:highlight w:val="none"/>
        </w:rPr>
      </w:pPr>
    </w:p>
    <w:p w14:paraId="0C82475C">
      <w:pPr>
        <w:spacing w:line="420" w:lineRule="exact"/>
        <w:jc w:val="center"/>
        <w:outlineLvl w:val="9"/>
        <w:rPr>
          <w:rFonts w:hint="eastAsia" w:ascii="仿宋" w:hAnsi="仿宋" w:eastAsia="仿宋" w:cs="仿宋"/>
          <w:color w:val="auto"/>
          <w:highlight w:val="none"/>
        </w:rPr>
      </w:pPr>
    </w:p>
    <w:p w14:paraId="66C797A4">
      <w:pPr>
        <w:spacing w:line="420" w:lineRule="exact"/>
        <w:jc w:val="center"/>
        <w:outlineLvl w:val="9"/>
        <w:rPr>
          <w:rFonts w:hint="eastAsia" w:ascii="仿宋" w:hAnsi="仿宋" w:eastAsia="仿宋" w:cs="仿宋"/>
          <w:color w:val="auto"/>
          <w:highlight w:val="none"/>
        </w:rPr>
      </w:pPr>
    </w:p>
    <w:p w14:paraId="3F6ECB83">
      <w:pPr>
        <w:spacing w:line="420" w:lineRule="exact"/>
        <w:jc w:val="center"/>
        <w:outlineLvl w:val="9"/>
        <w:rPr>
          <w:rFonts w:hint="eastAsia" w:ascii="仿宋" w:hAnsi="仿宋" w:eastAsia="仿宋" w:cs="仿宋"/>
          <w:color w:val="auto"/>
          <w:highlight w:val="none"/>
        </w:rPr>
      </w:pPr>
    </w:p>
    <w:p w14:paraId="2473044A">
      <w:pPr>
        <w:spacing w:line="420" w:lineRule="exact"/>
        <w:jc w:val="center"/>
        <w:outlineLvl w:val="9"/>
        <w:rPr>
          <w:rFonts w:hint="eastAsia" w:ascii="仿宋" w:hAnsi="仿宋" w:eastAsia="仿宋" w:cs="仿宋"/>
          <w:color w:val="auto"/>
          <w:highlight w:val="none"/>
        </w:rPr>
      </w:pPr>
    </w:p>
    <w:p w14:paraId="12EDA8F6">
      <w:pPr>
        <w:spacing w:line="420" w:lineRule="exact"/>
        <w:jc w:val="center"/>
        <w:outlineLvl w:val="9"/>
        <w:rPr>
          <w:rFonts w:hint="eastAsia" w:ascii="仿宋" w:hAnsi="仿宋" w:eastAsia="仿宋" w:cs="仿宋"/>
          <w:color w:val="auto"/>
          <w:sz w:val="48"/>
          <w:szCs w:val="48"/>
          <w:highlight w:val="none"/>
        </w:rPr>
      </w:pPr>
    </w:p>
    <w:p w14:paraId="7A017692">
      <w:pPr>
        <w:spacing w:line="600" w:lineRule="exact"/>
        <w:jc w:val="center"/>
        <w:outlineLvl w:val="0"/>
        <w:rPr>
          <w:rFonts w:eastAsia="黑体"/>
          <w:color w:val="auto"/>
          <w:sz w:val="52"/>
          <w:szCs w:val="52"/>
          <w:highlight w:val="none"/>
        </w:rPr>
      </w:pPr>
      <w:bookmarkStart w:id="1311" w:name="_Toc21031"/>
      <w:r>
        <w:rPr>
          <w:rFonts w:eastAsia="黑体"/>
          <w:color w:val="auto"/>
          <w:sz w:val="52"/>
          <w:szCs w:val="52"/>
          <w:highlight w:val="none"/>
        </w:rPr>
        <w:t>第三章  评标办法（综合评估法）</w:t>
      </w:r>
      <w:bookmarkEnd w:id="1296"/>
      <w:bookmarkEnd w:id="1297"/>
      <w:bookmarkEnd w:id="1298"/>
      <w:bookmarkEnd w:id="1299"/>
      <w:bookmarkEnd w:id="1300"/>
      <w:bookmarkEnd w:id="1301"/>
      <w:bookmarkEnd w:id="1302"/>
      <w:bookmarkEnd w:id="1303"/>
      <w:bookmarkEnd w:id="1304"/>
      <w:bookmarkEnd w:id="1305"/>
      <w:bookmarkEnd w:id="1306"/>
      <w:bookmarkEnd w:id="1307"/>
      <w:bookmarkEnd w:id="1311"/>
    </w:p>
    <w:p w14:paraId="2BA6CCA5">
      <w:pPr>
        <w:spacing w:line="600" w:lineRule="exact"/>
        <w:jc w:val="center"/>
        <w:outlineLvl w:val="0"/>
        <w:rPr>
          <w:rFonts w:eastAsia="黑体"/>
          <w:color w:val="auto"/>
          <w:sz w:val="32"/>
          <w:szCs w:val="32"/>
          <w:highlight w:val="none"/>
        </w:rPr>
      </w:pPr>
      <w:r>
        <w:rPr>
          <w:rFonts w:eastAsia="黑体"/>
          <w:color w:val="auto"/>
          <w:sz w:val="52"/>
          <w:szCs w:val="52"/>
          <w:highlight w:val="none"/>
        </w:rPr>
        <w:br w:type="page"/>
      </w:r>
    </w:p>
    <w:p w14:paraId="2DFEFE5A">
      <w:pPr>
        <w:spacing w:after="120" w:afterLines="50"/>
        <w:jc w:val="center"/>
        <w:outlineLvl w:val="1"/>
        <w:rPr>
          <w:color w:val="auto"/>
          <w:sz w:val="28"/>
          <w:szCs w:val="28"/>
          <w:highlight w:val="none"/>
        </w:rPr>
      </w:pPr>
      <w:bookmarkStart w:id="1312" w:name="_Toc23130"/>
      <w:bookmarkStart w:id="1313" w:name="_Toc26892"/>
      <w:bookmarkStart w:id="1314" w:name="_Toc23816"/>
      <w:bookmarkStart w:id="1315" w:name="_Toc30530"/>
      <w:bookmarkStart w:id="1316" w:name="_Toc22059"/>
      <w:bookmarkStart w:id="1317" w:name="_Toc4174"/>
      <w:bookmarkStart w:id="1318" w:name="_Toc22004"/>
      <w:bookmarkStart w:id="1319" w:name="_Toc8824"/>
      <w:bookmarkStart w:id="1320" w:name="_Toc15603"/>
      <w:bookmarkStart w:id="1321" w:name="_Toc5036"/>
      <w:bookmarkStart w:id="1322" w:name="_Toc30796"/>
      <w:bookmarkStart w:id="1323" w:name="_Toc6032"/>
      <w:bookmarkStart w:id="1324" w:name="_Toc32581"/>
      <w:bookmarkStart w:id="1325" w:name="_Toc7414"/>
      <w:bookmarkStart w:id="1326" w:name="_Toc9228"/>
      <w:r>
        <w:rPr>
          <w:rFonts w:eastAsia="黑体"/>
          <w:color w:val="auto"/>
          <w:sz w:val="28"/>
          <w:szCs w:val="28"/>
          <w:highlight w:val="none"/>
        </w:rPr>
        <w:t>评标办法前附表</w:t>
      </w:r>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p>
    <w:tbl>
      <w:tblPr>
        <w:tblStyle w:val="28"/>
        <w:tblW w:w="91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992"/>
        <w:gridCol w:w="397"/>
        <w:gridCol w:w="1265"/>
        <w:gridCol w:w="307"/>
        <w:gridCol w:w="850"/>
        <w:gridCol w:w="966"/>
        <w:gridCol w:w="1816"/>
        <w:gridCol w:w="1685"/>
      </w:tblGrid>
      <w:tr w14:paraId="147C5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900" w:type="dxa"/>
            <w:gridSpan w:val="2"/>
            <w:noWrap w:val="0"/>
            <w:tcMar>
              <w:left w:w="57" w:type="dxa"/>
              <w:right w:w="57" w:type="dxa"/>
            </w:tcMar>
            <w:vAlign w:val="center"/>
          </w:tcPr>
          <w:p w14:paraId="2523591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条款号</w:t>
            </w:r>
          </w:p>
        </w:tc>
        <w:tc>
          <w:tcPr>
            <w:tcW w:w="1662" w:type="dxa"/>
            <w:gridSpan w:val="2"/>
            <w:noWrap w:val="0"/>
            <w:tcMar>
              <w:left w:w="57" w:type="dxa"/>
              <w:right w:w="57" w:type="dxa"/>
            </w:tcMar>
            <w:vAlign w:val="center"/>
          </w:tcPr>
          <w:p w14:paraId="557B0C6E">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评审因素</w:t>
            </w:r>
          </w:p>
        </w:tc>
        <w:tc>
          <w:tcPr>
            <w:tcW w:w="5624" w:type="dxa"/>
            <w:gridSpan w:val="5"/>
            <w:noWrap w:val="0"/>
            <w:tcMar>
              <w:left w:w="57" w:type="dxa"/>
              <w:right w:w="57" w:type="dxa"/>
            </w:tcMar>
            <w:vAlign w:val="center"/>
          </w:tcPr>
          <w:p w14:paraId="3477E882">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评审标准</w:t>
            </w:r>
          </w:p>
        </w:tc>
      </w:tr>
      <w:tr w14:paraId="3F21C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restart"/>
            <w:noWrap w:val="0"/>
            <w:tcMar>
              <w:left w:w="57" w:type="dxa"/>
              <w:right w:w="57" w:type="dxa"/>
            </w:tcMar>
            <w:vAlign w:val="center"/>
          </w:tcPr>
          <w:p w14:paraId="602A1474">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2.1.1</w:t>
            </w:r>
          </w:p>
        </w:tc>
        <w:tc>
          <w:tcPr>
            <w:tcW w:w="992" w:type="dxa"/>
            <w:vMerge w:val="restart"/>
            <w:noWrap w:val="0"/>
            <w:tcMar>
              <w:left w:w="57" w:type="dxa"/>
              <w:right w:w="57" w:type="dxa"/>
            </w:tcMar>
            <w:vAlign w:val="center"/>
          </w:tcPr>
          <w:p w14:paraId="0C0C65EE">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形式</w:t>
            </w:r>
          </w:p>
          <w:p w14:paraId="15D571B6">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评审</w:t>
            </w:r>
          </w:p>
          <w:p w14:paraId="1FE3DD37">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标准</w:t>
            </w:r>
          </w:p>
        </w:tc>
        <w:tc>
          <w:tcPr>
            <w:tcW w:w="1662" w:type="dxa"/>
            <w:gridSpan w:val="2"/>
            <w:noWrap w:val="0"/>
            <w:tcMar>
              <w:left w:w="57" w:type="dxa"/>
              <w:right w:w="57" w:type="dxa"/>
            </w:tcMar>
            <w:vAlign w:val="center"/>
          </w:tcPr>
          <w:p w14:paraId="2E3B4F82">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投标人名称</w:t>
            </w:r>
          </w:p>
        </w:tc>
        <w:tc>
          <w:tcPr>
            <w:tcW w:w="5624" w:type="dxa"/>
            <w:gridSpan w:val="5"/>
            <w:noWrap w:val="0"/>
            <w:tcMar>
              <w:left w:w="57" w:type="dxa"/>
              <w:right w:w="57" w:type="dxa"/>
            </w:tcMar>
            <w:vAlign w:val="center"/>
          </w:tcPr>
          <w:p w14:paraId="1F6E03BE">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与营业执照、资质证书、安全生产许可证一致</w:t>
            </w:r>
          </w:p>
        </w:tc>
      </w:tr>
      <w:tr w14:paraId="353D3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8" w:type="dxa"/>
            <w:vMerge w:val="continue"/>
            <w:noWrap w:val="0"/>
            <w:tcMar>
              <w:left w:w="57" w:type="dxa"/>
              <w:right w:w="57" w:type="dxa"/>
            </w:tcMar>
            <w:vAlign w:val="center"/>
          </w:tcPr>
          <w:p w14:paraId="729CB261">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2691445E">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0AA71475">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投标文件签字盖章</w:t>
            </w:r>
          </w:p>
        </w:tc>
        <w:tc>
          <w:tcPr>
            <w:tcW w:w="5624" w:type="dxa"/>
            <w:gridSpan w:val="5"/>
            <w:noWrap w:val="0"/>
            <w:tcMar>
              <w:left w:w="57" w:type="dxa"/>
              <w:right w:w="57" w:type="dxa"/>
            </w:tcMar>
            <w:vAlign w:val="center"/>
          </w:tcPr>
          <w:p w14:paraId="5B3154B2">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符合第二章“投标人须知”第3.7.3项</w:t>
            </w:r>
            <w:r>
              <w:rPr>
                <w:rFonts w:hint="eastAsia" w:ascii="仿宋" w:hAnsi="仿宋" w:eastAsia="仿宋" w:cs="仿宋"/>
                <w:color w:val="auto"/>
                <w:kern w:val="0"/>
                <w:sz w:val="24"/>
                <w:highlight w:val="none"/>
              </w:rPr>
              <w:t>投标</w:t>
            </w:r>
            <w:r>
              <w:rPr>
                <w:rFonts w:hint="eastAsia" w:ascii="仿宋" w:hAnsi="仿宋" w:eastAsia="仿宋" w:cs="仿宋"/>
                <w:color w:val="auto"/>
                <w:spacing w:val="-2"/>
                <w:kern w:val="0"/>
                <w:sz w:val="24"/>
                <w:highlight w:val="none"/>
              </w:rPr>
              <w:t>文</w:t>
            </w:r>
            <w:r>
              <w:rPr>
                <w:rFonts w:hint="eastAsia" w:ascii="仿宋" w:hAnsi="仿宋" w:eastAsia="仿宋" w:cs="仿宋"/>
                <w:color w:val="auto"/>
                <w:kern w:val="0"/>
                <w:sz w:val="24"/>
                <w:highlight w:val="none"/>
              </w:rPr>
              <w:t>件</w:t>
            </w:r>
            <w:r>
              <w:rPr>
                <w:rFonts w:hint="eastAsia" w:ascii="仿宋" w:hAnsi="仿宋" w:eastAsia="仿宋" w:cs="仿宋"/>
                <w:color w:val="auto"/>
                <w:spacing w:val="-2"/>
                <w:kern w:val="0"/>
                <w:sz w:val="24"/>
                <w:highlight w:val="none"/>
              </w:rPr>
              <w:t>签</w:t>
            </w:r>
            <w:r>
              <w:rPr>
                <w:rFonts w:hint="eastAsia" w:ascii="仿宋" w:hAnsi="仿宋" w:eastAsia="仿宋" w:cs="仿宋"/>
                <w:color w:val="auto"/>
                <w:kern w:val="0"/>
                <w:sz w:val="24"/>
                <w:highlight w:val="none"/>
              </w:rPr>
              <w:t>字</w:t>
            </w:r>
            <w:r>
              <w:rPr>
                <w:rFonts w:hint="eastAsia" w:ascii="仿宋" w:hAnsi="仿宋" w:eastAsia="仿宋" w:cs="仿宋"/>
                <w:color w:val="auto"/>
                <w:spacing w:val="-2"/>
                <w:kern w:val="0"/>
                <w:sz w:val="24"/>
                <w:highlight w:val="none"/>
              </w:rPr>
              <w:t>或</w:t>
            </w:r>
            <w:r>
              <w:rPr>
                <w:rFonts w:hint="eastAsia" w:ascii="仿宋" w:hAnsi="仿宋" w:eastAsia="仿宋" w:cs="仿宋"/>
                <w:color w:val="auto"/>
                <w:kern w:val="0"/>
                <w:sz w:val="24"/>
                <w:highlight w:val="none"/>
              </w:rPr>
              <w:t>盖</w:t>
            </w:r>
            <w:r>
              <w:rPr>
                <w:rFonts w:hint="eastAsia" w:ascii="仿宋" w:hAnsi="仿宋" w:eastAsia="仿宋" w:cs="仿宋"/>
                <w:color w:val="auto"/>
                <w:spacing w:val="-2"/>
                <w:kern w:val="0"/>
                <w:sz w:val="24"/>
                <w:highlight w:val="none"/>
              </w:rPr>
              <w:t>章</w:t>
            </w:r>
            <w:r>
              <w:rPr>
                <w:rFonts w:hint="eastAsia" w:ascii="仿宋" w:hAnsi="仿宋" w:eastAsia="仿宋" w:cs="仿宋"/>
                <w:color w:val="auto"/>
                <w:kern w:val="0"/>
                <w:sz w:val="24"/>
                <w:highlight w:val="none"/>
              </w:rPr>
              <w:t>要求</w:t>
            </w:r>
          </w:p>
        </w:tc>
      </w:tr>
      <w:tr w14:paraId="2620F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F6C356F">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4FA41F22">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3C633C37">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投标文件格式</w:t>
            </w:r>
          </w:p>
        </w:tc>
        <w:tc>
          <w:tcPr>
            <w:tcW w:w="5624" w:type="dxa"/>
            <w:gridSpan w:val="5"/>
            <w:noWrap w:val="0"/>
            <w:tcMar>
              <w:left w:w="57" w:type="dxa"/>
              <w:right w:w="57" w:type="dxa"/>
            </w:tcMar>
            <w:vAlign w:val="center"/>
          </w:tcPr>
          <w:p w14:paraId="539A6AF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符合第八章“投标文件格式”的规定</w:t>
            </w:r>
          </w:p>
        </w:tc>
      </w:tr>
      <w:tr w14:paraId="4A74C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49CA59A">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316FC910">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4480C78">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报价唯一</w:t>
            </w:r>
          </w:p>
        </w:tc>
        <w:tc>
          <w:tcPr>
            <w:tcW w:w="5624" w:type="dxa"/>
            <w:gridSpan w:val="5"/>
            <w:noWrap w:val="0"/>
            <w:tcMar>
              <w:left w:w="57" w:type="dxa"/>
              <w:right w:w="57" w:type="dxa"/>
            </w:tcMar>
            <w:vAlign w:val="center"/>
          </w:tcPr>
          <w:p w14:paraId="5AD55FFB">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只能有一个有效报价</w:t>
            </w:r>
          </w:p>
        </w:tc>
      </w:tr>
      <w:tr w14:paraId="785F1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CFFA9D5">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03380B8C">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6D501F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备选投标方案</w:t>
            </w:r>
          </w:p>
        </w:tc>
        <w:tc>
          <w:tcPr>
            <w:tcW w:w="5624" w:type="dxa"/>
            <w:gridSpan w:val="5"/>
            <w:noWrap w:val="0"/>
            <w:tcMar>
              <w:left w:w="57" w:type="dxa"/>
              <w:right w:w="57" w:type="dxa"/>
            </w:tcMar>
            <w:vAlign w:val="top"/>
          </w:tcPr>
          <w:p w14:paraId="7975933A">
            <w:pPr>
              <w:wordWrap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除招标文件明确允许提交备选投标方案外，投标人不得提交备选投标方案</w:t>
            </w:r>
          </w:p>
        </w:tc>
      </w:tr>
      <w:tr w14:paraId="0705D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restart"/>
            <w:noWrap w:val="0"/>
            <w:tcMar>
              <w:left w:w="57" w:type="dxa"/>
              <w:right w:w="57" w:type="dxa"/>
            </w:tcMar>
            <w:vAlign w:val="center"/>
          </w:tcPr>
          <w:p w14:paraId="20F6B1B5">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2.1.2</w:t>
            </w:r>
          </w:p>
        </w:tc>
        <w:tc>
          <w:tcPr>
            <w:tcW w:w="992" w:type="dxa"/>
            <w:vMerge w:val="restart"/>
            <w:noWrap w:val="0"/>
            <w:tcMar>
              <w:left w:w="57" w:type="dxa"/>
              <w:right w:w="57" w:type="dxa"/>
            </w:tcMar>
            <w:vAlign w:val="center"/>
          </w:tcPr>
          <w:p w14:paraId="164FF2A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资格</w:t>
            </w:r>
          </w:p>
          <w:p w14:paraId="7DB4F67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评审</w:t>
            </w:r>
          </w:p>
          <w:p w14:paraId="6CFF693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标准</w:t>
            </w:r>
          </w:p>
          <w:p w14:paraId="26D0E01C">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16A4AC48">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营业执照</w:t>
            </w:r>
          </w:p>
        </w:tc>
        <w:tc>
          <w:tcPr>
            <w:tcW w:w="5624" w:type="dxa"/>
            <w:gridSpan w:val="5"/>
            <w:noWrap w:val="0"/>
            <w:vAlign w:val="center"/>
          </w:tcPr>
          <w:p w14:paraId="5815FCF8">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具备有效的营业执照</w:t>
            </w:r>
          </w:p>
        </w:tc>
      </w:tr>
      <w:tr w14:paraId="4D51F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11A074B">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3A22FA02">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649E6706">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安全生产</w:t>
            </w:r>
          </w:p>
          <w:p w14:paraId="0F8A8026">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许可证</w:t>
            </w:r>
          </w:p>
        </w:tc>
        <w:tc>
          <w:tcPr>
            <w:tcW w:w="5624" w:type="dxa"/>
            <w:gridSpan w:val="5"/>
            <w:noWrap w:val="0"/>
            <w:vAlign w:val="center"/>
          </w:tcPr>
          <w:p w14:paraId="211C2AAD">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具备有效的安全生产许可证</w:t>
            </w:r>
          </w:p>
        </w:tc>
      </w:tr>
      <w:tr w14:paraId="0F35C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52500600">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733163AD">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388B312A">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资质要求</w:t>
            </w:r>
          </w:p>
        </w:tc>
        <w:tc>
          <w:tcPr>
            <w:tcW w:w="5624" w:type="dxa"/>
            <w:gridSpan w:val="5"/>
            <w:noWrap w:val="0"/>
            <w:vAlign w:val="center"/>
          </w:tcPr>
          <w:p w14:paraId="49C7463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符合第二章“投标人须知”第1.4.1项规定</w:t>
            </w:r>
          </w:p>
        </w:tc>
      </w:tr>
      <w:tr w14:paraId="299A8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7D9333A1">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598079D2">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6EBD1B7A">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项目经理</w:t>
            </w:r>
          </w:p>
        </w:tc>
        <w:tc>
          <w:tcPr>
            <w:tcW w:w="5624" w:type="dxa"/>
            <w:gridSpan w:val="5"/>
            <w:noWrap w:val="0"/>
            <w:vAlign w:val="center"/>
          </w:tcPr>
          <w:p w14:paraId="1D7758FB">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符合第二章“投标人须知”第1.4.1项规定</w:t>
            </w:r>
          </w:p>
        </w:tc>
      </w:tr>
      <w:tr w14:paraId="4F970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541F5EC2">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5276C424">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88062FD">
            <w:pPr>
              <w:wordWrap w:val="0"/>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技术负责人</w:t>
            </w:r>
          </w:p>
        </w:tc>
        <w:tc>
          <w:tcPr>
            <w:tcW w:w="5624" w:type="dxa"/>
            <w:gridSpan w:val="5"/>
            <w:noWrap w:val="0"/>
            <w:vAlign w:val="center"/>
          </w:tcPr>
          <w:p w14:paraId="63CAACA5">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符合第二章“投标人须知”第1.4.1项规定</w:t>
            </w:r>
          </w:p>
        </w:tc>
      </w:tr>
      <w:tr w14:paraId="29B1A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58E6562D">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5ADA3637">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D892AF0">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财务要求</w:t>
            </w:r>
          </w:p>
        </w:tc>
        <w:tc>
          <w:tcPr>
            <w:tcW w:w="5624" w:type="dxa"/>
            <w:gridSpan w:val="5"/>
            <w:noWrap w:val="0"/>
            <w:vAlign w:val="center"/>
          </w:tcPr>
          <w:p w14:paraId="34A255EF">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符合第二章“投标人须知”第1.4.1项规定</w:t>
            </w:r>
          </w:p>
        </w:tc>
      </w:tr>
      <w:tr w14:paraId="7147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8" w:type="dxa"/>
            <w:vMerge w:val="continue"/>
            <w:noWrap w:val="0"/>
            <w:tcMar>
              <w:left w:w="57" w:type="dxa"/>
              <w:right w:w="57" w:type="dxa"/>
            </w:tcMar>
            <w:vAlign w:val="center"/>
          </w:tcPr>
          <w:p w14:paraId="6461A662">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401926FA">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3CF6F484">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信誉要求</w:t>
            </w:r>
          </w:p>
        </w:tc>
        <w:tc>
          <w:tcPr>
            <w:tcW w:w="5624" w:type="dxa"/>
            <w:gridSpan w:val="5"/>
            <w:noWrap w:val="0"/>
            <w:vAlign w:val="center"/>
          </w:tcPr>
          <w:p w14:paraId="67FFABBB">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符合第二章“投标人须知”第1.4.1项规定</w:t>
            </w:r>
          </w:p>
        </w:tc>
      </w:tr>
      <w:tr w14:paraId="01CB2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8" w:type="dxa"/>
            <w:vMerge w:val="continue"/>
            <w:noWrap w:val="0"/>
            <w:tcMar>
              <w:left w:w="57" w:type="dxa"/>
              <w:right w:w="57" w:type="dxa"/>
            </w:tcMar>
            <w:vAlign w:val="center"/>
          </w:tcPr>
          <w:p w14:paraId="07EC5CFD">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325F6D7A">
            <w:pPr>
              <w:wordWrap w:val="0"/>
              <w:jc w:val="center"/>
              <w:rPr>
                <w:rFonts w:hint="eastAsia" w:ascii="仿宋" w:hAnsi="仿宋" w:eastAsia="仿宋" w:cs="仿宋"/>
                <w:color w:val="auto"/>
                <w:sz w:val="24"/>
                <w:highlight w:val="none"/>
              </w:rPr>
            </w:pPr>
          </w:p>
        </w:tc>
        <w:tc>
          <w:tcPr>
            <w:tcW w:w="1662" w:type="dxa"/>
            <w:gridSpan w:val="2"/>
            <w:vMerge w:val="restart"/>
            <w:noWrap w:val="0"/>
            <w:tcMar>
              <w:left w:w="57" w:type="dxa"/>
              <w:right w:w="57" w:type="dxa"/>
            </w:tcMar>
            <w:vAlign w:val="center"/>
          </w:tcPr>
          <w:p w14:paraId="2AF91326">
            <w:pPr>
              <w:wordWrap w:val="0"/>
              <w:jc w:val="center"/>
              <w:rPr>
                <w:rFonts w:hint="eastAsia" w:ascii="仿宋" w:hAnsi="仿宋" w:eastAsia="仿宋" w:cs="仿宋"/>
                <w:color w:val="auto"/>
                <w:sz w:val="24"/>
                <w:highlight w:val="none"/>
              </w:rPr>
            </w:pPr>
            <w:r>
              <w:rPr>
                <w:rFonts w:hint="eastAsia" w:ascii="仿宋" w:hAnsi="仿宋" w:eastAsia="仿宋" w:cs="仿宋"/>
                <w:color w:val="auto"/>
                <w:spacing w:val="-5"/>
                <w:sz w:val="24"/>
                <w:highlight w:val="none"/>
              </w:rPr>
              <w:t>对招标文件的响应情况，是否存在重大偏差及违</w:t>
            </w:r>
            <w:r>
              <w:rPr>
                <w:rFonts w:hint="eastAsia" w:ascii="仿宋" w:hAnsi="仿宋" w:eastAsia="仿宋" w:cs="仿宋"/>
                <w:color w:val="auto"/>
                <w:spacing w:val="-4"/>
                <w:sz w:val="24"/>
                <w:highlight w:val="none"/>
              </w:rPr>
              <w:t>反法律法规、规章、规范性文件</w:t>
            </w:r>
            <w:r>
              <w:rPr>
                <w:rFonts w:hint="eastAsia" w:ascii="仿宋" w:hAnsi="仿宋" w:eastAsia="仿宋" w:cs="仿宋"/>
                <w:color w:val="auto"/>
                <w:spacing w:val="-2"/>
                <w:sz w:val="24"/>
                <w:highlight w:val="none"/>
              </w:rPr>
              <w:t>规定的情况</w:t>
            </w:r>
          </w:p>
        </w:tc>
        <w:tc>
          <w:tcPr>
            <w:tcW w:w="5624" w:type="dxa"/>
            <w:gridSpan w:val="5"/>
            <w:noWrap w:val="0"/>
            <w:vAlign w:val="top"/>
          </w:tcPr>
          <w:p w14:paraId="45A840FF">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不存在投标人为招标人不具有独立法人资格的附属机构（单位）的情形</w:t>
            </w:r>
          </w:p>
        </w:tc>
      </w:tr>
      <w:tr w14:paraId="53902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69113FA9">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4DBB9D70">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4B4961DE">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0EDB7644">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不存在投标人与招标人存在利害关系且可能影响招标公正性的情形</w:t>
            </w:r>
          </w:p>
        </w:tc>
      </w:tr>
      <w:tr w14:paraId="0D315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7CB4D1E">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285E2E1E">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679F35E7">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5AAD349E">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不存在投标人与本招标项目的其他投标人为同一单位负责人的情形</w:t>
            </w:r>
          </w:p>
        </w:tc>
      </w:tr>
      <w:tr w14:paraId="62F74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171263F9">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5B51C5CE">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41E2987F">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723F625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不存在投标人与本招标项目的其他投标人存在控股、管理关系的情形</w:t>
            </w:r>
          </w:p>
        </w:tc>
      </w:tr>
      <w:tr w14:paraId="6A433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A2B25D4">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55A369EC">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10E5CEBC">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34944777">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不存在投标人为本招标项目的代建单位、招标代理机构或承担设计、造价咨询、监理业务的单位的情形</w:t>
            </w:r>
          </w:p>
        </w:tc>
      </w:tr>
      <w:tr w14:paraId="36277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735838A8">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029E8FC1">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683DCAB5">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0BEAEF62">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不存在投标人为本招标项目前期准备提供设计或咨询服务的情形</w:t>
            </w:r>
          </w:p>
        </w:tc>
      </w:tr>
      <w:tr w14:paraId="4ACAF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107D500">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36EF5BE1">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54EA6D15">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4F69B4F7">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不存在投标人与本招标项目的代建单位、招标代理机构、设计单位、造价咨询机构、监理单位的法定代表人为同一人的情形</w:t>
            </w:r>
          </w:p>
        </w:tc>
      </w:tr>
      <w:tr w14:paraId="345E4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52650AF">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17EB8825">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4EDF3C6C">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39D8E05D">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不存在投标人与本招标项目的代建单位、招标代理机构、造价咨询机构、监理单位存在管理关系、相互控股或参股关系的情形</w:t>
            </w:r>
          </w:p>
        </w:tc>
      </w:tr>
      <w:tr w14:paraId="28102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F651D6F">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0F5EE461">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4A4A757F">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0C6D5763">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不存在投标人被依法暂停或取消项目所在区域或行业投标资格的情形</w:t>
            </w:r>
          </w:p>
        </w:tc>
      </w:tr>
      <w:tr w14:paraId="05E47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1142A3F1">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3375BD24">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732A6E45">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26BA1098">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不存在投标人被责令停业，暂扣或吊销执照，或吊销资质证书的情形</w:t>
            </w:r>
          </w:p>
        </w:tc>
      </w:tr>
      <w:tr w14:paraId="162B1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1F40F8B">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0213B688">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332749CC">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23E202A0">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不存在投标人进入清算程序，或被宣告破产，或其他丧失履约能力情形的情形</w:t>
            </w:r>
          </w:p>
        </w:tc>
      </w:tr>
      <w:tr w14:paraId="2A29B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4B80EEA">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3F31703C">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03E403AB">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41F03501">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不存在投标人或拟派项目经理被列入建筑市场主体“黑名单”且在管理期限内的情形</w:t>
            </w:r>
          </w:p>
        </w:tc>
      </w:tr>
      <w:tr w14:paraId="2B7B9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6F30518">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66E822F4">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28524045">
            <w:pPr>
              <w:wordWrap w:val="0"/>
              <w:jc w:val="center"/>
              <w:rPr>
                <w:rFonts w:hint="eastAsia" w:ascii="仿宋" w:hAnsi="仿宋" w:eastAsia="仿宋" w:cs="仿宋"/>
                <w:color w:val="auto"/>
                <w:sz w:val="24"/>
                <w:highlight w:val="none"/>
              </w:rPr>
            </w:pPr>
          </w:p>
        </w:tc>
        <w:tc>
          <w:tcPr>
            <w:tcW w:w="5624" w:type="dxa"/>
            <w:gridSpan w:val="5"/>
            <w:noWrap w:val="0"/>
            <w:vAlign w:val="top"/>
          </w:tcPr>
          <w:p w14:paraId="34D0C29D">
            <w:pP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不存在在最近三年内发生重大工程质量或安全事故问题的情形（以相关行业主管部门的行政处罚决定或司法机关出具的有关法律文书为准）</w:t>
            </w:r>
          </w:p>
        </w:tc>
      </w:tr>
      <w:tr w14:paraId="2E8A2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13BE22D">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5134F3CA">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5A1FF0EB">
            <w:pPr>
              <w:wordWrap w:val="0"/>
              <w:jc w:val="center"/>
              <w:rPr>
                <w:rFonts w:hint="eastAsia" w:ascii="仿宋" w:hAnsi="仿宋" w:eastAsia="仿宋" w:cs="仿宋"/>
                <w:color w:val="auto"/>
                <w:sz w:val="24"/>
                <w:highlight w:val="none"/>
              </w:rPr>
            </w:pPr>
          </w:p>
        </w:tc>
        <w:tc>
          <w:tcPr>
            <w:tcW w:w="5624" w:type="dxa"/>
            <w:gridSpan w:val="5"/>
            <w:noWrap w:val="0"/>
            <w:vAlign w:val="top"/>
          </w:tcPr>
          <w:p w14:paraId="4DF616B1">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不存在投标人被市场监管机关在国家企业信用信息公示系统中列入严重违法失信名单且在管理期限内的情形</w:t>
            </w:r>
          </w:p>
        </w:tc>
      </w:tr>
      <w:tr w14:paraId="40CF5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14BD696B">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00C80ACD">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03ED6130">
            <w:pPr>
              <w:wordWrap w:val="0"/>
              <w:jc w:val="center"/>
              <w:rPr>
                <w:rFonts w:hint="eastAsia" w:ascii="仿宋" w:hAnsi="仿宋" w:eastAsia="仿宋" w:cs="仿宋"/>
                <w:color w:val="auto"/>
                <w:sz w:val="24"/>
                <w:highlight w:val="none"/>
              </w:rPr>
            </w:pPr>
          </w:p>
        </w:tc>
        <w:tc>
          <w:tcPr>
            <w:tcW w:w="5624" w:type="dxa"/>
            <w:gridSpan w:val="5"/>
            <w:noWrap w:val="0"/>
            <w:vAlign w:val="top"/>
          </w:tcPr>
          <w:p w14:paraId="2C5C27E8">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不存在投标人或其法定代表人、拟委任的项目经理在“信用中国”网站中列入失信被执行人中被限制或者禁止参与招标投标活动的“严重失信主体”且在管理期限内的情形</w:t>
            </w:r>
          </w:p>
        </w:tc>
      </w:tr>
      <w:tr w14:paraId="363C3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42C9825">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4A762B50">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0BE49FB2">
            <w:pPr>
              <w:wordWrap w:val="0"/>
              <w:jc w:val="center"/>
              <w:rPr>
                <w:rFonts w:hint="eastAsia" w:ascii="仿宋" w:hAnsi="仿宋" w:eastAsia="仿宋" w:cs="仿宋"/>
                <w:color w:val="auto"/>
                <w:sz w:val="24"/>
                <w:highlight w:val="none"/>
              </w:rPr>
            </w:pPr>
          </w:p>
        </w:tc>
        <w:tc>
          <w:tcPr>
            <w:tcW w:w="5624" w:type="dxa"/>
            <w:gridSpan w:val="5"/>
            <w:noWrap w:val="0"/>
            <w:vAlign w:val="top"/>
          </w:tcPr>
          <w:p w14:paraId="60C47F1F">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不存在投标人拖欠工人工资，情节严重被有关行政主管部门向社会公布且在公布的期限内的情形</w:t>
            </w:r>
          </w:p>
        </w:tc>
      </w:tr>
      <w:tr w14:paraId="6D2C9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E1A9C3B">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272AD09E">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20CBA4E5">
            <w:pPr>
              <w:wordWrap w:val="0"/>
              <w:jc w:val="center"/>
              <w:rPr>
                <w:rFonts w:hint="eastAsia" w:ascii="仿宋" w:hAnsi="仿宋" w:eastAsia="仿宋" w:cs="仿宋"/>
                <w:color w:val="auto"/>
                <w:sz w:val="24"/>
                <w:highlight w:val="none"/>
              </w:rPr>
            </w:pPr>
          </w:p>
        </w:tc>
        <w:tc>
          <w:tcPr>
            <w:tcW w:w="5624" w:type="dxa"/>
            <w:gridSpan w:val="5"/>
            <w:noWrap w:val="0"/>
            <w:vAlign w:val="center"/>
          </w:tcPr>
          <w:p w14:paraId="3CE3C1AC">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不存在被发现有近三年内投标人或其法定代表人、拟委任的项目经理有行贿犯罪行为且在处罚期内的情形</w:t>
            </w:r>
          </w:p>
        </w:tc>
      </w:tr>
      <w:tr w14:paraId="07BD8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6138D5FE">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33303E88">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402AD252">
            <w:pPr>
              <w:wordWrap w:val="0"/>
              <w:jc w:val="center"/>
              <w:rPr>
                <w:rFonts w:hint="eastAsia" w:ascii="仿宋" w:hAnsi="仿宋" w:eastAsia="仿宋" w:cs="仿宋"/>
                <w:color w:val="auto"/>
                <w:sz w:val="24"/>
                <w:highlight w:val="none"/>
              </w:rPr>
            </w:pPr>
          </w:p>
        </w:tc>
        <w:tc>
          <w:tcPr>
            <w:tcW w:w="5624" w:type="dxa"/>
            <w:gridSpan w:val="5"/>
            <w:noWrap w:val="0"/>
            <w:vAlign w:val="center"/>
          </w:tcPr>
          <w:p w14:paraId="7AE8F183">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不存在违反法律法规、规章或无正当理由放弃中标资格，被行业主管部门限制投标且在处罚期内的</w:t>
            </w:r>
          </w:p>
        </w:tc>
      </w:tr>
      <w:tr w14:paraId="6FF1A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02515432">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2BE6C13B">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3CB2AE72">
            <w:pPr>
              <w:wordWrap w:val="0"/>
              <w:jc w:val="center"/>
              <w:rPr>
                <w:rFonts w:hint="eastAsia" w:ascii="仿宋" w:hAnsi="仿宋" w:eastAsia="仿宋" w:cs="仿宋"/>
                <w:color w:val="auto"/>
                <w:sz w:val="24"/>
                <w:highlight w:val="none"/>
              </w:rPr>
            </w:pPr>
          </w:p>
        </w:tc>
        <w:tc>
          <w:tcPr>
            <w:tcW w:w="5624" w:type="dxa"/>
            <w:gridSpan w:val="5"/>
            <w:noWrap w:val="0"/>
            <w:vAlign w:val="center"/>
          </w:tcPr>
          <w:p w14:paraId="02AF64D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不存在法律法规或投标人须知前附表规定的其他情形</w:t>
            </w:r>
          </w:p>
        </w:tc>
      </w:tr>
      <w:tr w14:paraId="6DD58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8" w:type="dxa"/>
            <w:vMerge w:val="continue"/>
            <w:noWrap w:val="0"/>
            <w:tcMar>
              <w:left w:w="57" w:type="dxa"/>
              <w:right w:w="57" w:type="dxa"/>
            </w:tcMar>
            <w:vAlign w:val="center"/>
          </w:tcPr>
          <w:p w14:paraId="35434195">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13943265">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3E87396">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其他要求</w:t>
            </w:r>
          </w:p>
        </w:tc>
        <w:tc>
          <w:tcPr>
            <w:tcW w:w="5624" w:type="dxa"/>
            <w:gridSpan w:val="5"/>
            <w:noWrap w:val="0"/>
            <w:vAlign w:val="center"/>
          </w:tcPr>
          <w:p w14:paraId="63A502B6">
            <w:pPr>
              <w:wordWrap w:val="0"/>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符合第二章“投标人须知”第1.4.1项规定</w:t>
            </w:r>
          </w:p>
        </w:tc>
      </w:tr>
      <w:tr w14:paraId="79DFD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08" w:type="dxa"/>
            <w:vMerge w:val="continue"/>
            <w:noWrap w:val="0"/>
            <w:tcMar>
              <w:left w:w="57" w:type="dxa"/>
              <w:right w:w="57" w:type="dxa"/>
            </w:tcMar>
            <w:vAlign w:val="center"/>
          </w:tcPr>
          <w:p w14:paraId="3BE2D8E4">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75B51307">
            <w:pPr>
              <w:wordWrap w:val="0"/>
              <w:jc w:val="center"/>
              <w:rPr>
                <w:rFonts w:hint="eastAsia" w:ascii="仿宋" w:hAnsi="仿宋" w:eastAsia="仿宋" w:cs="仿宋"/>
                <w:color w:val="auto"/>
                <w:sz w:val="24"/>
                <w:highlight w:val="none"/>
              </w:rPr>
            </w:pPr>
          </w:p>
        </w:tc>
        <w:tc>
          <w:tcPr>
            <w:tcW w:w="7286" w:type="dxa"/>
            <w:gridSpan w:val="7"/>
            <w:noWrap w:val="0"/>
            <w:tcMar>
              <w:left w:w="57" w:type="dxa"/>
              <w:right w:w="57" w:type="dxa"/>
            </w:tcMar>
            <w:vAlign w:val="center"/>
          </w:tcPr>
          <w:p w14:paraId="1341D1C3">
            <w:pPr>
              <w:wordWrap w:val="0"/>
              <w:rPr>
                <w:rFonts w:hint="eastAsia" w:ascii="仿宋" w:hAnsi="仿宋" w:eastAsia="仿宋" w:cs="仿宋"/>
                <w:color w:val="auto"/>
                <w:sz w:val="24"/>
                <w:highlight w:val="none"/>
              </w:rPr>
            </w:pPr>
            <w:r>
              <w:rPr>
                <w:rFonts w:hint="eastAsia" w:ascii="仿宋" w:hAnsi="仿宋" w:eastAsia="仿宋" w:cs="仿宋"/>
                <w:b/>
                <w:color w:val="auto"/>
                <w:sz w:val="24"/>
                <w:highlight w:val="none"/>
              </w:rPr>
              <w:t>备注：招标文件中所要求证件、证明等，投标文件中应附相应资料清晰的扫描件或复印件，由于模糊不清导致评委无法辨别的，后果由投标人自行承担。</w:t>
            </w:r>
          </w:p>
        </w:tc>
      </w:tr>
      <w:tr w14:paraId="503EB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restart"/>
            <w:noWrap w:val="0"/>
            <w:tcMar>
              <w:left w:w="57" w:type="dxa"/>
              <w:right w:w="57" w:type="dxa"/>
            </w:tcMar>
            <w:vAlign w:val="center"/>
          </w:tcPr>
          <w:p w14:paraId="2A1550D5">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2.1.3</w:t>
            </w:r>
          </w:p>
        </w:tc>
        <w:tc>
          <w:tcPr>
            <w:tcW w:w="992" w:type="dxa"/>
            <w:vMerge w:val="restart"/>
            <w:noWrap w:val="0"/>
            <w:tcMar>
              <w:left w:w="57" w:type="dxa"/>
              <w:right w:w="57" w:type="dxa"/>
            </w:tcMar>
            <w:vAlign w:val="center"/>
          </w:tcPr>
          <w:p w14:paraId="16BE8F3B">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响应性</w:t>
            </w:r>
          </w:p>
          <w:p w14:paraId="6805107E">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评审</w:t>
            </w:r>
          </w:p>
          <w:p w14:paraId="46315B5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标准</w:t>
            </w:r>
          </w:p>
        </w:tc>
        <w:tc>
          <w:tcPr>
            <w:tcW w:w="1662" w:type="dxa"/>
            <w:gridSpan w:val="2"/>
            <w:noWrap w:val="0"/>
            <w:tcMar>
              <w:left w:w="57" w:type="dxa"/>
              <w:right w:w="57" w:type="dxa"/>
            </w:tcMar>
            <w:vAlign w:val="center"/>
          </w:tcPr>
          <w:p w14:paraId="0650936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投标内容</w:t>
            </w:r>
          </w:p>
        </w:tc>
        <w:tc>
          <w:tcPr>
            <w:tcW w:w="5624" w:type="dxa"/>
            <w:gridSpan w:val="5"/>
            <w:noWrap w:val="0"/>
            <w:vAlign w:val="center"/>
          </w:tcPr>
          <w:p w14:paraId="7E69112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符合第二章“投标人须知”第1.3.1项规定</w:t>
            </w:r>
          </w:p>
        </w:tc>
      </w:tr>
      <w:tr w14:paraId="07A6F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7B640C49">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5EE02108">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6B916B05">
            <w:pPr>
              <w:wordWrap w:val="0"/>
              <w:jc w:val="center"/>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投标总价</w:t>
            </w:r>
          </w:p>
        </w:tc>
        <w:tc>
          <w:tcPr>
            <w:tcW w:w="5624" w:type="dxa"/>
            <w:gridSpan w:val="5"/>
            <w:noWrap w:val="0"/>
            <w:vAlign w:val="center"/>
          </w:tcPr>
          <w:p w14:paraId="4A5659D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等于各单项工程报价之和，或按照评标委员会要求进行澄清、说明或者修正不影响评标的</w:t>
            </w:r>
          </w:p>
        </w:tc>
      </w:tr>
      <w:tr w14:paraId="59B2A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09900B05">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01250E8D">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189A461">
            <w:pPr>
              <w:pStyle w:val="81"/>
              <w:spacing w:before="65"/>
              <w:ind w:left="122"/>
              <w:jc w:val="center"/>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电子投标文件的雷同性分析</w:t>
            </w:r>
          </w:p>
        </w:tc>
        <w:tc>
          <w:tcPr>
            <w:tcW w:w="5624" w:type="dxa"/>
            <w:gridSpan w:val="5"/>
            <w:noWrap w:val="0"/>
            <w:vAlign w:val="top"/>
          </w:tcPr>
          <w:p w14:paraId="755278A9">
            <w:pPr>
              <w:pStyle w:val="81"/>
              <w:spacing w:before="110"/>
              <w:ind w:left="44" w:right="61"/>
              <w:rPr>
                <w:rFonts w:hint="eastAsia" w:ascii="仿宋" w:hAnsi="仿宋" w:eastAsia="仿宋" w:cs="仿宋"/>
                <w:color w:val="auto"/>
                <w:spacing w:val="1"/>
                <w:sz w:val="24"/>
                <w:szCs w:val="24"/>
                <w:highlight w:val="none"/>
                <w:lang w:eastAsia="zh-CN"/>
              </w:rPr>
            </w:pPr>
            <w:r>
              <w:rPr>
                <w:rFonts w:hint="eastAsia" w:ascii="仿宋" w:hAnsi="仿宋" w:eastAsia="仿宋" w:cs="仿宋"/>
                <w:color w:val="auto"/>
                <w:kern w:val="0"/>
                <w:sz w:val="24"/>
                <w:szCs w:val="24"/>
                <w:highlight w:val="none"/>
                <w:lang w:eastAsia="zh-CN"/>
              </w:rPr>
              <w:t>评标系统提示不同投标人的电子投标文件的文件制作机器码或者文件创建标识码、已标价工程量清单的文件制作机器码或者文件创建标识码、造价软件锁号、已标价工程量清单的软件加密锁使用人统一社会信用代码（或身份证号码）等信息不相同或不一致</w:t>
            </w:r>
          </w:p>
        </w:tc>
      </w:tr>
      <w:tr w14:paraId="59415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52744DFE">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29A54EB6">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26098F09">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工期</w:t>
            </w:r>
          </w:p>
        </w:tc>
        <w:tc>
          <w:tcPr>
            <w:tcW w:w="5624" w:type="dxa"/>
            <w:gridSpan w:val="5"/>
            <w:noWrap w:val="0"/>
            <w:vAlign w:val="center"/>
          </w:tcPr>
          <w:p w14:paraId="55BE2C4D">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符合第二章“投标人须知”第1.3.2项规定</w:t>
            </w:r>
          </w:p>
        </w:tc>
      </w:tr>
      <w:tr w14:paraId="23B34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11A304C1">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13C9C837">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385F3EB6">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工程质量</w:t>
            </w:r>
          </w:p>
        </w:tc>
        <w:tc>
          <w:tcPr>
            <w:tcW w:w="5624" w:type="dxa"/>
            <w:gridSpan w:val="5"/>
            <w:noWrap w:val="0"/>
            <w:vAlign w:val="center"/>
          </w:tcPr>
          <w:p w14:paraId="17C927A3">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符合第二章“投标人须知”第1.3.3项规定</w:t>
            </w:r>
          </w:p>
        </w:tc>
      </w:tr>
      <w:tr w14:paraId="60047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6C28124E">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2564187B">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43AE2D68">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投标有效期</w:t>
            </w:r>
          </w:p>
        </w:tc>
        <w:tc>
          <w:tcPr>
            <w:tcW w:w="5624" w:type="dxa"/>
            <w:gridSpan w:val="5"/>
            <w:noWrap w:val="0"/>
            <w:vAlign w:val="center"/>
          </w:tcPr>
          <w:p w14:paraId="2942C941">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符合第二章“投标人须知”第3.3.1项规定</w:t>
            </w:r>
          </w:p>
        </w:tc>
      </w:tr>
      <w:tr w14:paraId="35814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18443FD">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213ADFBA">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709F8E40">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投标保证金</w:t>
            </w:r>
          </w:p>
        </w:tc>
        <w:tc>
          <w:tcPr>
            <w:tcW w:w="5624" w:type="dxa"/>
            <w:gridSpan w:val="5"/>
            <w:noWrap w:val="0"/>
            <w:vAlign w:val="center"/>
          </w:tcPr>
          <w:p w14:paraId="0B14FC01">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符合第二章“投标人须知”第3.4.1项规定</w:t>
            </w:r>
          </w:p>
        </w:tc>
      </w:tr>
      <w:tr w14:paraId="0C598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1DFE9B77">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7EC73044">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4C419E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权利义务</w:t>
            </w:r>
          </w:p>
        </w:tc>
        <w:tc>
          <w:tcPr>
            <w:tcW w:w="5624" w:type="dxa"/>
            <w:gridSpan w:val="5"/>
            <w:noWrap w:val="0"/>
            <w:vAlign w:val="center"/>
          </w:tcPr>
          <w:p w14:paraId="3208CE5D">
            <w:pPr>
              <w:pStyle w:val="8"/>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符合第二章“投标人须知”第 1.11.1 项规定和第四章“合同条款及格式”中的实质性要求和条件</w:t>
            </w:r>
          </w:p>
        </w:tc>
      </w:tr>
      <w:tr w14:paraId="6F6F0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0F667399">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6A3B3D85">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2D490A1B">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技术标准和</w:t>
            </w:r>
          </w:p>
          <w:p w14:paraId="5FAED16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要求</w:t>
            </w:r>
          </w:p>
        </w:tc>
        <w:tc>
          <w:tcPr>
            <w:tcW w:w="5624" w:type="dxa"/>
            <w:gridSpan w:val="5"/>
            <w:noWrap w:val="0"/>
            <w:vAlign w:val="center"/>
          </w:tcPr>
          <w:p w14:paraId="4C4F1A16">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符合第七章“技术标准和要求”规定</w:t>
            </w:r>
          </w:p>
        </w:tc>
      </w:tr>
      <w:tr w14:paraId="7F480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1BE57B0">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7DDDDC3A">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6FE75C7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技术标是否存在违反国家强制标准要求</w:t>
            </w:r>
          </w:p>
        </w:tc>
        <w:tc>
          <w:tcPr>
            <w:tcW w:w="5624" w:type="dxa"/>
            <w:gridSpan w:val="5"/>
            <w:noWrap w:val="0"/>
            <w:vAlign w:val="center"/>
          </w:tcPr>
          <w:p w14:paraId="11ACA053">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不存在技术标违反国家强制标准要求</w:t>
            </w:r>
          </w:p>
        </w:tc>
      </w:tr>
      <w:tr w14:paraId="3DBAF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9114737">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4E75EEC0">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44D4DB1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异常低价</w:t>
            </w:r>
          </w:p>
        </w:tc>
        <w:tc>
          <w:tcPr>
            <w:tcW w:w="5624" w:type="dxa"/>
            <w:gridSpan w:val="5"/>
            <w:noWrap w:val="0"/>
            <w:vAlign w:val="center"/>
          </w:tcPr>
          <w:p w14:paraId="35449710">
            <w:pPr>
              <w:pStyle w:val="23"/>
              <w:widowControl/>
              <w:wordWrap w:val="0"/>
              <w:rPr>
                <w:rFonts w:hint="eastAsia" w:ascii="仿宋" w:hAnsi="仿宋" w:eastAsia="仿宋" w:cs="仿宋"/>
                <w:color w:val="auto"/>
                <w:kern w:val="2"/>
                <w:szCs w:val="24"/>
                <w:highlight w:val="none"/>
                <w:lang w:val="en-US"/>
              </w:rPr>
            </w:pPr>
            <w:r>
              <w:rPr>
                <w:rFonts w:hint="eastAsia" w:ascii="仿宋" w:hAnsi="仿宋" w:eastAsia="仿宋" w:cs="仿宋"/>
                <w:color w:val="auto"/>
                <w:kern w:val="2"/>
                <w:szCs w:val="24"/>
                <w:highlight w:val="none"/>
                <w:lang w:val="en-US"/>
              </w:rPr>
              <w:t>不存在投标报价低于成本且不能提供相关证明材料，或者不存在提交的相关材料无法证明投标人可以按照其报价以及招标文件规定的质量标准和履行期限完成招标项目</w:t>
            </w:r>
          </w:p>
        </w:tc>
      </w:tr>
      <w:tr w14:paraId="550DA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C763A56">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4D9F20A9">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7175B2B2">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投标总报价</w:t>
            </w:r>
          </w:p>
        </w:tc>
        <w:tc>
          <w:tcPr>
            <w:tcW w:w="5624" w:type="dxa"/>
            <w:gridSpan w:val="5"/>
            <w:noWrap w:val="0"/>
            <w:vAlign w:val="center"/>
          </w:tcPr>
          <w:p w14:paraId="6403A00C">
            <w:pPr>
              <w:pStyle w:val="23"/>
              <w:widowControl/>
              <w:wordWrap w:val="0"/>
              <w:rPr>
                <w:rFonts w:hint="eastAsia" w:ascii="仿宋" w:hAnsi="仿宋" w:eastAsia="仿宋" w:cs="仿宋"/>
                <w:color w:val="auto"/>
                <w:kern w:val="2"/>
                <w:szCs w:val="24"/>
                <w:highlight w:val="none"/>
                <w:lang w:val="en-US" w:bidi="ar-SA"/>
              </w:rPr>
            </w:pPr>
            <w:r>
              <w:rPr>
                <w:rFonts w:hint="eastAsia" w:ascii="仿宋" w:hAnsi="仿宋" w:eastAsia="仿宋" w:cs="仿宋"/>
                <w:color w:val="auto"/>
                <w:kern w:val="2"/>
                <w:szCs w:val="24"/>
                <w:highlight w:val="none"/>
              </w:rPr>
              <w:t>低于（含等于）最高投标限价</w:t>
            </w:r>
          </w:p>
        </w:tc>
      </w:tr>
      <w:tr w14:paraId="38D60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5046A44">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762BE6E2">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1208AF23">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投标人是否存在串通投标、弄虚作假、行贿等违法行为</w:t>
            </w:r>
          </w:p>
        </w:tc>
        <w:tc>
          <w:tcPr>
            <w:tcW w:w="5624" w:type="dxa"/>
            <w:gridSpan w:val="5"/>
            <w:noWrap w:val="0"/>
            <w:vAlign w:val="center"/>
          </w:tcPr>
          <w:p w14:paraId="33C4E0DF">
            <w:pPr>
              <w:pStyle w:val="23"/>
              <w:widowControl/>
              <w:wordWrap w:val="0"/>
              <w:rPr>
                <w:rFonts w:hint="eastAsia" w:ascii="仿宋" w:hAnsi="仿宋" w:eastAsia="仿宋" w:cs="仿宋"/>
                <w:color w:val="auto"/>
                <w:kern w:val="2"/>
                <w:szCs w:val="24"/>
                <w:highlight w:val="none"/>
                <w:lang w:val="en-US"/>
              </w:rPr>
            </w:pPr>
            <w:r>
              <w:rPr>
                <w:rFonts w:hint="eastAsia" w:ascii="仿宋" w:hAnsi="仿宋" w:eastAsia="仿宋" w:cs="仿宋"/>
                <w:color w:val="auto"/>
                <w:kern w:val="2"/>
                <w:szCs w:val="24"/>
                <w:highlight w:val="none"/>
                <w:lang w:val="en-US"/>
              </w:rPr>
              <w:t>不存在投标人在本次投标活动中有串通投标、弄虚作假、行贿等违法行为</w:t>
            </w:r>
          </w:p>
        </w:tc>
      </w:tr>
      <w:tr w14:paraId="1FA01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03496C71">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4CCD55AC">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2F1C3AE">
            <w:pPr>
              <w:wordWrap w:val="0"/>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其他要求</w:t>
            </w:r>
          </w:p>
        </w:tc>
        <w:tc>
          <w:tcPr>
            <w:tcW w:w="5624" w:type="dxa"/>
            <w:gridSpan w:val="5"/>
            <w:noWrap w:val="0"/>
            <w:vAlign w:val="center"/>
          </w:tcPr>
          <w:p w14:paraId="601A9108">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lang w:bidi="zh-CN"/>
              </w:rPr>
              <w:t>不存在招标文件规定的投标无效或否决投标情况</w:t>
            </w:r>
          </w:p>
        </w:tc>
      </w:tr>
      <w:tr w14:paraId="73A51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jc w:val="center"/>
        </w:trPr>
        <w:tc>
          <w:tcPr>
            <w:tcW w:w="9186" w:type="dxa"/>
            <w:gridSpan w:val="9"/>
            <w:noWrap w:val="0"/>
            <w:tcMar>
              <w:left w:w="57" w:type="dxa"/>
              <w:right w:w="57" w:type="dxa"/>
            </w:tcMar>
            <w:vAlign w:val="center"/>
          </w:tcPr>
          <w:p w14:paraId="0723F846">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备注：</w:t>
            </w:r>
          </w:p>
          <w:p w14:paraId="1E6DC660">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1.招标文件中所要求证件、证明等，投标文件中应附相应资料清晰的扫描件或复印件，由于模糊不清导致评委无法辨别的，后果由投标人自行承担。</w:t>
            </w:r>
          </w:p>
          <w:p w14:paraId="7E7FB05F">
            <w:pPr>
              <w:spacing w:line="400" w:lineRule="exact"/>
              <w:rPr>
                <w:rFonts w:hint="eastAsia" w:ascii="仿宋" w:hAnsi="仿宋" w:eastAsia="仿宋" w:cs="仿宋"/>
                <w:color w:val="auto"/>
                <w:highlight w:val="none"/>
              </w:rPr>
            </w:pPr>
            <w:r>
              <w:rPr>
                <w:rFonts w:hint="eastAsia" w:ascii="仿宋" w:hAnsi="仿宋" w:eastAsia="仿宋" w:cs="仿宋"/>
                <w:b/>
                <w:color w:val="auto"/>
                <w:sz w:val="24"/>
                <w:highlight w:val="none"/>
              </w:rPr>
              <w:t>2.不在上述范围内且不具有实质性影响的内容，一般不作为否决投标的依据或理由。</w:t>
            </w:r>
          </w:p>
        </w:tc>
      </w:tr>
      <w:tr w14:paraId="6724D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noWrap w:val="0"/>
            <w:tcMar>
              <w:left w:w="57" w:type="dxa"/>
              <w:right w:w="57" w:type="dxa"/>
            </w:tcMar>
            <w:vAlign w:val="center"/>
          </w:tcPr>
          <w:p w14:paraId="39114D41">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条款号</w:t>
            </w:r>
          </w:p>
        </w:tc>
        <w:tc>
          <w:tcPr>
            <w:tcW w:w="2961" w:type="dxa"/>
            <w:gridSpan w:val="4"/>
            <w:noWrap w:val="0"/>
            <w:tcMar>
              <w:left w:w="57" w:type="dxa"/>
              <w:right w:w="57" w:type="dxa"/>
            </w:tcMar>
            <w:vAlign w:val="center"/>
          </w:tcPr>
          <w:p w14:paraId="1A7D612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条款内容</w:t>
            </w:r>
          </w:p>
        </w:tc>
        <w:tc>
          <w:tcPr>
            <w:tcW w:w="5317" w:type="dxa"/>
            <w:gridSpan w:val="4"/>
            <w:noWrap w:val="0"/>
            <w:tcMar>
              <w:left w:w="57" w:type="dxa"/>
              <w:right w:w="57" w:type="dxa"/>
            </w:tcMar>
            <w:vAlign w:val="center"/>
          </w:tcPr>
          <w:p w14:paraId="24B6AB1A">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编列内容</w:t>
            </w:r>
          </w:p>
        </w:tc>
      </w:tr>
      <w:tr w14:paraId="58996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8" w:type="dxa"/>
            <w:vMerge w:val="restart"/>
            <w:noWrap w:val="0"/>
            <w:tcMar>
              <w:left w:w="57" w:type="dxa"/>
              <w:right w:w="57" w:type="dxa"/>
            </w:tcMar>
            <w:vAlign w:val="center"/>
          </w:tcPr>
          <w:p w14:paraId="0D2C23F4">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2.2.1</w:t>
            </w:r>
          </w:p>
        </w:tc>
        <w:tc>
          <w:tcPr>
            <w:tcW w:w="2961" w:type="dxa"/>
            <w:gridSpan w:val="4"/>
            <w:vMerge w:val="restart"/>
            <w:noWrap w:val="0"/>
            <w:tcMar>
              <w:left w:w="57" w:type="dxa"/>
              <w:right w:w="57" w:type="dxa"/>
            </w:tcMar>
            <w:vAlign w:val="center"/>
          </w:tcPr>
          <w:p w14:paraId="2F3C2890">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分值构成</w:t>
            </w:r>
          </w:p>
          <w:p w14:paraId="18B3DDF0">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总分100分</w:t>
            </w:r>
          </w:p>
        </w:tc>
        <w:tc>
          <w:tcPr>
            <w:tcW w:w="5317" w:type="dxa"/>
            <w:gridSpan w:val="4"/>
            <w:noWrap w:val="0"/>
            <w:tcMar>
              <w:left w:w="57" w:type="dxa"/>
              <w:right w:w="57" w:type="dxa"/>
            </w:tcMar>
            <w:vAlign w:val="center"/>
          </w:tcPr>
          <w:p w14:paraId="109B3A74">
            <w:pPr>
              <w:wordWrap w:val="0"/>
              <w:adjustRightInd w:val="0"/>
              <w:snapToGrid w:val="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技术标：</w:t>
            </w:r>
            <w:r>
              <w:rPr>
                <w:rFonts w:hint="eastAsia" w:ascii="仿宋" w:hAnsi="仿宋" w:eastAsia="仿宋" w:cs="仿宋"/>
                <w:color w:val="auto"/>
                <w:kern w:val="0"/>
                <w:sz w:val="24"/>
                <w:highlight w:val="none"/>
                <w:lang w:val="en-US" w:eastAsia="zh-CN"/>
              </w:rPr>
              <w:t>20</w:t>
            </w:r>
            <w:r>
              <w:rPr>
                <w:rFonts w:hint="eastAsia" w:ascii="仿宋" w:hAnsi="仿宋" w:eastAsia="仿宋" w:cs="仿宋"/>
                <w:color w:val="auto"/>
                <w:kern w:val="0"/>
                <w:sz w:val="24"/>
                <w:highlight w:val="none"/>
              </w:rPr>
              <w:t>分</w:t>
            </w:r>
          </w:p>
        </w:tc>
      </w:tr>
      <w:tr w14:paraId="2E770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8" w:type="dxa"/>
            <w:vMerge w:val="continue"/>
            <w:noWrap w:val="0"/>
            <w:tcMar>
              <w:left w:w="57" w:type="dxa"/>
              <w:right w:w="57" w:type="dxa"/>
            </w:tcMar>
            <w:vAlign w:val="center"/>
          </w:tcPr>
          <w:p w14:paraId="06A91059">
            <w:pPr>
              <w:pStyle w:val="23"/>
              <w:widowControl/>
              <w:wordWrap w:val="0"/>
              <w:jc w:val="center"/>
              <w:rPr>
                <w:rFonts w:hint="eastAsia" w:ascii="仿宋" w:hAnsi="仿宋" w:eastAsia="仿宋" w:cs="仿宋"/>
                <w:color w:val="auto"/>
                <w:szCs w:val="24"/>
                <w:highlight w:val="none"/>
              </w:rPr>
            </w:pPr>
          </w:p>
        </w:tc>
        <w:tc>
          <w:tcPr>
            <w:tcW w:w="2961" w:type="dxa"/>
            <w:gridSpan w:val="4"/>
            <w:vMerge w:val="continue"/>
            <w:noWrap w:val="0"/>
            <w:tcMar>
              <w:left w:w="57" w:type="dxa"/>
              <w:right w:w="57" w:type="dxa"/>
            </w:tcMar>
            <w:vAlign w:val="center"/>
          </w:tcPr>
          <w:p w14:paraId="598AB29F">
            <w:pPr>
              <w:pStyle w:val="23"/>
              <w:widowControl/>
              <w:wordWrap w:val="0"/>
              <w:jc w:val="center"/>
              <w:rPr>
                <w:rFonts w:hint="eastAsia" w:ascii="仿宋" w:hAnsi="仿宋" w:eastAsia="仿宋" w:cs="仿宋"/>
                <w:color w:val="auto"/>
                <w:szCs w:val="24"/>
                <w:highlight w:val="none"/>
              </w:rPr>
            </w:pPr>
          </w:p>
        </w:tc>
        <w:tc>
          <w:tcPr>
            <w:tcW w:w="5317" w:type="dxa"/>
            <w:gridSpan w:val="4"/>
            <w:noWrap w:val="0"/>
            <w:tcMar>
              <w:left w:w="57" w:type="dxa"/>
              <w:right w:w="57" w:type="dxa"/>
            </w:tcMar>
            <w:vAlign w:val="center"/>
          </w:tcPr>
          <w:p w14:paraId="6E905B25">
            <w:pPr>
              <w:wordWrap w:val="0"/>
              <w:adjustRightInd w:val="0"/>
              <w:snapToGrid w:val="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商务标：50分</w:t>
            </w:r>
          </w:p>
        </w:tc>
      </w:tr>
      <w:tr w14:paraId="4473A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08" w:type="dxa"/>
            <w:vMerge w:val="continue"/>
            <w:noWrap w:val="0"/>
            <w:tcMar>
              <w:left w:w="57" w:type="dxa"/>
              <w:right w:w="57" w:type="dxa"/>
            </w:tcMar>
            <w:vAlign w:val="center"/>
          </w:tcPr>
          <w:p w14:paraId="1E946072">
            <w:pPr>
              <w:wordWrap w:val="0"/>
              <w:jc w:val="center"/>
              <w:rPr>
                <w:rFonts w:hint="eastAsia" w:ascii="仿宋" w:hAnsi="仿宋" w:eastAsia="仿宋" w:cs="仿宋"/>
                <w:color w:val="auto"/>
                <w:sz w:val="24"/>
                <w:highlight w:val="none"/>
              </w:rPr>
            </w:pPr>
          </w:p>
        </w:tc>
        <w:tc>
          <w:tcPr>
            <w:tcW w:w="2961" w:type="dxa"/>
            <w:gridSpan w:val="4"/>
            <w:vMerge w:val="continue"/>
            <w:noWrap w:val="0"/>
            <w:tcMar>
              <w:left w:w="57" w:type="dxa"/>
              <w:right w:w="57" w:type="dxa"/>
            </w:tcMar>
            <w:vAlign w:val="center"/>
          </w:tcPr>
          <w:p w14:paraId="70B0C0EE">
            <w:pPr>
              <w:wordWrap w:val="0"/>
              <w:jc w:val="center"/>
              <w:rPr>
                <w:rFonts w:hint="eastAsia" w:ascii="仿宋" w:hAnsi="仿宋" w:eastAsia="仿宋" w:cs="仿宋"/>
                <w:color w:val="auto"/>
                <w:sz w:val="24"/>
                <w:highlight w:val="none"/>
              </w:rPr>
            </w:pPr>
          </w:p>
        </w:tc>
        <w:tc>
          <w:tcPr>
            <w:tcW w:w="5317" w:type="dxa"/>
            <w:gridSpan w:val="4"/>
            <w:noWrap w:val="0"/>
            <w:tcMar>
              <w:left w:w="57" w:type="dxa"/>
              <w:right w:w="57" w:type="dxa"/>
            </w:tcMar>
            <w:vAlign w:val="center"/>
          </w:tcPr>
          <w:p w14:paraId="736D8B6D">
            <w:pPr>
              <w:wordWrap w:val="0"/>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综合标：</w:t>
            </w:r>
            <w:r>
              <w:rPr>
                <w:rFonts w:hint="eastAsia" w:ascii="仿宋" w:hAnsi="仿宋" w:eastAsia="仿宋" w:cs="仿宋"/>
                <w:color w:val="auto"/>
                <w:kern w:val="0"/>
                <w:sz w:val="24"/>
                <w:highlight w:val="none"/>
                <w:lang w:val="en-US" w:eastAsia="zh-CN"/>
              </w:rPr>
              <w:t>30</w:t>
            </w:r>
            <w:r>
              <w:rPr>
                <w:rFonts w:hint="eastAsia" w:ascii="仿宋" w:hAnsi="仿宋" w:eastAsia="仿宋" w:cs="仿宋"/>
                <w:color w:val="auto"/>
                <w:kern w:val="0"/>
                <w:sz w:val="24"/>
                <w:highlight w:val="none"/>
              </w:rPr>
              <w:t>分</w:t>
            </w:r>
          </w:p>
        </w:tc>
      </w:tr>
      <w:tr w14:paraId="1C150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exact"/>
          <w:jc w:val="center"/>
        </w:trPr>
        <w:tc>
          <w:tcPr>
            <w:tcW w:w="908" w:type="dxa"/>
            <w:vMerge w:val="restart"/>
            <w:noWrap w:val="0"/>
            <w:tcMar>
              <w:left w:w="57" w:type="dxa"/>
              <w:right w:w="57" w:type="dxa"/>
            </w:tcMar>
            <w:vAlign w:val="center"/>
          </w:tcPr>
          <w:p w14:paraId="10CBE0DD">
            <w:pPr>
              <w:pStyle w:val="23"/>
              <w:widowControl/>
              <w:wordWrap w:val="0"/>
              <w:jc w:val="center"/>
              <w:rPr>
                <w:rFonts w:hint="eastAsia" w:ascii="仿宋" w:hAnsi="仿宋" w:eastAsia="仿宋" w:cs="仿宋"/>
                <w:color w:val="auto"/>
                <w:szCs w:val="24"/>
                <w:highlight w:val="none"/>
                <w:lang w:eastAsia="zh-CN"/>
              </w:rPr>
            </w:pPr>
            <w:r>
              <w:rPr>
                <w:rFonts w:hint="eastAsia" w:ascii="仿宋" w:hAnsi="仿宋" w:eastAsia="仿宋" w:cs="仿宋"/>
                <w:color w:val="auto"/>
                <w:szCs w:val="24"/>
                <w:highlight w:val="none"/>
              </w:rPr>
              <w:t>2.2.</w:t>
            </w:r>
            <w:r>
              <w:rPr>
                <w:rFonts w:hint="eastAsia" w:ascii="仿宋" w:hAnsi="仿宋" w:eastAsia="仿宋" w:cs="仿宋"/>
                <w:color w:val="auto"/>
                <w:szCs w:val="24"/>
                <w:highlight w:val="none"/>
                <w:lang w:val="en-US" w:eastAsia="zh-CN"/>
              </w:rPr>
              <w:t>2</w:t>
            </w:r>
          </w:p>
          <w:p w14:paraId="58E0FFD0">
            <w:pPr>
              <w:pStyle w:val="23"/>
              <w:widowControl/>
              <w:wordWrap w:val="0"/>
              <w:jc w:val="center"/>
              <w:rPr>
                <w:rFonts w:hint="eastAsia" w:ascii="仿宋" w:hAnsi="仿宋" w:eastAsia="仿宋" w:cs="仿宋"/>
                <w:color w:val="auto"/>
                <w:szCs w:val="24"/>
                <w:highlight w:val="none"/>
                <w:lang w:val="en-US" w:bidi="ar-SA"/>
              </w:rPr>
            </w:pPr>
            <w:r>
              <w:rPr>
                <w:rFonts w:hint="eastAsia" w:ascii="仿宋" w:hAnsi="仿宋" w:eastAsia="仿宋" w:cs="仿宋"/>
                <w:color w:val="auto"/>
                <w:szCs w:val="24"/>
                <w:highlight w:val="none"/>
              </w:rPr>
              <w:t>(</w:t>
            </w:r>
            <w:r>
              <w:rPr>
                <w:rFonts w:hint="eastAsia" w:ascii="仿宋" w:hAnsi="仿宋" w:eastAsia="仿宋" w:cs="仿宋"/>
                <w:color w:val="auto"/>
                <w:szCs w:val="24"/>
                <w:highlight w:val="none"/>
                <w:lang w:val="en-US"/>
              </w:rPr>
              <w:t>1)</w:t>
            </w:r>
          </w:p>
        </w:tc>
        <w:tc>
          <w:tcPr>
            <w:tcW w:w="1389" w:type="dxa"/>
            <w:gridSpan w:val="2"/>
            <w:vMerge w:val="restart"/>
            <w:noWrap w:val="0"/>
            <w:tcMar>
              <w:left w:w="57" w:type="dxa"/>
              <w:right w:w="57" w:type="dxa"/>
            </w:tcMar>
            <w:vAlign w:val="center"/>
          </w:tcPr>
          <w:p w14:paraId="78BF2FD0">
            <w:pPr>
              <w:pStyle w:val="23"/>
              <w:widowControl/>
              <w:wordWrap w:val="0"/>
              <w:jc w:val="center"/>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技术标</w:t>
            </w:r>
          </w:p>
          <w:p w14:paraId="1A5B40F0">
            <w:pPr>
              <w:pStyle w:val="23"/>
              <w:widowControl/>
              <w:wordWrap w:val="0"/>
              <w:jc w:val="center"/>
              <w:rPr>
                <w:rFonts w:hint="eastAsia" w:ascii="仿宋" w:hAnsi="仿宋" w:eastAsia="仿宋" w:cs="仿宋"/>
                <w:color w:val="auto"/>
                <w:szCs w:val="24"/>
                <w:highlight w:val="none"/>
                <w:lang w:val="en-US" w:bidi="ar-SA"/>
              </w:rPr>
            </w:pPr>
            <w:r>
              <w:rPr>
                <w:rFonts w:hint="eastAsia" w:ascii="仿宋" w:hAnsi="仿宋" w:eastAsia="仿宋" w:cs="仿宋"/>
                <w:color w:val="auto"/>
                <w:szCs w:val="24"/>
                <w:highlight w:val="none"/>
              </w:rPr>
              <w:t>总分</w:t>
            </w:r>
            <w:r>
              <w:rPr>
                <w:rFonts w:hint="eastAsia" w:ascii="仿宋" w:hAnsi="仿宋" w:eastAsia="仿宋" w:cs="仿宋"/>
                <w:color w:val="auto"/>
                <w:szCs w:val="24"/>
                <w:highlight w:val="none"/>
                <w:lang w:val="en-US" w:eastAsia="zh-CN"/>
              </w:rPr>
              <w:t>20</w:t>
            </w:r>
            <w:r>
              <w:rPr>
                <w:rFonts w:hint="eastAsia" w:ascii="仿宋" w:hAnsi="仿宋" w:eastAsia="仿宋" w:cs="仿宋"/>
                <w:color w:val="auto"/>
                <w:szCs w:val="24"/>
                <w:highlight w:val="none"/>
              </w:rPr>
              <w:t>分</w:t>
            </w:r>
          </w:p>
        </w:tc>
        <w:tc>
          <w:tcPr>
            <w:tcW w:w="1572" w:type="dxa"/>
            <w:gridSpan w:val="2"/>
            <w:noWrap w:val="0"/>
            <w:tcMar>
              <w:left w:w="57" w:type="dxa"/>
              <w:right w:w="57" w:type="dxa"/>
            </w:tcMar>
            <w:vAlign w:val="center"/>
          </w:tcPr>
          <w:p w14:paraId="2864D3E2">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评分因素</w:t>
            </w:r>
          </w:p>
        </w:tc>
        <w:tc>
          <w:tcPr>
            <w:tcW w:w="5317" w:type="dxa"/>
            <w:gridSpan w:val="4"/>
            <w:noWrap w:val="0"/>
            <w:tcMar>
              <w:left w:w="57" w:type="dxa"/>
              <w:right w:w="57" w:type="dxa"/>
            </w:tcMar>
            <w:vAlign w:val="center"/>
          </w:tcPr>
          <w:p w14:paraId="1455F73A">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评分标准</w:t>
            </w:r>
          </w:p>
        </w:tc>
      </w:tr>
      <w:tr w14:paraId="4D212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vMerge w:val="continue"/>
            <w:noWrap w:val="0"/>
            <w:tcMar>
              <w:left w:w="57" w:type="dxa"/>
              <w:right w:w="57" w:type="dxa"/>
            </w:tcMar>
            <w:vAlign w:val="center"/>
          </w:tcPr>
          <w:p w14:paraId="5D4E2F10">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79DF9628">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1D5A435E">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主要施工方案 与技术措施</w:t>
            </w:r>
          </w:p>
        </w:tc>
        <w:tc>
          <w:tcPr>
            <w:tcW w:w="850" w:type="dxa"/>
            <w:noWrap w:val="0"/>
            <w:tcMar>
              <w:left w:w="57" w:type="dxa"/>
              <w:right w:w="57" w:type="dxa"/>
            </w:tcMar>
            <w:vAlign w:val="center"/>
          </w:tcPr>
          <w:p w14:paraId="14C474D7">
            <w:pPr>
              <w:wordWrap w:val="0"/>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4467" w:type="dxa"/>
            <w:gridSpan w:val="3"/>
            <w:noWrap w:val="0"/>
            <w:tcMar>
              <w:left w:w="57" w:type="dxa"/>
              <w:right w:w="57" w:type="dxa"/>
            </w:tcMar>
            <w:vAlign w:val="center"/>
          </w:tcPr>
          <w:p w14:paraId="7D4506BD">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施工方案（含工程特点、施工重点与难点及绿色施工）总体安排合理，合理运用先进的施工工艺、施工机械；对施工难点有科学合理的建议。(0-2分)</w:t>
            </w:r>
          </w:p>
        </w:tc>
      </w:tr>
      <w:tr w14:paraId="78D08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vMerge w:val="continue"/>
            <w:noWrap w:val="0"/>
            <w:tcMar>
              <w:left w:w="57" w:type="dxa"/>
              <w:right w:w="57" w:type="dxa"/>
            </w:tcMar>
            <w:vAlign w:val="center"/>
          </w:tcPr>
          <w:p w14:paraId="5DBE061C">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3A7950A4">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5970B2BB">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质量管理体系与措施</w:t>
            </w:r>
          </w:p>
        </w:tc>
        <w:tc>
          <w:tcPr>
            <w:tcW w:w="850" w:type="dxa"/>
            <w:noWrap w:val="0"/>
            <w:tcMar>
              <w:left w:w="57" w:type="dxa"/>
              <w:right w:w="57" w:type="dxa"/>
            </w:tcMar>
            <w:vAlign w:val="center"/>
          </w:tcPr>
          <w:p w14:paraId="77D04520">
            <w:pPr>
              <w:wordWrap w:val="0"/>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1.5</w:t>
            </w:r>
          </w:p>
        </w:tc>
        <w:tc>
          <w:tcPr>
            <w:tcW w:w="4467" w:type="dxa"/>
            <w:gridSpan w:val="3"/>
            <w:noWrap w:val="0"/>
            <w:tcMar>
              <w:left w:w="57" w:type="dxa"/>
              <w:right w:w="57" w:type="dxa"/>
            </w:tcMar>
            <w:vAlign w:val="center"/>
          </w:tcPr>
          <w:p w14:paraId="253281E6">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组织机构形式合理，有完善的指挥系统、质量监控系统、联络协调系统，有健全的质量管理体系、相应的施工技术标准、施工质量检验制度和综合施工质量水平评定考核制度。施工措施符合国家及我省现行工程建设标准，满足通用规范、项目规范及质量验收规范的要求，质量保证措施内容完整、经济安全、合理先进、切实可行。</w:t>
            </w:r>
          </w:p>
          <w:p w14:paraId="40DC5B73">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(0-</w:t>
            </w:r>
            <w:r>
              <w:rPr>
                <w:rFonts w:hint="eastAsia" w:ascii="仿宋" w:hAnsi="仿宋" w:eastAsia="仿宋" w:cs="仿宋"/>
                <w:color w:val="auto"/>
                <w:sz w:val="24"/>
                <w:highlight w:val="none"/>
                <w:lang w:val="en-US" w:eastAsia="zh-CN"/>
              </w:rPr>
              <w:t>1.5</w:t>
            </w:r>
            <w:r>
              <w:rPr>
                <w:rFonts w:hint="eastAsia" w:ascii="仿宋" w:hAnsi="仿宋" w:eastAsia="仿宋" w:cs="仿宋"/>
                <w:color w:val="auto"/>
                <w:sz w:val="24"/>
                <w:highlight w:val="none"/>
              </w:rPr>
              <w:t>分)</w:t>
            </w:r>
          </w:p>
        </w:tc>
      </w:tr>
      <w:tr w14:paraId="5111B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vMerge w:val="continue"/>
            <w:noWrap w:val="0"/>
            <w:tcMar>
              <w:left w:w="57" w:type="dxa"/>
              <w:right w:w="57" w:type="dxa"/>
            </w:tcMar>
            <w:vAlign w:val="center"/>
          </w:tcPr>
          <w:p w14:paraId="2C26CF9C">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449D19F7">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17EDB84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安全管理体系与措施</w:t>
            </w:r>
          </w:p>
        </w:tc>
        <w:tc>
          <w:tcPr>
            <w:tcW w:w="850" w:type="dxa"/>
            <w:noWrap w:val="0"/>
            <w:tcMar>
              <w:left w:w="57" w:type="dxa"/>
              <w:right w:w="57" w:type="dxa"/>
            </w:tcMar>
            <w:vAlign w:val="center"/>
          </w:tcPr>
          <w:p w14:paraId="0B202D8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1.5</w:t>
            </w:r>
          </w:p>
        </w:tc>
        <w:tc>
          <w:tcPr>
            <w:tcW w:w="4467" w:type="dxa"/>
            <w:gridSpan w:val="3"/>
            <w:noWrap w:val="0"/>
            <w:tcMar>
              <w:left w:w="57" w:type="dxa"/>
              <w:right w:w="57" w:type="dxa"/>
            </w:tcMar>
            <w:vAlign w:val="center"/>
          </w:tcPr>
          <w:p w14:paraId="261D549C">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1. 施工安全生产保障体系健全，安全管理制度完善，安全管理目标具体，全员安全责任制明确，现场安全管理组织机构、人员配备满足国家规定要求。（0-0.5分）</w:t>
            </w:r>
          </w:p>
          <w:p w14:paraId="3A9A39BB">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2. 安全技术方案根据工程特点、周边环境和施工工艺，制定措施科学合理、可行。（0-0.5分）</w:t>
            </w:r>
          </w:p>
          <w:p w14:paraId="392974A1">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3. 现场重大危险源辨识全面，有项目危险性较大的分部分项工程清单并明确有相应的安全管理措施。（0-0.5分）</w:t>
            </w:r>
          </w:p>
        </w:tc>
      </w:tr>
      <w:tr w14:paraId="581C2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08" w:type="dxa"/>
            <w:vMerge w:val="continue"/>
            <w:noWrap w:val="0"/>
            <w:tcMar>
              <w:left w:w="57" w:type="dxa"/>
              <w:right w:w="57" w:type="dxa"/>
            </w:tcMar>
            <w:vAlign w:val="center"/>
          </w:tcPr>
          <w:p w14:paraId="463F5764">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00E443A6">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1847C273">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文明施工、环境保护管理体系及施工现场扬尘治理措施</w:t>
            </w:r>
          </w:p>
        </w:tc>
        <w:tc>
          <w:tcPr>
            <w:tcW w:w="850" w:type="dxa"/>
            <w:noWrap w:val="0"/>
            <w:tcMar>
              <w:left w:w="57" w:type="dxa"/>
              <w:right w:w="57" w:type="dxa"/>
            </w:tcMar>
            <w:vAlign w:val="center"/>
          </w:tcPr>
          <w:p w14:paraId="4CB05158">
            <w:pPr>
              <w:wordWrap w:val="0"/>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p>
        </w:tc>
        <w:tc>
          <w:tcPr>
            <w:tcW w:w="4467" w:type="dxa"/>
            <w:gridSpan w:val="3"/>
            <w:noWrap w:val="0"/>
            <w:tcMar>
              <w:left w:w="57" w:type="dxa"/>
              <w:right w:w="57" w:type="dxa"/>
            </w:tcMar>
            <w:vAlign w:val="center"/>
          </w:tcPr>
          <w:p w14:paraId="175B04CF">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创安全文明标准化工地目标明确，有针对项目实际情况，科学可行的创建计划和符合相关标准、规范、规程的创建保证措施和安全生产措施费投入使用计划，现场施工区、生活区、办公区等设置科学规范，符合有关文明施工、健康卫生的规定。有防治施工现场扬尘治理方案，措施符合河南省《城市房屋建筑和市政基础设施工程及道路扬尘污染防治标准》（DBJ41/174 ）的规定。（0-</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w:t>
            </w:r>
          </w:p>
        </w:tc>
      </w:tr>
      <w:tr w14:paraId="0010C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08" w:type="dxa"/>
            <w:vMerge w:val="continue"/>
            <w:noWrap w:val="0"/>
            <w:tcMar>
              <w:left w:w="57" w:type="dxa"/>
              <w:right w:w="57" w:type="dxa"/>
            </w:tcMar>
            <w:vAlign w:val="center"/>
          </w:tcPr>
          <w:p w14:paraId="4A0AC064">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11C664D7">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4ADE4908">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工期保证措施</w:t>
            </w:r>
          </w:p>
        </w:tc>
        <w:tc>
          <w:tcPr>
            <w:tcW w:w="850" w:type="dxa"/>
            <w:noWrap w:val="0"/>
            <w:tcMar>
              <w:left w:w="57" w:type="dxa"/>
              <w:right w:w="57" w:type="dxa"/>
            </w:tcMar>
            <w:vAlign w:val="center"/>
          </w:tcPr>
          <w:p w14:paraId="72F034E3">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4467" w:type="dxa"/>
            <w:gridSpan w:val="3"/>
            <w:noWrap w:val="0"/>
            <w:tcMar>
              <w:left w:w="57" w:type="dxa"/>
              <w:right w:w="57" w:type="dxa"/>
            </w:tcMar>
            <w:vAlign w:val="center"/>
          </w:tcPr>
          <w:p w14:paraId="0B54F60D">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工期承诺满足招标文件要求，工期保证措施合理且有针对性，有具体的违约责任承诺。（0-1分）</w:t>
            </w:r>
          </w:p>
        </w:tc>
      </w:tr>
      <w:tr w14:paraId="08ECB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8" w:type="dxa"/>
            <w:vMerge w:val="continue"/>
            <w:noWrap w:val="0"/>
            <w:tcMar>
              <w:left w:w="57" w:type="dxa"/>
              <w:right w:w="57" w:type="dxa"/>
            </w:tcMar>
            <w:vAlign w:val="center"/>
          </w:tcPr>
          <w:p w14:paraId="202DE145">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0A64D826">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453F4101">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拟投入资源配备计划措施</w:t>
            </w:r>
          </w:p>
        </w:tc>
        <w:tc>
          <w:tcPr>
            <w:tcW w:w="850" w:type="dxa"/>
            <w:noWrap w:val="0"/>
            <w:tcMar>
              <w:left w:w="57" w:type="dxa"/>
              <w:right w:w="57" w:type="dxa"/>
            </w:tcMar>
            <w:vAlign w:val="center"/>
          </w:tcPr>
          <w:p w14:paraId="7A31F8D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1.5</w:t>
            </w:r>
          </w:p>
        </w:tc>
        <w:tc>
          <w:tcPr>
            <w:tcW w:w="4467" w:type="dxa"/>
            <w:gridSpan w:val="3"/>
            <w:noWrap w:val="0"/>
            <w:tcMar>
              <w:left w:w="57" w:type="dxa"/>
              <w:right w:w="57" w:type="dxa"/>
            </w:tcMar>
            <w:vAlign w:val="center"/>
          </w:tcPr>
          <w:p w14:paraId="4F67011D">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1.机械：投入计划与进度计划呼应，采用先进机械设备且配置合理，满足安全技术规范和施工进度需要；PC构件运输、安装设备满足施工要求；（0-</w:t>
            </w:r>
            <w:r>
              <w:rPr>
                <w:rFonts w:hint="eastAsia" w:ascii="仿宋" w:hAnsi="仿宋" w:eastAsia="仿宋" w:cs="仿宋"/>
                <w:color w:val="auto"/>
                <w:sz w:val="24"/>
                <w:highlight w:val="none"/>
                <w:lang w:val="en-US" w:eastAsia="zh-CN"/>
              </w:rPr>
              <w:t>0.5</w:t>
            </w:r>
            <w:r>
              <w:rPr>
                <w:rFonts w:hint="eastAsia" w:ascii="仿宋" w:hAnsi="仿宋" w:eastAsia="仿宋" w:cs="仿宋"/>
                <w:color w:val="auto"/>
                <w:sz w:val="24"/>
                <w:highlight w:val="none"/>
              </w:rPr>
              <w:t>分）</w:t>
            </w:r>
          </w:p>
          <w:p w14:paraId="1FD6F977">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2.劳动力：投入计划与进度计划呼应，满足施工需要，调配投入计划合理、准确；（0-</w:t>
            </w:r>
            <w:r>
              <w:rPr>
                <w:rFonts w:hint="eastAsia" w:ascii="仿宋" w:hAnsi="仿宋" w:eastAsia="仿宋" w:cs="仿宋"/>
                <w:color w:val="auto"/>
                <w:sz w:val="24"/>
                <w:highlight w:val="none"/>
                <w:lang w:val="en-US" w:eastAsia="zh-CN"/>
              </w:rPr>
              <w:t>0.5</w:t>
            </w:r>
            <w:r>
              <w:rPr>
                <w:rFonts w:hint="eastAsia" w:ascii="仿宋" w:hAnsi="仿宋" w:eastAsia="仿宋" w:cs="仿宋"/>
                <w:color w:val="auto"/>
                <w:sz w:val="24"/>
                <w:highlight w:val="none"/>
              </w:rPr>
              <w:t>分）</w:t>
            </w:r>
          </w:p>
          <w:p w14:paraId="5270F2AE">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3.主要物资计划：主要物资（含PC构件的供应需求）投入计划与进度计划呼应，满足施工需要，调配投入计划合理、准确。（0-</w:t>
            </w:r>
            <w:r>
              <w:rPr>
                <w:rFonts w:hint="eastAsia" w:ascii="仿宋" w:hAnsi="仿宋" w:eastAsia="仿宋" w:cs="仿宋"/>
                <w:color w:val="auto"/>
                <w:sz w:val="24"/>
                <w:highlight w:val="none"/>
                <w:lang w:val="en-US" w:eastAsia="zh-CN"/>
              </w:rPr>
              <w:t>0.5</w:t>
            </w:r>
            <w:r>
              <w:rPr>
                <w:rFonts w:hint="eastAsia" w:ascii="仿宋" w:hAnsi="仿宋" w:eastAsia="仿宋" w:cs="仿宋"/>
                <w:color w:val="auto"/>
                <w:sz w:val="24"/>
                <w:highlight w:val="none"/>
              </w:rPr>
              <w:t>分）</w:t>
            </w:r>
          </w:p>
        </w:tc>
      </w:tr>
      <w:tr w14:paraId="3152A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8" w:type="dxa"/>
            <w:vMerge w:val="continue"/>
            <w:noWrap w:val="0"/>
            <w:tcMar>
              <w:left w:w="57" w:type="dxa"/>
              <w:right w:w="57" w:type="dxa"/>
            </w:tcMar>
            <w:vAlign w:val="center"/>
          </w:tcPr>
          <w:p w14:paraId="5C43D861">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63AB471E">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6F99B66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施工进度表与网络计划图</w:t>
            </w:r>
          </w:p>
        </w:tc>
        <w:tc>
          <w:tcPr>
            <w:tcW w:w="850" w:type="dxa"/>
            <w:noWrap w:val="0"/>
            <w:tcMar>
              <w:left w:w="57" w:type="dxa"/>
              <w:right w:w="57" w:type="dxa"/>
            </w:tcMar>
            <w:vAlign w:val="center"/>
          </w:tcPr>
          <w:p w14:paraId="36E8417D">
            <w:pPr>
              <w:wordWrap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4467" w:type="dxa"/>
            <w:gridSpan w:val="3"/>
            <w:noWrap w:val="0"/>
            <w:tcMar>
              <w:left w:w="57" w:type="dxa"/>
              <w:right w:w="57" w:type="dxa"/>
            </w:tcMar>
            <w:vAlign w:val="center"/>
          </w:tcPr>
          <w:p w14:paraId="490D93E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关键线路清晰、准确、完整，计划编制合理、可行，满足招标文件对工期的要求。（0-1分）</w:t>
            </w:r>
          </w:p>
        </w:tc>
      </w:tr>
      <w:tr w14:paraId="5E23C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908" w:type="dxa"/>
            <w:vMerge w:val="continue"/>
            <w:noWrap w:val="0"/>
            <w:tcMar>
              <w:left w:w="57" w:type="dxa"/>
              <w:right w:w="57" w:type="dxa"/>
            </w:tcMar>
            <w:vAlign w:val="center"/>
          </w:tcPr>
          <w:p w14:paraId="20FC5F2F">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73F9A4C8">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43D7E719">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施工总平面图布置</w:t>
            </w:r>
          </w:p>
        </w:tc>
        <w:tc>
          <w:tcPr>
            <w:tcW w:w="850" w:type="dxa"/>
            <w:noWrap w:val="0"/>
            <w:tcMar>
              <w:left w:w="57" w:type="dxa"/>
              <w:right w:w="57" w:type="dxa"/>
            </w:tcMar>
            <w:vAlign w:val="center"/>
          </w:tcPr>
          <w:p w14:paraId="7C68144F">
            <w:pPr>
              <w:wordWrap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4467" w:type="dxa"/>
            <w:gridSpan w:val="3"/>
            <w:noWrap w:val="0"/>
            <w:tcMar>
              <w:left w:w="57" w:type="dxa"/>
              <w:right w:w="57" w:type="dxa"/>
            </w:tcMar>
            <w:vAlign w:val="center"/>
          </w:tcPr>
          <w:p w14:paraId="4FE538A2">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总体布置有针对性、合理，能满足施工需要，符合安全、文明施工要求，材料堆放有序。（0-1分）</w:t>
            </w:r>
          </w:p>
        </w:tc>
      </w:tr>
      <w:tr w14:paraId="066AA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08" w:type="dxa"/>
            <w:vMerge w:val="continue"/>
            <w:noWrap w:val="0"/>
            <w:tcMar>
              <w:left w:w="57" w:type="dxa"/>
              <w:right w:w="57" w:type="dxa"/>
            </w:tcMar>
            <w:vAlign w:val="center"/>
          </w:tcPr>
          <w:p w14:paraId="1A064621">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727E1B01">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636FE710">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建造方式的创新应用实施</w:t>
            </w:r>
          </w:p>
          <w:p w14:paraId="6D6886FE">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方案</w:t>
            </w:r>
          </w:p>
        </w:tc>
        <w:tc>
          <w:tcPr>
            <w:tcW w:w="850" w:type="dxa"/>
            <w:noWrap w:val="0"/>
            <w:tcMar>
              <w:left w:w="57" w:type="dxa"/>
              <w:right w:w="57" w:type="dxa"/>
            </w:tcMar>
            <w:vAlign w:val="center"/>
          </w:tcPr>
          <w:p w14:paraId="23992C6A">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4467" w:type="dxa"/>
            <w:gridSpan w:val="3"/>
            <w:noWrap w:val="0"/>
            <w:tcMar>
              <w:left w:w="57" w:type="dxa"/>
              <w:right w:w="57" w:type="dxa"/>
            </w:tcMar>
            <w:vAlign w:val="center"/>
          </w:tcPr>
          <w:p w14:paraId="5C7B4421">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1.智能建造、2.节能减排、3.绿色施工、4.装配式建筑等建造方式的创新应用实施方案符合工程情况，具有针对性、可行性、经济适用性；每一项（0-1分）。</w:t>
            </w:r>
          </w:p>
        </w:tc>
      </w:tr>
      <w:tr w14:paraId="0D158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3" w:hRule="atLeast"/>
          <w:jc w:val="center"/>
        </w:trPr>
        <w:tc>
          <w:tcPr>
            <w:tcW w:w="908" w:type="dxa"/>
            <w:vMerge w:val="continue"/>
            <w:noWrap w:val="0"/>
            <w:tcMar>
              <w:left w:w="57" w:type="dxa"/>
              <w:right w:w="57" w:type="dxa"/>
            </w:tcMar>
            <w:vAlign w:val="center"/>
          </w:tcPr>
          <w:p w14:paraId="61BBB270">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69807B5F">
            <w:pPr>
              <w:pStyle w:val="23"/>
              <w:widowControl/>
              <w:wordWrap w:val="0"/>
              <w:jc w:val="center"/>
              <w:rPr>
                <w:rFonts w:hint="eastAsia" w:ascii="仿宋" w:hAnsi="仿宋" w:eastAsia="仿宋" w:cs="仿宋"/>
                <w:color w:val="auto"/>
                <w:szCs w:val="24"/>
                <w:highlight w:val="none"/>
              </w:rPr>
            </w:pPr>
          </w:p>
        </w:tc>
        <w:tc>
          <w:tcPr>
            <w:tcW w:w="1572" w:type="dxa"/>
            <w:gridSpan w:val="2"/>
            <w:vMerge w:val="restart"/>
            <w:noWrap w:val="0"/>
            <w:tcMar>
              <w:left w:w="57" w:type="dxa"/>
              <w:right w:w="57" w:type="dxa"/>
            </w:tcMar>
            <w:vAlign w:val="center"/>
          </w:tcPr>
          <w:p w14:paraId="3294AEAF">
            <w:pPr>
              <w:wordWrap w:val="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采用新工艺、新技术、新设备、新材料</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BIM等的程度</w:t>
            </w:r>
          </w:p>
          <w:p w14:paraId="73CCC20A">
            <w:pPr>
              <w:wordWrap w:val="0"/>
              <w:rPr>
                <w:rFonts w:hint="eastAsia" w:ascii="仿宋" w:hAnsi="仿宋" w:eastAsia="仿宋" w:cs="仿宋"/>
                <w:color w:val="auto"/>
                <w:sz w:val="24"/>
                <w:highlight w:val="none"/>
              </w:rPr>
            </w:pPr>
          </w:p>
        </w:tc>
        <w:tc>
          <w:tcPr>
            <w:tcW w:w="850" w:type="dxa"/>
            <w:vMerge w:val="restart"/>
            <w:noWrap w:val="0"/>
            <w:tcMar>
              <w:left w:w="57" w:type="dxa"/>
              <w:right w:w="57" w:type="dxa"/>
            </w:tcMar>
            <w:vAlign w:val="center"/>
          </w:tcPr>
          <w:p w14:paraId="0D444A9F">
            <w:pPr>
              <w:wordWrap w:val="0"/>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3.5</w:t>
            </w:r>
          </w:p>
        </w:tc>
        <w:tc>
          <w:tcPr>
            <w:tcW w:w="4467" w:type="dxa"/>
            <w:gridSpan w:val="3"/>
            <w:noWrap w:val="0"/>
            <w:tcMar>
              <w:left w:w="57" w:type="dxa"/>
              <w:right w:w="57" w:type="dxa"/>
            </w:tcMar>
            <w:vAlign w:val="center"/>
          </w:tcPr>
          <w:p w14:paraId="1642281B">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采用1.新工艺、2.新技术、3.新设备（含工器具、智能设备等）、4.新材料等满足实现设计要求，符合施工需要和相应技术标准等规定，经济适用；每一项（0-0.5</w:t>
            </w:r>
            <w:r>
              <w:rPr>
                <w:rFonts w:hint="eastAsia" w:ascii="仿宋" w:hAnsi="仿宋" w:eastAsia="仿宋" w:cs="仿宋"/>
                <w:color w:val="auto"/>
                <w:sz w:val="24"/>
                <w:highlight w:val="none"/>
                <w:lang w:val="en-US" w:eastAsia="zh-CN"/>
              </w:rPr>
              <w:t>分</w:t>
            </w:r>
            <w:r>
              <w:rPr>
                <w:rFonts w:hint="eastAsia" w:ascii="仿宋" w:hAnsi="仿宋" w:eastAsia="仿宋" w:cs="仿宋"/>
                <w:color w:val="auto"/>
                <w:sz w:val="24"/>
                <w:highlight w:val="none"/>
              </w:rPr>
              <w:t>）。</w:t>
            </w:r>
          </w:p>
        </w:tc>
      </w:tr>
      <w:tr w14:paraId="0D57E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3" w:hRule="atLeast"/>
          <w:jc w:val="center"/>
        </w:trPr>
        <w:tc>
          <w:tcPr>
            <w:tcW w:w="908" w:type="dxa"/>
            <w:vMerge w:val="continue"/>
            <w:noWrap w:val="0"/>
            <w:tcMar>
              <w:left w:w="57" w:type="dxa"/>
              <w:right w:w="57" w:type="dxa"/>
            </w:tcMar>
            <w:vAlign w:val="center"/>
          </w:tcPr>
          <w:p w14:paraId="050501CA">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4A273A5A">
            <w:pPr>
              <w:pStyle w:val="23"/>
              <w:widowControl/>
              <w:wordWrap w:val="0"/>
              <w:jc w:val="center"/>
              <w:rPr>
                <w:rFonts w:hint="eastAsia" w:ascii="仿宋" w:hAnsi="仿宋" w:eastAsia="仿宋" w:cs="仿宋"/>
                <w:color w:val="auto"/>
                <w:szCs w:val="24"/>
                <w:highlight w:val="none"/>
              </w:rPr>
            </w:pPr>
          </w:p>
        </w:tc>
        <w:tc>
          <w:tcPr>
            <w:tcW w:w="1572" w:type="dxa"/>
            <w:gridSpan w:val="2"/>
            <w:vMerge w:val="continue"/>
            <w:noWrap w:val="0"/>
            <w:tcMar>
              <w:left w:w="57" w:type="dxa"/>
              <w:right w:w="57" w:type="dxa"/>
            </w:tcMar>
            <w:vAlign w:val="center"/>
          </w:tcPr>
          <w:p w14:paraId="3BCA5CF0">
            <w:pPr>
              <w:wordWrap w:val="0"/>
              <w:rPr>
                <w:rFonts w:hint="eastAsia" w:ascii="仿宋" w:hAnsi="仿宋" w:eastAsia="仿宋" w:cs="仿宋"/>
                <w:color w:val="auto"/>
                <w:sz w:val="24"/>
                <w:highlight w:val="none"/>
              </w:rPr>
            </w:pPr>
          </w:p>
        </w:tc>
        <w:tc>
          <w:tcPr>
            <w:tcW w:w="850" w:type="dxa"/>
            <w:vMerge w:val="continue"/>
            <w:noWrap w:val="0"/>
            <w:tcMar>
              <w:left w:w="57" w:type="dxa"/>
              <w:right w:w="57" w:type="dxa"/>
            </w:tcMar>
            <w:vAlign w:val="center"/>
          </w:tcPr>
          <w:p w14:paraId="510F852D">
            <w:pPr>
              <w:wordWrap w:val="0"/>
              <w:jc w:val="center"/>
              <w:rPr>
                <w:rFonts w:hint="eastAsia" w:ascii="仿宋" w:hAnsi="仿宋" w:eastAsia="仿宋" w:cs="仿宋"/>
                <w:color w:val="auto"/>
                <w:sz w:val="24"/>
                <w:highlight w:val="none"/>
                <w:lang w:val="en-US" w:eastAsia="zh-CN"/>
              </w:rPr>
            </w:pPr>
          </w:p>
        </w:tc>
        <w:tc>
          <w:tcPr>
            <w:tcW w:w="4467" w:type="dxa"/>
            <w:gridSpan w:val="3"/>
            <w:noWrap w:val="0"/>
            <w:tcMar>
              <w:left w:w="57" w:type="dxa"/>
              <w:right w:w="57" w:type="dxa"/>
            </w:tcMar>
            <w:vAlign w:val="center"/>
          </w:tcPr>
          <w:p w14:paraId="7C2D78C4">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应用BIM技术优化施工工序、资源配置及数字化管理，措施得当，有效提高施工效率（0-1.5分）</w:t>
            </w:r>
          </w:p>
        </w:tc>
      </w:tr>
      <w:tr w14:paraId="7EF91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08" w:type="dxa"/>
            <w:vMerge w:val="continue"/>
            <w:noWrap w:val="0"/>
            <w:tcMar>
              <w:left w:w="57" w:type="dxa"/>
              <w:right w:w="57" w:type="dxa"/>
            </w:tcMar>
            <w:vAlign w:val="center"/>
          </w:tcPr>
          <w:p w14:paraId="58FDFC7E">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45F08477">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0131CB1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施工现场实施信息化监控和数据处理</w:t>
            </w:r>
          </w:p>
        </w:tc>
        <w:tc>
          <w:tcPr>
            <w:tcW w:w="850" w:type="dxa"/>
            <w:noWrap w:val="0"/>
            <w:tcMar>
              <w:left w:w="57" w:type="dxa"/>
              <w:right w:w="57" w:type="dxa"/>
            </w:tcMar>
            <w:vAlign w:val="center"/>
          </w:tcPr>
          <w:p w14:paraId="5CC54CF8">
            <w:pPr>
              <w:wordWrap w:val="0"/>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w:t>
            </w:r>
          </w:p>
        </w:tc>
        <w:tc>
          <w:tcPr>
            <w:tcW w:w="4467" w:type="dxa"/>
            <w:gridSpan w:val="3"/>
            <w:noWrap w:val="0"/>
            <w:tcMar>
              <w:left w:w="57" w:type="dxa"/>
              <w:right w:w="57" w:type="dxa"/>
            </w:tcMar>
            <w:vAlign w:val="center"/>
          </w:tcPr>
          <w:p w14:paraId="33F5DC0E">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施工现场实施信息化监控和数据处理系统布置合理，满足管理需要。（0-1</w:t>
            </w:r>
            <w:r>
              <w:rPr>
                <w:rFonts w:hint="eastAsia" w:ascii="仿宋" w:hAnsi="仿宋" w:eastAsia="仿宋" w:cs="仿宋"/>
                <w:color w:val="auto"/>
                <w:sz w:val="24"/>
                <w:highlight w:val="none"/>
                <w:lang w:val="en-US" w:eastAsia="zh-CN"/>
              </w:rPr>
              <w:t>分</w:t>
            </w:r>
            <w:r>
              <w:rPr>
                <w:rFonts w:hint="eastAsia" w:ascii="仿宋" w:hAnsi="仿宋" w:eastAsia="仿宋" w:cs="仿宋"/>
                <w:color w:val="auto"/>
                <w:sz w:val="24"/>
                <w:highlight w:val="none"/>
              </w:rPr>
              <w:t>）</w:t>
            </w:r>
          </w:p>
        </w:tc>
      </w:tr>
      <w:tr w14:paraId="3D768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08" w:type="dxa"/>
            <w:vMerge w:val="continue"/>
            <w:noWrap w:val="0"/>
            <w:tcMar>
              <w:left w:w="57" w:type="dxa"/>
              <w:right w:w="57" w:type="dxa"/>
            </w:tcMar>
            <w:vAlign w:val="center"/>
          </w:tcPr>
          <w:p w14:paraId="324F3985">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0DB20DA5">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14E0E232">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风险管理措施</w:t>
            </w:r>
          </w:p>
        </w:tc>
        <w:tc>
          <w:tcPr>
            <w:tcW w:w="850" w:type="dxa"/>
            <w:noWrap w:val="0"/>
            <w:tcMar>
              <w:left w:w="57" w:type="dxa"/>
              <w:right w:w="57" w:type="dxa"/>
            </w:tcMar>
            <w:vAlign w:val="center"/>
          </w:tcPr>
          <w:p w14:paraId="7C09A7D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4467" w:type="dxa"/>
            <w:gridSpan w:val="3"/>
            <w:noWrap w:val="0"/>
            <w:tcMar>
              <w:left w:w="57" w:type="dxa"/>
              <w:right w:w="57" w:type="dxa"/>
            </w:tcMar>
            <w:vAlign w:val="center"/>
          </w:tcPr>
          <w:p w14:paraId="72C723D9">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风险防控管理措施齐全，风险预控符合规范要求，风险控制要点定位准确，各阶段风险控制及应急措施得力。（0-1分）</w:t>
            </w:r>
          </w:p>
        </w:tc>
      </w:tr>
      <w:tr w14:paraId="570E0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08" w:type="dxa"/>
            <w:vMerge w:val="continue"/>
            <w:noWrap w:val="0"/>
            <w:tcMar>
              <w:left w:w="57" w:type="dxa"/>
              <w:right w:w="57" w:type="dxa"/>
            </w:tcMar>
            <w:vAlign w:val="center"/>
          </w:tcPr>
          <w:p w14:paraId="7721C466">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03A83463">
            <w:pPr>
              <w:pStyle w:val="23"/>
              <w:widowControl/>
              <w:wordWrap w:val="0"/>
              <w:jc w:val="center"/>
              <w:rPr>
                <w:rFonts w:hint="eastAsia" w:ascii="仿宋" w:hAnsi="仿宋" w:eastAsia="仿宋" w:cs="仿宋"/>
                <w:color w:val="auto"/>
                <w:szCs w:val="24"/>
                <w:highlight w:val="none"/>
              </w:rPr>
            </w:pPr>
          </w:p>
        </w:tc>
        <w:tc>
          <w:tcPr>
            <w:tcW w:w="6889" w:type="dxa"/>
            <w:gridSpan w:val="6"/>
            <w:noWrap w:val="0"/>
            <w:tcMar>
              <w:left w:w="57" w:type="dxa"/>
              <w:right w:w="57" w:type="dxa"/>
            </w:tcMar>
            <w:vAlign w:val="center"/>
          </w:tcPr>
          <w:p w14:paraId="2757A261">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1.各档次的标准设定如下：</w:t>
            </w:r>
          </w:p>
          <w:p w14:paraId="01BA0BAE">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优：内容完整且详实，方案科学、合理、安全，考虑周全，措施到位，针对性强，完全能够满足招标工程的施工需要。计分范围为分值范围的80%-100%。</w:t>
            </w:r>
          </w:p>
          <w:p w14:paraId="0E79176E">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良：内容完整，方案基本科学、合理、安全，考虑基本周全，措施基本到位，针对性较强，可以满足招标工程的施工需要，但有个别细节需要进一步完善或提高。计分范围为分值范围的60%-80%。</w:t>
            </w:r>
          </w:p>
          <w:p w14:paraId="3ED7892E">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一般：内容基本完整，方案在科学、合理、安全性方面一般，考虑尚欠周全，措施不够到位，针对性不强，虽然能够基本满足招标工程的施工需要，但有很多方面需要进一步完善甚至重新考虑。计分范围为分值范围的40%-60%。</w:t>
            </w:r>
          </w:p>
          <w:p w14:paraId="02C6B9F5">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差：内容不完整，方案在科学、合理、安全性方面差，考虑非常不周，措施基本不到位，没有针对性，不能满足招标工程的施工需要。计分范围为分值范围的20%-40%。</w:t>
            </w:r>
          </w:p>
          <w:p w14:paraId="772D6254">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2.各分项内容如缺项，相应项目得分为0。</w:t>
            </w:r>
          </w:p>
        </w:tc>
      </w:tr>
      <w:tr w14:paraId="1F053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8" w:hRule="atLeast"/>
          <w:jc w:val="center"/>
        </w:trPr>
        <w:tc>
          <w:tcPr>
            <w:tcW w:w="908" w:type="dxa"/>
            <w:noWrap w:val="0"/>
            <w:tcMar>
              <w:left w:w="57" w:type="dxa"/>
              <w:right w:w="57" w:type="dxa"/>
            </w:tcMar>
            <w:vAlign w:val="center"/>
          </w:tcPr>
          <w:p w14:paraId="220C6544">
            <w:pPr>
              <w:pStyle w:val="23"/>
              <w:widowControl/>
              <w:wordWrap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2.2.4</w:t>
            </w:r>
          </w:p>
          <w:p w14:paraId="58C2CD9A">
            <w:pPr>
              <w:pStyle w:val="23"/>
              <w:widowControl/>
              <w:wordWrap w:val="0"/>
              <w:jc w:val="center"/>
              <w:rPr>
                <w:rFonts w:ascii="Times New Roman" w:hAnsi="Times New Roman" w:cs="Times New Roman"/>
                <w:color w:val="auto"/>
                <w:sz w:val="21"/>
                <w:szCs w:val="21"/>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2)</w:t>
            </w:r>
          </w:p>
        </w:tc>
        <w:tc>
          <w:tcPr>
            <w:tcW w:w="1389" w:type="dxa"/>
            <w:gridSpan w:val="2"/>
            <w:noWrap w:val="0"/>
            <w:tcMar>
              <w:left w:w="57" w:type="dxa"/>
              <w:right w:w="57" w:type="dxa"/>
            </w:tcMar>
            <w:vAlign w:val="center"/>
          </w:tcPr>
          <w:p w14:paraId="474A6C38">
            <w:pPr>
              <w:pStyle w:val="23"/>
              <w:widowControl/>
              <w:wordWrap w:val="0"/>
              <w:jc w:val="center"/>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商务标</w:t>
            </w:r>
          </w:p>
          <w:p w14:paraId="081E1757">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总分</w:t>
            </w:r>
            <w:r>
              <w:rPr>
                <w:rFonts w:hint="eastAsia" w:ascii="仿宋" w:hAnsi="仿宋" w:eastAsia="仿宋" w:cs="仿宋"/>
                <w:color w:val="auto"/>
                <w:szCs w:val="24"/>
                <w:highlight w:val="none"/>
                <w:lang w:val="en-US"/>
              </w:rPr>
              <w:t>50</w:t>
            </w:r>
            <w:r>
              <w:rPr>
                <w:rFonts w:hint="eastAsia" w:ascii="仿宋" w:hAnsi="仿宋" w:eastAsia="仿宋" w:cs="仿宋"/>
                <w:color w:val="auto"/>
                <w:szCs w:val="24"/>
                <w:highlight w:val="none"/>
              </w:rPr>
              <w:t>分</w:t>
            </w:r>
          </w:p>
        </w:tc>
        <w:tc>
          <w:tcPr>
            <w:tcW w:w="1572" w:type="dxa"/>
            <w:gridSpan w:val="2"/>
            <w:noWrap w:val="0"/>
            <w:tcMar>
              <w:left w:w="57" w:type="dxa"/>
              <w:right w:w="57" w:type="dxa"/>
            </w:tcMar>
            <w:vAlign w:val="center"/>
          </w:tcPr>
          <w:p w14:paraId="4279C644">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投标报价</w:t>
            </w:r>
          </w:p>
          <w:p w14:paraId="7B6302F3">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满分</w:t>
            </w:r>
            <w:r>
              <w:rPr>
                <w:rFonts w:hint="eastAsia" w:ascii="仿宋" w:hAnsi="仿宋" w:eastAsia="仿宋" w:cs="仿宋"/>
                <w:color w:val="auto"/>
                <w:szCs w:val="24"/>
                <w:highlight w:val="none"/>
                <w:u w:val="single"/>
                <w:lang w:val="en-US" w:eastAsia="zh-CN"/>
              </w:rPr>
              <w:t>50</w:t>
            </w:r>
            <w:r>
              <w:rPr>
                <w:rFonts w:hint="eastAsia" w:ascii="仿宋" w:hAnsi="仿宋" w:eastAsia="仿宋" w:cs="仿宋"/>
                <w:color w:val="auto"/>
                <w:szCs w:val="24"/>
                <w:highlight w:val="none"/>
              </w:rPr>
              <w:t>分</w:t>
            </w:r>
          </w:p>
        </w:tc>
        <w:tc>
          <w:tcPr>
            <w:tcW w:w="5317" w:type="dxa"/>
            <w:gridSpan w:val="4"/>
            <w:noWrap w:val="0"/>
            <w:tcMar>
              <w:left w:w="57" w:type="dxa"/>
              <w:right w:w="57" w:type="dxa"/>
            </w:tcMar>
            <w:vAlign w:val="top"/>
          </w:tcPr>
          <w:p w14:paraId="38BFE38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评标基准值C计算方法</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C=60%A+40%B</w:t>
            </w:r>
          </w:p>
          <w:p w14:paraId="4489FF24">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A：</w:t>
            </w:r>
            <w:r>
              <w:rPr>
                <w:rFonts w:hint="eastAsia" w:ascii="仿宋" w:hAnsi="仿宋" w:eastAsia="仿宋" w:cs="仿宋"/>
                <w:color w:val="auto"/>
                <w:sz w:val="24"/>
                <w:highlight w:val="none"/>
                <w:lang w:val="en-US" w:eastAsia="zh-CN"/>
              </w:rPr>
              <w:t>最高投标限价</w:t>
            </w:r>
            <w:r>
              <w:rPr>
                <w:rFonts w:hint="eastAsia" w:ascii="仿宋" w:hAnsi="仿宋" w:eastAsia="仿宋" w:cs="仿宋"/>
                <w:color w:val="auto"/>
                <w:sz w:val="24"/>
                <w:highlight w:val="none"/>
              </w:rPr>
              <w:t>；</w:t>
            </w:r>
          </w:p>
          <w:p w14:paraId="33C8B004">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B：参与评标基准值计算的投标报价的算术平均值。</w:t>
            </w:r>
          </w:p>
          <w:p w14:paraId="34B578E8">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参与评标基准值计算的投标报价是指在</w:t>
            </w:r>
            <w:r>
              <w:rPr>
                <w:rFonts w:hint="eastAsia" w:ascii="仿宋" w:hAnsi="仿宋" w:eastAsia="仿宋" w:cs="仿宋"/>
                <w:color w:val="auto"/>
                <w:sz w:val="24"/>
                <w:highlight w:val="none"/>
                <w:lang w:val="en-US" w:eastAsia="zh-CN"/>
              </w:rPr>
              <w:t>最高投标限</w:t>
            </w:r>
            <w:r>
              <w:rPr>
                <w:rFonts w:hint="eastAsia" w:ascii="仿宋" w:hAnsi="仿宋" w:eastAsia="仿宋" w:cs="仿宋"/>
                <w:color w:val="auto"/>
                <w:sz w:val="24"/>
                <w:highlight w:val="none"/>
              </w:rPr>
              <w:t>价的95%（含）-100%（含）范围内的报价；若投标人的投标报价低于</w:t>
            </w:r>
            <w:r>
              <w:rPr>
                <w:rFonts w:hint="eastAsia" w:ascii="仿宋" w:hAnsi="仿宋" w:eastAsia="仿宋" w:cs="仿宋"/>
                <w:color w:val="auto"/>
                <w:sz w:val="24"/>
                <w:highlight w:val="none"/>
                <w:lang w:val="en-US" w:eastAsia="zh-CN"/>
              </w:rPr>
              <w:t>最高限价</w:t>
            </w:r>
            <w:r>
              <w:rPr>
                <w:rFonts w:hint="eastAsia" w:ascii="仿宋" w:hAnsi="仿宋" w:eastAsia="仿宋" w:cs="仿宋"/>
                <w:color w:val="auto"/>
                <w:sz w:val="24"/>
                <w:highlight w:val="none"/>
              </w:rPr>
              <w:t>的95%（不含95%）,不参与B值的计算，但参与投标报价的合理性评审；当参与评标基准值计算的投标报价多于</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家时（不含</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家），去掉一个最高和一个最低投标报价后的算术平均值为B值。</w:t>
            </w:r>
          </w:p>
          <w:p w14:paraId="4E78A149">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当所有投标人的投标报价均低于</w:t>
            </w:r>
            <w:r>
              <w:rPr>
                <w:rFonts w:hint="eastAsia" w:ascii="仿宋" w:hAnsi="仿宋" w:eastAsia="仿宋" w:cs="仿宋"/>
                <w:color w:val="auto"/>
                <w:sz w:val="24"/>
                <w:highlight w:val="none"/>
                <w:lang w:val="en-US" w:eastAsia="zh-CN"/>
              </w:rPr>
              <w:t>最高限价</w:t>
            </w:r>
            <w:r>
              <w:rPr>
                <w:rFonts w:hint="eastAsia" w:ascii="仿宋" w:hAnsi="仿宋" w:eastAsia="仿宋" w:cs="仿宋"/>
                <w:color w:val="auto"/>
                <w:sz w:val="24"/>
                <w:highlight w:val="none"/>
              </w:rPr>
              <w:t>的95%（不含95%）时,评标基准值</w:t>
            </w:r>
            <w:r>
              <w:rPr>
                <w:rFonts w:hint="eastAsia" w:ascii="仿宋" w:hAnsi="仿宋" w:eastAsia="仿宋" w:cs="仿宋"/>
                <w:color w:val="auto"/>
                <w:sz w:val="24"/>
                <w:highlight w:val="none"/>
                <w:lang w:val="en-US" w:eastAsia="zh-CN"/>
              </w:rPr>
              <w:t>C=最高限价</w:t>
            </w:r>
            <w:r>
              <w:rPr>
                <w:rFonts w:hint="eastAsia" w:ascii="仿宋" w:hAnsi="仿宋" w:eastAsia="仿宋" w:cs="仿宋"/>
                <w:color w:val="auto"/>
                <w:sz w:val="24"/>
                <w:highlight w:val="none"/>
              </w:rPr>
              <w:t>×95%。</w:t>
            </w:r>
          </w:p>
          <w:p w14:paraId="788A122F">
            <w:pPr>
              <w:wordWrap w:val="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当投标报价=C时，得</w:t>
            </w:r>
            <w:r>
              <w:rPr>
                <w:rFonts w:hint="eastAsia" w:ascii="仿宋" w:hAnsi="仿宋" w:eastAsia="仿宋" w:cs="仿宋"/>
                <w:color w:val="auto"/>
                <w:sz w:val="24"/>
                <w:highlight w:val="none"/>
                <w:lang w:val="en-US" w:eastAsia="zh-CN"/>
              </w:rPr>
              <w:t>满分50</w:t>
            </w:r>
            <w:r>
              <w:rPr>
                <w:rFonts w:hint="eastAsia" w:ascii="仿宋" w:hAnsi="仿宋" w:eastAsia="仿宋" w:cs="仿宋"/>
                <w:color w:val="auto"/>
                <w:sz w:val="24"/>
                <w:highlight w:val="none"/>
              </w:rPr>
              <w:t>分。</w:t>
            </w:r>
          </w:p>
          <w:p w14:paraId="4F77EFC1">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当投标报价＞C</w:t>
            </w:r>
            <w:r>
              <w:rPr>
                <w:rFonts w:hint="eastAsia" w:ascii="仿宋" w:hAnsi="仿宋" w:eastAsia="仿宋" w:cs="仿宋"/>
                <w:color w:val="auto"/>
                <w:sz w:val="24"/>
                <w:highlight w:val="none"/>
                <w:lang w:val="en-US" w:eastAsia="zh-CN"/>
              </w:rPr>
              <w:t>或</w:t>
            </w:r>
            <w:r>
              <w:rPr>
                <w:rFonts w:hint="eastAsia" w:ascii="仿宋" w:hAnsi="仿宋" w:eastAsia="仿宋" w:cs="仿宋"/>
                <w:color w:val="auto"/>
                <w:sz w:val="24"/>
                <w:highlight w:val="none"/>
              </w:rPr>
              <w:t>投标报价＜C</w:t>
            </w:r>
            <w:r>
              <w:rPr>
                <w:rFonts w:hint="eastAsia" w:ascii="仿宋" w:hAnsi="仿宋" w:eastAsia="仿宋" w:cs="仿宋"/>
                <w:color w:val="auto"/>
                <w:sz w:val="24"/>
                <w:highlight w:val="none"/>
                <w:lang w:val="en-US" w:eastAsia="zh-CN"/>
              </w:rPr>
              <w:t>时</w:t>
            </w:r>
            <w:r>
              <w:rPr>
                <w:rFonts w:hint="eastAsia" w:ascii="仿宋" w:hAnsi="仿宋" w:eastAsia="仿宋" w:cs="仿宋"/>
                <w:color w:val="auto"/>
                <w:sz w:val="24"/>
                <w:highlight w:val="none"/>
              </w:rPr>
              <w:t>，投标报价与C相比，每高1%</w:t>
            </w:r>
            <w:r>
              <w:rPr>
                <w:rFonts w:hint="eastAsia" w:ascii="仿宋" w:hAnsi="仿宋" w:eastAsia="仿宋" w:cs="仿宋"/>
                <w:color w:val="auto"/>
                <w:sz w:val="24"/>
                <w:highlight w:val="none"/>
                <w:lang w:val="en-US" w:eastAsia="zh-CN"/>
              </w:rPr>
              <w:t>或</w:t>
            </w:r>
            <w:r>
              <w:rPr>
                <w:rFonts w:hint="eastAsia" w:ascii="仿宋" w:hAnsi="仿宋" w:eastAsia="仿宋" w:cs="仿宋"/>
                <w:color w:val="auto"/>
                <w:sz w:val="24"/>
                <w:highlight w:val="none"/>
              </w:rPr>
              <w:t>每低1%在</w:t>
            </w:r>
            <w:r>
              <w:rPr>
                <w:rFonts w:hint="eastAsia" w:ascii="仿宋" w:hAnsi="仿宋" w:eastAsia="仿宋" w:cs="仿宋"/>
                <w:color w:val="auto"/>
                <w:sz w:val="24"/>
                <w:highlight w:val="none"/>
                <w:lang w:val="en-US" w:eastAsia="zh-CN"/>
              </w:rPr>
              <w:t>满</w:t>
            </w:r>
            <w:r>
              <w:rPr>
                <w:rFonts w:hint="eastAsia" w:ascii="仿宋" w:hAnsi="仿宋" w:eastAsia="仿宋" w:cs="仿宋"/>
                <w:color w:val="auto"/>
                <w:sz w:val="24"/>
                <w:highlight w:val="none"/>
              </w:rPr>
              <w:t>分的基础上扣1分，此项得分扣完为止。</w:t>
            </w:r>
          </w:p>
          <w:p w14:paraId="229C7135">
            <w:pPr>
              <w:wordWrap w:val="0"/>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注：不足1%的按比例扣分。</w:t>
            </w:r>
          </w:p>
        </w:tc>
      </w:tr>
      <w:tr w14:paraId="0F049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908" w:type="dxa"/>
            <w:vMerge w:val="restart"/>
            <w:noWrap w:val="0"/>
            <w:tcMar>
              <w:left w:w="57" w:type="dxa"/>
              <w:right w:w="57" w:type="dxa"/>
            </w:tcMar>
            <w:vAlign w:val="center"/>
          </w:tcPr>
          <w:p w14:paraId="5E6510AE">
            <w:pPr>
              <w:pStyle w:val="23"/>
              <w:widowControl/>
              <w:wordWrap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2.2.4</w:t>
            </w:r>
          </w:p>
          <w:p w14:paraId="285EFDC3">
            <w:pPr>
              <w:pStyle w:val="23"/>
              <w:widowControl/>
              <w:wordWrap w:val="0"/>
              <w:jc w:val="center"/>
              <w:rPr>
                <w:rFonts w:ascii="Times New Roman" w:hAnsi="Times New Roman" w:cs="Times New Roman"/>
                <w:color w:val="auto"/>
                <w:sz w:val="21"/>
                <w:szCs w:val="21"/>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3)</w:t>
            </w:r>
          </w:p>
        </w:tc>
        <w:tc>
          <w:tcPr>
            <w:tcW w:w="1389" w:type="dxa"/>
            <w:gridSpan w:val="2"/>
            <w:vMerge w:val="restart"/>
            <w:noWrap w:val="0"/>
            <w:tcMar>
              <w:left w:w="57" w:type="dxa"/>
              <w:right w:w="57" w:type="dxa"/>
            </w:tcMar>
            <w:vAlign w:val="center"/>
          </w:tcPr>
          <w:p w14:paraId="7AC264B5">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综合标</w:t>
            </w:r>
          </w:p>
          <w:p w14:paraId="5F277ACA">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总分</w:t>
            </w:r>
            <w:r>
              <w:rPr>
                <w:rFonts w:hint="eastAsia" w:ascii="仿宋" w:hAnsi="仿宋" w:eastAsia="仿宋" w:cs="仿宋"/>
                <w:color w:val="auto"/>
                <w:szCs w:val="24"/>
                <w:highlight w:val="none"/>
                <w:lang w:val="en-US" w:eastAsia="zh-CN"/>
              </w:rPr>
              <w:t>30</w:t>
            </w:r>
            <w:r>
              <w:rPr>
                <w:rFonts w:hint="eastAsia" w:ascii="仿宋" w:hAnsi="仿宋" w:eastAsia="仿宋" w:cs="仿宋"/>
                <w:color w:val="auto"/>
                <w:szCs w:val="24"/>
                <w:highlight w:val="none"/>
              </w:rPr>
              <w:t>分</w:t>
            </w:r>
          </w:p>
        </w:tc>
        <w:tc>
          <w:tcPr>
            <w:tcW w:w="1572" w:type="dxa"/>
            <w:gridSpan w:val="2"/>
            <w:noWrap w:val="0"/>
            <w:tcMar>
              <w:left w:w="57" w:type="dxa"/>
              <w:right w:w="57" w:type="dxa"/>
            </w:tcMar>
            <w:vAlign w:val="center"/>
          </w:tcPr>
          <w:p w14:paraId="09E6F18C">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项目</w:t>
            </w:r>
          </w:p>
        </w:tc>
        <w:tc>
          <w:tcPr>
            <w:tcW w:w="3632" w:type="dxa"/>
            <w:gridSpan w:val="3"/>
            <w:noWrap w:val="0"/>
            <w:tcMar>
              <w:left w:w="57" w:type="dxa"/>
              <w:right w:w="57" w:type="dxa"/>
            </w:tcMar>
            <w:vAlign w:val="center"/>
          </w:tcPr>
          <w:p w14:paraId="347A2771">
            <w:pPr>
              <w:wordWrap w:val="0"/>
              <w:jc w:val="center"/>
              <w:rPr>
                <w:rFonts w:hint="eastAsia" w:ascii="仿宋" w:hAnsi="仿宋" w:eastAsia="仿宋" w:cs="仿宋"/>
                <w:b/>
                <w:bCs/>
                <w:color w:val="auto"/>
                <w:kern w:val="0"/>
                <w:sz w:val="24"/>
                <w:highlight w:val="none"/>
              </w:rPr>
            </w:pPr>
            <w:r>
              <w:rPr>
                <w:rFonts w:hint="eastAsia" w:ascii="仿宋" w:hAnsi="仿宋" w:eastAsia="仿宋" w:cs="仿宋"/>
                <w:color w:val="auto"/>
                <w:sz w:val="24"/>
                <w:highlight w:val="none"/>
              </w:rPr>
              <w:t>评审标准</w:t>
            </w:r>
          </w:p>
        </w:tc>
        <w:tc>
          <w:tcPr>
            <w:tcW w:w="1685" w:type="dxa"/>
            <w:noWrap w:val="0"/>
            <w:tcMar>
              <w:left w:w="57" w:type="dxa"/>
              <w:right w:w="57" w:type="dxa"/>
            </w:tcMar>
            <w:vAlign w:val="center"/>
          </w:tcPr>
          <w:p w14:paraId="750A0E41">
            <w:pPr>
              <w:wordWrap w:val="0"/>
              <w:jc w:val="center"/>
              <w:rPr>
                <w:rFonts w:hint="eastAsia" w:ascii="仿宋" w:hAnsi="仿宋" w:eastAsia="仿宋" w:cs="仿宋"/>
                <w:b/>
                <w:bCs/>
                <w:color w:val="auto"/>
                <w:kern w:val="0"/>
                <w:sz w:val="24"/>
                <w:highlight w:val="none"/>
              </w:rPr>
            </w:pPr>
            <w:r>
              <w:rPr>
                <w:rFonts w:hint="eastAsia" w:ascii="仿宋" w:hAnsi="仿宋" w:eastAsia="仿宋" w:cs="仿宋"/>
                <w:color w:val="auto"/>
                <w:sz w:val="24"/>
                <w:highlight w:val="none"/>
              </w:rPr>
              <w:t>评审计分</w:t>
            </w:r>
          </w:p>
        </w:tc>
      </w:tr>
      <w:tr w14:paraId="14BA0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8" w:type="dxa"/>
            <w:vMerge w:val="continue"/>
            <w:noWrap w:val="0"/>
            <w:tcMar>
              <w:left w:w="57" w:type="dxa"/>
              <w:right w:w="57" w:type="dxa"/>
            </w:tcMar>
            <w:vAlign w:val="center"/>
          </w:tcPr>
          <w:p w14:paraId="37EC0371">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1F43975E">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1CB7B5BB">
            <w:pPr>
              <w:pStyle w:val="23"/>
              <w:widowControl/>
              <w:wordWrap w:val="0"/>
              <w:jc w:val="center"/>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rPr>
              <w:t>企业业绩</w:t>
            </w:r>
            <w:r>
              <w:rPr>
                <w:rFonts w:hint="eastAsia" w:ascii="仿宋" w:hAnsi="仿宋" w:eastAsia="仿宋" w:cs="仿宋"/>
                <w:color w:val="auto"/>
                <w:szCs w:val="24"/>
                <w:highlight w:val="none"/>
              </w:rPr>
              <w:br w:type="textWrapping"/>
            </w:r>
            <w:r>
              <w:rPr>
                <w:rFonts w:hint="eastAsia" w:ascii="仿宋" w:hAnsi="仿宋" w:eastAsia="仿宋" w:cs="仿宋"/>
                <w:color w:val="auto"/>
                <w:szCs w:val="24"/>
                <w:highlight w:val="none"/>
                <w:lang w:val="en-US" w:eastAsia="zh-CN"/>
              </w:rPr>
              <w:t>2分</w:t>
            </w:r>
          </w:p>
        </w:tc>
        <w:tc>
          <w:tcPr>
            <w:tcW w:w="3632" w:type="dxa"/>
            <w:gridSpan w:val="3"/>
            <w:noWrap w:val="0"/>
            <w:tcMar>
              <w:left w:w="57" w:type="dxa"/>
              <w:right w:w="57" w:type="dxa"/>
            </w:tcMar>
            <w:vAlign w:val="center"/>
          </w:tcPr>
          <w:p w14:paraId="76E25219">
            <w:pPr>
              <w:pStyle w:val="26"/>
              <w:tabs>
                <w:tab w:val="left" w:pos="945"/>
                <w:tab w:val="left" w:pos="1155"/>
              </w:tabs>
              <w:spacing w:line="360" w:lineRule="exact"/>
              <w:ind w:left="0" w:leftChars="0" w:firstLine="0" w:firstLineChars="0"/>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投标人自2023年1月1日</w:t>
            </w:r>
            <w:r>
              <w:rPr>
                <w:rFonts w:hint="eastAsia" w:ascii="仿宋" w:hAnsi="仿宋" w:eastAsia="仿宋" w:cs="仿宋"/>
                <w:color w:val="auto"/>
                <w:sz w:val="24"/>
                <w:highlight w:val="none"/>
                <w:shd w:val="clear" w:color="auto" w:fill="FFFFFF"/>
                <w:lang w:val="en-US" w:eastAsia="zh-CN"/>
              </w:rPr>
              <w:t>以来至投标截止之前</w:t>
            </w:r>
            <w:r>
              <w:rPr>
                <w:rFonts w:hint="eastAsia" w:ascii="仿宋" w:hAnsi="仿宋" w:eastAsia="仿宋" w:cs="仿宋"/>
                <w:color w:val="auto"/>
                <w:sz w:val="24"/>
                <w:highlight w:val="none"/>
                <w:shd w:val="clear" w:color="auto" w:fill="FFFFFF"/>
              </w:rPr>
              <w:t>(以工程竣工验收报告或单项工程验收时间为准)以来具有1项已验收通过的单项合同金额</w:t>
            </w:r>
            <w:r>
              <w:rPr>
                <w:rFonts w:hint="eastAsia" w:ascii="仿宋" w:hAnsi="仿宋" w:eastAsia="仿宋" w:cs="仿宋"/>
                <w:color w:val="auto"/>
                <w:sz w:val="24"/>
                <w:highlight w:val="none"/>
                <w:shd w:val="clear" w:color="auto" w:fill="FFFFFF"/>
                <w:lang w:val="en-US" w:eastAsia="zh-CN"/>
              </w:rPr>
              <w:t>不低于500</w:t>
            </w:r>
            <w:r>
              <w:rPr>
                <w:rFonts w:hint="eastAsia" w:ascii="仿宋" w:hAnsi="仿宋" w:eastAsia="仿宋" w:cs="仿宋"/>
                <w:color w:val="auto"/>
                <w:sz w:val="24"/>
                <w:highlight w:val="none"/>
                <w:shd w:val="clear" w:color="auto" w:fill="FFFFFF"/>
              </w:rPr>
              <w:t>万元的公共建筑工程项目业绩的得</w:t>
            </w:r>
            <w:r>
              <w:rPr>
                <w:rFonts w:hint="eastAsia" w:ascii="仿宋" w:hAnsi="仿宋" w:eastAsia="仿宋" w:cs="仿宋"/>
                <w:color w:val="auto"/>
                <w:sz w:val="24"/>
                <w:highlight w:val="none"/>
                <w:shd w:val="clear" w:color="auto" w:fill="FFFFFF"/>
                <w:lang w:val="en-US" w:eastAsia="zh-CN"/>
              </w:rPr>
              <w:t>1</w:t>
            </w:r>
            <w:r>
              <w:rPr>
                <w:rFonts w:hint="eastAsia" w:ascii="仿宋" w:hAnsi="仿宋" w:eastAsia="仿宋" w:cs="仿宋"/>
                <w:color w:val="auto"/>
                <w:sz w:val="24"/>
                <w:highlight w:val="none"/>
                <w:shd w:val="clear" w:color="auto" w:fill="FFFFFF"/>
              </w:rPr>
              <w:t>分，每增加1项业绩加1分，本项最多得</w:t>
            </w:r>
            <w:r>
              <w:rPr>
                <w:rFonts w:hint="eastAsia" w:ascii="仿宋" w:hAnsi="仿宋" w:eastAsia="仿宋" w:cs="仿宋"/>
                <w:color w:val="auto"/>
                <w:sz w:val="24"/>
                <w:highlight w:val="none"/>
                <w:shd w:val="clear" w:color="auto" w:fill="FFFFFF"/>
                <w:lang w:val="en-US" w:eastAsia="zh-CN"/>
              </w:rPr>
              <w:t>2</w:t>
            </w:r>
            <w:r>
              <w:rPr>
                <w:rFonts w:hint="eastAsia" w:ascii="仿宋" w:hAnsi="仿宋" w:eastAsia="仿宋" w:cs="仿宋"/>
                <w:color w:val="auto"/>
                <w:sz w:val="24"/>
                <w:highlight w:val="none"/>
                <w:shd w:val="clear" w:color="auto" w:fill="FFFFFF"/>
              </w:rPr>
              <w:t>分。</w:t>
            </w:r>
          </w:p>
          <w:p w14:paraId="0312EB31">
            <w:pPr>
              <w:wordWrap w:val="0"/>
              <w:jc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注：投标文件中须同时提供合同(如为总承包工程合同提供合同协议书关键页即可)、中标通知书、竣工验收报告或单项工程验收证明材料、中标公示网页截图及链接，未按要求提供的不予计分。</w:t>
            </w:r>
          </w:p>
        </w:tc>
        <w:tc>
          <w:tcPr>
            <w:tcW w:w="1685" w:type="dxa"/>
            <w:noWrap w:val="0"/>
            <w:tcMar>
              <w:left w:w="57" w:type="dxa"/>
              <w:right w:w="57" w:type="dxa"/>
            </w:tcMar>
            <w:vAlign w:val="center"/>
          </w:tcPr>
          <w:p w14:paraId="6D8F9C03">
            <w:pPr>
              <w:wordWrap w:val="0"/>
              <w:jc w:val="center"/>
              <w:rPr>
                <w:rFonts w:hint="eastAsia" w:ascii="仿宋" w:hAnsi="仿宋" w:eastAsia="仿宋" w:cs="仿宋"/>
                <w:color w:val="auto"/>
                <w:sz w:val="24"/>
                <w:highlight w:val="none"/>
                <w:lang w:val="en"/>
              </w:rPr>
            </w:pPr>
            <w:r>
              <w:rPr>
                <w:rFonts w:hint="eastAsia" w:ascii="仿宋" w:hAnsi="仿宋" w:eastAsia="仿宋" w:cs="仿宋"/>
                <w:color w:val="auto"/>
                <w:sz w:val="24"/>
                <w:highlight w:val="none"/>
              </w:rPr>
              <w:t>0≤得分≤</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val="en"/>
              </w:rPr>
              <w:t>分</w:t>
            </w:r>
          </w:p>
        </w:tc>
      </w:tr>
      <w:tr w14:paraId="1E5B6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6C100807">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3E9C0C52">
            <w:pPr>
              <w:pStyle w:val="23"/>
              <w:widowControl/>
              <w:wordWrap w:val="0"/>
              <w:jc w:val="center"/>
              <w:rPr>
                <w:rFonts w:hint="eastAsia" w:ascii="仿宋" w:hAnsi="仿宋" w:eastAsia="仿宋" w:cs="仿宋"/>
                <w:color w:val="auto"/>
                <w:szCs w:val="24"/>
                <w:highlight w:val="none"/>
              </w:rPr>
            </w:pPr>
          </w:p>
        </w:tc>
        <w:tc>
          <w:tcPr>
            <w:tcW w:w="1572" w:type="dxa"/>
            <w:gridSpan w:val="2"/>
            <w:vMerge w:val="restart"/>
            <w:noWrap w:val="0"/>
            <w:tcMar>
              <w:left w:w="57" w:type="dxa"/>
              <w:right w:w="57" w:type="dxa"/>
            </w:tcMar>
            <w:vAlign w:val="center"/>
          </w:tcPr>
          <w:p w14:paraId="12F88459">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企业既往项目</w:t>
            </w:r>
          </w:p>
          <w:p w14:paraId="220B73F1">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人员在岗情况</w:t>
            </w:r>
          </w:p>
          <w:p w14:paraId="65292137">
            <w:pPr>
              <w:pStyle w:val="23"/>
              <w:widowControl/>
              <w:wordWrap w:val="0"/>
              <w:jc w:val="center"/>
              <w:rPr>
                <w:rFonts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8分</w:t>
            </w:r>
          </w:p>
        </w:tc>
        <w:tc>
          <w:tcPr>
            <w:tcW w:w="1816" w:type="dxa"/>
            <w:gridSpan w:val="2"/>
            <w:vMerge w:val="restart"/>
            <w:noWrap w:val="0"/>
            <w:tcMar>
              <w:left w:w="57" w:type="dxa"/>
              <w:right w:w="57" w:type="dxa"/>
            </w:tcMar>
            <w:vAlign w:val="center"/>
          </w:tcPr>
          <w:p w14:paraId="7EDD3460">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企业项目经理实名 制平均考勤率</w:t>
            </w:r>
          </w:p>
        </w:tc>
        <w:tc>
          <w:tcPr>
            <w:tcW w:w="1816" w:type="dxa"/>
            <w:noWrap w:val="0"/>
            <w:tcMar>
              <w:left w:w="57" w:type="dxa"/>
              <w:right w:w="57" w:type="dxa"/>
            </w:tcMar>
            <w:vAlign w:val="center"/>
          </w:tcPr>
          <w:p w14:paraId="3A40348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平均考勤率≥80%</w:t>
            </w:r>
          </w:p>
        </w:tc>
        <w:tc>
          <w:tcPr>
            <w:tcW w:w="1685" w:type="dxa"/>
            <w:noWrap w:val="0"/>
            <w:tcMar>
              <w:left w:w="57" w:type="dxa"/>
              <w:right w:w="57" w:type="dxa"/>
            </w:tcMar>
            <w:vAlign w:val="center"/>
          </w:tcPr>
          <w:p w14:paraId="06F77273">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14:paraId="3FD98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493DC08B">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180BE363">
            <w:pPr>
              <w:pStyle w:val="23"/>
              <w:widowControl/>
              <w:wordWrap w:val="0"/>
              <w:jc w:val="center"/>
              <w:rPr>
                <w:rFonts w:hint="eastAsia" w:ascii="仿宋" w:hAnsi="仿宋" w:eastAsia="仿宋" w:cs="仿宋"/>
                <w:color w:val="auto"/>
                <w:szCs w:val="24"/>
                <w:highlight w:val="none"/>
              </w:rPr>
            </w:pPr>
          </w:p>
        </w:tc>
        <w:tc>
          <w:tcPr>
            <w:tcW w:w="1572" w:type="dxa"/>
            <w:gridSpan w:val="2"/>
            <w:vMerge w:val="continue"/>
            <w:noWrap w:val="0"/>
            <w:tcMar>
              <w:left w:w="57" w:type="dxa"/>
              <w:right w:w="57" w:type="dxa"/>
            </w:tcMar>
            <w:vAlign w:val="center"/>
          </w:tcPr>
          <w:p w14:paraId="04CAADEA">
            <w:pPr>
              <w:pStyle w:val="23"/>
              <w:widowControl/>
              <w:wordWrap w:val="0"/>
              <w:jc w:val="center"/>
              <w:rPr>
                <w:rFonts w:hint="eastAsia" w:ascii="仿宋" w:hAnsi="仿宋" w:eastAsia="仿宋" w:cs="仿宋"/>
                <w:color w:val="auto"/>
                <w:szCs w:val="24"/>
                <w:highlight w:val="none"/>
              </w:rPr>
            </w:pPr>
          </w:p>
        </w:tc>
        <w:tc>
          <w:tcPr>
            <w:tcW w:w="1816" w:type="dxa"/>
            <w:gridSpan w:val="2"/>
            <w:vMerge w:val="continue"/>
            <w:noWrap w:val="0"/>
            <w:tcMar>
              <w:left w:w="57" w:type="dxa"/>
              <w:right w:w="57" w:type="dxa"/>
            </w:tcMar>
            <w:vAlign w:val="center"/>
          </w:tcPr>
          <w:p w14:paraId="495A201E">
            <w:pPr>
              <w:wordWrap w:val="0"/>
              <w:jc w:val="center"/>
              <w:rPr>
                <w:rFonts w:hint="eastAsia" w:ascii="仿宋" w:hAnsi="仿宋" w:eastAsia="仿宋" w:cs="仿宋"/>
                <w:color w:val="auto"/>
                <w:sz w:val="24"/>
                <w:highlight w:val="none"/>
              </w:rPr>
            </w:pPr>
          </w:p>
        </w:tc>
        <w:tc>
          <w:tcPr>
            <w:tcW w:w="1816" w:type="dxa"/>
            <w:noWrap w:val="0"/>
            <w:tcMar>
              <w:left w:w="57" w:type="dxa"/>
              <w:right w:w="57" w:type="dxa"/>
            </w:tcMar>
            <w:vAlign w:val="center"/>
          </w:tcPr>
          <w:p w14:paraId="128A3B49">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80%＞平均考勤率≥30%</w:t>
            </w:r>
          </w:p>
        </w:tc>
        <w:tc>
          <w:tcPr>
            <w:tcW w:w="1685" w:type="dxa"/>
            <w:noWrap w:val="0"/>
            <w:tcMar>
              <w:left w:w="57" w:type="dxa"/>
              <w:right w:w="57" w:type="dxa"/>
            </w:tcMar>
            <w:vAlign w:val="center"/>
          </w:tcPr>
          <w:p w14:paraId="4993C68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8分×（平均考勤率-30%）</w:t>
            </w:r>
          </w:p>
        </w:tc>
      </w:tr>
      <w:tr w14:paraId="508C1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2703BA7D">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131B898B">
            <w:pPr>
              <w:pStyle w:val="23"/>
              <w:widowControl/>
              <w:wordWrap w:val="0"/>
              <w:jc w:val="center"/>
              <w:rPr>
                <w:rFonts w:hint="eastAsia" w:ascii="仿宋" w:hAnsi="仿宋" w:eastAsia="仿宋" w:cs="仿宋"/>
                <w:color w:val="auto"/>
                <w:szCs w:val="24"/>
                <w:highlight w:val="none"/>
              </w:rPr>
            </w:pPr>
          </w:p>
        </w:tc>
        <w:tc>
          <w:tcPr>
            <w:tcW w:w="1572" w:type="dxa"/>
            <w:gridSpan w:val="2"/>
            <w:vMerge w:val="continue"/>
            <w:noWrap w:val="0"/>
            <w:tcMar>
              <w:left w:w="57" w:type="dxa"/>
              <w:right w:w="57" w:type="dxa"/>
            </w:tcMar>
            <w:vAlign w:val="center"/>
          </w:tcPr>
          <w:p w14:paraId="3FFF4AB0">
            <w:pPr>
              <w:pStyle w:val="23"/>
              <w:widowControl/>
              <w:wordWrap w:val="0"/>
              <w:jc w:val="center"/>
              <w:rPr>
                <w:rFonts w:hint="eastAsia" w:ascii="仿宋" w:hAnsi="仿宋" w:eastAsia="仿宋" w:cs="仿宋"/>
                <w:color w:val="auto"/>
                <w:szCs w:val="24"/>
                <w:highlight w:val="none"/>
              </w:rPr>
            </w:pPr>
          </w:p>
        </w:tc>
        <w:tc>
          <w:tcPr>
            <w:tcW w:w="1816" w:type="dxa"/>
            <w:gridSpan w:val="2"/>
            <w:vMerge w:val="continue"/>
            <w:noWrap w:val="0"/>
            <w:tcMar>
              <w:left w:w="57" w:type="dxa"/>
              <w:right w:w="57" w:type="dxa"/>
            </w:tcMar>
            <w:vAlign w:val="center"/>
          </w:tcPr>
          <w:p w14:paraId="4C393C66">
            <w:pPr>
              <w:wordWrap w:val="0"/>
              <w:jc w:val="center"/>
              <w:rPr>
                <w:rFonts w:hint="eastAsia" w:ascii="仿宋" w:hAnsi="仿宋" w:eastAsia="仿宋" w:cs="仿宋"/>
                <w:color w:val="auto"/>
                <w:sz w:val="24"/>
                <w:highlight w:val="none"/>
              </w:rPr>
            </w:pPr>
          </w:p>
        </w:tc>
        <w:tc>
          <w:tcPr>
            <w:tcW w:w="1816" w:type="dxa"/>
            <w:noWrap w:val="0"/>
            <w:tcMar>
              <w:left w:w="57" w:type="dxa"/>
              <w:right w:w="57" w:type="dxa"/>
            </w:tcMar>
            <w:vAlign w:val="center"/>
          </w:tcPr>
          <w:p w14:paraId="4D91A94A">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平均考勤率＜30%</w:t>
            </w:r>
          </w:p>
        </w:tc>
        <w:tc>
          <w:tcPr>
            <w:tcW w:w="1685" w:type="dxa"/>
            <w:noWrap w:val="0"/>
            <w:tcMar>
              <w:left w:w="57" w:type="dxa"/>
              <w:right w:w="57" w:type="dxa"/>
            </w:tcMar>
            <w:vAlign w:val="center"/>
          </w:tcPr>
          <w:p w14:paraId="2EB72E6B">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0分</w:t>
            </w:r>
          </w:p>
        </w:tc>
      </w:tr>
      <w:tr w14:paraId="7F165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60C67F0A">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0F35A2F2">
            <w:pPr>
              <w:pStyle w:val="23"/>
              <w:widowControl/>
              <w:wordWrap w:val="0"/>
              <w:jc w:val="center"/>
              <w:rPr>
                <w:rFonts w:hint="eastAsia" w:ascii="仿宋" w:hAnsi="仿宋" w:eastAsia="仿宋" w:cs="仿宋"/>
                <w:color w:val="auto"/>
                <w:szCs w:val="24"/>
                <w:highlight w:val="none"/>
              </w:rPr>
            </w:pPr>
          </w:p>
        </w:tc>
        <w:tc>
          <w:tcPr>
            <w:tcW w:w="1572" w:type="dxa"/>
            <w:gridSpan w:val="2"/>
            <w:vMerge w:val="continue"/>
            <w:noWrap w:val="0"/>
            <w:tcMar>
              <w:left w:w="57" w:type="dxa"/>
              <w:right w:w="57" w:type="dxa"/>
            </w:tcMar>
            <w:vAlign w:val="center"/>
          </w:tcPr>
          <w:p w14:paraId="19DD972B">
            <w:pPr>
              <w:pStyle w:val="23"/>
              <w:widowControl/>
              <w:wordWrap w:val="0"/>
              <w:jc w:val="center"/>
              <w:rPr>
                <w:rFonts w:hint="eastAsia" w:ascii="仿宋" w:hAnsi="仿宋" w:eastAsia="仿宋" w:cs="仿宋"/>
                <w:color w:val="auto"/>
                <w:szCs w:val="24"/>
                <w:highlight w:val="none"/>
              </w:rPr>
            </w:pPr>
          </w:p>
        </w:tc>
        <w:tc>
          <w:tcPr>
            <w:tcW w:w="1816" w:type="dxa"/>
            <w:gridSpan w:val="2"/>
            <w:vMerge w:val="restart"/>
            <w:noWrap w:val="0"/>
            <w:tcMar>
              <w:left w:w="57" w:type="dxa"/>
              <w:right w:w="57" w:type="dxa"/>
            </w:tcMar>
            <w:vAlign w:val="center"/>
          </w:tcPr>
          <w:p w14:paraId="12A74DC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企业项目建筑工人实名制平均考勤率</w:t>
            </w:r>
          </w:p>
        </w:tc>
        <w:tc>
          <w:tcPr>
            <w:tcW w:w="1816" w:type="dxa"/>
            <w:noWrap w:val="0"/>
            <w:tcMar>
              <w:left w:w="57" w:type="dxa"/>
              <w:right w:w="57" w:type="dxa"/>
            </w:tcMar>
            <w:vAlign w:val="center"/>
          </w:tcPr>
          <w:p w14:paraId="00F99D0E">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平均考勤率≥80%</w:t>
            </w:r>
          </w:p>
        </w:tc>
        <w:tc>
          <w:tcPr>
            <w:tcW w:w="1685" w:type="dxa"/>
            <w:noWrap w:val="0"/>
            <w:tcMar>
              <w:left w:w="57" w:type="dxa"/>
              <w:right w:w="57" w:type="dxa"/>
            </w:tcMar>
            <w:vAlign w:val="center"/>
          </w:tcPr>
          <w:p w14:paraId="7DA422A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14:paraId="3574C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7FE4D2BA">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4AA3C9C9">
            <w:pPr>
              <w:pStyle w:val="23"/>
              <w:widowControl/>
              <w:wordWrap w:val="0"/>
              <w:jc w:val="center"/>
              <w:rPr>
                <w:rFonts w:hint="eastAsia" w:ascii="仿宋" w:hAnsi="仿宋" w:eastAsia="仿宋" w:cs="仿宋"/>
                <w:color w:val="auto"/>
                <w:szCs w:val="24"/>
                <w:highlight w:val="none"/>
              </w:rPr>
            </w:pPr>
          </w:p>
        </w:tc>
        <w:tc>
          <w:tcPr>
            <w:tcW w:w="1572" w:type="dxa"/>
            <w:gridSpan w:val="2"/>
            <w:vMerge w:val="continue"/>
            <w:noWrap w:val="0"/>
            <w:tcMar>
              <w:left w:w="57" w:type="dxa"/>
              <w:right w:w="57" w:type="dxa"/>
            </w:tcMar>
            <w:vAlign w:val="center"/>
          </w:tcPr>
          <w:p w14:paraId="1C7A805A">
            <w:pPr>
              <w:pStyle w:val="23"/>
              <w:widowControl/>
              <w:wordWrap w:val="0"/>
              <w:jc w:val="center"/>
              <w:rPr>
                <w:rFonts w:hint="eastAsia" w:ascii="仿宋" w:hAnsi="仿宋" w:eastAsia="仿宋" w:cs="仿宋"/>
                <w:color w:val="auto"/>
                <w:szCs w:val="24"/>
                <w:highlight w:val="none"/>
              </w:rPr>
            </w:pPr>
          </w:p>
        </w:tc>
        <w:tc>
          <w:tcPr>
            <w:tcW w:w="1816" w:type="dxa"/>
            <w:gridSpan w:val="2"/>
            <w:vMerge w:val="continue"/>
            <w:noWrap w:val="0"/>
            <w:tcMar>
              <w:left w:w="57" w:type="dxa"/>
              <w:right w:w="57" w:type="dxa"/>
            </w:tcMar>
            <w:vAlign w:val="center"/>
          </w:tcPr>
          <w:p w14:paraId="3EF26F0E">
            <w:pPr>
              <w:wordWrap w:val="0"/>
              <w:rPr>
                <w:rFonts w:hint="eastAsia" w:ascii="仿宋" w:hAnsi="仿宋" w:eastAsia="仿宋" w:cs="仿宋"/>
                <w:color w:val="auto"/>
                <w:sz w:val="24"/>
                <w:highlight w:val="none"/>
              </w:rPr>
            </w:pPr>
          </w:p>
        </w:tc>
        <w:tc>
          <w:tcPr>
            <w:tcW w:w="1816" w:type="dxa"/>
            <w:noWrap w:val="0"/>
            <w:tcMar>
              <w:left w:w="57" w:type="dxa"/>
              <w:right w:w="57" w:type="dxa"/>
            </w:tcMar>
            <w:vAlign w:val="center"/>
          </w:tcPr>
          <w:p w14:paraId="0BA169E7">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80%＞平均考勤率≥30%</w:t>
            </w:r>
          </w:p>
        </w:tc>
        <w:tc>
          <w:tcPr>
            <w:tcW w:w="1685" w:type="dxa"/>
            <w:noWrap w:val="0"/>
            <w:tcMar>
              <w:left w:w="57" w:type="dxa"/>
              <w:right w:w="57" w:type="dxa"/>
            </w:tcMar>
            <w:vAlign w:val="center"/>
          </w:tcPr>
          <w:p w14:paraId="337E6A6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8分×（平均考勤率-30%）</w:t>
            </w:r>
          </w:p>
        </w:tc>
      </w:tr>
      <w:tr w14:paraId="79D8E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36F2DB18">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298CE6A5">
            <w:pPr>
              <w:pStyle w:val="23"/>
              <w:widowControl/>
              <w:wordWrap w:val="0"/>
              <w:jc w:val="center"/>
              <w:rPr>
                <w:rFonts w:hint="eastAsia" w:ascii="仿宋" w:hAnsi="仿宋" w:eastAsia="仿宋" w:cs="仿宋"/>
                <w:color w:val="auto"/>
                <w:szCs w:val="24"/>
                <w:highlight w:val="none"/>
              </w:rPr>
            </w:pPr>
          </w:p>
        </w:tc>
        <w:tc>
          <w:tcPr>
            <w:tcW w:w="1572" w:type="dxa"/>
            <w:gridSpan w:val="2"/>
            <w:vMerge w:val="continue"/>
            <w:noWrap w:val="0"/>
            <w:tcMar>
              <w:left w:w="57" w:type="dxa"/>
              <w:right w:w="57" w:type="dxa"/>
            </w:tcMar>
            <w:vAlign w:val="center"/>
          </w:tcPr>
          <w:p w14:paraId="1075E114">
            <w:pPr>
              <w:pStyle w:val="23"/>
              <w:widowControl/>
              <w:wordWrap w:val="0"/>
              <w:jc w:val="center"/>
              <w:rPr>
                <w:rFonts w:hint="eastAsia" w:ascii="仿宋" w:hAnsi="仿宋" w:eastAsia="仿宋" w:cs="仿宋"/>
                <w:color w:val="auto"/>
                <w:szCs w:val="24"/>
                <w:highlight w:val="none"/>
              </w:rPr>
            </w:pPr>
          </w:p>
        </w:tc>
        <w:tc>
          <w:tcPr>
            <w:tcW w:w="1816" w:type="dxa"/>
            <w:gridSpan w:val="2"/>
            <w:vMerge w:val="continue"/>
            <w:noWrap w:val="0"/>
            <w:tcMar>
              <w:left w:w="57" w:type="dxa"/>
              <w:right w:w="57" w:type="dxa"/>
            </w:tcMar>
            <w:vAlign w:val="center"/>
          </w:tcPr>
          <w:p w14:paraId="3396CB15">
            <w:pPr>
              <w:wordWrap w:val="0"/>
              <w:rPr>
                <w:rFonts w:hint="eastAsia" w:ascii="仿宋" w:hAnsi="仿宋" w:eastAsia="仿宋" w:cs="仿宋"/>
                <w:color w:val="auto"/>
                <w:sz w:val="24"/>
                <w:highlight w:val="none"/>
              </w:rPr>
            </w:pPr>
          </w:p>
        </w:tc>
        <w:tc>
          <w:tcPr>
            <w:tcW w:w="1816" w:type="dxa"/>
            <w:noWrap w:val="0"/>
            <w:tcMar>
              <w:left w:w="57" w:type="dxa"/>
              <w:right w:w="57" w:type="dxa"/>
            </w:tcMar>
            <w:vAlign w:val="center"/>
          </w:tcPr>
          <w:p w14:paraId="2B1DB46B">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平均考勤率＜30%</w:t>
            </w:r>
          </w:p>
        </w:tc>
        <w:tc>
          <w:tcPr>
            <w:tcW w:w="1685" w:type="dxa"/>
            <w:noWrap w:val="0"/>
            <w:tcMar>
              <w:left w:w="57" w:type="dxa"/>
              <w:right w:w="57" w:type="dxa"/>
            </w:tcMar>
            <w:vAlign w:val="center"/>
          </w:tcPr>
          <w:p w14:paraId="2E65531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0分</w:t>
            </w:r>
          </w:p>
        </w:tc>
      </w:tr>
      <w:tr w14:paraId="2312C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1AB50268">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7BB7F70E">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01057660">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企业信用</w:t>
            </w:r>
          </w:p>
          <w:p w14:paraId="16CF27E4">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15分</w:t>
            </w:r>
          </w:p>
        </w:tc>
        <w:tc>
          <w:tcPr>
            <w:tcW w:w="3632" w:type="dxa"/>
            <w:gridSpan w:val="3"/>
            <w:noWrap w:val="0"/>
            <w:tcMar>
              <w:left w:w="57" w:type="dxa"/>
              <w:right w:w="57" w:type="dxa"/>
            </w:tcMar>
            <w:vAlign w:val="center"/>
          </w:tcPr>
          <w:p w14:paraId="5E74EA51">
            <w:pP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所有有效投标人的“企业信用”得分均为15分。</w:t>
            </w:r>
          </w:p>
        </w:tc>
        <w:tc>
          <w:tcPr>
            <w:tcW w:w="1685" w:type="dxa"/>
            <w:noWrap w:val="0"/>
            <w:tcMar>
              <w:left w:w="57" w:type="dxa"/>
              <w:right w:w="57" w:type="dxa"/>
            </w:tcMar>
            <w:vAlign w:val="center"/>
          </w:tcPr>
          <w:p w14:paraId="66B1A302">
            <w:pPr>
              <w:wordWrap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15分</w:t>
            </w:r>
          </w:p>
        </w:tc>
      </w:tr>
      <w:tr w14:paraId="5DE9B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908" w:type="dxa"/>
            <w:vMerge w:val="continue"/>
            <w:noWrap w:val="0"/>
            <w:tcMar>
              <w:left w:w="57" w:type="dxa"/>
              <w:right w:w="57" w:type="dxa"/>
            </w:tcMar>
            <w:vAlign w:val="center"/>
          </w:tcPr>
          <w:p w14:paraId="337AA495">
            <w:pPr>
              <w:pStyle w:val="23"/>
              <w:widowControl/>
              <w:wordWrap w:val="0"/>
              <w:jc w:val="center"/>
              <w:rPr>
                <w:rFonts w:ascii="Times New Roman" w:hAnsi="Times New Roman" w:cs="Times New Roman"/>
                <w:color w:val="auto"/>
                <w:sz w:val="21"/>
                <w:szCs w:val="21"/>
                <w:highlight w:val="none"/>
                <w:lang w:val="en-US"/>
              </w:rPr>
            </w:pPr>
          </w:p>
        </w:tc>
        <w:tc>
          <w:tcPr>
            <w:tcW w:w="1389" w:type="dxa"/>
            <w:gridSpan w:val="2"/>
            <w:vMerge w:val="continue"/>
            <w:noWrap w:val="0"/>
            <w:tcMar>
              <w:left w:w="57" w:type="dxa"/>
              <w:right w:w="57" w:type="dxa"/>
            </w:tcMar>
            <w:vAlign w:val="center"/>
          </w:tcPr>
          <w:p w14:paraId="0B2D6ED1">
            <w:pPr>
              <w:pStyle w:val="23"/>
              <w:widowControl/>
              <w:wordWrap w:val="0"/>
              <w:jc w:val="center"/>
              <w:rPr>
                <w:rFonts w:hint="eastAsia" w:ascii="仿宋" w:hAnsi="仿宋" w:eastAsia="仿宋" w:cs="仿宋"/>
                <w:color w:val="auto"/>
                <w:szCs w:val="24"/>
                <w:highlight w:val="none"/>
                <w:lang w:val="en-US"/>
              </w:rPr>
            </w:pPr>
          </w:p>
        </w:tc>
        <w:tc>
          <w:tcPr>
            <w:tcW w:w="1572" w:type="dxa"/>
            <w:gridSpan w:val="2"/>
            <w:noWrap w:val="0"/>
            <w:tcMar>
              <w:left w:w="57" w:type="dxa"/>
              <w:right w:w="57" w:type="dxa"/>
            </w:tcMar>
            <w:vAlign w:val="center"/>
          </w:tcPr>
          <w:p w14:paraId="23E3567B">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拟派项目经理</w:t>
            </w:r>
          </w:p>
          <w:p w14:paraId="7EEB8B26">
            <w:pPr>
              <w:wordWrap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信用5分</w:t>
            </w:r>
          </w:p>
        </w:tc>
        <w:tc>
          <w:tcPr>
            <w:tcW w:w="3632" w:type="dxa"/>
            <w:gridSpan w:val="3"/>
            <w:noWrap w:val="0"/>
            <w:tcMar>
              <w:left w:w="57" w:type="dxa"/>
              <w:right w:w="57" w:type="dxa"/>
            </w:tcMar>
            <w:vAlign w:val="center"/>
          </w:tcPr>
          <w:p w14:paraId="0776821B">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所有有效投标人的“拟派项目经理信用”得分均为5分。</w:t>
            </w:r>
          </w:p>
        </w:tc>
        <w:tc>
          <w:tcPr>
            <w:tcW w:w="1685" w:type="dxa"/>
            <w:noWrap w:val="0"/>
            <w:tcMar>
              <w:left w:w="57" w:type="dxa"/>
              <w:right w:w="57" w:type="dxa"/>
            </w:tcMar>
            <w:vAlign w:val="center"/>
          </w:tcPr>
          <w:p w14:paraId="667C23E0">
            <w:pPr>
              <w:wordWrap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5分</w:t>
            </w:r>
          </w:p>
        </w:tc>
      </w:tr>
    </w:tbl>
    <w:p w14:paraId="1FDC625A">
      <w:pPr>
        <w:spacing w:line="44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hint="eastAsia" w:ascii="仿宋" w:hAnsi="仿宋" w:eastAsia="仿宋" w:cs="仿宋"/>
          <w:b/>
          <w:bCs/>
          <w:color w:val="auto"/>
          <w:sz w:val="24"/>
          <w:highlight w:val="none"/>
        </w:rPr>
        <w:br w:type="textWrapping"/>
      </w:r>
      <w:r>
        <w:rPr>
          <w:rFonts w:hint="eastAsia" w:ascii="仿宋" w:hAnsi="仿宋" w:eastAsia="仿宋" w:cs="仿宋"/>
          <w:b/>
          <w:bCs/>
          <w:color w:val="auto"/>
          <w:sz w:val="24"/>
          <w:highlight w:val="none"/>
        </w:rPr>
        <w:t>1.上表中“企业既往项目人员在岗情况”涉及的“平均考勤率”,在开标现场从河南省建筑市场监管公共服务平台(以下简称：平台)上提取。</w:t>
      </w:r>
    </w:p>
    <w:p w14:paraId="51DC6E31">
      <w:pPr>
        <w:pStyle w:val="23"/>
        <w:widowControl/>
        <w:spacing w:line="440" w:lineRule="exact"/>
        <w:jc w:val="both"/>
        <w:textAlignment w:val="top"/>
        <w:rPr>
          <w:rFonts w:hint="eastAsia" w:ascii="仿宋" w:hAnsi="仿宋" w:eastAsia="仿宋" w:cs="仿宋"/>
          <w:b/>
          <w:bCs/>
          <w:color w:val="auto"/>
          <w:kern w:val="2"/>
          <w:sz w:val="28"/>
          <w:szCs w:val="28"/>
          <w:highlight w:val="none"/>
          <w:lang w:val="en-US" w:bidi="ar-SA"/>
        </w:rPr>
      </w:pPr>
      <w:r>
        <w:rPr>
          <w:rFonts w:hint="eastAsia" w:ascii="仿宋" w:hAnsi="仿宋" w:eastAsia="仿宋" w:cs="仿宋"/>
          <w:b/>
          <w:bCs/>
          <w:color w:val="auto"/>
          <w:kern w:val="2"/>
          <w:szCs w:val="24"/>
          <w:highlight w:val="none"/>
          <w:lang w:val="en-US" w:bidi="ar-SA"/>
        </w:rPr>
        <w:t>2.</w:t>
      </w:r>
      <w:r>
        <w:rPr>
          <w:rFonts w:hint="eastAsia" w:ascii="仿宋" w:hAnsi="仿宋" w:eastAsia="仿宋" w:cs="仿宋"/>
          <w:b/>
          <w:bCs/>
          <w:color w:val="auto"/>
          <w:szCs w:val="24"/>
          <w:highlight w:val="none"/>
        </w:rPr>
        <w:t>根据河南省住房和城乡建设厅关于废止《河南省建筑市场信用管理实施办法（暂行）》《河南省建筑市场主体信用评价办法（暂行）》的通知及公告，企业信用、拟派项目经理信用分值暂按满分计算。</w:t>
      </w:r>
      <w:r>
        <w:rPr>
          <w:rFonts w:hint="eastAsia" w:ascii="仿宋" w:hAnsi="仿宋" w:eastAsia="仿宋" w:cs="仿宋"/>
          <w:b/>
          <w:bCs/>
          <w:color w:val="auto"/>
          <w:szCs w:val="24"/>
          <w:highlight w:val="none"/>
        </w:rPr>
        <w:br w:type="textWrapping"/>
      </w:r>
    </w:p>
    <w:p w14:paraId="72E89872">
      <w:pPr>
        <w:spacing w:line="520" w:lineRule="exact"/>
        <w:ind w:firstLine="480" w:firstLineChars="200"/>
        <w:outlineLvl w:val="1"/>
        <w:rPr>
          <w:rFonts w:hint="eastAsia" w:ascii="仿宋" w:hAnsi="仿宋" w:eastAsia="仿宋" w:cs="仿宋"/>
          <w:b/>
          <w:bCs/>
          <w:color w:val="auto"/>
          <w:kern w:val="0"/>
          <w:sz w:val="24"/>
          <w:highlight w:val="none"/>
        </w:rPr>
      </w:pPr>
      <w:r>
        <w:rPr>
          <w:color w:val="auto"/>
          <w:sz w:val="24"/>
          <w:highlight w:val="none"/>
          <w:shd w:val="clear" w:color="auto" w:fill="FFFFFF"/>
        </w:rPr>
        <w:br w:type="page"/>
      </w:r>
      <w:bookmarkStart w:id="1327" w:name="_Toc12890"/>
      <w:bookmarkStart w:id="1328" w:name="_Toc8204"/>
      <w:bookmarkStart w:id="1329" w:name="_Toc24392"/>
      <w:bookmarkStart w:id="1330" w:name="_Toc28719"/>
      <w:bookmarkStart w:id="1331" w:name="_Toc5431"/>
      <w:bookmarkStart w:id="1332" w:name="_Toc30325"/>
      <w:bookmarkStart w:id="1333" w:name="_Toc4283"/>
      <w:bookmarkStart w:id="1334" w:name="_Toc25817"/>
      <w:bookmarkStart w:id="1335" w:name="_Toc24664"/>
      <w:bookmarkStart w:id="1336" w:name="_Toc9265"/>
      <w:bookmarkStart w:id="1337" w:name="_Toc7990"/>
      <w:bookmarkStart w:id="1338" w:name="_Toc11118"/>
      <w:bookmarkStart w:id="1339" w:name="_Toc17578"/>
      <w:bookmarkStart w:id="1340" w:name="_Toc1446"/>
      <w:r>
        <w:rPr>
          <w:rFonts w:hint="eastAsia" w:ascii="仿宋" w:hAnsi="仿宋" w:eastAsia="仿宋" w:cs="仿宋"/>
          <w:b/>
          <w:bCs/>
          <w:color w:val="auto"/>
          <w:kern w:val="0"/>
          <w:sz w:val="24"/>
          <w:highlight w:val="none"/>
        </w:rPr>
        <w:t>1.评标方法</w:t>
      </w:r>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p>
    <w:p w14:paraId="1A00F401">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外。综合评分相等时，以投标报价低的优先；投标报价也相等的，由招标人自行确定。</w:t>
      </w:r>
    </w:p>
    <w:p w14:paraId="0F4BDEA7">
      <w:pPr>
        <w:spacing w:line="520" w:lineRule="exact"/>
        <w:ind w:firstLine="482" w:firstLineChars="200"/>
        <w:outlineLvl w:val="1"/>
        <w:rPr>
          <w:rFonts w:hint="eastAsia" w:ascii="仿宋" w:hAnsi="仿宋" w:eastAsia="仿宋" w:cs="仿宋"/>
          <w:b/>
          <w:bCs/>
          <w:color w:val="auto"/>
          <w:kern w:val="0"/>
          <w:sz w:val="24"/>
          <w:highlight w:val="none"/>
        </w:rPr>
      </w:pPr>
      <w:bookmarkStart w:id="1341" w:name="_Toc30704"/>
      <w:bookmarkStart w:id="1342" w:name="_Toc152042378"/>
      <w:bookmarkStart w:id="1343" w:name="_Toc28814"/>
      <w:bookmarkStart w:id="1344" w:name="_Toc8713"/>
      <w:bookmarkStart w:id="1345" w:name="_Toc6860"/>
      <w:bookmarkStart w:id="1346" w:name="_Toc22330"/>
      <w:bookmarkStart w:id="1347" w:name="_Toc31118"/>
      <w:bookmarkStart w:id="1348" w:name="_Toc11738"/>
      <w:bookmarkStart w:id="1349" w:name="_Toc144974568"/>
      <w:bookmarkStart w:id="1350" w:name="_Toc152045601"/>
      <w:bookmarkStart w:id="1351" w:name="_Toc8883"/>
      <w:bookmarkStart w:id="1352" w:name="_Toc25818"/>
      <w:bookmarkStart w:id="1353" w:name="_Toc25039"/>
      <w:bookmarkStart w:id="1354" w:name="_Toc16938"/>
      <w:bookmarkStart w:id="1355" w:name="_Toc7697"/>
      <w:bookmarkStart w:id="1356" w:name="_Toc3755"/>
      <w:bookmarkStart w:id="1357" w:name="_Toc3488"/>
      <w:bookmarkStart w:id="1358" w:name="_Toc179632619"/>
      <w:bookmarkStart w:id="1359" w:name="_Toc458759013"/>
      <w:bookmarkStart w:id="1360" w:name="_Toc30444"/>
      <w:bookmarkStart w:id="1361" w:name="_Toc8285"/>
      <w:bookmarkStart w:id="1362" w:name="_Toc27752"/>
      <w:bookmarkStart w:id="1363" w:name="_Toc10417"/>
      <w:bookmarkStart w:id="1364" w:name="_Toc8536"/>
      <w:r>
        <w:rPr>
          <w:rFonts w:hint="eastAsia" w:ascii="仿宋" w:hAnsi="仿宋" w:eastAsia="仿宋" w:cs="仿宋"/>
          <w:b/>
          <w:bCs/>
          <w:color w:val="auto"/>
          <w:kern w:val="0"/>
          <w:sz w:val="24"/>
          <w:highlight w:val="none"/>
        </w:rPr>
        <w:t>2.评审标准</w:t>
      </w:r>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p>
    <w:p w14:paraId="716A849A">
      <w:pPr>
        <w:spacing w:line="520" w:lineRule="exact"/>
        <w:ind w:firstLine="480" w:firstLineChars="200"/>
        <w:outlineLvl w:val="3"/>
        <w:rPr>
          <w:rFonts w:hint="eastAsia" w:ascii="仿宋" w:hAnsi="仿宋" w:eastAsia="仿宋" w:cs="仿宋"/>
          <w:color w:val="auto"/>
          <w:sz w:val="24"/>
          <w:highlight w:val="none"/>
        </w:rPr>
      </w:pPr>
      <w:bookmarkStart w:id="1365" w:name="_Toc450850891"/>
      <w:bookmarkStart w:id="1366" w:name="_Toc179632620"/>
      <w:bookmarkStart w:id="1367" w:name="_Toc458758944"/>
      <w:bookmarkStart w:id="1368" w:name="_Toc152045602"/>
      <w:bookmarkStart w:id="1369" w:name="_Toc144974569"/>
      <w:bookmarkStart w:id="1370" w:name="_Toc152042379"/>
      <w:bookmarkStart w:id="1371" w:name="_Toc458759014"/>
      <w:r>
        <w:rPr>
          <w:rFonts w:hint="eastAsia" w:ascii="仿宋" w:hAnsi="仿宋" w:eastAsia="仿宋" w:cs="仿宋"/>
          <w:color w:val="auto"/>
          <w:sz w:val="24"/>
          <w:highlight w:val="none"/>
        </w:rPr>
        <w:t>2.1 初步评审标准</w:t>
      </w:r>
      <w:bookmarkEnd w:id="1365"/>
      <w:bookmarkEnd w:id="1366"/>
      <w:bookmarkEnd w:id="1367"/>
      <w:bookmarkEnd w:id="1368"/>
      <w:bookmarkEnd w:id="1369"/>
      <w:bookmarkEnd w:id="1370"/>
      <w:bookmarkEnd w:id="1371"/>
    </w:p>
    <w:p w14:paraId="06FD7CAF">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2.1.1 形式评审标准：见评标办法前附表。</w:t>
      </w:r>
    </w:p>
    <w:p w14:paraId="363475D3">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2.1.2 资格评审标准：见评标办法前附表。</w:t>
      </w:r>
    </w:p>
    <w:p w14:paraId="15B92E01">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2.1.3 响应性评审标准：见评标办法前附表。</w:t>
      </w:r>
    </w:p>
    <w:p w14:paraId="4657DF18">
      <w:pPr>
        <w:spacing w:line="520" w:lineRule="exact"/>
        <w:ind w:firstLine="480" w:firstLineChars="200"/>
        <w:outlineLvl w:val="3"/>
        <w:rPr>
          <w:rFonts w:hint="eastAsia" w:ascii="仿宋" w:hAnsi="仿宋" w:eastAsia="仿宋" w:cs="仿宋"/>
          <w:color w:val="auto"/>
          <w:sz w:val="24"/>
          <w:highlight w:val="none"/>
        </w:rPr>
      </w:pPr>
      <w:bookmarkStart w:id="1372" w:name="_Toc458759015"/>
      <w:bookmarkStart w:id="1373" w:name="_Toc179632621"/>
      <w:bookmarkStart w:id="1374" w:name="_Toc458758945"/>
      <w:bookmarkStart w:id="1375" w:name="_Toc144974570"/>
      <w:bookmarkStart w:id="1376" w:name="_Toc152042380"/>
      <w:bookmarkStart w:id="1377" w:name="_Toc450850892"/>
      <w:bookmarkStart w:id="1378" w:name="_Toc152045603"/>
      <w:r>
        <w:rPr>
          <w:rFonts w:hint="eastAsia" w:ascii="仿宋" w:hAnsi="仿宋" w:eastAsia="仿宋" w:cs="仿宋"/>
          <w:color w:val="auto"/>
          <w:sz w:val="24"/>
          <w:highlight w:val="none"/>
        </w:rPr>
        <w:t>2.2 分值构成与评分标准</w:t>
      </w:r>
      <w:bookmarkEnd w:id="1372"/>
      <w:bookmarkEnd w:id="1373"/>
      <w:bookmarkEnd w:id="1374"/>
      <w:bookmarkEnd w:id="1375"/>
      <w:bookmarkEnd w:id="1376"/>
      <w:bookmarkEnd w:id="1377"/>
      <w:bookmarkEnd w:id="1378"/>
    </w:p>
    <w:p w14:paraId="7E10A06D">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2.2.1 分值构成</w:t>
      </w:r>
    </w:p>
    <w:p w14:paraId="17DD3549">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（1）技术标：见评标办法前附表</w:t>
      </w:r>
    </w:p>
    <w:p w14:paraId="53E86B8B">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（2）商务标：见评标办法前附表</w:t>
      </w:r>
    </w:p>
    <w:p w14:paraId="2DF9E281">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（3）综合标：见评标办法前附表</w:t>
      </w:r>
    </w:p>
    <w:p w14:paraId="2090ED93">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 xml:space="preserve"> 评分标准</w:t>
      </w:r>
    </w:p>
    <w:p w14:paraId="269B4A81">
      <w:pPr>
        <w:snapToGrid w:val="0"/>
        <w:spacing w:line="520" w:lineRule="exact"/>
        <w:ind w:firstLine="480" w:firstLineChars="200"/>
        <w:rPr>
          <w:rFonts w:hint="eastAsia" w:ascii="仿宋" w:hAnsi="仿宋" w:eastAsia="仿宋" w:cs="仿宋"/>
          <w:color w:val="auto"/>
          <w:sz w:val="24"/>
          <w:highlight w:val="none"/>
        </w:rPr>
      </w:pPr>
      <w:bookmarkStart w:id="1379" w:name="_Toc29942"/>
      <w:bookmarkStart w:id="1380" w:name="_Toc152045604"/>
      <w:bookmarkStart w:id="1381" w:name="_Toc144974571"/>
      <w:bookmarkStart w:id="1382" w:name="_Toc152042381"/>
      <w:bookmarkStart w:id="1383" w:name="_Toc12254"/>
      <w:bookmarkStart w:id="1384" w:name="_Toc15804"/>
      <w:bookmarkStart w:id="1385" w:name="_Toc15419"/>
      <w:bookmarkStart w:id="1386" w:name="_Toc9178"/>
      <w:bookmarkStart w:id="1387" w:name="_Toc179632622"/>
      <w:bookmarkStart w:id="1388" w:name="_Toc458759016"/>
      <w:bookmarkStart w:id="1389" w:name="_Toc10598"/>
      <w:r>
        <w:rPr>
          <w:rFonts w:hint="eastAsia" w:ascii="仿宋" w:hAnsi="仿宋" w:eastAsia="仿宋" w:cs="仿宋"/>
          <w:color w:val="auto"/>
          <w:sz w:val="24"/>
          <w:highlight w:val="none"/>
        </w:rPr>
        <w:t>（1）技术标：见评标办法前附表</w:t>
      </w:r>
    </w:p>
    <w:p w14:paraId="4E21B1F3">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（2）商务标：见评标办法前附表</w:t>
      </w:r>
    </w:p>
    <w:p w14:paraId="728D4833">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（3）综合标：见评标办法前附表</w:t>
      </w:r>
    </w:p>
    <w:p w14:paraId="0E998687">
      <w:pPr>
        <w:spacing w:line="520" w:lineRule="exact"/>
        <w:ind w:firstLine="482" w:firstLineChars="200"/>
        <w:outlineLvl w:val="1"/>
        <w:rPr>
          <w:rFonts w:hint="eastAsia" w:ascii="仿宋" w:hAnsi="仿宋" w:eastAsia="仿宋" w:cs="仿宋"/>
          <w:b/>
          <w:bCs/>
          <w:color w:val="auto"/>
          <w:kern w:val="0"/>
          <w:sz w:val="24"/>
          <w:highlight w:val="none"/>
        </w:rPr>
      </w:pPr>
      <w:bookmarkStart w:id="1390" w:name="_Toc28433"/>
      <w:bookmarkStart w:id="1391" w:name="_Toc7936"/>
      <w:bookmarkStart w:id="1392" w:name="_Toc10627"/>
      <w:bookmarkStart w:id="1393" w:name="_Toc23573"/>
      <w:bookmarkStart w:id="1394" w:name="_Toc29618"/>
      <w:bookmarkStart w:id="1395" w:name="_Toc7970"/>
      <w:bookmarkStart w:id="1396" w:name="_Toc18133"/>
      <w:bookmarkStart w:id="1397" w:name="_Toc16453"/>
      <w:bookmarkStart w:id="1398" w:name="_Toc8651"/>
      <w:bookmarkStart w:id="1399" w:name="_Toc3672"/>
      <w:bookmarkStart w:id="1400" w:name="_Toc25973"/>
      <w:bookmarkStart w:id="1401" w:name="_Toc22286"/>
      <w:bookmarkStart w:id="1402" w:name="_Toc28847"/>
      <w:r>
        <w:rPr>
          <w:rFonts w:hint="eastAsia" w:ascii="仿宋" w:hAnsi="仿宋" w:eastAsia="仿宋" w:cs="仿宋"/>
          <w:b/>
          <w:bCs/>
          <w:color w:val="auto"/>
          <w:kern w:val="0"/>
          <w:sz w:val="24"/>
          <w:highlight w:val="none"/>
        </w:rPr>
        <w:t>3.评标程序</w:t>
      </w:r>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p>
    <w:p w14:paraId="7ABF2F6D">
      <w:pPr>
        <w:spacing w:line="520" w:lineRule="exact"/>
        <w:ind w:firstLine="480" w:firstLineChars="200"/>
        <w:outlineLvl w:val="3"/>
        <w:rPr>
          <w:rFonts w:hint="eastAsia" w:ascii="仿宋" w:hAnsi="仿宋" w:eastAsia="仿宋" w:cs="仿宋"/>
          <w:bCs/>
          <w:color w:val="auto"/>
          <w:sz w:val="24"/>
          <w:highlight w:val="none"/>
        </w:rPr>
      </w:pPr>
      <w:bookmarkStart w:id="1403" w:name="_Toc152045605"/>
      <w:bookmarkStart w:id="1404" w:name="_Toc458758947"/>
      <w:bookmarkStart w:id="1405" w:name="_Toc152042382"/>
      <w:bookmarkStart w:id="1406" w:name="_Toc179632623"/>
      <w:bookmarkStart w:id="1407" w:name="_Toc450850894"/>
      <w:bookmarkStart w:id="1408" w:name="_Toc144974572"/>
      <w:bookmarkStart w:id="1409" w:name="_Toc458759017"/>
      <w:r>
        <w:rPr>
          <w:rFonts w:hint="eastAsia" w:ascii="仿宋" w:hAnsi="仿宋" w:eastAsia="仿宋" w:cs="仿宋"/>
          <w:color w:val="auto"/>
          <w:sz w:val="24"/>
          <w:highlight w:val="none"/>
        </w:rPr>
        <w:t>3.1 初步评审</w:t>
      </w:r>
      <w:bookmarkEnd w:id="1403"/>
      <w:bookmarkEnd w:id="1404"/>
      <w:bookmarkEnd w:id="1405"/>
      <w:bookmarkEnd w:id="1406"/>
      <w:bookmarkEnd w:id="1407"/>
      <w:bookmarkEnd w:id="1408"/>
      <w:bookmarkEnd w:id="1409"/>
    </w:p>
    <w:p w14:paraId="7E14E443">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3.1.1 评标委员会依据本章第2.1款规定的标准对投标文件进行初步评审。有一项不符合评审标准的，作否决投标处理。</w:t>
      </w:r>
    </w:p>
    <w:p w14:paraId="0226EFC2">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3.1.2 投标文件对招标文件的实质性要求和条件作出响应是指投标文件没有出现对招标人不利的工期、投标有效期、质量要求、技术标准和要求、招标范围的偏差。</w:t>
      </w:r>
    </w:p>
    <w:p w14:paraId="1108C819">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3.1.3 投标人有以下情形之一的，其投标作否决投标处理：</w:t>
      </w:r>
    </w:p>
    <w:p w14:paraId="74F0A55F">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（1）第二章“投标人须知”第1.4.3项规定的任何一种情形的；</w:t>
      </w:r>
    </w:p>
    <w:p w14:paraId="572CEFC1">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（2）串通投标或弄虚作假或有其他违法行为的；</w:t>
      </w:r>
    </w:p>
    <w:p w14:paraId="6EC367B4">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（3）不按评标委员会要求澄清、说明或补正的。</w:t>
      </w:r>
    </w:p>
    <w:p w14:paraId="19DED997">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3.1.4 投标报价有算术错误的，评标委员会按以下原则对投标报价进行修正，修正的价格经投标人书面确认后具有约束力。投标人不接受修正价格的，其投标作否决投标处理。</w:t>
      </w:r>
    </w:p>
    <w:p w14:paraId="2C9A07B4">
      <w:pPr>
        <w:snapToGrid w:val="0"/>
        <w:spacing w:line="520" w:lineRule="exact"/>
        <w:ind w:firstLine="480" w:firstLineChars="200"/>
        <w:rPr>
          <w:rFonts w:hint="eastAsia" w:ascii="仿宋" w:hAnsi="仿宋" w:eastAsia="仿宋" w:cs="仿宋"/>
          <w:color w:val="auto"/>
          <w:sz w:val="24"/>
          <w:highlight w:val="none"/>
        </w:rPr>
      </w:pPr>
      <w:bookmarkStart w:id="1410" w:name="_Toc152042383"/>
      <w:r>
        <w:rPr>
          <w:rFonts w:hint="eastAsia" w:ascii="仿宋" w:hAnsi="仿宋" w:eastAsia="仿宋" w:cs="仿宋"/>
          <w:color w:val="auto"/>
          <w:sz w:val="24"/>
          <w:highlight w:val="none"/>
        </w:rPr>
        <w:t>（1）投标文件中的大写金额与小写金额不一致的，以大写金额为准；</w:t>
      </w:r>
      <w:bookmarkEnd w:id="1410"/>
    </w:p>
    <w:p w14:paraId="1FFFCCDF">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（2）总价金额与依据单价计算出的结果不一致的，以单价金额为准修正总价，但单价金额小数点有明显错误的除外。</w:t>
      </w:r>
    </w:p>
    <w:p w14:paraId="6C2FB27D">
      <w:pPr>
        <w:spacing w:line="520" w:lineRule="exact"/>
        <w:ind w:firstLine="480" w:firstLineChars="200"/>
        <w:outlineLvl w:val="3"/>
        <w:rPr>
          <w:rFonts w:hint="eastAsia" w:ascii="仿宋" w:hAnsi="仿宋" w:eastAsia="仿宋" w:cs="仿宋"/>
          <w:color w:val="auto"/>
          <w:sz w:val="24"/>
          <w:highlight w:val="none"/>
        </w:rPr>
      </w:pPr>
      <w:bookmarkStart w:id="1411" w:name="_Toc458758948"/>
      <w:bookmarkStart w:id="1412" w:name="_Toc179632624"/>
      <w:bookmarkStart w:id="1413" w:name="_Toc450850895"/>
      <w:bookmarkStart w:id="1414" w:name="_Toc152042384"/>
      <w:bookmarkStart w:id="1415" w:name="_Toc458759018"/>
      <w:bookmarkStart w:id="1416" w:name="_Toc144974573"/>
      <w:bookmarkStart w:id="1417" w:name="_Toc152045606"/>
      <w:r>
        <w:rPr>
          <w:rFonts w:hint="eastAsia" w:ascii="仿宋" w:hAnsi="仿宋" w:eastAsia="仿宋" w:cs="仿宋"/>
          <w:color w:val="auto"/>
          <w:sz w:val="24"/>
          <w:highlight w:val="none"/>
        </w:rPr>
        <w:t>3.2 详细评审</w:t>
      </w:r>
      <w:bookmarkEnd w:id="1411"/>
      <w:bookmarkEnd w:id="1412"/>
      <w:bookmarkEnd w:id="1413"/>
      <w:bookmarkEnd w:id="1414"/>
      <w:bookmarkEnd w:id="1415"/>
      <w:bookmarkEnd w:id="1416"/>
      <w:bookmarkEnd w:id="1417"/>
    </w:p>
    <w:p w14:paraId="31665876">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3.2.1 评标委员会按本章第2.2 款规定的量化因素和分值进行打分，并计算出综合评估得分。</w:t>
      </w:r>
    </w:p>
    <w:p w14:paraId="0BC7F007">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（1）按本章第2.2.4（1）目规定的评审因素和分值对技术标计算出得分A ；</w:t>
      </w:r>
    </w:p>
    <w:p w14:paraId="14782FA4">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（2）按本章第2.2.4（2）目规定的评审因素和分值对商务标计算出得分B；</w:t>
      </w:r>
    </w:p>
    <w:p w14:paraId="70CFFE00">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（3）按本章第2.2.4（3）目规定的评审因素和分值对综合标计算出得分C；</w:t>
      </w:r>
    </w:p>
    <w:p w14:paraId="1072974B">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3.2.2 评分分值数据保留小数点后三位。相同分值的可逐步向小数点后增加位数至不同为止。</w:t>
      </w:r>
    </w:p>
    <w:p w14:paraId="2A5A33A8">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3.2.3 投标人得分=A+B+C</w:t>
      </w:r>
    </w:p>
    <w:p w14:paraId="58DACE98">
      <w:pPr>
        <w:spacing w:line="520" w:lineRule="exact"/>
        <w:ind w:firstLine="480" w:firstLineChars="200"/>
        <w:outlineLvl w:val="3"/>
        <w:rPr>
          <w:rFonts w:hint="eastAsia" w:ascii="仿宋" w:hAnsi="仿宋" w:eastAsia="仿宋" w:cs="仿宋"/>
          <w:color w:val="auto"/>
          <w:sz w:val="24"/>
          <w:highlight w:val="none"/>
        </w:rPr>
      </w:pPr>
      <w:bookmarkStart w:id="1418" w:name="_Toc144974575"/>
      <w:bookmarkStart w:id="1419" w:name="_Toc458759019"/>
      <w:bookmarkStart w:id="1420" w:name="_Toc152045607"/>
      <w:bookmarkStart w:id="1421" w:name="_Toc152042385"/>
      <w:bookmarkStart w:id="1422" w:name="_Toc458758949"/>
      <w:bookmarkStart w:id="1423" w:name="_Toc450850896"/>
      <w:bookmarkStart w:id="1424" w:name="_Toc179632625"/>
      <w:r>
        <w:rPr>
          <w:rFonts w:hint="eastAsia" w:ascii="仿宋" w:hAnsi="仿宋" w:eastAsia="仿宋" w:cs="仿宋"/>
          <w:color w:val="auto"/>
          <w:sz w:val="24"/>
          <w:highlight w:val="none"/>
        </w:rPr>
        <w:t>3.3 投标文件的澄清</w:t>
      </w:r>
      <w:bookmarkEnd w:id="1418"/>
      <w:r>
        <w:rPr>
          <w:rFonts w:hint="eastAsia" w:ascii="仿宋" w:hAnsi="仿宋" w:eastAsia="仿宋" w:cs="仿宋"/>
          <w:color w:val="auto"/>
          <w:sz w:val="24"/>
          <w:highlight w:val="none"/>
        </w:rPr>
        <w:t>和补正</w:t>
      </w:r>
      <w:bookmarkEnd w:id="1419"/>
      <w:bookmarkEnd w:id="1420"/>
      <w:bookmarkEnd w:id="1421"/>
      <w:bookmarkEnd w:id="1422"/>
      <w:bookmarkEnd w:id="1423"/>
      <w:bookmarkEnd w:id="1424"/>
    </w:p>
    <w:p w14:paraId="637C9D05">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3.3.1 在评标过程中，评标委员会可以书面形式要求投标人对所提交投标文件中不明确的内容进行书面澄清或说明，或者对细微偏差进行补正。在评标结束前，</w:t>
      </w:r>
      <w:bookmarkStart w:id="1425" w:name="OLE_LINK18"/>
      <w:bookmarkStart w:id="1426" w:name="OLE_LINK17"/>
      <w:r>
        <w:rPr>
          <w:rFonts w:hint="eastAsia" w:ascii="仿宋" w:hAnsi="仿宋" w:eastAsia="仿宋" w:cs="仿宋"/>
          <w:color w:val="auto"/>
          <w:sz w:val="24"/>
          <w:highlight w:val="none"/>
        </w:rPr>
        <w:t>投标人未对评委的质疑进行书面澄清或未按要求提供相关证明材料的，评标委员会有权进行相关处理</w:t>
      </w:r>
      <w:bookmarkEnd w:id="1425"/>
      <w:bookmarkEnd w:id="1426"/>
      <w:r>
        <w:rPr>
          <w:rFonts w:hint="eastAsia" w:ascii="仿宋" w:hAnsi="仿宋" w:eastAsia="仿宋" w:cs="仿宋"/>
          <w:color w:val="auto"/>
          <w:sz w:val="24"/>
          <w:highlight w:val="none"/>
        </w:rPr>
        <w:t>。评标委员会不接受投标人主动提出的澄清、说明或补正。</w:t>
      </w:r>
    </w:p>
    <w:p w14:paraId="72B9BCFC">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3.3.2 澄清、说明和补正不得改变投标文件的实质性内容（算术性错误修正的除外）。投标人的书面澄清、说明和补正属于投标文件的组成部分。</w:t>
      </w:r>
    </w:p>
    <w:p w14:paraId="068EAED8">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3.3.3 评标委员会对投标人提交的澄清、说明或补正有疑问的，可以要求投标人进一步澄清、说明或补正，直至满足评标委员会的要求。</w:t>
      </w:r>
    </w:p>
    <w:p w14:paraId="46EC4493">
      <w:pPr>
        <w:spacing w:line="520" w:lineRule="exact"/>
        <w:ind w:firstLine="480" w:firstLineChars="200"/>
        <w:outlineLvl w:val="3"/>
        <w:rPr>
          <w:rFonts w:hint="eastAsia" w:ascii="仿宋" w:hAnsi="仿宋" w:eastAsia="仿宋" w:cs="仿宋"/>
          <w:color w:val="auto"/>
          <w:sz w:val="24"/>
          <w:highlight w:val="none"/>
        </w:rPr>
      </w:pPr>
      <w:bookmarkStart w:id="1427" w:name="_Toc152045608"/>
      <w:bookmarkStart w:id="1428" w:name="_Toc458758950"/>
      <w:bookmarkStart w:id="1429" w:name="_Toc152042386"/>
      <w:bookmarkStart w:id="1430" w:name="_Toc179632626"/>
      <w:bookmarkStart w:id="1431" w:name="_Toc144974576"/>
      <w:bookmarkStart w:id="1432" w:name="_Toc450850897"/>
      <w:bookmarkStart w:id="1433" w:name="_Toc458759020"/>
      <w:r>
        <w:rPr>
          <w:rFonts w:hint="eastAsia" w:ascii="仿宋" w:hAnsi="仿宋" w:eastAsia="仿宋" w:cs="仿宋"/>
          <w:color w:val="auto"/>
          <w:sz w:val="24"/>
          <w:highlight w:val="none"/>
        </w:rPr>
        <w:t>3.4 评标结果</w:t>
      </w:r>
      <w:bookmarkEnd w:id="1427"/>
      <w:bookmarkEnd w:id="1428"/>
      <w:bookmarkEnd w:id="1429"/>
      <w:bookmarkEnd w:id="1430"/>
      <w:bookmarkEnd w:id="1431"/>
      <w:bookmarkEnd w:id="1432"/>
      <w:bookmarkEnd w:id="1433"/>
    </w:p>
    <w:p w14:paraId="3ACAA5F8">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3.4.1 除第二章“投标人须知”前附表授权直接确定中标人和采用评定分离方式确定中标人外，评标委员会按照得分由高到低的顺序推荐中标候选人。</w:t>
      </w:r>
    </w:p>
    <w:p w14:paraId="23C39D24">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3.4.2 评标委员会完成评标后，应当向招标人提交书面评标报告。采用评定分离方式确定中标人的项目，评标报告应按《河南省政府投资工程建设项目招标投标“评定分离”管理办法（试行）》的要求，载明每个中标候选人的特点、优势、缺点、风险等评审情况和推荐理由，并对技术、质量、安全、工期的控制能力等提供技术咨询建议，供定标委员会参考。 </w:t>
      </w:r>
    </w:p>
    <w:p w14:paraId="679F5E34">
      <w:pPr>
        <w:snapToGrid w:val="0"/>
        <w:spacing w:line="520" w:lineRule="exact"/>
        <w:ind w:firstLine="420" w:firstLineChars="200"/>
        <w:rPr>
          <w:color w:val="auto"/>
          <w:szCs w:val="21"/>
          <w:highlight w:val="none"/>
        </w:rPr>
      </w:pPr>
    </w:p>
    <w:p w14:paraId="37CE2D4F">
      <w:pPr>
        <w:pStyle w:val="26"/>
        <w:spacing w:line="520" w:lineRule="exact"/>
        <w:ind w:left="0" w:leftChars="0" w:firstLine="0" w:firstLineChars="0"/>
        <w:rPr>
          <w:rFonts w:eastAsia="楷体_GB2312"/>
          <w:color w:val="auto"/>
          <w:highlight w:val="none"/>
        </w:rPr>
      </w:pPr>
      <w:bookmarkStart w:id="1434" w:name="_Toc18170"/>
      <w:r>
        <w:rPr>
          <w:color w:val="auto"/>
          <w:szCs w:val="21"/>
          <w:highlight w:val="none"/>
        </w:rPr>
        <w:br w:type="page"/>
      </w:r>
      <w:bookmarkEnd w:id="1308"/>
      <w:bookmarkEnd w:id="1309"/>
      <w:bookmarkEnd w:id="1310"/>
      <w:bookmarkEnd w:id="1434"/>
    </w:p>
    <w:p w14:paraId="0B1AC527">
      <w:pPr>
        <w:jc w:val="center"/>
        <w:outlineLvl w:val="0"/>
        <w:rPr>
          <w:rFonts w:eastAsia="黑体"/>
          <w:color w:val="auto"/>
          <w:sz w:val="52"/>
          <w:szCs w:val="52"/>
          <w:highlight w:val="none"/>
        </w:rPr>
      </w:pPr>
      <w:bookmarkStart w:id="1435" w:name="_Toc22321"/>
      <w:bookmarkStart w:id="1436" w:name="_Toc18542"/>
      <w:bookmarkStart w:id="1437" w:name="_Toc14840"/>
      <w:bookmarkStart w:id="1438" w:name="_Toc26563"/>
      <w:bookmarkStart w:id="1439" w:name="_Toc24270"/>
      <w:bookmarkStart w:id="1440" w:name="_Toc2922"/>
      <w:bookmarkStart w:id="1441" w:name="_Toc2758"/>
      <w:bookmarkStart w:id="1442" w:name="_Toc635"/>
      <w:bookmarkStart w:id="1443" w:name="_Toc30659"/>
      <w:bookmarkStart w:id="1444" w:name="_Toc4969"/>
      <w:bookmarkStart w:id="1445" w:name="_Toc16277"/>
      <w:bookmarkStart w:id="1446" w:name="_Toc30295"/>
      <w:bookmarkStart w:id="1447" w:name="_Toc18375"/>
      <w:bookmarkStart w:id="1448" w:name="_Toc5959"/>
      <w:bookmarkStart w:id="1449" w:name="_Toc27735"/>
    </w:p>
    <w:p w14:paraId="1914AC90">
      <w:pPr>
        <w:jc w:val="center"/>
        <w:outlineLvl w:val="0"/>
        <w:rPr>
          <w:rFonts w:eastAsia="黑体"/>
          <w:color w:val="auto"/>
          <w:sz w:val="52"/>
          <w:szCs w:val="52"/>
          <w:highlight w:val="none"/>
        </w:rPr>
      </w:pPr>
    </w:p>
    <w:p w14:paraId="1FEE3FA6">
      <w:pPr>
        <w:jc w:val="center"/>
        <w:outlineLvl w:val="0"/>
        <w:rPr>
          <w:rFonts w:eastAsia="黑体"/>
          <w:color w:val="auto"/>
          <w:sz w:val="52"/>
          <w:szCs w:val="52"/>
          <w:highlight w:val="none"/>
        </w:rPr>
      </w:pPr>
    </w:p>
    <w:p w14:paraId="205FAAD3">
      <w:pPr>
        <w:jc w:val="center"/>
        <w:outlineLvl w:val="0"/>
        <w:rPr>
          <w:rFonts w:eastAsia="黑体"/>
          <w:color w:val="auto"/>
          <w:sz w:val="52"/>
          <w:szCs w:val="52"/>
          <w:highlight w:val="none"/>
        </w:rPr>
      </w:pPr>
    </w:p>
    <w:p w14:paraId="48EC4D86">
      <w:pPr>
        <w:jc w:val="center"/>
        <w:outlineLvl w:val="0"/>
        <w:rPr>
          <w:rFonts w:eastAsia="黑体"/>
          <w:color w:val="auto"/>
          <w:sz w:val="52"/>
          <w:szCs w:val="52"/>
          <w:highlight w:val="none"/>
        </w:rPr>
      </w:pPr>
    </w:p>
    <w:p w14:paraId="4B7859D2">
      <w:pPr>
        <w:jc w:val="center"/>
        <w:outlineLvl w:val="0"/>
        <w:rPr>
          <w:rFonts w:eastAsia="黑体"/>
          <w:color w:val="auto"/>
          <w:sz w:val="52"/>
          <w:szCs w:val="52"/>
          <w:highlight w:val="none"/>
        </w:rPr>
      </w:pPr>
      <w:bookmarkStart w:id="1450" w:name="_Toc4738"/>
      <w:r>
        <w:rPr>
          <w:rFonts w:eastAsia="黑体"/>
          <w:color w:val="auto"/>
          <w:sz w:val="52"/>
          <w:szCs w:val="52"/>
          <w:highlight w:val="none"/>
        </w:rPr>
        <w:t>第四章  合同条款及格式</w:t>
      </w:r>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p>
    <w:p w14:paraId="2142B70E">
      <w:pPr>
        <w:jc w:val="center"/>
        <w:outlineLvl w:val="0"/>
        <w:rPr>
          <w:rFonts w:eastAsia="黑体"/>
          <w:color w:val="auto"/>
          <w:sz w:val="52"/>
          <w:szCs w:val="52"/>
          <w:highlight w:val="none"/>
        </w:rPr>
      </w:pPr>
      <w:r>
        <w:rPr>
          <w:rFonts w:eastAsia="黑体"/>
          <w:color w:val="auto"/>
          <w:sz w:val="52"/>
          <w:szCs w:val="52"/>
          <w:highlight w:val="none"/>
        </w:rPr>
        <w:br w:type="page"/>
      </w:r>
    </w:p>
    <w:p w14:paraId="0ADBC221">
      <w:pPr>
        <w:jc w:val="left"/>
        <w:rPr>
          <w:rFonts w:eastAsia="仿宋_GB2312"/>
          <w:bCs/>
          <w:color w:val="auto"/>
          <w:sz w:val="32"/>
          <w:szCs w:val="32"/>
          <w:highlight w:val="none"/>
        </w:rPr>
      </w:pPr>
      <w:bookmarkStart w:id="1451" w:name="_Toc19355"/>
      <w:bookmarkStart w:id="1452" w:name="_Toc29577"/>
      <w:bookmarkStart w:id="1453" w:name="_Toc15034"/>
      <w:bookmarkStart w:id="1454" w:name="_Toc2615"/>
      <w:bookmarkStart w:id="1455" w:name="_Toc18128"/>
      <w:bookmarkStart w:id="1456" w:name="_Toc9661"/>
      <w:bookmarkStart w:id="1457" w:name="_Toc11463"/>
      <w:bookmarkStart w:id="1458" w:name="_Toc13976"/>
      <w:bookmarkStart w:id="1459" w:name="_Toc31164"/>
      <w:bookmarkStart w:id="1460" w:name="_Toc7599"/>
      <w:bookmarkStart w:id="1461" w:name="_Toc10709"/>
      <w:bookmarkStart w:id="1462" w:name="_Toc234226187"/>
      <w:bookmarkStart w:id="1463" w:name="_Toc13680"/>
      <w:bookmarkStart w:id="1464" w:name="_Toc2477"/>
      <w:bookmarkStart w:id="1465" w:name="_Toc23851"/>
      <w:bookmarkStart w:id="1466" w:name="_Toc20007"/>
      <w:r>
        <w:rPr>
          <w:rFonts w:hint="eastAsia" w:eastAsia="仿宋_GB2312"/>
          <w:bCs/>
          <w:color w:val="auto"/>
          <w:sz w:val="32"/>
          <w:szCs w:val="32"/>
          <w:highlight w:val="none"/>
        </w:rPr>
        <w:t>GF—2017—0201）</w:t>
      </w:r>
      <w:bookmarkStart w:id="1467" w:name="_Toc390272728"/>
      <w:bookmarkStart w:id="1468" w:name="_Toc351203480"/>
      <w:bookmarkStart w:id="1469" w:name="_Toc296890982"/>
      <w:bookmarkStart w:id="1470" w:name="_Toc296503025"/>
    </w:p>
    <w:p w14:paraId="03C8CB75">
      <w:pPr>
        <w:jc w:val="center"/>
        <w:rPr>
          <w:rFonts w:eastAsia="仿宋_GB2312"/>
          <w:color w:val="auto"/>
          <w:kern w:val="0"/>
          <w:sz w:val="24"/>
          <w:highlight w:val="none"/>
        </w:rPr>
      </w:pPr>
      <w:r>
        <w:rPr>
          <w:rFonts w:eastAsia="仿宋_GB2312"/>
          <w:color w:val="auto"/>
          <w:kern w:val="0"/>
          <w:sz w:val="24"/>
          <w:highlight w:val="none"/>
        </w:rPr>
        <w:t xml:space="preserve">  </w:t>
      </w:r>
    </w:p>
    <w:p w14:paraId="723E35DA">
      <w:pPr>
        <w:rPr>
          <w:rFonts w:eastAsia="仿宋_GB2312"/>
          <w:color w:val="auto"/>
          <w:kern w:val="0"/>
          <w:sz w:val="24"/>
          <w:highlight w:val="none"/>
        </w:rPr>
      </w:pPr>
    </w:p>
    <w:p w14:paraId="2E188B38">
      <w:pPr>
        <w:jc w:val="center"/>
        <w:rPr>
          <w:rFonts w:eastAsia="仿宋_GB2312"/>
          <w:color w:val="auto"/>
          <w:kern w:val="0"/>
          <w:sz w:val="24"/>
          <w:highlight w:val="none"/>
        </w:rPr>
      </w:pPr>
    </w:p>
    <w:p w14:paraId="1B1D9D9E">
      <w:pPr>
        <w:jc w:val="center"/>
        <w:rPr>
          <w:rFonts w:eastAsia="华文中宋"/>
          <w:b/>
          <w:color w:val="auto"/>
          <w:sz w:val="52"/>
          <w:szCs w:val="52"/>
          <w:highlight w:val="none"/>
        </w:rPr>
      </w:pPr>
      <w:r>
        <w:rPr>
          <w:rFonts w:hint="eastAsia" w:ascii="宋体" w:hAnsi="宋体" w:cs="宋体"/>
          <w:color w:val="auto"/>
          <w:kern w:val="0"/>
          <w:sz w:val="24"/>
          <w:highlight w:val="none"/>
        </w:rPr>
        <w:t xml:space="preserve"> </w:t>
      </w:r>
      <w:r>
        <w:rPr>
          <w:rFonts w:eastAsia="华文中宋"/>
          <w:b/>
          <w:color w:val="auto"/>
          <w:sz w:val="72"/>
          <w:szCs w:val="52"/>
          <w:highlight w:val="none"/>
        </w:rPr>
        <w:t>建设工程施工合同</w:t>
      </w:r>
      <w:r>
        <w:rPr>
          <w:rFonts w:eastAsia="华文中宋"/>
          <w:b/>
          <w:color w:val="auto"/>
          <w:sz w:val="52"/>
          <w:szCs w:val="52"/>
          <w:highlight w:val="none"/>
        </w:rPr>
        <w:br w:type="textWrapping"/>
      </w:r>
    </w:p>
    <w:p w14:paraId="50B6ADCB">
      <w:pPr>
        <w:ind w:firstLine="1041"/>
        <w:jc w:val="center"/>
        <w:rPr>
          <w:rFonts w:eastAsia="华文中宋"/>
          <w:b/>
          <w:color w:val="auto"/>
          <w:sz w:val="52"/>
          <w:szCs w:val="52"/>
          <w:highlight w:val="none"/>
        </w:rPr>
      </w:pPr>
    </w:p>
    <w:p w14:paraId="2830ABC0">
      <w:pPr>
        <w:ind w:firstLine="1446"/>
        <w:jc w:val="center"/>
        <w:rPr>
          <w:rFonts w:eastAsia="黑体"/>
          <w:b/>
          <w:color w:val="auto"/>
          <w:sz w:val="72"/>
          <w:szCs w:val="72"/>
          <w:highlight w:val="none"/>
        </w:rPr>
      </w:pPr>
    </w:p>
    <w:p w14:paraId="61F11B78">
      <w:pPr>
        <w:ind w:firstLine="1446"/>
        <w:jc w:val="center"/>
        <w:rPr>
          <w:rFonts w:eastAsia="楷体_GB2312"/>
          <w:b/>
          <w:color w:val="auto"/>
          <w:sz w:val="72"/>
          <w:szCs w:val="72"/>
          <w:highlight w:val="none"/>
        </w:rPr>
      </w:pPr>
    </w:p>
    <w:p w14:paraId="6C4917E6">
      <w:pPr>
        <w:jc w:val="center"/>
        <w:rPr>
          <w:rFonts w:eastAsia="黑体"/>
          <w:b/>
          <w:color w:val="auto"/>
          <w:sz w:val="52"/>
          <w:szCs w:val="52"/>
          <w:highlight w:val="none"/>
        </w:rPr>
      </w:pPr>
    </w:p>
    <w:p w14:paraId="087752EB">
      <w:pPr>
        <w:ind w:firstLine="562"/>
        <w:rPr>
          <w:b/>
          <w:color w:val="auto"/>
          <w:sz w:val="28"/>
          <w:szCs w:val="28"/>
          <w:highlight w:val="none"/>
        </w:rPr>
      </w:pPr>
    </w:p>
    <w:p w14:paraId="27A4EE87">
      <w:pPr>
        <w:rPr>
          <w:b/>
          <w:color w:val="auto"/>
          <w:sz w:val="28"/>
          <w:szCs w:val="28"/>
          <w:highlight w:val="none"/>
        </w:rPr>
      </w:pPr>
    </w:p>
    <w:p w14:paraId="016348BF">
      <w:pPr>
        <w:ind w:firstLine="562"/>
        <w:rPr>
          <w:b/>
          <w:color w:val="auto"/>
          <w:sz w:val="28"/>
          <w:szCs w:val="28"/>
          <w:highlight w:val="none"/>
        </w:rPr>
      </w:pPr>
    </w:p>
    <w:p w14:paraId="4B8950FA">
      <w:pPr>
        <w:ind w:right="2719" w:rightChars="1295" w:firstLine="2738" w:firstLineChars="1304"/>
        <w:jc w:val="distribute"/>
        <w:rPr>
          <w:b/>
          <w:color w:val="auto"/>
          <w:sz w:val="32"/>
          <w:szCs w:val="28"/>
          <w:highlight w:val="none"/>
        </w:rPr>
      </w:pPr>
      <w:r>
        <w:rPr>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4514850</wp:posOffset>
                </wp:positionH>
                <wp:positionV relativeFrom="paragraph">
                  <wp:posOffset>229235</wp:posOffset>
                </wp:positionV>
                <wp:extent cx="723900" cy="721360"/>
                <wp:effectExtent l="4445" t="4445" r="14605" b="17145"/>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723900" cy="457200"/>
                        </a:xfrm>
                        <a:prstGeom prst="rect">
                          <a:avLst/>
                        </a:prstGeom>
                        <a:noFill/>
                        <a:ln w="9525">
                          <a:solidFill>
                            <a:srgbClr val="FFFFFF"/>
                          </a:solidFill>
                          <a:miter lim="800000"/>
                        </a:ln>
                        <a:effectLst/>
                      </wps:spPr>
                      <wps:txbx>
                        <w:txbxContent>
                          <w:p w14:paraId="1FA755EB">
                            <w:pPr>
                              <w:rPr>
                                <w:b/>
                                <w:bCs/>
                                <w:sz w:val="32"/>
                              </w:rPr>
                            </w:pPr>
                            <w:r>
                              <w:rPr>
                                <w:rFonts w:hint="eastAsia"/>
                                <w:b/>
                                <w:bCs/>
                                <w:sz w:val="32"/>
                              </w:rPr>
                              <w:t>制定</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355.5pt;margin-top:18.05pt;height:56.8pt;width:57pt;z-index:251659264;mso-width-relative:page;mso-height-relative:page;" filled="f" stroked="t" coordsize="21600,21600" o:gfxdata="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lOp1MtkAAAAKAQAADwAAAAAAAAABACAAAAAi&#10;AAAAZHJzL2Rvd25yZXYueG1sUEsBAhQAFAAAAAgAh07iQP9nE6hCAgAAawQAAA4AAAAAAAAAAQAg&#10;AAAAKAEAAGRycy9lMm9Eb2MueG1sUEsFBgAAAAAGAAYAWQEAANwFAAAAAA==&#10;">
                <v:fill on="f" focussize="0,0"/>
                <v:stroke color="#FFFFFF" miterlimit="8" joinstyle="miter"/>
                <v:imagedata o:title=""/>
                <o:lock v:ext="edit" aspectratio="f"/>
                <v:textbox>
                  <w:txbxContent>
                    <w:p w14:paraId="1FA755EB">
                      <w:pPr>
                        <w:rPr>
                          <w:b/>
                          <w:bCs/>
                          <w:sz w:val="32"/>
                        </w:rPr>
                      </w:pPr>
                      <w:r>
                        <w:rPr>
                          <w:rFonts w:hint="eastAsia"/>
                          <w:b/>
                          <w:bCs/>
                          <w:sz w:val="32"/>
                        </w:rPr>
                        <w:t>制定</w:t>
                      </w:r>
                    </w:p>
                  </w:txbxContent>
                </v:textbox>
              </v:shape>
            </w:pict>
          </mc:Fallback>
        </mc:AlternateContent>
      </w:r>
      <w:r>
        <w:rPr>
          <w:b/>
          <w:color w:val="auto"/>
          <w:sz w:val="32"/>
          <w:szCs w:val="28"/>
          <w:highlight w:val="none"/>
        </w:rPr>
        <w:t>住房城乡建设部</w:t>
      </w:r>
    </w:p>
    <w:p w14:paraId="6AEAFCA2">
      <w:pPr>
        <w:ind w:firstLine="2891" w:firstLineChars="900"/>
        <w:rPr>
          <w:rFonts w:hint="eastAsia" w:ascii="宋体" w:hAnsi="宋体" w:cs="宋体"/>
          <w:color w:val="auto"/>
          <w:kern w:val="0"/>
          <w:szCs w:val="21"/>
          <w:highlight w:val="none"/>
        </w:rPr>
      </w:pPr>
      <w:bookmarkStart w:id="1471" w:name="_Toc27820"/>
      <w:r>
        <w:rPr>
          <w:b/>
          <w:color w:val="auto"/>
          <w:sz w:val="32"/>
          <w:szCs w:val="28"/>
          <w:highlight w:val="none"/>
        </w:rPr>
        <w:t>国家工商行政管理总局</w:t>
      </w:r>
      <w:bookmarkEnd w:id="1471"/>
    </w:p>
    <w:p w14:paraId="4C83B634">
      <w:pPr>
        <w:ind w:firstLine="420"/>
        <w:rPr>
          <w:rFonts w:hint="eastAsia"/>
          <w:color w:val="auto"/>
          <w:highlight w:val="none"/>
        </w:rPr>
      </w:pPr>
      <w:r>
        <w:rPr>
          <w:rFonts w:hint="eastAsia"/>
          <w:color w:val="auto"/>
          <w:highlight w:val="none"/>
        </w:rPr>
        <w:t xml:space="preserve"> </w:t>
      </w:r>
    </w:p>
    <w:p w14:paraId="488A32BD">
      <w:pPr>
        <w:jc w:val="center"/>
        <w:rPr>
          <w:rFonts w:hint="eastAsia" w:ascii="仿宋" w:hAnsi="仿宋" w:eastAsia="仿宋" w:cs="仿宋"/>
          <w:b/>
          <w:bCs/>
          <w:color w:val="auto"/>
          <w:sz w:val="28"/>
          <w:szCs w:val="28"/>
          <w:highlight w:val="none"/>
        </w:rPr>
      </w:pPr>
      <w:r>
        <w:rPr>
          <w:rFonts w:hint="eastAsia" w:ascii="宋体" w:hAnsi="宋体" w:cs="宋体"/>
          <w:color w:val="auto"/>
          <w:sz w:val="24"/>
          <w:highlight w:val="none"/>
        </w:rPr>
        <w:br w:type="page"/>
      </w:r>
      <w:bookmarkEnd w:id="1467"/>
      <w:bookmarkEnd w:id="1468"/>
      <w:bookmarkEnd w:id="1469"/>
      <w:bookmarkEnd w:id="1470"/>
      <w:r>
        <w:rPr>
          <w:rFonts w:hint="eastAsia" w:ascii="仿宋" w:hAnsi="仿宋" w:eastAsia="仿宋" w:cs="仿宋"/>
          <w:b/>
          <w:bCs/>
          <w:color w:val="auto"/>
          <w:sz w:val="28"/>
          <w:szCs w:val="28"/>
          <w:highlight w:val="none"/>
        </w:rPr>
        <w:t>第一部分 合同协议书</w:t>
      </w:r>
    </w:p>
    <w:p w14:paraId="272F1FE5">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bookmarkStart w:id="1472" w:name="_Toc21389"/>
      <w:bookmarkStart w:id="1473" w:name="_Toc44424653"/>
      <w:bookmarkStart w:id="1474" w:name="_Toc533413101"/>
      <w:r>
        <w:rPr>
          <w:rFonts w:hint="eastAsia" w:ascii="仿宋" w:hAnsi="仿宋" w:eastAsia="仿宋" w:cs="仿宋"/>
          <w:color w:val="auto"/>
          <w:sz w:val="24"/>
          <w:szCs w:val="24"/>
          <w:highlight w:val="none"/>
        </w:rPr>
        <w:t>发包人（全称）：</w:t>
      </w:r>
      <w:r>
        <w:rPr>
          <w:rFonts w:hint="eastAsia" w:ascii="仿宋" w:hAnsi="仿宋" w:eastAsia="仿宋" w:cs="仿宋"/>
          <w:color w:val="auto"/>
          <w:sz w:val="24"/>
          <w:szCs w:val="24"/>
          <w:highlight w:val="none"/>
          <w:lang w:eastAsia="zh-CN"/>
        </w:rPr>
        <w:t>驻马店市中医院</w:t>
      </w:r>
      <w:r>
        <w:rPr>
          <w:rFonts w:hint="eastAsia" w:ascii="仿宋" w:hAnsi="仿宋" w:eastAsia="仿宋" w:cs="仿宋"/>
          <w:color w:val="auto"/>
          <w:sz w:val="24"/>
          <w:szCs w:val="24"/>
          <w:highlight w:val="none"/>
        </w:rPr>
        <w:t></w:t>
      </w:r>
    </w:p>
    <w:p w14:paraId="3F098DC0">
      <w:pPr>
        <w:pageBreakBefore w:val="0"/>
        <w:widowControl w:val="0"/>
        <w:kinsoku/>
        <w:wordWrap/>
        <w:overflowPunct/>
        <w:topLinePunct w:val="0"/>
        <w:bidi w:val="0"/>
        <w:snapToGrid/>
        <w:spacing w:line="480" w:lineRule="exact"/>
        <w:ind w:firstLine="480" w:firstLineChars="200"/>
        <w:textAlignment w:val="auto"/>
        <w:rPr>
          <w:rFonts w:hint="eastAsia"/>
          <w:color w:val="auto"/>
          <w:highlight w:val="none"/>
        </w:rPr>
      </w:pPr>
      <w:r>
        <w:rPr>
          <w:rFonts w:hint="eastAsia" w:ascii="仿宋" w:hAnsi="仿宋" w:eastAsia="仿宋" w:cs="仿宋"/>
          <w:color w:val="auto"/>
          <w:sz w:val="24"/>
          <w:szCs w:val="24"/>
          <w:highlight w:val="none"/>
        </w:rPr>
        <w:t>承包人（全称）：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r>
        <w:rPr>
          <w:rFonts w:hint="eastAsia"/>
          <w:color w:val="auto"/>
          <w:highlight w:val="none"/>
        </w:rPr>
        <w:t xml:space="preserve">  </w:t>
      </w:r>
    </w:p>
    <w:p w14:paraId="5619811C">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根据《中华人民共和国民法典》、《中华人民共和国建筑法》及有关法律规定，遵循平等、自愿、公平和诚实信用的原则，双方就</w:t>
      </w:r>
      <w:r>
        <w:rPr>
          <w:rFonts w:hint="eastAsia" w:ascii="仿宋" w:hAnsi="仿宋" w:eastAsia="仿宋" w:cs="仿宋"/>
          <w:color w:val="auto"/>
          <w:sz w:val="24"/>
          <w:szCs w:val="24"/>
          <w:highlight w:val="none"/>
          <w:u w:val="single"/>
          <w:lang w:eastAsia="zh-CN"/>
        </w:rPr>
        <w:t>驻马店市中医院病房改造及能力提升项目</w:t>
      </w:r>
      <w:r>
        <w:rPr>
          <w:rFonts w:hint="eastAsia" w:ascii="仿宋" w:hAnsi="仿宋" w:eastAsia="仿宋" w:cs="仿宋"/>
          <w:color w:val="auto"/>
          <w:sz w:val="24"/>
          <w:szCs w:val="24"/>
          <w:highlight w:val="none"/>
        </w:rPr>
        <w:t>施工及有关事项协商一致，共同达成如下协议：</w:t>
      </w:r>
    </w:p>
    <w:p w14:paraId="0E9FE917">
      <w:pPr>
        <w:pStyle w:val="5"/>
        <w:pageBreakBefore w:val="0"/>
        <w:widowControl w:val="0"/>
        <w:kinsoku/>
        <w:wordWrap/>
        <w:overflowPunct/>
        <w:topLinePunct w:val="0"/>
        <w:bidi w:val="0"/>
        <w:snapToGrid/>
        <w:spacing w:before="120" w:after="120" w:line="480" w:lineRule="exact"/>
        <w:ind w:firstLine="480" w:firstLineChars="200"/>
        <w:textAlignment w:val="auto"/>
        <w:outlineLvl w:val="1"/>
        <w:rPr>
          <w:rFonts w:hint="eastAsia" w:ascii="仿宋" w:hAnsi="仿宋" w:eastAsia="仿宋" w:cs="仿宋"/>
          <w:color w:val="auto"/>
          <w:sz w:val="24"/>
          <w:szCs w:val="24"/>
          <w:highlight w:val="none"/>
        </w:rPr>
      </w:pPr>
      <w:bookmarkStart w:id="1475" w:name="_Toc8616"/>
      <w:r>
        <w:rPr>
          <w:rFonts w:hint="eastAsia" w:ascii="仿宋" w:hAnsi="仿宋" w:eastAsia="仿宋" w:cs="仿宋"/>
          <w:b w:val="0"/>
          <w:color w:val="auto"/>
          <w:sz w:val="24"/>
          <w:szCs w:val="24"/>
          <w:highlight w:val="none"/>
        </w:rPr>
        <w:t>一、工程概况</w:t>
      </w:r>
      <w:bookmarkEnd w:id="1475"/>
    </w:p>
    <w:p w14:paraId="6ECDB098">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1.工程名称：</w:t>
      </w:r>
      <w:r>
        <w:rPr>
          <w:rFonts w:hint="eastAsia" w:ascii="仿宋" w:hAnsi="仿宋" w:eastAsia="仿宋" w:cs="仿宋"/>
          <w:color w:val="auto"/>
          <w:sz w:val="24"/>
          <w:szCs w:val="24"/>
          <w:highlight w:val="none"/>
          <w:lang w:eastAsia="zh-CN"/>
        </w:rPr>
        <w:t>驻马店市中医院病房改造及能力提升项目</w:t>
      </w:r>
    </w:p>
    <w:p w14:paraId="2302C978">
      <w:pPr>
        <w:pageBreakBefore w:val="0"/>
        <w:widowControl w:val="0"/>
        <w:kinsoku/>
        <w:wordWrap/>
        <w:overflowPunct/>
        <w:topLinePunct w:val="0"/>
        <w:bidi w:val="0"/>
        <w:snapToGrid/>
        <w:spacing w:line="480" w:lineRule="exact"/>
        <w:ind w:left="0" w:leftChars="0" w:firstLine="420" w:firstLineChars="175"/>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2.工程地点：</w:t>
      </w:r>
      <w:r>
        <w:rPr>
          <w:rFonts w:hint="eastAsia" w:ascii="仿宋" w:hAnsi="仿宋" w:eastAsia="仿宋" w:cs="仿宋"/>
          <w:color w:val="auto"/>
          <w:sz w:val="24"/>
          <w:szCs w:val="24"/>
          <w:highlight w:val="none"/>
          <w:lang w:eastAsia="zh-CN"/>
        </w:rPr>
        <w:t>驻马店市中医院</w:t>
      </w:r>
    </w:p>
    <w:p w14:paraId="2B077EA6">
      <w:pPr>
        <w:pageBreakBefore w:val="0"/>
        <w:widowControl w:val="0"/>
        <w:kinsoku/>
        <w:wordWrap/>
        <w:overflowPunct/>
        <w:topLinePunct w:val="0"/>
        <w:bidi w:val="0"/>
        <w:snapToGrid/>
        <w:spacing w:line="480" w:lineRule="exact"/>
        <w:ind w:left="0" w:leftChars="0" w:firstLine="420" w:firstLineChars="1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3.工程立项批准文号：</w:t>
      </w:r>
      <w:r>
        <w:rPr>
          <w:rFonts w:hint="eastAsia" w:ascii="仿宋" w:hAnsi="仿宋" w:eastAsia="仿宋" w:cs="仿宋"/>
          <w:color w:val="auto"/>
          <w:sz w:val="24"/>
          <w:szCs w:val="24"/>
          <w:highlight w:val="none"/>
          <w:lang w:val="en-US" w:eastAsia="zh-CN"/>
        </w:rPr>
        <w:t>驻发改审批〔2025〕70号</w:t>
      </w:r>
      <w:r>
        <w:rPr>
          <w:rFonts w:hint="eastAsia" w:ascii="仿宋" w:hAnsi="仿宋" w:eastAsia="仿宋" w:cs="仿宋"/>
          <w:color w:val="auto"/>
          <w:sz w:val="24"/>
          <w:szCs w:val="24"/>
          <w:highlight w:val="none"/>
        </w:rPr>
        <w:t xml:space="preserve">   </w:t>
      </w:r>
    </w:p>
    <w:p w14:paraId="40C90A4D">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4.资金来源：</w:t>
      </w:r>
      <w:r>
        <w:rPr>
          <w:rFonts w:hint="eastAsia" w:ascii="仿宋" w:hAnsi="仿宋" w:eastAsia="仿宋" w:cs="仿宋"/>
          <w:color w:val="auto"/>
          <w:sz w:val="24"/>
          <w:szCs w:val="24"/>
          <w:highlight w:val="none"/>
          <w:lang w:val="en-US" w:eastAsia="zh-CN"/>
        </w:rPr>
        <w:t>上级政府投资和地方配套及单位自筹解决</w:t>
      </w:r>
    </w:p>
    <w:p w14:paraId="75E0E397">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5.工程内容：</w:t>
      </w:r>
      <w:r>
        <w:rPr>
          <w:rFonts w:hint="eastAsia" w:ascii="仿宋" w:hAnsi="仿宋" w:eastAsia="仿宋" w:cs="仿宋"/>
          <w:color w:val="auto"/>
          <w:sz w:val="24"/>
          <w:highlight w:val="none"/>
          <w:lang w:val="en-US" w:eastAsia="zh-CN"/>
        </w:rPr>
        <w:t>工程量清单、施工图纸设计范围内及招标文件中所有内容</w:t>
      </w:r>
    </w:p>
    <w:p w14:paraId="32336EA4">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群体工程应附《承包人承揽工程项目一览表》（附件1）。</w:t>
      </w:r>
    </w:p>
    <w:p w14:paraId="7F3D1548">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6.工程承包范围：</w:t>
      </w:r>
      <w:r>
        <w:rPr>
          <w:rFonts w:hint="eastAsia" w:ascii="仿宋" w:hAnsi="仿宋" w:eastAsia="仿宋" w:cs="仿宋"/>
          <w:color w:val="auto"/>
          <w:sz w:val="24"/>
          <w:szCs w:val="24"/>
          <w:highlight w:val="none"/>
          <w:lang w:val="en-US" w:eastAsia="zh-CN"/>
        </w:rPr>
        <w:t>工程量清单、施工图纸设计范围内及招标文件中所有内容</w:t>
      </w:r>
      <w:r>
        <w:rPr>
          <w:rFonts w:hint="eastAsia" w:ascii="仿宋" w:hAnsi="仿宋" w:eastAsia="仿宋" w:cs="仿宋"/>
          <w:color w:val="auto"/>
          <w:sz w:val="24"/>
          <w:szCs w:val="24"/>
          <w:highlight w:val="none"/>
          <w:lang w:eastAsia="zh-CN"/>
        </w:rPr>
        <w:t>。</w:t>
      </w:r>
    </w:p>
    <w:p w14:paraId="33D13927">
      <w:pPr>
        <w:pageBreakBefore w:val="0"/>
        <w:widowControl w:val="0"/>
        <w:kinsoku/>
        <w:wordWrap/>
        <w:overflowPunct/>
        <w:topLinePunct w:val="0"/>
        <w:bidi w:val="0"/>
        <w:snapToGrid/>
        <w:spacing w:line="480" w:lineRule="exact"/>
        <w:ind w:left="559" w:leftChars="266" w:firstLine="0" w:firstLineChars="0"/>
        <w:textAlignment w:val="auto"/>
        <w:outlineLvl w:val="1"/>
        <w:rPr>
          <w:rFonts w:hint="eastAsia" w:ascii="仿宋" w:hAnsi="仿宋" w:eastAsia="仿宋" w:cs="仿宋"/>
          <w:color w:val="auto"/>
          <w:sz w:val="24"/>
          <w:szCs w:val="24"/>
          <w:highlight w:val="none"/>
        </w:rPr>
      </w:pPr>
      <w:bookmarkStart w:id="1476" w:name="_Toc29508"/>
      <w:r>
        <w:rPr>
          <w:rFonts w:hint="eastAsia" w:ascii="仿宋" w:hAnsi="仿宋" w:eastAsia="仿宋" w:cs="仿宋"/>
          <w:color w:val="auto"/>
          <w:sz w:val="24"/>
          <w:szCs w:val="24"/>
          <w:highlight w:val="none"/>
        </w:rPr>
        <w:t>二、合同工期</w:t>
      </w:r>
      <w:bookmarkEnd w:id="1476"/>
    </w:p>
    <w:p w14:paraId="566C7A3F">
      <w:pPr>
        <w:pageBreakBefore w:val="0"/>
        <w:widowControl w:val="0"/>
        <w:kinsoku/>
        <w:wordWrap/>
        <w:overflowPunct/>
        <w:topLinePunct w:val="0"/>
        <w:bidi w:val="0"/>
        <w:snapToGrid/>
        <w:spacing w:line="480" w:lineRule="exact"/>
        <w:ind w:firstLine="45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计划开工日期：</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日。</w:t>
      </w:r>
    </w:p>
    <w:p w14:paraId="3D63948A">
      <w:pPr>
        <w:pageBreakBefore w:val="0"/>
        <w:widowControl w:val="0"/>
        <w:kinsoku/>
        <w:wordWrap/>
        <w:overflowPunct/>
        <w:topLinePunct w:val="0"/>
        <w:bidi w:val="0"/>
        <w:snapToGrid/>
        <w:spacing w:line="480" w:lineRule="exact"/>
        <w:ind w:firstLine="45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计划竣工日期：</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日。</w:t>
      </w:r>
    </w:p>
    <w:p w14:paraId="25846E96">
      <w:pPr>
        <w:pageBreakBefore w:val="0"/>
        <w:widowControl w:val="0"/>
        <w:kinsoku/>
        <w:wordWrap/>
        <w:overflowPunct/>
        <w:topLinePunct w:val="0"/>
        <w:bidi w:val="0"/>
        <w:snapToGrid/>
        <w:spacing w:line="480" w:lineRule="exact"/>
        <w:ind w:firstLine="45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工期总日历天数：</w:t>
      </w:r>
      <w:r>
        <w:rPr>
          <w:rFonts w:hint="eastAsia" w:ascii="仿宋" w:hAnsi="仿宋" w:eastAsia="仿宋" w:cs="仿宋"/>
          <w:color w:val="auto"/>
          <w:sz w:val="24"/>
          <w:szCs w:val="24"/>
          <w:highlight w:val="none"/>
          <w:u w:val="single"/>
          <w:lang w:val="en-US" w:eastAsia="zh-CN"/>
        </w:rPr>
        <w:t>100</w:t>
      </w:r>
      <w:r>
        <w:rPr>
          <w:rFonts w:hint="eastAsia" w:ascii="仿宋" w:hAnsi="仿宋" w:eastAsia="仿宋" w:cs="仿宋"/>
          <w:color w:val="auto"/>
          <w:sz w:val="24"/>
          <w:szCs w:val="24"/>
          <w:highlight w:val="none"/>
        </w:rPr>
        <w:t>天。工期总日历天数与根据前述计划开竣工日期计算的工期天数不一致的，以工期总日历天数为准。</w:t>
      </w:r>
    </w:p>
    <w:p w14:paraId="46BA8F3D">
      <w:pPr>
        <w:pStyle w:val="5"/>
        <w:pageBreakBefore w:val="0"/>
        <w:widowControl w:val="0"/>
        <w:kinsoku/>
        <w:wordWrap/>
        <w:overflowPunct/>
        <w:topLinePunct w:val="0"/>
        <w:bidi w:val="0"/>
        <w:snapToGrid/>
        <w:spacing w:before="120" w:after="120" w:line="480" w:lineRule="exac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1477" w:name="_Toc21792"/>
      <w:r>
        <w:rPr>
          <w:rFonts w:hint="eastAsia" w:ascii="仿宋" w:hAnsi="仿宋" w:eastAsia="仿宋" w:cs="仿宋"/>
          <w:b w:val="0"/>
          <w:color w:val="auto"/>
          <w:sz w:val="24"/>
          <w:szCs w:val="24"/>
          <w:highlight w:val="none"/>
        </w:rPr>
        <w:t>三、质量标准</w:t>
      </w:r>
      <w:bookmarkEnd w:id="1477"/>
    </w:p>
    <w:p w14:paraId="62D8E18D">
      <w:pPr>
        <w:pageBreakBefore w:val="0"/>
        <w:widowControl w:val="0"/>
        <w:kinsoku/>
        <w:wordWrap/>
        <w:overflowPunct/>
        <w:topLinePunct w:val="0"/>
        <w:bidi w:val="0"/>
        <w:snapToGrid/>
        <w:spacing w:line="480" w:lineRule="exact"/>
        <w:ind w:firstLine="45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工程质量符合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标准。</w:t>
      </w:r>
    </w:p>
    <w:p w14:paraId="7DF5B423">
      <w:pPr>
        <w:pStyle w:val="5"/>
        <w:pageBreakBefore w:val="0"/>
        <w:widowControl w:val="0"/>
        <w:kinsoku/>
        <w:wordWrap/>
        <w:overflowPunct/>
        <w:topLinePunct w:val="0"/>
        <w:bidi w:val="0"/>
        <w:snapToGrid/>
        <w:spacing w:before="120" w:after="120" w:line="480" w:lineRule="exac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1478" w:name="_Toc27389"/>
      <w:r>
        <w:rPr>
          <w:rFonts w:hint="eastAsia" w:ascii="仿宋" w:hAnsi="仿宋" w:eastAsia="仿宋" w:cs="仿宋"/>
          <w:b w:val="0"/>
          <w:color w:val="auto"/>
          <w:sz w:val="24"/>
          <w:szCs w:val="24"/>
          <w:highlight w:val="none"/>
        </w:rPr>
        <w:t>四、签约合同价与合同价格形式</w:t>
      </w:r>
      <w:bookmarkEnd w:id="1478"/>
      <w:r>
        <w:rPr>
          <w:rFonts w:hint="eastAsia" w:ascii="仿宋" w:hAnsi="仿宋" w:eastAsia="仿宋" w:cs="仿宋"/>
          <w:b w:val="0"/>
          <w:color w:val="auto"/>
          <w:sz w:val="24"/>
          <w:szCs w:val="24"/>
          <w:highlight w:val="none"/>
        </w:rPr>
        <w:tab/>
      </w:r>
    </w:p>
    <w:p w14:paraId="4F32F131">
      <w:pPr>
        <w:bidi w:val="0"/>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1.签约合同价为：</w:t>
      </w:r>
    </w:p>
    <w:p w14:paraId="4741D0A8">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016BB58D">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其中：</w:t>
      </w:r>
    </w:p>
    <w:p w14:paraId="185A8855">
      <w:pPr>
        <w:pageBreakBefore w:val="0"/>
        <w:widowControl w:val="0"/>
        <w:numPr>
          <w:ilvl w:val="0"/>
          <w:numId w:val="8"/>
        </w:numPr>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安全文明施工费：</w:t>
      </w:r>
    </w:p>
    <w:p w14:paraId="4802776A">
      <w:pPr>
        <w:pageBreakBefore w:val="0"/>
        <w:widowControl w:val="0"/>
        <w:numPr>
          <w:ilvl w:val="0"/>
          <w:numId w:val="0"/>
        </w:numPr>
        <w:kinsoku/>
        <w:wordWrap/>
        <w:overflowPunct/>
        <w:topLinePunct w:val="0"/>
        <w:bidi w:val="0"/>
        <w:snapToGrid/>
        <w:spacing w:line="480" w:lineRule="exact"/>
        <w:ind w:firstLine="720" w:firstLine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7AC8FE2E">
      <w:pPr>
        <w:pageBreakBefore w:val="0"/>
        <w:widowControl w:val="0"/>
        <w:numPr>
          <w:ilvl w:val="0"/>
          <w:numId w:val="8"/>
        </w:numPr>
        <w:kinsoku/>
        <w:wordWrap/>
        <w:overflowPunct/>
        <w:topLinePunct w:val="0"/>
        <w:bidi w:val="0"/>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材料和工程设备暂估价金额：</w:t>
      </w:r>
    </w:p>
    <w:p w14:paraId="266630D9">
      <w:pPr>
        <w:pageBreakBefore w:val="0"/>
        <w:widowControl w:val="0"/>
        <w:numPr>
          <w:ilvl w:val="0"/>
          <w:numId w:val="0"/>
        </w:numPr>
        <w:kinsoku/>
        <w:wordWrap/>
        <w:overflowPunct/>
        <w:topLinePunct w:val="0"/>
        <w:bidi w:val="0"/>
        <w:snapToGrid/>
        <w:spacing w:line="480" w:lineRule="exact"/>
        <w:ind w:left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38F36E2E">
      <w:pPr>
        <w:pageBreakBefore w:val="0"/>
        <w:widowControl w:val="0"/>
        <w:numPr>
          <w:ilvl w:val="0"/>
          <w:numId w:val="8"/>
        </w:numPr>
        <w:kinsoku/>
        <w:wordWrap/>
        <w:overflowPunct/>
        <w:topLinePunct w:val="0"/>
        <w:bidi w:val="0"/>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专业工程暂估价金额：</w:t>
      </w:r>
    </w:p>
    <w:p w14:paraId="20A08EC6">
      <w:pPr>
        <w:pageBreakBefore w:val="0"/>
        <w:widowControl w:val="0"/>
        <w:numPr>
          <w:ilvl w:val="0"/>
          <w:numId w:val="0"/>
        </w:numPr>
        <w:kinsoku/>
        <w:wordWrap/>
        <w:overflowPunct/>
        <w:topLinePunct w:val="0"/>
        <w:bidi w:val="0"/>
        <w:snapToGrid/>
        <w:spacing w:line="480" w:lineRule="exact"/>
        <w:ind w:left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58696EFE">
      <w:pPr>
        <w:pageBreakBefore w:val="0"/>
        <w:widowControl w:val="0"/>
        <w:numPr>
          <w:ilvl w:val="0"/>
          <w:numId w:val="8"/>
        </w:numPr>
        <w:kinsoku/>
        <w:wordWrap/>
        <w:overflowPunct/>
        <w:topLinePunct w:val="0"/>
        <w:bidi w:val="0"/>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暂列金额：</w:t>
      </w:r>
    </w:p>
    <w:p w14:paraId="2210322C">
      <w:pPr>
        <w:pageBreakBefore w:val="0"/>
        <w:widowControl w:val="0"/>
        <w:numPr>
          <w:ilvl w:val="0"/>
          <w:numId w:val="0"/>
        </w:numPr>
        <w:kinsoku/>
        <w:wordWrap/>
        <w:overflowPunct/>
        <w:topLinePunct w:val="0"/>
        <w:bidi w:val="0"/>
        <w:snapToGrid/>
        <w:spacing w:line="480" w:lineRule="exact"/>
        <w:ind w:left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25568898">
      <w:pPr>
        <w:bidi w:val="0"/>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2.合同价格形式：</w:t>
      </w:r>
      <w:r>
        <w:rPr>
          <w:rFonts w:hint="eastAsia" w:ascii="仿宋" w:hAnsi="仿宋" w:eastAsia="仿宋" w:cs="仿宋"/>
          <w:b w:val="0"/>
          <w:bCs/>
          <w:color w:val="auto"/>
          <w:kern w:val="2"/>
          <w:sz w:val="24"/>
          <w:szCs w:val="24"/>
          <w:highlight w:val="none"/>
          <w:u w:val="single"/>
          <w:lang w:val="en-US" w:eastAsia="zh-CN" w:bidi="ar-SA"/>
        </w:rPr>
        <w:t>固定单价（综合单价固定，工程量按照实际完成量据实结算）</w:t>
      </w:r>
      <w:r>
        <w:rPr>
          <w:rFonts w:hint="eastAsia" w:ascii="仿宋" w:hAnsi="仿宋" w:eastAsia="仿宋" w:cs="仿宋"/>
          <w:b w:val="0"/>
          <w:bCs/>
          <w:color w:val="auto"/>
          <w:kern w:val="2"/>
          <w:sz w:val="24"/>
          <w:szCs w:val="24"/>
          <w:highlight w:val="none"/>
          <w:lang w:val="en-US" w:eastAsia="zh-CN" w:bidi="ar-SA"/>
        </w:rPr>
        <w:t xml:space="preserve"> 。</w:t>
      </w:r>
    </w:p>
    <w:p w14:paraId="51E02681">
      <w:pPr>
        <w:pStyle w:val="5"/>
        <w:pageBreakBefore w:val="0"/>
        <w:widowControl w:val="0"/>
        <w:kinsoku/>
        <w:wordWrap/>
        <w:overflowPunct/>
        <w:topLinePunct w:val="0"/>
        <w:bidi w:val="0"/>
        <w:snapToGrid/>
        <w:spacing w:before="120" w:after="120" w:line="480" w:lineRule="exact"/>
        <w:textAlignment w:val="auto"/>
        <w:outlineLvl w:val="1"/>
        <w:rPr>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1479" w:name="_Toc28556"/>
      <w:r>
        <w:rPr>
          <w:rFonts w:hint="eastAsia" w:ascii="仿宋" w:hAnsi="仿宋" w:eastAsia="仿宋" w:cs="仿宋"/>
          <w:b w:val="0"/>
          <w:color w:val="auto"/>
          <w:sz w:val="24"/>
          <w:szCs w:val="24"/>
          <w:highlight w:val="none"/>
        </w:rPr>
        <w:t>五、项目经理</w:t>
      </w:r>
      <w:bookmarkEnd w:id="1479"/>
    </w:p>
    <w:p w14:paraId="1F8FD006">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承包人项目经理：</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72EE8640">
      <w:pPr>
        <w:pStyle w:val="5"/>
        <w:pageBreakBefore w:val="0"/>
        <w:widowControl w:val="0"/>
        <w:kinsoku/>
        <w:wordWrap/>
        <w:overflowPunct/>
        <w:topLinePunct w:val="0"/>
        <w:bidi w:val="0"/>
        <w:snapToGrid/>
        <w:spacing w:before="120" w:after="120" w:line="480" w:lineRule="exac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1480" w:name="_Toc22202"/>
      <w:r>
        <w:rPr>
          <w:rFonts w:hint="eastAsia" w:ascii="仿宋" w:hAnsi="仿宋" w:eastAsia="仿宋" w:cs="仿宋"/>
          <w:b w:val="0"/>
          <w:color w:val="auto"/>
          <w:sz w:val="24"/>
          <w:szCs w:val="24"/>
          <w:highlight w:val="none"/>
        </w:rPr>
        <w:t>六、合同文件构成</w:t>
      </w:r>
      <w:bookmarkEnd w:id="1480"/>
    </w:p>
    <w:p w14:paraId="5141201A">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本协议书与下列文件一起构成合同文件：</w:t>
      </w:r>
    </w:p>
    <w:p w14:paraId="1B5DFD65">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（1）中标通知书（如果有）；</w:t>
      </w:r>
    </w:p>
    <w:p w14:paraId="2B47DADD">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（2）投标函及其附录（如果有）； </w:t>
      </w:r>
    </w:p>
    <w:p w14:paraId="2E7126E2">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（3）专用合同条款及其附件；</w:t>
      </w:r>
    </w:p>
    <w:p w14:paraId="6945F307">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（4）通用合同条款；</w:t>
      </w:r>
    </w:p>
    <w:p w14:paraId="04957D33">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（5）技术标准和要求；</w:t>
      </w:r>
    </w:p>
    <w:p w14:paraId="63F9BB42">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（6）图纸；</w:t>
      </w:r>
    </w:p>
    <w:p w14:paraId="7F2A98CD">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（7）已标价工程量清单或预算书；</w:t>
      </w:r>
    </w:p>
    <w:p w14:paraId="66A5DCE2">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（8）其他合同文件。</w:t>
      </w:r>
    </w:p>
    <w:p w14:paraId="6A48D8F0">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在合同订立及履行过程中形成的与合同有关的文件均构成合同文件组成部分。</w:t>
      </w:r>
    </w:p>
    <w:p w14:paraId="2978CCBD">
      <w:pPr>
        <w:autoSpaceDE w:val="0"/>
        <w:autoSpaceDN w:val="0"/>
        <w:adjustRightInd w:val="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14:paraId="706D00A7">
      <w:pPr>
        <w:pStyle w:val="5"/>
        <w:keepNext/>
        <w:keepLines/>
        <w:pageBreakBefore w:val="0"/>
        <w:widowControl w:val="0"/>
        <w:kinsoku/>
        <w:wordWrap/>
        <w:overflowPunct/>
        <w:topLinePunct w:val="0"/>
        <w:autoSpaceDE/>
        <w:autoSpaceDN/>
        <w:bidi w:val="0"/>
        <w:adjustRightInd/>
        <w:snapToGrid/>
        <w:spacing w:line="480" w:lineRule="exact"/>
        <w:textAlignment w:val="auto"/>
        <w:outlineLvl w:val="1"/>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    </w:t>
      </w:r>
      <w:bookmarkStart w:id="1481" w:name="_Toc31509"/>
      <w:r>
        <w:rPr>
          <w:rFonts w:hint="eastAsia" w:ascii="仿宋" w:hAnsi="仿宋" w:eastAsia="仿宋" w:cs="仿宋"/>
          <w:b w:val="0"/>
          <w:color w:val="auto"/>
          <w:sz w:val="24"/>
          <w:szCs w:val="24"/>
          <w:highlight w:val="none"/>
        </w:rPr>
        <w:t>七、承诺</w:t>
      </w:r>
      <w:bookmarkEnd w:id="1481"/>
    </w:p>
    <w:p w14:paraId="220CF620">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1.发包人承诺按照法律规定履行项目审批手续、并按照合同约定的期限和方式支付合同价款。</w:t>
      </w:r>
    </w:p>
    <w:p w14:paraId="1308853C">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14:paraId="14FBEF57">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3.发包人和承包人通过招投标形式签订合同的，双方理解并承诺不再就同一工程另行签订与合同实质性内容相背离的协议。</w:t>
      </w:r>
    </w:p>
    <w:p w14:paraId="6046E823">
      <w:pPr>
        <w:pageBreakBefore w:val="0"/>
        <w:widowControl w:val="0"/>
        <w:kinsoku/>
        <w:wordWrap/>
        <w:overflowPunct/>
        <w:topLinePunct w:val="0"/>
        <w:autoSpaceDE/>
        <w:autoSpaceDN/>
        <w:bidi w:val="0"/>
        <w:adjustRightInd/>
        <w:snapToGrid/>
        <w:spacing w:line="480" w:lineRule="exac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1482" w:name="_Toc26945"/>
      <w:r>
        <w:rPr>
          <w:rFonts w:hint="eastAsia" w:ascii="仿宋" w:hAnsi="仿宋" w:eastAsia="仿宋" w:cs="仿宋"/>
          <w:color w:val="auto"/>
          <w:sz w:val="24"/>
          <w:szCs w:val="24"/>
          <w:highlight w:val="none"/>
        </w:rPr>
        <w:t>八、词语含义</w:t>
      </w:r>
      <w:bookmarkEnd w:id="1482"/>
    </w:p>
    <w:p w14:paraId="4E888358">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本协议书中词语含义与第二部分通用合同条款中赋予的含义相同。</w:t>
      </w:r>
    </w:p>
    <w:p w14:paraId="6F61ED3C">
      <w:pPr>
        <w:pStyle w:val="5"/>
        <w:pageBreakBefore w:val="0"/>
        <w:widowControl w:val="0"/>
        <w:kinsoku/>
        <w:wordWrap/>
        <w:overflowPunct/>
        <w:topLinePunct w:val="0"/>
        <w:autoSpaceDE/>
        <w:autoSpaceDN/>
        <w:bidi w:val="0"/>
        <w:adjustRightInd/>
        <w:snapToGrid/>
        <w:spacing w:before="120" w:after="120" w:line="480" w:lineRule="exact"/>
        <w:textAlignment w:val="auto"/>
        <w:outlineLvl w:val="1"/>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    </w:t>
      </w:r>
      <w:bookmarkStart w:id="1483" w:name="_Toc4655"/>
      <w:r>
        <w:rPr>
          <w:rFonts w:hint="eastAsia" w:ascii="仿宋" w:hAnsi="仿宋" w:eastAsia="仿宋" w:cs="仿宋"/>
          <w:b w:val="0"/>
          <w:color w:val="auto"/>
          <w:sz w:val="24"/>
          <w:szCs w:val="24"/>
          <w:highlight w:val="none"/>
        </w:rPr>
        <w:t>九、签订时间</w:t>
      </w:r>
      <w:bookmarkEnd w:id="1483"/>
    </w:p>
    <w:p w14:paraId="5C34A0DC">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本合同于</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月</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日签订。</w:t>
      </w:r>
    </w:p>
    <w:p w14:paraId="7E4957D4">
      <w:pPr>
        <w:pStyle w:val="5"/>
        <w:pageBreakBefore w:val="0"/>
        <w:widowControl w:val="0"/>
        <w:kinsoku/>
        <w:wordWrap/>
        <w:overflowPunct/>
        <w:topLinePunct w:val="0"/>
        <w:autoSpaceDE/>
        <w:autoSpaceDN/>
        <w:bidi w:val="0"/>
        <w:adjustRightInd/>
        <w:snapToGrid/>
        <w:spacing w:before="120" w:after="120" w:line="480" w:lineRule="exac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1484" w:name="_Toc28035"/>
      <w:r>
        <w:rPr>
          <w:rFonts w:hint="eastAsia" w:ascii="仿宋" w:hAnsi="仿宋" w:eastAsia="仿宋" w:cs="仿宋"/>
          <w:b w:val="0"/>
          <w:color w:val="auto"/>
          <w:sz w:val="24"/>
          <w:szCs w:val="24"/>
          <w:highlight w:val="none"/>
        </w:rPr>
        <w:t>十、签订地点</w:t>
      </w:r>
      <w:bookmarkEnd w:id="1484"/>
    </w:p>
    <w:p w14:paraId="7AE0496C">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本合同在</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签订。</w:t>
      </w:r>
    </w:p>
    <w:p w14:paraId="3D59902F">
      <w:pPr>
        <w:pStyle w:val="5"/>
        <w:pageBreakBefore w:val="0"/>
        <w:widowControl w:val="0"/>
        <w:kinsoku/>
        <w:wordWrap/>
        <w:overflowPunct/>
        <w:topLinePunct w:val="0"/>
        <w:autoSpaceDE/>
        <w:autoSpaceDN/>
        <w:bidi w:val="0"/>
        <w:adjustRightInd/>
        <w:snapToGrid/>
        <w:spacing w:before="120" w:after="120" w:line="480" w:lineRule="exac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1485" w:name="_Toc2018"/>
      <w:r>
        <w:rPr>
          <w:rFonts w:hint="eastAsia" w:ascii="仿宋" w:hAnsi="仿宋" w:eastAsia="仿宋" w:cs="仿宋"/>
          <w:b w:val="0"/>
          <w:color w:val="auto"/>
          <w:sz w:val="24"/>
          <w:szCs w:val="24"/>
          <w:highlight w:val="none"/>
        </w:rPr>
        <w:t>十一、补充协议</w:t>
      </w:r>
      <w:bookmarkEnd w:id="1485"/>
    </w:p>
    <w:p w14:paraId="03CD3653">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合同未尽事宜，合同当事人另行签订补充协议，补充协议是合同的组成部分。</w:t>
      </w:r>
    </w:p>
    <w:p w14:paraId="3F7949FB">
      <w:pPr>
        <w:pStyle w:val="5"/>
        <w:pageBreakBefore w:val="0"/>
        <w:widowControl w:val="0"/>
        <w:kinsoku/>
        <w:wordWrap/>
        <w:overflowPunct/>
        <w:topLinePunct w:val="0"/>
        <w:autoSpaceDE/>
        <w:autoSpaceDN/>
        <w:bidi w:val="0"/>
        <w:adjustRightInd/>
        <w:snapToGrid/>
        <w:spacing w:before="120" w:after="120" w:line="480" w:lineRule="exac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1486" w:name="_Toc26529"/>
      <w:r>
        <w:rPr>
          <w:rFonts w:hint="eastAsia" w:ascii="仿宋" w:hAnsi="仿宋" w:eastAsia="仿宋" w:cs="仿宋"/>
          <w:b w:val="0"/>
          <w:color w:val="auto"/>
          <w:sz w:val="24"/>
          <w:szCs w:val="24"/>
          <w:highlight w:val="none"/>
        </w:rPr>
        <w:t>十二、合同生效</w:t>
      </w:r>
      <w:bookmarkEnd w:id="1486"/>
    </w:p>
    <w:p w14:paraId="4739F339">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本合同自</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签字盖章后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生效。</w:t>
      </w:r>
    </w:p>
    <w:p w14:paraId="2CD23B8B">
      <w:pPr>
        <w:pStyle w:val="5"/>
        <w:spacing w:before="120" w:after="120"/>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1487" w:name="_Toc24576"/>
      <w:r>
        <w:rPr>
          <w:rFonts w:hint="eastAsia" w:ascii="仿宋" w:hAnsi="仿宋" w:eastAsia="仿宋" w:cs="仿宋"/>
          <w:b w:val="0"/>
          <w:color w:val="auto"/>
          <w:sz w:val="24"/>
          <w:szCs w:val="24"/>
          <w:highlight w:val="none"/>
        </w:rPr>
        <w:t>十三、合同份数</w:t>
      </w:r>
      <w:bookmarkEnd w:id="1487"/>
    </w:p>
    <w:p w14:paraId="7FA8EA3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本合同一式</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份，均具有同等法律效力，发包人执</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份，承包人执</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份。</w:t>
      </w:r>
    </w:p>
    <w:p w14:paraId="50820A7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  (公章)             承包人：  (公章)</w:t>
      </w:r>
    </w:p>
    <w:p w14:paraId="33D7804F">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w:t>
      </w:r>
    </w:p>
    <w:p w14:paraId="55F0919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  法定代表人或其委托代理人：</w:t>
      </w:r>
    </w:p>
    <w:p w14:paraId="4A6EBCC8">
      <w:pP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（签字）                    （签字）</w:t>
      </w:r>
    </w:p>
    <w:p w14:paraId="1D48C6B7">
      <w:pPr>
        <w:tabs>
          <w:tab w:val="left" w:pos="441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组织机构代码：</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组织机构代码：</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p>
    <w:p w14:paraId="4BD7C42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地  址：</w:t>
      </w:r>
      <w:r>
        <w:rPr>
          <w:rFonts w:hint="eastAsia" w:ascii="仿宋" w:hAnsi="仿宋" w:eastAsia="仿宋" w:cs="仿宋"/>
          <w:color w:val="auto"/>
          <w:sz w:val="24"/>
          <w:szCs w:val="24"/>
          <w:highlight w:val="none"/>
          <w:u w:val="single"/>
        </w:rPr>
        <w:t xml:space="preserve">        </w:t>
      </w:r>
    </w:p>
    <w:p w14:paraId="2348941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 xml:space="preserve">  邮政编码：</w:t>
      </w:r>
      <w:r>
        <w:rPr>
          <w:rFonts w:hint="eastAsia" w:ascii="仿宋" w:hAnsi="仿宋" w:eastAsia="仿宋" w:cs="仿宋"/>
          <w:color w:val="auto"/>
          <w:sz w:val="24"/>
          <w:szCs w:val="24"/>
          <w:highlight w:val="none"/>
          <w:u w:val="single"/>
        </w:rPr>
        <w:t xml:space="preserve">   </w:t>
      </w:r>
    </w:p>
    <w:p w14:paraId="2416373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法定代表人：</w:t>
      </w:r>
      <w:r>
        <w:rPr>
          <w:rFonts w:hint="eastAsia" w:ascii="仿宋" w:hAnsi="仿宋" w:eastAsia="仿宋" w:cs="仿宋"/>
          <w:color w:val="auto"/>
          <w:sz w:val="24"/>
          <w:szCs w:val="24"/>
          <w:highlight w:val="none"/>
          <w:u w:val="single"/>
        </w:rPr>
        <w:t xml:space="preserve">              </w:t>
      </w:r>
    </w:p>
    <w:p w14:paraId="6056B62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委托代理人：</w:t>
      </w:r>
      <w:r>
        <w:rPr>
          <w:rFonts w:hint="eastAsia" w:ascii="仿宋" w:hAnsi="仿宋" w:eastAsia="仿宋" w:cs="仿宋"/>
          <w:color w:val="auto"/>
          <w:sz w:val="24"/>
          <w:szCs w:val="24"/>
          <w:highlight w:val="none"/>
          <w:u w:val="single"/>
        </w:rPr>
        <w:t xml:space="preserve">              </w:t>
      </w:r>
    </w:p>
    <w:p w14:paraId="1A01295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电  话：</w:t>
      </w:r>
      <w:r>
        <w:rPr>
          <w:rFonts w:hint="eastAsia" w:ascii="仿宋" w:hAnsi="仿宋" w:eastAsia="仿宋" w:cs="仿宋"/>
          <w:color w:val="auto"/>
          <w:sz w:val="24"/>
          <w:szCs w:val="24"/>
          <w:highlight w:val="none"/>
          <w:u w:val="single"/>
        </w:rPr>
        <w:t xml:space="preserve">      </w:t>
      </w:r>
    </w:p>
    <w:p w14:paraId="65EBC1A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传  真：</w:t>
      </w:r>
      <w:r>
        <w:rPr>
          <w:rFonts w:hint="eastAsia" w:ascii="仿宋" w:hAnsi="仿宋" w:eastAsia="仿宋" w:cs="仿宋"/>
          <w:color w:val="auto"/>
          <w:sz w:val="24"/>
          <w:szCs w:val="24"/>
          <w:highlight w:val="none"/>
          <w:u w:val="single"/>
        </w:rPr>
        <w:t xml:space="preserve">      </w:t>
      </w:r>
    </w:p>
    <w:p w14:paraId="2D5614D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电子信箱：</w:t>
      </w:r>
      <w:r>
        <w:rPr>
          <w:rFonts w:hint="eastAsia" w:ascii="仿宋" w:hAnsi="仿宋" w:eastAsia="仿宋" w:cs="仿宋"/>
          <w:color w:val="auto"/>
          <w:sz w:val="24"/>
          <w:szCs w:val="24"/>
          <w:highlight w:val="none"/>
          <w:u w:val="single"/>
        </w:rPr>
        <w:t xml:space="preserve">    </w:t>
      </w:r>
    </w:p>
    <w:p w14:paraId="338919A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开户银行：</w:t>
      </w:r>
      <w:r>
        <w:rPr>
          <w:rFonts w:hint="eastAsia" w:ascii="仿宋" w:hAnsi="仿宋" w:eastAsia="仿宋" w:cs="仿宋"/>
          <w:color w:val="auto"/>
          <w:sz w:val="24"/>
          <w:szCs w:val="24"/>
          <w:highlight w:val="none"/>
          <w:u w:val="single"/>
        </w:rPr>
        <w:t xml:space="preserve">    </w:t>
      </w:r>
    </w:p>
    <w:p w14:paraId="4257F0D2">
      <w:pP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  号：</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账  号：</w:t>
      </w:r>
      <w:r>
        <w:rPr>
          <w:rFonts w:hint="eastAsia" w:ascii="仿宋" w:hAnsi="仿宋" w:eastAsia="仿宋" w:cs="仿宋"/>
          <w:color w:val="auto"/>
          <w:sz w:val="24"/>
          <w:szCs w:val="24"/>
          <w:highlight w:val="none"/>
          <w:u w:val="single"/>
        </w:rPr>
        <w:t xml:space="preserve">     </w:t>
      </w:r>
    </w:p>
    <w:p w14:paraId="55F4BAEA">
      <w:pPr>
        <w:rPr>
          <w:rFonts w:hint="eastAsia" w:ascii="仿宋" w:hAnsi="仿宋" w:eastAsia="仿宋" w:cs="仿宋"/>
          <w:color w:val="auto"/>
          <w:sz w:val="24"/>
          <w:szCs w:val="24"/>
          <w:highlight w:val="none"/>
          <w:u w:val="single"/>
        </w:rPr>
      </w:pPr>
    </w:p>
    <w:p w14:paraId="21550668">
      <w:pPr>
        <w:rPr>
          <w:rFonts w:hint="eastAsia" w:ascii="仿宋" w:hAnsi="仿宋" w:eastAsia="仿宋" w:cs="仿宋"/>
          <w:color w:val="auto"/>
          <w:sz w:val="24"/>
          <w:szCs w:val="24"/>
          <w:highlight w:val="none"/>
          <w:u w:val="single"/>
        </w:rPr>
      </w:pPr>
    </w:p>
    <w:p w14:paraId="1D5727BE">
      <w:pPr>
        <w:rPr>
          <w:rFonts w:hint="eastAsia" w:ascii="仿宋" w:hAnsi="仿宋" w:eastAsia="仿宋" w:cs="仿宋"/>
          <w:color w:val="auto"/>
          <w:sz w:val="24"/>
          <w:szCs w:val="24"/>
          <w:highlight w:val="none"/>
          <w:u w:val="single"/>
        </w:rPr>
      </w:pPr>
    </w:p>
    <w:p w14:paraId="6C9CE348">
      <w:pPr>
        <w:jc w:val="center"/>
        <w:rPr>
          <w:rFonts w:hint="eastAsia" w:ascii="仿宋" w:hAnsi="仿宋" w:eastAsia="仿宋" w:cs="仿宋"/>
          <w:b/>
          <w:bCs/>
          <w:color w:val="auto"/>
          <w:szCs w:val="28"/>
          <w:highlight w:val="none"/>
        </w:rPr>
      </w:pPr>
      <w:r>
        <w:rPr>
          <w:rFonts w:hint="eastAsia" w:ascii="仿宋" w:hAnsi="仿宋" w:eastAsia="仿宋" w:cs="仿宋"/>
          <w:b/>
          <w:bCs/>
          <w:color w:val="auto"/>
          <w:sz w:val="28"/>
          <w:szCs w:val="28"/>
          <w:highlight w:val="none"/>
        </w:rPr>
        <w:t>第二部分 通用合同条款</w:t>
      </w:r>
      <w:bookmarkEnd w:id="1472"/>
      <w:bookmarkStart w:id="1488" w:name="_Toc337558727"/>
      <w:r>
        <w:rPr>
          <w:rFonts w:hint="eastAsia" w:ascii="仿宋" w:hAnsi="仿宋" w:eastAsia="仿宋" w:cs="仿宋"/>
          <w:b/>
          <w:bCs/>
          <w:color w:val="auto"/>
          <w:sz w:val="28"/>
          <w:szCs w:val="28"/>
          <w:highlight w:val="none"/>
        </w:rPr>
        <w:t>（略）</w:t>
      </w:r>
      <w:bookmarkEnd w:id="1473"/>
      <w:bookmarkEnd w:id="1474"/>
    </w:p>
    <w:p w14:paraId="0D4BC035">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使用住房城乡建设部、工商总局建市〔2017〕214号文印发的《建设工程施工合同(示范文本)》（GF—2017—0201）第二部分《通用合同条款》，本</w:t>
      </w:r>
      <w:r>
        <w:rPr>
          <w:rFonts w:hint="eastAsia" w:ascii="仿宋" w:hAnsi="仿宋" w:eastAsia="仿宋" w:cs="仿宋"/>
          <w:color w:val="auto"/>
          <w:sz w:val="24"/>
          <w:highlight w:val="none"/>
          <w:lang w:val="en-US" w:eastAsia="zh-CN"/>
        </w:rPr>
        <w:t>处</w:t>
      </w:r>
      <w:r>
        <w:rPr>
          <w:rFonts w:hint="eastAsia" w:ascii="仿宋" w:hAnsi="仿宋" w:eastAsia="仿宋" w:cs="仿宋"/>
          <w:color w:val="auto"/>
          <w:sz w:val="24"/>
          <w:highlight w:val="none"/>
        </w:rPr>
        <w:t>省略。</w:t>
      </w:r>
    </w:p>
    <w:p w14:paraId="70281FF9">
      <w:pPr>
        <w:rPr>
          <w:rFonts w:hint="eastAsia" w:ascii="宋体" w:hAnsi="宋体" w:cs="宋体"/>
          <w:color w:val="auto"/>
          <w:sz w:val="44"/>
          <w:szCs w:val="44"/>
          <w:highlight w:val="none"/>
        </w:rPr>
      </w:pPr>
    </w:p>
    <w:bookmarkEnd w:id="1488"/>
    <w:p w14:paraId="54C89CF6">
      <w:pPr>
        <w:jc w:val="center"/>
        <w:rPr>
          <w:rFonts w:hint="eastAsia" w:ascii="仿宋" w:hAnsi="仿宋" w:eastAsia="仿宋" w:cs="仿宋"/>
          <w:b/>
          <w:bCs/>
          <w:color w:val="auto"/>
          <w:sz w:val="28"/>
          <w:szCs w:val="28"/>
          <w:highlight w:val="none"/>
        </w:rPr>
      </w:pPr>
      <w:bookmarkStart w:id="1489" w:name="_Toc44424654"/>
      <w:bookmarkStart w:id="1490" w:name="_Toc533413102"/>
      <w:r>
        <w:rPr>
          <w:rFonts w:hint="eastAsia" w:ascii="仿宋" w:hAnsi="仿宋" w:eastAsia="仿宋" w:cs="仿宋"/>
          <w:b/>
          <w:bCs/>
          <w:color w:val="auto"/>
          <w:sz w:val="28"/>
          <w:szCs w:val="28"/>
          <w:highlight w:val="none"/>
        </w:rPr>
        <w:t>第三部分 专用合同条款</w:t>
      </w:r>
      <w:bookmarkEnd w:id="1489"/>
      <w:bookmarkEnd w:id="1490"/>
    </w:p>
    <w:p w14:paraId="4D29A83A">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 xml:space="preserve">  </w:t>
      </w:r>
    </w:p>
    <w:p w14:paraId="29E94371">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 一般约定</w:t>
      </w:r>
    </w:p>
    <w:p w14:paraId="389AB2BF">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491" w:name="_Toc25141759"/>
      <w:r>
        <w:rPr>
          <w:rFonts w:hint="eastAsia" w:ascii="仿宋" w:hAnsi="仿宋" w:eastAsia="仿宋" w:cs="仿宋"/>
          <w:color w:val="auto"/>
          <w:sz w:val="24"/>
          <w:szCs w:val="24"/>
          <w:highlight w:val="none"/>
        </w:rPr>
        <w:t>1.1 词语定义</w:t>
      </w:r>
      <w:bookmarkEnd w:id="1491"/>
    </w:p>
    <w:p w14:paraId="33ECC67B">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1.1.1合同</w:t>
      </w:r>
    </w:p>
    <w:p w14:paraId="38F85EB7">
      <w:pPr>
        <w:keepNext w:val="0"/>
        <w:keepLines w:val="0"/>
        <w:pageBreakBefore w:val="0"/>
        <w:widowControl w:val="0"/>
        <w:kinsoku/>
        <w:wordWrap/>
        <w:overflowPunct/>
        <w:topLinePunct w:val="0"/>
        <w:bidi w:val="0"/>
        <w:snapToGrid/>
        <w:spacing w:line="440" w:lineRule="exact"/>
        <w:ind w:left="1155" w:hanging="1320" w:hangingChars="55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1.1.1.10其他合同文件包括：</w:t>
      </w:r>
      <w:r>
        <w:rPr>
          <w:rFonts w:hint="eastAsia" w:ascii="仿宋" w:hAnsi="仿宋" w:eastAsia="仿宋" w:cs="仿宋"/>
          <w:color w:val="auto"/>
          <w:sz w:val="24"/>
          <w:szCs w:val="24"/>
          <w:highlight w:val="none"/>
          <w:u w:val="single"/>
        </w:rPr>
        <w:t>合同履行中，发包人和承包人有关工程的工作联系单、会议纪要、工程变更、工程洽商、有关通知、信件、数据电文等，以及法律、法规规定具有证明效力和合同效力的文件或资料视为本合同的组成部分</w:t>
      </w:r>
      <w:r>
        <w:rPr>
          <w:rFonts w:hint="eastAsia" w:ascii="仿宋" w:hAnsi="仿宋" w:eastAsia="仿宋" w:cs="仿宋"/>
          <w:color w:val="auto"/>
          <w:sz w:val="24"/>
          <w:szCs w:val="24"/>
          <w:highlight w:val="none"/>
        </w:rPr>
        <w:t>。</w:t>
      </w:r>
    </w:p>
    <w:p w14:paraId="00EC6B8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 合同当事人及其他相关方</w:t>
      </w:r>
    </w:p>
    <w:p w14:paraId="56876BEC">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1.1.2.4监理人：</w:t>
      </w:r>
    </w:p>
    <w:p w14:paraId="2E42766B">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w:t>
      </w:r>
    </w:p>
    <w:p w14:paraId="187CA05A">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资质类别和等级：</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668BA20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792F2635">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030DEBEF">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604E29A1">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1.1.2.5 设计人：</w:t>
      </w:r>
    </w:p>
    <w:p w14:paraId="1780FBB8">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w:t>
      </w:r>
    </w:p>
    <w:p w14:paraId="00FDEF0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资质类别和等级：</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3103681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57FBC8C1">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BFA6A9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2A9C465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 工程和设备</w:t>
      </w:r>
    </w:p>
    <w:p w14:paraId="260BE2CA">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1.1.3.7 作为施工现场组成部分的其他场所包括：</w:t>
      </w:r>
      <w:r>
        <w:rPr>
          <w:rFonts w:hint="eastAsia" w:ascii="仿宋" w:hAnsi="仿宋" w:eastAsia="仿宋" w:cs="仿宋"/>
          <w:color w:val="auto"/>
          <w:sz w:val="24"/>
          <w:szCs w:val="24"/>
          <w:highlight w:val="none"/>
          <w:u w:val="single"/>
        </w:rPr>
        <w:t>现场临时办公及施工场地</w:t>
      </w:r>
      <w:r>
        <w:rPr>
          <w:rFonts w:hint="eastAsia" w:ascii="仿宋" w:hAnsi="仿宋" w:eastAsia="仿宋" w:cs="仿宋"/>
          <w:color w:val="auto"/>
          <w:sz w:val="24"/>
          <w:szCs w:val="24"/>
          <w:highlight w:val="none"/>
        </w:rPr>
        <w:t>。</w:t>
      </w:r>
    </w:p>
    <w:p w14:paraId="2F1BD64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1.1.3.9 永久占地包括：</w:t>
      </w:r>
      <w:r>
        <w:rPr>
          <w:rFonts w:hint="eastAsia" w:ascii="仿宋" w:hAnsi="仿宋" w:eastAsia="仿宋" w:cs="仿宋"/>
          <w:color w:val="auto"/>
          <w:sz w:val="24"/>
          <w:szCs w:val="24"/>
          <w:highlight w:val="none"/>
          <w:u w:val="single"/>
        </w:rPr>
        <w:t xml:space="preserve"> 合同履行中根据实际情况双方共同确定</w:t>
      </w:r>
      <w:r>
        <w:rPr>
          <w:rFonts w:hint="eastAsia" w:ascii="仿宋" w:hAnsi="仿宋" w:eastAsia="仿宋" w:cs="仿宋"/>
          <w:color w:val="auto"/>
          <w:kern w:val="0"/>
          <w:sz w:val="24"/>
          <w:szCs w:val="24"/>
          <w:highlight w:val="none"/>
        </w:rPr>
        <w:t>。</w:t>
      </w:r>
    </w:p>
    <w:p w14:paraId="490AD9F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1.1.3.10 临时占地包括：</w:t>
      </w:r>
      <w:r>
        <w:rPr>
          <w:rFonts w:hint="eastAsia" w:ascii="仿宋" w:hAnsi="仿宋" w:eastAsia="仿宋" w:cs="仿宋"/>
          <w:color w:val="auto"/>
          <w:sz w:val="24"/>
          <w:szCs w:val="24"/>
          <w:highlight w:val="none"/>
          <w:u w:val="single"/>
        </w:rPr>
        <w:t xml:space="preserve">  合同履行中根据实际情况双方共同确定</w:t>
      </w:r>
      <w:r>
        <w:rPr>
          <w:rFonts w:hint="eastAsia" w:ascii="仿宋" w:hAnsi="仿宋" w:eastAsia="仿宋" w:cs="仿宋"/>
          <w:color w:val="auto"/>
          <w:kern w:val="0"/>
          <w:sz w:val="24"/>
          <w:szCs w:val="24"/>
          <w:highlight w:val="none"/>
        </w:rPr>
        <w:t>。</w:t>
      </w:r>
    </w:p>
    <w:p w14:paraId="7F2FDAE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1.3法律 </w:t>
      </w:r>
    </w:p>
    <w:p w14:paraId="5A355C70">
      <w:pPr>
        <w:keepNext w:val="0"/>
        <w:keepLines w:val="0"/>
        <w:pageBreakBefore w:val="0"/>
        <w:widowControl w:val="0"/>
        <w:kinsoku/>
        <w:wordWrap/>
        <w:overflowPunct/>
        <w:topLinePunct w:val="0"/>
        <w:autoSpaceDE w:val="0"/>
        <w:autoSpaceDN w:val="0"/>
        <w:bidi w:val="0"/>
        <w:adjustRightInd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适用于合同的其他规范性文件：</w:t>
      </w:r>
      <w:r>
        <w:rPr>
          <w:rFonts w:hint="eastAsia" w:ascii="仿宋" w:hAnsi="仿宋" w:eastAsia="仿宋" w:cs="仿宋"/>
          <w:color w:val="auto"/>
          <w:sz w:val="24"/>
          <w:szCs w:val="24"/>
          <w:highlight w:val="none"/>
          <w:u w:val="single"/>
        </w:rPr>
        <w:t xml:space="preserve">《中华人民共和国民法典》、《中华人民共和国建筑法》、《中华人民共和国招标投标法》、《中华人民共和国安全生产法》、《建设工程质量管理条例》以及其他有关法律、法规、条例和行政规范性文件  </w:t>
      </w:r>
      <w:r>
        <w:rPr>
          <w:rFonts w:hint="eastAsia" w:ascii="仿宋" w:hAnsi="仿宋" w:eastAsia="仿宋" w:cs="仿宋"/>
          <w:color w:val="auto"/>
          <w:sz w:val="24"/>
          <w:szCs w:val="24"/>
          <w:highlight w:val="none"/>
        </w:rPr>
        <w:t>。</w:t>
      </w:r>
    </w:p>
    <w:p w14:paraId="79EED801">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 标准和规范</w:t>
      </w:r>
    </w:p>
    <w:p w14:paraId="2D4298F8">
      <w:pPr>
        <w:keepNext w:val="0"/>
        <w:keepLines w:val="0"/>
        <w:pageBreakBefore w:val="0"/>
        <w:widowControl w:val="0"/>
        <w:kinsoku/>
        <w:wordWrap/>
        <w:overflowPunct/>
        <w:topLinePunct w:val="0"/>
        <w:bidi w:val="0"/>
        <w:snapToGrid/>
        <w:spacing w:line="440" w:lineRule="exact"/>
        <w:ind w:left="0" w:leftChars="0" w:firstLine="420" w:firstLineChars="1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1.4.1适用于工程的标准规范包括：</w:t>
      </w:r>
      <w:r>
        <w:rPr>
          <w:rFonts w:hint="eastAsia" w:ascii="仿宋" w:hAnsi="仿宋" w:eastAsia="仿宋" w:cs="仿宋"/>
          <w:color w:val="auto"/>
          <w:sz w:val="24"/>
          <w:szCs w:val="24"/>
          <w:highlight w:val="none"/>
          <w:u w:val="single"/>
        </w:rPr>
        <w:t>中华人民共和国现行标准规范、或（和）行业标准规范、或（和）工程所在地方的标准规范</w:t>
      </w:r>
      <w:r>
        <w:rPr>
          <w:rFonts w:hint="eastAsia" w:ascii="仿宋" w:hAnsi="仿宋" w:eastAsia="仿宋" w:cs="仿宋"/>
          <w:color w:val="auto"/>
          <w:sz w:val="24"/>
          <w:szCs w:val="24"/>
          <w:highlight w:val="none"/>
        </w:rPr>
        <w:t>。</w:t>
      </w:r>
    </w:p>
    <w:p w14:paraId="2F0B3E5A">
      <w:pPr>
        <w:keepNext w:val="0"/>
        <w:keepLines w:val="0"/>
        <w:pageBreakBefore w:val="0"/>
        <w:widowControl w:val="0"/>
        <w:kinsoku/>
        <w:wordWrap/>
        <w:overflowPunct/>
        <w:topLinePunct w:val="0"/>
        <w:bidi w:val="0"/>
        <w:snapToGrid/>
        <w:spacing w:line="440" w:lineRule="exact"/>
        <w:ind w:left="0" w:leftChars="0" w:firstLine="420" w:firstLineChars="1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1.4.2 发包人提供国外标准、规范的名称：</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  ；</w:t>
      </w:r>
    </w:p>
    <w:p w14:paraId="7C6F5EDB">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发包人提供国外标准、规范的份数：</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u w:val="single"/>
        </w:rPr>
        <w:t xml:space="preserve"> 无</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03A9148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发包人提供国外标准、规范的名称：</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u w:val="single"/>
        </w:rPr>
        <w:t xml:space="preserve"> 无</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6775B565">
      <w:pPr>
        <w:keepNext w:val="0"/>
        <w:keepLines w:val="0"/>
        <w:pageBreakBefore w:val="0"/>
        <w:widowControl w:val="0"/>
        <w:kinsoku/>
        <w:wordWrap/>
        <w:overflowPunct/>
        <w:topLinePunct w:val="0"/>
        <w:bidi w:val="0"/>
        <w:snapToGrid/>
        <w:spacing w:line="440" w:lineRule="exact"/>
        <w:ind w:left="0" w:leftChars="0" w:firstLine="420" w:firstLineChars="1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1.4.3发包人对工程的技术标准和功能要求的特殊要求：</w:t>
      </w:r>
      <w:r>
        <w:rPr>
          <w:rFonts w:hint="eastAsia" w:ascii="仿宋" w:hAnsi="仿宋" w:eastAsia="仿宋" w:cs="仿宋"/>
          <w:color w:val="auto"/>
          <w:sz w:val="24"/>
          <w:szCs w:val="24"/>
          <w:highlight w:val="none"/>
          <w:u w:val="single"/>
        </w:rPr>
        <w:t xml:space="preserve"> 满足医疗行业相关标准  </w:t>
      </w:r>
      <w:r>
        <w:rPr>
          <w:rFonts w:hint="eastAsia" w:ascii="仿宋" w:hAnsi="仿宋" w:eastAsia="仿宋" w:cs="仿宋"/>
          <w:color w:val="auto"/>
          <w:sz w:val="24"/>
          <w:szCs w:val="24"/>
          <w:highlight w:val="none"/>
        </w:rPr>
        <w:t>。</w:t>
      </w:r>
    </w:p>
    <w:p w14:paraId="5FC450B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492" w:name="_Toc25141760"/>
      <w:r>
        <w:rPr>
          <w:rFonts w:hint="eastAsia" w:ascii="仿宋" w:hAnsi="仿宋" w:eastAsia="仿宋" w:cs="仿宋"/>
          <w:color w:val="auto"/>
          <w:sz w:val="24"/>
          <w:szCs w:val="24"/>
          <w:highlight w:val="none"/>
        </w:rPr>
        <w:t>1.5 合同文件的优先顺序</w:t>
      </w:r>
      <w:bookmarkEnd w:id="1492"/>
    </w:p>
    <w:p w14:paraId="6622FF3A">
      <w:pPr>
        <w:keepNext w:val="0"/>
        <w:keepLines w:val="0"/>
        <w:pageBreakBefore w:val="0"/>
        <w:widowControl w:val="0"/>
        <w:kinsoku/>
        <w:wordWrap/>
        <w:overflowPunct/>
        <w:topLinePunct w:val="0"/>
        <w:bidi w:val="0"/>
        <w:snapToGrid/>
        <w:spacing w:line="440" w:lineRule="exact"/>
        <w:ind w:firstLine="6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合同文件组成及优先顺序为：</w:t>
      </w:r>
      <w:r>
        <w:rPr>
          <w:rFonts w:hint="eastAsia" w:ascii="仿宋" w:hAnsi="仿宋" w:eastAsia="仿宋" w:cs="仿宋"/>
          <w:color w:val="auto"/>
          <w:sz w:val="24"/>
          <w:szCs w:val="24"/>
          <w:highlight w:val="none"/>
          <w:u w:val="single"/>
        </w:rPr>
        <w:t>（1）合同协议书（2）中标通知书（3）承包人投标文件及其附件（含承诺函、投标函和投标函附录等）（4）专用条款（5）通用条款（6）工程建设标准（含招标文件答疑纪要中与此有关的部分）（7）工程量清单及其说明、图纸（含招标文件答疑纪要中与此有关的部分）（8）工程报价单或预算书（9）构成本合同的其他文件。</w:t>
      </w:r>
    </w:p>
    <w:p w14:paraId="4F18C5A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493" w:name="_Toc25141761"/>
      <w:r>
        <w:rPr>
          <w:rFonts w:hint="eastAsia" w:ascii="仿宋" w:hAnsi="仿宋" w:eastAsia="仿宋" w:cs="仿宋"/>
          <w:color w:val="auto"/>
          <w:sz w:val="24"/>
          <w:szCs w:val="24"/>
          <w:highlight w:val="none"/>
        </w:rPr>
        <w:t>1.6 图纸和承包人文件</w:t>
      </w:r>
      <w:bookmarkEnd w:id="1493"/>
      <w:r>
        <w:rPr>
          <w:rFonts w:hint="eastAsia" w:ascii="仿宋" w:hAnsi="仿宋" w:eastAsia="仿宋" w:cs="仿宋"/>
          <w:color w:val="auto"/>
          <w:sz w:val="24"/>
          <w:szCs w:val="24"/>
          <w:highlight w:val="none"/>
        </w:rPr>
        <w:tab/>
      </w:r>
    </w:p>
    <w:p w14:paraId="15065DF4">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 图纸的提供</w:t>
      </w:r>
    </w:p>
    <w:p w14:paraId="6EBDBF9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发包人向承包人提供图纸的期限：</w:t>
      </w:r>
      <w:r>
        <w:rPr>
          <w:rFonts w:hint="eastAsia" w:ascii="仿宋" w:hAnsi="仿宋" w:eastAsia="仿宋" w:cs="仿宋"/>
          <w:color w:val="auto"/>
          <w:sz w:val="24"/>
          <w:szCs w:val="24"/>
          <w:highlight w:val="none"/>
          <w:u w:val="single"/>
        </w:rPr>
        <w:t>开工前7日内 </w:t>
      </w:r>
      <w:r>
        <w:rPr>
          <w:rFonts w:hint="eastAsia" w:ascii="仿宋" w:hAnsi="仿宋" w:eastAsia="仿宋" w:cs="仿宋"/>
          <w:color w:val="auto"/>
          <w:sz w:val="24"/>
          <w:szCs w:val="24"/>
          <w:highlight w:val="none"/>
        </w:rPr>
        <w:t>；</w:t>
      </w:r>
    </w:p>
    <w:p w14:paraId="129CF19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发包人向承包人提供图纸的数量：</w:t>
      </w:r>
      <w:r>
        <w:rPr>
          <w:rFonts w:hint="eastAsia" w:ascii="仿宋" w:hAnsi="仿宋" w:eastAsia="仿宋" w:cs="仿宋"/>
          <w:color w:val="auto"/>
          <w:sz w:val="24"/>
          <w:szCs w:val="24"/>
          <w:highlight w:val="none"/>
          <w:u w:val="single"/>
        </w:rPr>
        <w:t>肆套    </w:t>
      </w:r>
      <w:r>
        <w:rPr>
          <w:rFonts w:hint="eastAsia" w:ascii="仿宋" w:hAnsi="仿宋" w:eastAsia="仿宋" w:cs="仿宋"/>
          <w:color w:val="auto"/>
          <w:sz w:val="24"/>
          <w:szCs w:val="24"/>
          <w:highlight w:val="none"/>
        </w:rPr>
        <w:t>；</w:t>
      </w:r>
    </w:p>
    <w:p w14:paraId="6E2AC6E8">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发包人向承包人提供图纸的内容：</w:t>
      </w:r>
      <w:r>
        <w:rPr>
          <w:rFonts w:hint="eastAsia" w:ascii="仿宋" w:hAnsi="仿宋" w:eastAsia="仿宋" w:cs="仿宋"/>
          <w:color w:val="auto"/>
          <w:sz w:val="24"/>
          <w:szCs w:val="24"/>
          <w:highlight w:val="none"/>
          <w:u w:val="single"/>
        </w:rPr>
        <w:t>经发包人认可，图审合格全部施工图纸</w:t>
      </w:r>
      <w:r>
        <w:rPr>
          <w:rFonts w:hint="eastAsia" w:ascii="仿宋" w:hAnsi="仿宋" w:eastAsia="仿宋" w:cs="仿宋"/>
          <w:color w:val="auto"/>
          <w:sz w:val="24"/>
          <w:szCs w:val="24"/>
          <w:highlight w:val="none"/>
        </w:rPr>
        <w:t>。</w:t>
      </w:r>
    </w:p>
    <w:p w14:paraId="7BC414AB">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1.6.4 承包人文件</w:t>
      </w:r>
    </w:p>
    <w:p w14:paraId="0C3939BE">
      <w:pPr>
        <w:keepNext w:val="0"/>
        <w:keepLines w:val="0"/>
        <w:pageBreakBefore w:val="0"/>
        <w:widowControl w:val="0"/>
        <w:kinsoku/>
        <w:wordWrap/>
        <w:overflowPunct/>
        <w:topLinePunct w:val="0"/>
        <w:bidi w:val="0"/>
        <w:snapToGrid/>
        <w:spacing w:line="440" w:lineRule="exact"/>
        <w:ind w:left="596" w:leftChars="284"/>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需要由承包人提供的文件，包括：</w:t>
      </w:r>
      <w:r>
        <w:rPr>
          <w:rFonts w:hint="eastAsia" w:ascii="仿宋" w:hAnsi="仿宋" w:eastAsia="仿宋" w:cs="仿宋"/>
          <w:color w:val="auto"/>
          <w:sz w:val="24"/>
          <w:szCs w:val="24"/>
          <w:highlight w:val="none"/>
          <w:u w:val="single"/>
        </w:rPr>
        <w:t xml:space="preserve">施工组织设计及方案、总进度计划、工程量报表、月报表及计划、竣工资料及施工过程中因工程变更需要报送的施工方案、施工过程中涉及工程价款变更的相关资料 </w:t>
      </w:r>
      <w:r>
        <w:rPr>
          <w:rFonts w:hint="eastAsia" w:ascii="仿宋" w:hAnsi="仿宋" w:eastAsia="仿宋" w:cs="仿宋"/>
          <w:color w:val="auto"/>
          <w:sz w:val="24"/>
          <w:szCs w:val="24"/>
          <w:highlight w:val="none"/>
        </w:rPr>
        <w:t>；</w:t>
      </w:r>
    </w:p>
    <w:p w14:paraId="7C1C1087">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承包人提供的文件的期限为：</w:t>
      </w:r>
      <w:r>
        <w:rPr>
          <w:rFonts w:hint="eastAsia" w:ascii="仿宋" w:hAnsi="仿宋" w:eastAsia="仿宋" w:cs="仿宋"/>
          <w:color w:val="auto"/>
          <w:sz w:val="24"/>
          <w:szCs w:val="24"/>
          <w:highlight w:val="none"/>
          <w:u w:val="single"/>
        </w:rPr>
        <w:t>开工前7日内报实施性施工组织设计、总进度计划、工程量报表；每月25日报送本月工程进度完成报表、次月工程进度计划；每周一提交施工周报，包括上周完成情况及本周计划</w:t>
      </w:r>
    </w:p>
    <w:p w14:paraId="66604E17">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承包人提供的文件的数量为：</w:t>
      </w:r>
      <w:r>
        <w:rPr>
          <w:rFonts w:hint="eastAsia" w:ascii="仿宋" w:hAnsi="仿宋" w:eastAsia="仿宋" w:cs="仿宋"/>
          <w:color w:val="auto"/>
          <w:sz w:val="24"/>
          <w:szCs w:val="24"/>
          <w:highlight w:val="none"/>
          <w:u w:val="single"/>
        </w:rPr>
        <w:t>不少于6套     </w:t>
      </w:r>
      <w:r>
        <w:rPr>
          <w:rFonts w:hint="eastAsia" w:ascii="仿宋" w:hAnsi="仿宋" w:eastAsia="仿宋" w:cs="仿宋"/>
          <w:color w:val="auto"/>
          <w:sz w:val="24"/>
          <w:szCs w:val="24"/>
          <w:highlight w:val="none"/>
        </w:rPr>
        <w:t>；</w:t>
      </w:r>
    </w:p>
    <w:p w14:paraId="2713F888">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承包人提供的文件的形式为：</w:t>
      </w:r>
      <w:r>
        <w:rPr>
          <w:rFonts w:hint="eastAsia" w:ascii="仿宋" w:hAnsi="仿宋" w:eastAsia="仿宋" w:cs="仿宋"/>
          <w:color w:val="auto"/>
          <w:sz w:val="24"/>
          <w:szCs w:val="24"/>
          <w:highlight w:val="none"/>
          <w:u w:val="single"/>
        </w:rPr>
        <w:t> 书面文件     </w:t>
      </w:r>
      <w:r>
        <w:rPr>
          <w:rFonts w:hint="eastAsia" w:ascii="仿宋" w:hAnsi="仿宋" w:eastAsia="仿宋" w:cs="仿宋"/>
          <w:color w:val="auto"/>
          <w:sz w:val="24"/>
          <w:szCs w:val="24"/>
          <w:highlight w:val="none"/>
        </w:rPr>
        <w:t>；</w:t>
      </w:r>
    </w:p>
    <w:p w14:paraId="685440A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发包人审批承包人文件的期限：</w:t>
      </w:r>
      <w:r>
        <w:rPr>
          <w:rFonts w:hint="eastAsia" w:ascii="仿宋" w:hAnsi="仿宋" w:eastAsia="仿宋" w:cs="仿宋"/>
          <w:color w:val="auto"/>
          <w:sz w:val="24"/>
          <w:szCs w:val="24"/>
          <w:highlight w:val="none"/>
          <w:u w:val="single"/>
        </w:rPr>
        <w:t>不少于该工作实施前14天</w:t>
      </w:r>
      <w:r>
        <w:rPr>
          <w:rFonts w:hint="eastAsia" w:ascii="仿宋" w:hAnsi="仿宋" w:eastAsia="仿宋" w:cs="仿宋"/>
          <w:color w:val="auto"/>
          <w:sz w:val="24"/>
          <w:szCs w:val="24"/>
          <w:highlight w:val="none"/>
        </w:rPr>
        <w:t>。</w:t>
      </w:r>
    </w:p>
    <w:p w14:paraId="1C95EFB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1.6.5 现场图纸准备</w:t>
      </w:r>
    </w:p>
    <w:p w14:paraId="354086BF">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关于现场图纸准备的约定：</w:t>
      </w:r>
      <w:r>
        <w:rPr>
          <w:rFonts w:hint="eastAsia" w:ascii="仿宋" w:hAnsi="仿宋" w:eastAsia="仿宋" w:cs="仿宋"/>
          <w:color w:val="auto"/>
          <w:sz w:val="24"/>
          <w:szCs w:val="24"/>
          <w:highlight w:val="none"/>
          <w:u w:val="single"/>
        </w:rPr>
        <w:t>由承包人负责</w:t>
      </w:r>
      <w:r>
        <w:rPr>
          <w:rFonts w:hint="eastAsia" w:ascii="仿宋" w:hAnsi="仿宋" w:eastAsia="仿宋" w:cs="仿宋"/>
          <w:color w:val="auto"/>
          <w:sz w:val="24"/>
          <w:szCs w:val="24"/>
          <w:highlight w:val="none"/>
        </w:rPr>
        <w:t>。</w:t>
      </w:r>
    </w:p>
    <w:p w14:paraId="26339D6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494" w:name="_Toc25141762"/>
      <w:r>
        <w:rPr>
          <w:rFonts w:hint="eastAsia" w:ascii="仿宋" w:hAnsi="仿宋" w:eastAsia="仿宋" w:cs="仿宋"/>
          <w:color w:val="auto"/>
          <w:sz w:val="24"/>
          <w:szCs w:val="24"/>
          <w:highlight w:val="none"/>
        </w:rPr>
        <w:t>1.7 联络</w:t>
      </w:r>
      <w:bookmarkEnd w:id="1494"/>
    </w:p>
    <w:p w14:paraId="47F3F57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1.7.1发包人和承包人应当在</w:t>
      </w:r>
      <w:r>
        <w:rPr>
          <w:rFonts w:hint="eastAsia" w:ascii="仿宋" w:hAnsi="仿宋" w:eastAsia="仿宋" w:cs="仿宋"/>
          <w:color w:val="auto"/>
          <w:sz w:val="24"/>
          <w:szCs w:val="24"/>
          <w:highlight w:val="none"/>
          <w:u w:val="single"/>
        </w:rPr>
        <w:t xml:space="preserve">7  </w:t>
      </w:r>
      <w:r>
        <w:rPr>
          <w:rFonts w:hint="eastAsia" w:ascii="仿宋" w:hAnsi="仿宋" w:eastAsia="仿宋" w:cs="仿宋"/>
          <w:color w:val="auto"/>
          <w:kern w:val="0"/>
          <w:sz w:val="24"/>
          <w:szCs w:val="24"/>
          <w:highlight w:val="none"/>
        </w:rPr>
        <w:t>天内将与合同有关的通知、批准、证明、证书、指示、指令、要求、请求、同意、意见、确定和决定等书面函件送达对方当事人。</w:t>
      </w:r>
    </w:p>
    <w:p w14:paraId="1EB51BE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1.7.2 发包人接收文件的地点：</w:t>
      </w:r>
      <w:r>
        <w:rPr>
          <w:rFonts w:hint="eastAsia" w:ascii="仿宋" w:hAnsi="仿宋" w:eastAsia="仿宋" w:cs="仿宋"/>
          <w:color w:val="auto"/>
          <w:sz w:val="24"/>
          <w:szCs w:val="24"/>
          <w:highlight w:val="none"/>
          <w:u w:val="single"/>
        </w:rPr>
        <w:t>发包人工地工程项目办公室</w:t>
      </w:r>
      <w:r>
        <w:rPr>
          <w:rFonts w:hint="eastAsia" w:ascii="仿宋" w:hAnsi="仿宋" w:eastAsia="仿宋" w:cs="仿宋"/>
          <w:color w:val="auto"/>
          <w:kern w:val="0"/>
          <w:sz w:val="24"/>
          <w:szCs w:val="24"/>
          <w:highlight w:val="none"/>
        </w:rPr>
        <w:t>；</w:t>
      </w:r>
    </w:p>
    <w:p w14:paraId="07E22D04">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发包人指定的接收人为：</w:t>
      </w:r>
      <w:r>
        <w:rPr>
          <w:rFonts w:hint="eastAsia" w:ascii="仿宋" w:hAnsi="仿宋" w:eastAsia="仿宋" w:cs="仿宋"/>
          <w:color w:val="auto"/>
          <w:sz w:val="24"/>
          <w:szCs w:val="24"/>
          <w:highlight w:val="none"/>
          <w:u w:val="single"/>
        </w:rPr>
        <w:t>               </w:t>
      </w:r>
      <w:r>
        <w:rPr>
          <w:rFonts w:hint="eastAsia" w:ascii="仿宋" w:hAnsi="仿宋" w:eastAsia="仿宋" w:cs="仿宋"/>
          <w:color w:val="auto"/>
          <w:kern w:val="0"/>
          <w:sz w:val="24"/>
          <w:szCs w:val="24"/>
          <w:highlight w:val="none"/>
        </w:rPr>
        <w:t>。</w:t>
      </w:r>
    </w:p>
    <w:p w14:paraId="7F11BBC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承包人接收文件的地点：</w:t>
      </w:r>
      <w:r>
        <w:rPr>
          <w:rFonts w:hint="eastAsia" w:ascii="仿宋" w:hAnsi="仿宋" w:eastAsia="仿宋" w:cs="仿宋"/>
          <w:color w:val="auto"/>
          <w:sz w:val="24"/>
          <w:szCs w:val="24"/>
          <w:highlight w:val="none"/>
          <w:u w:val="single"/>
        </w:rPr>
        <w:t>工程现场项目部        </w:t>
      </w:r>
      <w:r>
        <w:rPr>
          <w:rFonts w:hint="eastAsia" w:ascii="仿宋" w:hAnsi="仿宋" w:eastAsia="仿宋" w:cs="仿宋"/>
          <w:color w:val="auto"/>
          <w:kern w:val="0"/>
          <w:sz w:val="24"/>
          <w:szCs w:val="24"/>
          <w:highlight w:val="none"/>
        </w:rPr>
        <w:t>；</w:t>
      </w:r>
    </w:p>
    <w:p w14:paraId="3C03669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承包人指定的接收人为：</w:t>
      </w:r>
      <w:r>
        <w:rPr>
          <w:rFonts w:hint="eastAsia" w:ascii="仿宋" w:hAnsi="仿宋" w:eastAsia="仿宋" w:cs="仿宋"/>
          <w:color w:val="auto"/>
          <w:sz w:val="24"/>
          <w:szCs w:val="24"/>
          <w:highlight w:val="none"/>
          <w:u w:val="single"/>
        </w:rPr>
        <w:t>             </w:t>
      </w:r>
      <w:r>
        <w:rPr>
          <w:rFonts w:hint="eastAsia" w:ascii="仿宋" w:hAnsi="仿宋" w:eastAsia="仿宋" w:cs="仿宋"/>
          <w:color w:val="auto"/>
          <w:kern w:val="0"/>
          <w:sz w:val="24"/>
          <w:szCs w:val="24"/>
          <w:highlight w:val="none"/>
        </w:rPr>
        <w:t>。</w:t>
      </w:r>
    </w:p>
    <w:p w14:paraId="6FFE933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监理人接收文件的地点：</w:t>
      </w:r>
      <w:r>
        <w:rPr>
          <w:rFonts w:hint="eastAsia" w:ascii="仿宋" w:hAnsi="仿宋" w:eastAsia="仿宋" w:cs="仿宋"/>
          <w:color w:val="auto"/>
          <w:sz w:val="24"/>
          <w:szCs w:val="24"/>
          <w:highlight w:val="none"/>
          <w:u w:val="single"/>
        </w:rPr>
        <w:t>工程现场项目部    </w:t>
      </w:r>
      <w:r>
        <w:rPr>
          <w:rFonts w:hint="eastAsia" w:ascii="仿宋" w:hAnsi="仿宋" w:eastAsia="仿宋" w:cs="仿宋"/>
          <w:color w:val="auto"/>
          <w:kern w:val="0"/>
          <w:sz w:val="24"/>
          <w:szCs w:val="24"/>
          <w:highlight w:val="none"/>
        </w:rPr>
        <w:t>；</w:t>
      </w:r>
    </w:p>
    <w:p w14:paraId="7559A677">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监理人指定的接收人为：</w:t>
      </w:r>
      <w:r>
        <w:rPr>
          <w:rFonts w:hint="eastAsia" w:ascii="仿宋" w:hAnsi="仿宋" w:eastAsia="仿宋" w:cs="仿宋"/>
          <w:color w:val="auto"/>
          <w:sz w:val="24"/>
          <w:szCs w:val="24"/>
          <w:highlight w:val="none"/>
          <w:u w:val="single"/>
        </w:rPr>
        <w:t>            </w:t>
      </w:r>
      <w:r>
        <w:rPr>
          <w:rFonts w:hint="eastAsia" w:ascii="仿宋" w:hAnsi="仿宋" w:eastAsia="仿宋" w:cs="仿宋"/>
          <w:color w:val="auto"/>
          <w:kern w:val="0"/>
          <w:sz w:val="24"/>
          <w:szCs w:val="24"/>
          <w:highlight w:val="none"/>
        </w:rPr>
        <w:t>。</w:t>
      </w:r>
    </w:p>
    <w:p w14:paraId="26996F9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495" w:name="_Toc25141763"/>
      <w:r>
        <w:rPr>
          <w:rFonts w:hint="eastAsia" w:ascii="仿宋" w:hAnsi="仿宋" w:eastAsia="仿宋" w:cs="仿宋"/>
          <w:color w:val="auto"/>
          <w:sz w:val="24"/>
          <w:szCs w:val="24"/>
          <w:highlight w:val="none"/>
        </w:rPr>
        <w:t>1.10 交通运输</w:t>
      </w:r>
      <w:bookmarkEnd w:id="1495"/>
    </w:p>
    <w:p w14:paraId="5CE7BB3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1.10.1 出入现场的权利</w:t>
      </w:r>
    </w:p>
    <w:p w14:paraId="62AEBB5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关于出入现场的权利的约定：</w:t>
      </w:r>
      <w:r>
        <w:rPr>
          <w:rFonts w:hint="eastAsia" w:ascii="仿宋" w:hAnsi="仿宋" w:eastAsia="仿宋" w:cs="仿宋"/>
          <w:color w:val="auto"/>
          <w:sz w:val="24"/>
          <w:szCs w:val="24"/>
          <w:highlight w:val="none"/>
          <w:u w:val="single"/>
        </w:rPr>
        <w:t>由发包人负责取得出入施工现场所需的批准手续和全部权利。承包人应协助发包人办理修建场内外道路、桥梁以及其他基础设施的手续。</w:t>
      </w:r>
    </w:p>
    <w:p w14:paraId="37E31B2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1.10.3 场内交通</w:t>
      </w:r>
    </w:p>
    <w:p w14:paraId="6804168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关于场外交通和场内交通的边界的约定：</w:t>
      </w:r>
      <w:r>
        <w:rPr>
          <w:rFonts w:hint="eastAsia" w:ascii="仿宋" w:hAnsi="仿宋" w:eastAsia="仿宋" w:cs="仿宋"/>
          <w:color w:val="auto"/>
          <w:sz w:val="24"/>
          <w:szCs w:val="24"/>
          <w:highlight w:val="none"/>
          <w:u w:val="single"/>
        </w:rPr>
        <w:t xml:space="preserve">项目施工现场大门为界 </w:t>
      </w:r>
      <w:r>
        <w:rPr>
          <w:rFonts w:hint="eastAsia" w:ascii="仿宋" w:hAnsi="仿宋" w:eastAsia="仿宋" w:cs="仿宋"/>
          <w:color w:val="auto"/>
          <w:sz w:val="24"/>
          <w:szCs w:val="24"/>
          <w:highlight w:val="none"/>
        </w:rPr>
        <w:t>。</w:t>
      </w:r>
    </w:p>
    <w:p w14:paraId="6B9D43D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关于发包人向承包人免费提供满足工程施工需要的场内道路和交通设施的约定：</w:t>
      </w:r>
      <w:r>
        <w:rPr>
          <w:rFonts w:hint="eastAsia" w:ascii="仿宋" w:hAnsi="仿宋" w:eastAsia="仿宋" w:cs="仿宋"/>
          <w:color w:val="auto"/>
          <w:sz w:val="24"/>
          <w:szCs w:val="24"/>
          <w:highlight w:val="none"/>
          <w:u w:val="single"/>
        </w:rPr>
        <w:t xml:space="preserve">三通一平 </w:t>
      </w:r>
      <w:r>
        <w:rPr>
          <w:rFonts w:hint="eastAsia" w:ascii="仿宋" w:hAnsi="仿宋" w:eastAsia="仿宋" w:cs="仿宋"/>
          <w:color w:val="auto"/>
          <w:sz w:val="24"/>
          <w:szCs w:val="24"/>
          <w:highlight w:val="none"/>
        </w:rPr>
        <w:t xml:space="preserve">。  </w:t>
      </w:r>
    </w:p>
    <w:p w14:paraId="44C2B5F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1.10.4超大件和超重件的运输</w:t>
      </w:r>
    </w:p>
    <w:p w14:paraId="528B025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承包人 </w:t>
      </w:r>
      <w:r>
        <w:rPr>
          <w:rFonts w:hint="eastAsia" w:ascii="仿宋" w:hAnsi="仿宋" w:eastAsia="仿宋" w:cs="仿宋"/>
          <w:color w:val="auto"/>
          <w:sz w:val="24"/>
          <w:szCs w:val="24"/>
          <w:highlight w:val="none"/>
        </w:rPr>
        <w:t>承担。</w:t>
      </w:r>
    </w:p>
    <w:p w14:paraId="3F405F28">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496" w:name="_Toc25141764"/>
      <w:r>
        <w:rPr>
          <w:rFonts w:hint="eastAsia" w:ascii="仿宋" w:hAnsi="仿宋" w:eastAsia="仿宋" w:cs="仿宋"/>
          <w:color w:val="auto"/>
          <w:sz w:val="24"/>
          <w:szCs w:val="24"/>
          <w:highlight w:val="none"/>
        </w:rPr>
        <w:t>1.11 知识产权</w:t>
      </w:r>
      <w:bookmarkEnd w:id="1496"/>
    </w:p>
    <w:p w14:paraId="4BA3D9B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属于发包人  。</w:t>
      </w:r>
    </w:p>
    <w:p w14:paraId="3F55959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关于发包人提供的上述文件的使用限制的要求：</w:t>
      </w:r>
      <w:r>
        <w:rPr>
          <w:rFonts w:hint="eastAsia" w:ascii="仿宋" w:hAnsi="仿宋" w:eastAsia="仿宋" w:cs="仿宋"/>
          <w:color w:val="auto"/>
          <w:sz w:val="24"/>
          <w:szCs w:val="24"/>
          <w:highlight w:val="none"/>
          <w:u w:val="single"/>
        </w:rPr>
        <w:t xml:space="preserve"> 按通用条款执行  </w:t>
      </w:r>
      <w:r>
        <w:rPr>
          <w:rFonts w:hint="eastAsia" w:ascii="仿宋" w:hAnsi="仿宋" w:eastAsia="仿宋" w:cs="仿宋"/>
          <w:color w:val="auto"/>
          <w:sz w:val="24"/>
          <w:szCs w:val="24"/>
          <w:highlight w:val="none"/>
        </w:rPr>
        <w:t>。</w:t>
      </w:r>
    </w:p>
    <w:p w14:paraId="1EC31C2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1.11.2 关于承包人为实施工程所编制文件的著作权的归属：</w:t>
      </w:r>
      <w:r>
        <w:rPr>
          <w:rFonts w:hint="eastAsia" w:ascii="仿宋" w:hAnsi="仿宋" w:eastAsia="仿宋" w:cs="仿宋"/>
          <w:color w:val="auto"/>
          <w:sz w:val="24"/>
          <w:szCs w:val="24"/>
          <w:highlight w:val="none"/>
          <w:u w:val="single"/>
        </w:rPr>
        <w:t xml:space="preserve"> 除署名权以外的著作权属于发包人。</w:t>
      </w:r>
    </w:p>
    <w:p w14:paraId="09E690E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关于承包人提供的上述文件的使用限制的要求：</w:t>
      </w:r>
      <w:r>
        <w:rPr>
          <w:rFonts w:hint="eastAsia" w:ascii="仿宋" w:hAnsi="仿宋" w:eastAsia="仿宋" w:cs="仿宋"/>
          <w:color w:val="auto"/>
          <w:sz w:val="24"/>
          <w:szCs w:val="24"/>
          <w:highlight w:val="none"/>
          <w:u w:val="single"/>
        </w:rPr>
        <w:t>按通用条款执行</w:t>
      </w:r>
      <w:r>
        <w:rPr>
          <w:rFonts w:hint="eastAsia" w:ascii="仿宋" w:hAnsi="仿宋" w:eastAsia="仿宋" w:cs="仿宋"/>
          <w:color w:val="auto"/>
          <w:sz w:val="24"/>
          <w:szCs w:val="24"/>
          <w:highlight w:val="none"/>
        </w:rPr>
        <w:t>。</w:t>
      </w:r>
    </w:p>
    <w:p w14:paraId="76BA6F4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1.11.4 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 承包人承担   </w:t>
      </w:r>
      <w:r>
        <w:rPr>
          <w:rFonts w:hint="eastAsia" w:ascii="仿宋" w:hAnsi="仿宋" w:eastAsia="仿宋" w:cs="仿宋"/>
          <w:color w:val="auto"/>
          <w:sz w:val="24"/>
          <w:szCs w:val="24"/>
          <w:highlight w:val="none"/>
        </w:rPr>
        <w:t>。</w:t>
      </w:r>
    </w:p>
    <w:p w14:paraId="23EF71D6">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1.13工程量清单错误的修正</w:t>
      </w:r>
    </w:p>
    <w:p w14:paraId="5C95FBF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出现工程量清单错误时，是否调整合同价格：</w:t>
      </w:r>
      <w:r>
        <w:rPr>
          <w:rFonts w:hint="eastAsia" w:ascii="仿宋" w:hAnsi="仿宋" w:eastAsia="仿宋" w:cs="仿宋"/>
          <w:color w:val="auto"/>
          <w:sz w:val="24"/>
          <w:szCs w:val="24"/>
          <w:highlight w:val="none"/>
          <w:u w:val="single"/>
        </w:rPr>
        <w:t xml:space="preserve">调整合同价格  </w:t>
      </w:r>
      <w:r>
        <w:rPr>
          <w:rFonts w:hint="eastAsia" w:ascii="仿宋" w:hAnsi="仿宋" w:eastAsia="仿宋" w:cs="仿宋"/>
          <w:color w:val="auto"/>
          <w:kern w:val="0"/>
          <w:sz w:val="24"/>
          <w:szCs w:val="24"/>
          <w:highlight w:val="none"/>
        </w:rPr>
        <w:t>。</w:t>
      </w:r>
    </w:p>
    <w:p w14:paraId="5C12562B">
      <w:pPr>
        <w:pStyle w:val="8"/>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允许调整合同价格的工程量偏差范围：</w:t>
      </w:r>
      <w:r>
        <w:rPr>
          <w:rFonts w:hint="eastAsia" w:ascii="仿宋" w:hAnsi="仿宋" w:eastAsia="仿宋" w:cs="仿宋"/>
          <w:color w:val="auto"/>
          <w:sz w:val="24"/>
          <w:szCs w:val="24"/>
          <w:highlight w:val="none"/>
          <w:u w:val="single"/>
        </w:rPr>
        <w:t>工程量清单漏项及超出工程量偏差±5%以上的工程量部分，据实调整。</w:t>
      </w:r>
      <w:r>
        <w:rPr>
          <w:rFonts w:hint="eastAsia" w:ascii="仿宋" w:hAnsi="仿宋" w:eastAsia="仿宋" w:cs="仿宋"/>
          <w:color w:val="auto"/>
          <w:sz w:val="24"/>
          <w:szCs w:val="24"/>
          <w:highlight w:val="none"/>
        </w:rPr>
        <w:t>若为固定总价合同，不应调整，请与本合同首总分的协议总价款约定尽量一致。避免后期纠纷。</w:t>
      </w:r>
    </w:p>
    <w:p w14:paraId="547EC7B5">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 发包人</w:t>
      </w:r>
    </w:p>
    <w:p w14:paraId="28B3444D">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497" w:name="_Toc25141765"/>
      <w:r>
        <w:rPr>
          <w:rFonts w:hint="eastAsia" w:ascii="仿宋" w:hAnsi="仿宋" w:eastAsia="仿宋" w:cs="仿宋"/>
          <w:color w:val="auto"/>
          <w:sz w:val="24"/>
          <w:szCs w:val="24"/>
          <w:highlight w:val="none"/>
        </w:rPr>
        <w:t>2.2 发包人代表</w:t>
      </w:r>
      <w:bookmarkEnd w:id="1497"/>
    </w:p>
    <w:p w14:paraId="7A344800">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发包人代表：</w:t>
      </w:r>
    </w:p>
    <w:p w14:paraId="55689EFA">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6C00154F">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5B60DF04">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    务：</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5B6ADF4F">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   </w:t>
      </w:r>
      <w:r>
        <w:rPr>
          <w:rFonts w:hint="eastAsia" w:ascii="仿宋" w:hAnsi="仿宋" w:eastAsia="仿宋" w:cs="仿宋"/>
          <w:color w:val="auto"/>
          <w:sz w:val="24"/>
          <w:szCs w:val="24"/>
          <w:highlight w:val="none"/>
        </w:rPr>
        <w:t>；</w:t>
      </w:r>
    </w:p>
    <w:p w14:paraId="38D8540D">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   </w:t>
      </w:r>
      <w:r>
        <w:rPr>
          <w:rFonts w:hint="eastAsia" w:ascii="仿宋" w:hAnsi="仿宋" w:eastAsia="仿宋" w:cs="仿宋"/>
          <w:color w:val="auto"/>
          <w:sz w:val="24"/>
          <w:szCs w:val="24"/>
          <w:highlight w:val="none"/>
        </w:rPr>
        <w:t>；</w:t>
      </w:r>
    </w:p>
    <w:p w14:paraId="65C168B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7A45AFA1">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rPr>
        <w:t>发包人对发包人代表的授权范围如下：</w:t>
      </w:r>
      <w:r>
        <w:rPr>
          <w:rFonts w:hint="eastAsia" w:ascii="仿宋" w:hAnsi="仿宋" w:eastAsia="仿宋" w:cs="仿宋"/>
          <w:color w:val="auto"/>
          <w:sz w:val="24"/>
          <w:szCs w:val="24"/>
          <w:highlight w:val="none"/>
          <w:u w:val="single"/>
        </w:rPr>
        <w:t>负责工程全面的施工管理工作，确认技术核定、工程变更及现场签证。除强制监理的项目和内容外,发包人代表代表发包人履行合同，所有工程结算依据资料及现场签证均需发包人代表签字;重大事项的确认、调整及处理，包括但不限于合同的变更、设计文件的改变、工程进度和工程价款的确认、调整、索赔等，除发包人代表签字外，还必须获得发包人的书面确认，并符合发包人的相关管理和审批程序</w:t>
      </w:r>
      <w:r>
        <w:rPr>
          <w:rFonts w:hint="eastAsia" w:ascii="仿宋" w:hAnsi="仿宋" w:eastAsia="仿宋" w:cs="仿宋"/>
          <w:color w:val="auto"/>
          <w:sz w:val="24"/>
          <w:szCs w:val="24"/>
          <w:highlight w:val="none"/>
          <w:u w:val="none"/>
        </w:rPr>
        <w:t>。</w:t>
      </w:r>
    </w:p>
    <w:p w14:paraId="5409D4F0">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在涉及合同的重大事项与关乎工程与发包人重大利益的问题上，承包人应以善意第三人的方式取得发包人的真实意思表示，任何误导、曲解或者对发包人代表意见的不正当利用，从而出现与事实不符、违反相关法律、规则和标准、违背项目特征和双方合同目的并损害发包人利益结果的行为都是无效的</w:t>
      </w:r>
      <w:r>
        <w:rPr>
          <w:rFonts w:hint="eastAsia" w:ascii="仿宋" w:hAnsi="仿宋" w:eastAsia="仿宋" w:cs="仿宋"/>
          <w:color w:val="auto"/>
          <w:sz w:val="24"/>
          <w:szCs w:val="24"/>
          <w:highlight w:val="none"/>
          <w:u w:val="none"/>
        </w:rPr>
        <w:t>。</w:t>
      </w:r>
    </w:p>
    <w:p w14:paraId="4CF5BEC1">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498" w:name="_Toc25141766"/>
      <w:r>
        <w:rPr>
          <w:rFonts w:hint="eastAsia" w:ascii="仿宋" w:hAnsi="仿宋" w:eastAsia="仿宋" w:cs="仿宋"/>
          <w:color w:val="auto"/>
          <w:sz w:val="24"/>
          <w:szCs w:val="24"/>
          <w:highlight w:val="none"/>
        </w:rPr>
        <w:t>2.4 施工现场、施工条件和基础资料的提供</w:t>
      </w:r>
      <w:bookmarkEnd w:id="1498"/>
    </w:p>
    <w:p w14:paraId="4C64ED05">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2.4.1 提供施工现场</w:t>
      </w:r>
    </w:p>
    <w:p w14:paraId="32189B7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关于发包人移交施工现场的期限要求：</w:t>
      </w:r>
      <w:r>
        <w:rPr>
          <w:rFonts w:hint="eastAsia" w:ascii="仿宋" w:hAnsi="仿宋" w:eastAsia="仿宋" w:cs="仿宋"/>
          <w:color w:val="auto"/>
          <w:sz w:val="24"/>
          <w:szCs w:val="24"/>
          <w:highlight w:val="none"/>
          <w:u w:val="single"/>
        </w:rPr>
        <w:t>最迟于开工日期7天前向承包人移交施工现场</w:t>
      </w:r>
      <w:r>
        <w:rPr>
          <w:rFonts w:hint="eastAsia" w:ascii="仿宋" w:hAnsi="仿宋" w:eastAsia="仿宋" w:cs="仿宋"/>
          <w:color w:val="auto"/>
          <w:sz w:val="24"/>
          <w:szCs w:val="24"/>
          <w:highlight w:val="none"/>
        </w:rPr>
        <w:t>。</w:t>
      </w:r>
    </w:p>
    <w:p w14:paraId="71D0616B">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2.4.2 提供施工条件</w:t>
      </w:r>
    </w:p>
    <w:p w14:paraId="6962CBC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关于发包人应负责提供施工所需要的条件，包括：</w:t>
      </w:r>
      <w:r>
        <w:rPr>
          <w:rFonts w:hint="eastAsia" w:ascii="仿宋" w:hAnsi="仿宋" w:eastAsia="仿宋" w:cs="仿宋"/>
          <w:color w:val="auto"/>
          <w:sz w:val="24"/>
          <w:szCs w:val="24"/>
          <w:highlight w:val="none"/>
          <w:u w:val="single"/>
        </w:rPr>
        <w:t>（1）水、电、工程地质、地下管线资料、水准点与坐标控制点等；（2）发包人负责提供水源接驳点；（3）发包人应提供准确的地下管线资料。（4）开工前7个工作日内，由发包人或其委托的监理人联系勘察测绘部门向承包人提供水准点与座标控制点等书面资料，交付承包人后由承包人负责保管 。本合同工程的施工用地范围为招标图纸所示的红线范围内的区域，承包人可按此范围布置施工临时工程。</w:t>
      </w:r>
    </w:p>
    <w:p w14:paraId="4271DA9F">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499" w:name="_Toc25141767"/>
      <w:r>
        <w:rPr>
          <w:rFonts w:hint="eastAsia" w:ascii="仿宋" w:hAnsi="仿宋" w:eastAsia="仿宋" w:cs="仿宋"/>
          <w:color w:val="auto"/>
          <w:sz w:val="24"/>
          <w:szCs w:val="24"/>
          <w:highlight w:val="none"/>
        </w:rPr>
        <w:t>2.5 资金来源证明及支付担保</w:t>
      </w:r>
      <w:bookmarkEnd w:id="1499"/>
    </w:p>
    <w:p w14:paraId="5DAAB970">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发包人提供资金来源证明的期限要求：</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5F8DAD68">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发包人是否提供支付担保：</w:t>
      </w:r>
      <w:r>
        <w:rPr>
          <w:rFonts w:hint="eastAsia" w:ascii="仿宋" w:hAnsi="仿宋" w:eastAsia="仿宋" w:cs="仿宋"/>
          <w:color w:val="auto"/>
          <w:sz w:val="24"/>
          <w:szCs w:val="24"/>
          <w:highlight w:val="none"/>
          <w:u w:val="single"/>
        </w:rPr>
        <w:t xml:space="preserve">    否            </w:t>
      </w:r>
      <w:r>
        <w:rPr>
          <w:rFonts w:hint="eastAsia" w:ascii="仿宋" w:hAnsi="仿宋" w:eastAsia="仿宋" w:cs="仿宋"/>
          <w:color w:val="auto"/>
          <w:sz w:val="24"/>
          <w:szCs w:val="24"/>
          <w:highlight w:val="none"/>
        </w:rPr>
        <w:t>。</w:t>
      </w:r>
    </w:p>
    <w:p w14:paraId="6103F125">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发包人提供支付担保的形式：</w:t>
      </w:r>
      <w:r>
        <w:rPr>
          <w:rFonts w:hint="eastAsia" w:ascii="仿宋" w:hAnsi="仿宋" w:eastAsia="仿宋" w:cs="仿宋"/>
          <w:color w:val="auto"/>
          <w:sz w:val="24"/>
          <w:szCs w:val="24"/>
          <w:highlight w:val="none"/>
          <w:u w:val="single"/>
        </w:rPr>
        <w:t>   无                  </w:t>
      </w:r>
      <w:r>
        <w:rPr>
          <w:rFonts w:hint="eastAsia" w:ascii="仿宋" w:hAnsi="仿宋" w:eastAsia="仿宋" w:cs="仿宋"/>
          <w:color w:val="auto"/>
          <w:sz w:val="24"/>
          <w:szCs w:val="24"/>
          <w:highlight w:val="none"/>
        </w:rPr>
        <w:t>。</w:t>
      </w:r>
    </w:p>
    <w:p w14:paraId="02D2C5C0">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3. 承包人</w:t>
      </w:r>
    </w:p>
    <w:p w14:paraId="4B52479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 承包人的一般义务</w:t>
      </w:r>
    </w:p>
    <w:p w14:paraId="6F0C8241">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（9）</w:t>
      </w:r>
      <w:r>
        <w:rPr>
          <w:rFonts w:hint="eastAsia" w:ascii="仿宋" w:hAnsi="仿宋" w:eastAsia="仿宋" w:cs="仿宋"/>
          <w:color w:val="auto"/>
          <w:sz w:val="24"/>
          <w:szCs w:val="24"/>
          <w:highlight w:val="none"/>
        </w:rPr>
        <w:t>承包人提交的竣工资料的内容：</w:t>
      </w:r>
      <w:r>
        <w:rPr>
          <w:rFonts w:hint="eastAsia" w:ascii="仿宋" w:hAnsi="仿宋" w:eastAsia="仿宋" w:cs="仿宋"/>
          <w:color w:val="auto"/>
          <w:sz w:val="24"/>
          <w:szCs w:val="24"/>
          <w:highlight w:val="none"/>
          <w:u w:val="single"/>
        </w:rPr>
        <w:t xml:space="preserve">  按相关规定执行    </w:t>
      </w:r>
      <w:r>
        <w:rPr>
          <w:rFonts w:hint="eastAsia" w:ascii="仿宋" w:hAnsi="仿宋" w:eastAsia="仿宋" w:cs="仿宋"/>
          <w:color w:val="auto"/>
          <w:sz w:val="24"/>
          <w:szCs w:val="24"/>
          <w:highlight w:val="none"/>
        </w:rPr>
        <w:t>。</w:t>
      </w:r>
    </w:p>
    <w:p w14:paraId="0B16DB3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承包人需要提交的竣工资料套数：</w:t>
      </w:r>
      <w:r>
        <w:rPr>
          <w:rFonts w:hint="eastAsia" w:ascii="仿宋" w:hAnsi="仿宋" w:eastAsia="仿宋" w:cs="仿宋"/>
          <w:color w:val="auto"/>
          <w:sz w:val="24"/>
          <w:szCs w:val="24"/>
          <w:highlight w:val="none"/>
          <w:u w:val="single"/>
        </w:rPr>
        <w:t xml:space="preserve">  不少于6套  </w:t>
      </w:r>
      <w:r>
        <w:rPr>
          <w:rFonts w:hint="eastAsia" w:ascii="仿宋" w:hAnsi="仿宋" w:eastAsia="仿宋" w:cs="仿宋"/>
          <w:color w:val="auto"/>
          <w:sz w:val="24"/>
          <w:szCs w:val="24"/>
          <w:highlight w:val="none"/>
        </w:rPr>
        <w:t>。</w:t>
      </w:r>
    </w:p>
    <w:p w14:paraId="02282CEC">
      <w:pPr>
        <w:keepNext w:val="0"/>
        <w:keepLines w:val="0"/>
        <w:pageBreakBefore w:val="0"/>
        <w:widowControl w:val="0"/>
        <w:kinsoku/>
        <w:wordWrap/>
        <w:overflowPunct/>
        <w:topLinePunct w:val="0"/>
        <w:bidi w:val="0"/>
        <w:snapToGrid/>
        <w:spacing w:line="440" w:lineRule="exact"/>
        <w:ind w:left="638" w:leftChars="304"/>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承包人提交的竣工资料的费用承担：</w:t>
      </w:r>
      <w:r>
        <w:rPr>
          <w:rFonts w:hint="eastAsia" w:ascii="仿宋" w:hAnsi="仿宋" w:eastAsia="仿宋" w:cs="仿宋"/>
          <w:color w:val="auto"/>
          <w:sz w:val="24"/>
          <w:szCs w:val="24"/>
          <w:highlight w:val="none"/>
          <w:u w:val="single"/>
        </w:rPr>
        <w:t xml:space="preserve">由承包人承担 </w:t>
      </w:r>
      <w:r>
        <w:rPr>
          <w:rFonts w:hint="eastAsia" w:ascii="仿宋" w:hAnsi="仿宋" w:eastAsia="仿宋" w:cs="仿宋"/>
          <w:color w:val="auto"/>
          <w:sz w:val="24"/>
          <w:szCs w:val="24"/>
          <w:highlight w:val="none"/>
        </w:rPr>
        <w:t>。</w:t>
      </w:r>
    </w:p>
    <w:p w14:paraId="2B38CE3A">
      <w:pPr>
        <w:keepNext w:val="0"/>
        <w:keepLines w:val="0"/>
        <w:pageBreakBefore w:val="0"/>
        <w:widowControl w:val="0"/>
        <w:kinsoku/>
        <w:wordWrap/>
        <w:overflowPunct/>
        <w:topLinePunct w:val="0"/>
        <w:bidi w:val="0"/>
        <w:snapToGrid/>
        <w:spacing w:line="440" w:lineRule="exact"/>
        <w:ind w:left="638" w:leftChars="304"/>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承包人提交的竣工资料移交时间：</w:t>
      </w:r>
      <w:r>
        <w:rPr>
          <w:rFonts w:hint="eastAsia" w:ascii="仿宋" w:hAnsi="仿宋" w:eastAsia="仿宋" w:cs="仿宋"/>
          <w:color w:val="auto"/>
          <w:sz w:val="24"/>
          <w:szCs w:val="24"/>
          <w:highlight w:val="none"/>
          <w:u w:val="single"/>
        </w:rPr>
        <w:t xml:space="preserve">本工程验收后28日内 </w:t>
      </w:r>
      <w:r>
        <w:rPr>
          <w:rFonts w:hint="eastAsia" w:ascii="仿宋" w:hAnsi="仿宋" w:eastAsia="仿宋" w:cs="仿宋"/>
          <w:color w:val="auto"/>
          <w:sz w:val="24"/>
          <w:szCs w:val="24"/>
          <w:highlight w:val="none"/>
        </w:rPr>
        <w:t>。</w:t>
      </w:r>
    </w:p>
    <w:p w14:paraId="0F66781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承包人提交的竣工资料形式要求：</w:t>
      </w:r>
      <w:r>
        <w:rPr>
          <w:rFonts w:hint="eastAsia" w:ascii="仿宋" w:hAnsi="仿宋" w:eastAsia="仿宋" w:cs="仿宋"/>
          <w:color w:val="auto"/>
          <w:sz w:val="24"/>
          <w:szCs w:val="24"/>
          <w:highlight w:val="none"/>
          <w:u w:val="single"/>
        </w:rPr>
        <w:t xml:space="preserve">书面形式   </w:t>
      </w:r>
      <w:r>
        <w:rPr>
          <w:rFonts w:hint="eastAsia" w:ascii="仿宋" w:hAnsi="仿宋" w:eastAsia="仿宋" w:cs="仿宋"/>
          <w:color w:val="auto"/>
          <w:sz w:val="24"/>
          <w:szCs w:val="24"/>
          <w:highlight w:val="none"/>
        </w:rPr>
        <w:t>。</w:t>
      </w:r>
    </w:p>
    <w:p w14:paraId="56DAE0C9">
      <w:pPr>
        <w:keepNext w:val="0"/>
        <w:keepLines w:val="0"/>
        <w:pageBreakBefore w:val="0"/>
        <w:widowControl w:val="0"/>
        <w:numPr>
          <w:ilvl w:val="0"/>
          <w:numId w:val="9"/>
        </w:numPr>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承包人应履行的其他义务：</w:t>
      </w:r>
    </w:p>
    <w:p w14:paraId="4D277ED5">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1)服从发包人及监理人对现场施工的统一管理、安排和要求，同意并履行发包人及监理人的相关管理规定，由此发生的费用被认为已经包括在承包人的签约合同价中。</w:t>
      </w:r>
    </w:p>
    <w:p w14:paraId="5F6412A9">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承包人还应按监理人指示为独立承包人以外的他人在施工场地或者附近实施与合同工程有关的其他工作提供可能的条件，可能发生的费用由监理人按第 4.4款商定或确定。</w:t>
      </w:r>
    </w:p>
    <w:p w14:paraId="6F4B9158">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2)按照规定、约定或者发包人、监理工程师的要求，提供相关的计(规划)划、方案、报表和其他资料</w:t>
      </w:r>
      <w:r>
        <w:rPr>
          <w:rFonts w:hint="eastAsia" w:ascii="仿宋" w:hAnsi="仿宋" w:eastAsia="仿宋" w:cs="仿宋"/>
          <w:color w:val="auto"/>
          <w:sz w:val="24"/>
          <w:szCs w:val="24"/>
          <w:highlight w:val="none"/>
          <w:u w:val="none"/>
        </w:rPr>
        <w:t>。</w:t>
      </w:r>
    </w:p>
    <w:p w14:paraId="6D41011B">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3)按时参加与工程施工、管理、监管、审批等有关的会议，完善资料和档案管理。</w:t>
      </w:r>
    </w:p>
    <w:p w14:paraId="50CB103D">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4)如有临时占地由承包人向当地政府土地管理部门申请,并办理租用手续，承包人按有关规定直接支付其费用。临时占地退还前，承包人应自费恢复到临时占地使用前的状态。如因承包人撤离后未按要求对临时占地进行恢复或虽进行了恢复但未达到使用标准的,将由发包人委托第三方对其恢复，所发生的费用将从应付给承包人的任何款项内扣除。</w:t>
      </w:r>
    </w:p>
    <w:p w14:paraId="73E352B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5)承包人应负责避免因自身施工行为对施工现场周围地下管线和邻近建筑物、构筑物、古树名木引起的各类损害，并承担相应费用</w:t>
      </w:r>
      <w:r>
        <w:rPr>
          <w:rFonts w:hint="eastAsia" w:ascii="仿宋" w:hAnsi="仿宋" w:eastAsia="仿宋" w:cs="仿宋"/>
          <w:color w:val="auto"/>
          <w:sz w:val="24"/>
          <w:szCs w:val="24"/>
          <w:highlight w:val="none"/>
          <w:u w:val="none"/>
        </w:rPr>
        <w:t>。</w:t>
      </w:r>
    </w:p>
    <w:p w14:paraId="3FAB6052">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6)负责与项目施工有关市政、交通、供电、环保、公安等职能部门以及其他建设工程(轨道、城际铁路)相关单位和机场运营管理单位的联系协调工作，由此发生的费用被认为已经包括在承包人的签约合同价中</w:t>
      </w:r>
      <w:r>
        <w:rPr>
          <w:rFonts w:hint="eastAsia" w:ascii="仿宋" w:hAnsi="仿宋" w:eastAsia="仿宋" w:cs="仿宋"/>
          <w:color w:val="auto"/>
          <w:sz w:val="24"/>
          <w:szCs w:val="24"/>
          <w:highlight w:val="none"/>
          <w:u w:val="none"/>
        </w:rPr>
        <w:t>。</w:t>
      </w:r>
    </w:p>
    <w:p w14:paraId="176AA65B">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7)负责施工现场的安保工作。</w:t>
      </w:r>
    </w:p>
    <w:p w14:paraId="0B061165">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single"/>
        </w:rPr>
        <w:t>8)妥善处理合同履行中或与合同履行相关的与第三方的各种纠纷，并及时承担民事、行政等责任，在相关事件责任确定、纠纷解决前，承包人有权暂停相应款项的支付，为了确保工程的质量、进度和形象，发包人同时有权直接垫付相关款项，承包人对此不持异议</w:t>
      </w:r>
      <w:r>
        <w:rPr>
          <w:rFonts w:hint="eastAsia" w:ascii="仿宋" w:hAnsi="仿宋" w:eastAsia="仿宋" w:cs="仿宋"/>
          <w:color w:val="auto"/>
          <w:sz w:val="24"/>
          <w:szCs w:val="24"/>
          <w:highlight w:val="none"/>
          <w:u w:val="none"/>
        </w:rPr>
        <w:t>。</w:t>
      </w:r>
    </w:p>
    <w:p w14:paraId="74A3749C">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9)承包人需按有关规定要求签订并遵守项目廉政责任书和安全责任书</w:t>
      </w:r>
      <w:r>
        <w:rPr>
          <w:rFonts w:hint="eastAsia" w:ascii="仿宋" w:hAnsi="仿宋" w:eastAsia="仿宋" w:cs="仿宋"/>
          <w:color w:val="auto"/>
          <w:sz w:val="24"/>
          <w:szCs w:val="24"/>
          <w:highlight w:val="none"/>
          <w:u w:val="none"/>
        </w:rPr>
        <w:t>。</w:t>
      </w:r>
    </w:p>
    <w:p w14:paraId="3824C60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single"/>
        </w:rPr>
        <w:t>10)按发包人指令筹备、迎接各种检查，因此发生的物料、人工、机械等费用已包含在合同价中，且承包人不得提出误工索赔</w:t>
      </w:r>
      <w:r>
        <w:rPr>
          <w:rFonts w:hint="eastAsia" w:ascii="仿宋" w:hAnsi="仿宋" w:eastAsia="仿宋" w:cs="仿宋"/>
          <w:color w:val="auto"/>
          <w:sz w:val="24"/>
          <w:szCs w:val="24"/>
          <w:highlight w:val="none"/>
          <w:u w:val="none"/>
        </w:rPr>
        <w:t>。</w:t>
      </w:r>
    </w:p>
    <w:p w14:paraId="1D7ACF8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11)承包人同意并履行发包人的相关管理办法与规定、考核办法等。</w:t>
      </w:r>
    </w:p>
    <w:p w14:paraId="5368E9BE">
      <w:pPr>
        <w:pStyle w:val="8"/>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12)承包人应按国家规定为包括民工在内的所有工人提供劳动保护，严格按照国家、省、市、等有关规定及时支付民工劳动报酬、不得拖欠或克扣。承包人不得以任何发包人的责任(如未按时支付工程款)为理由延期支付民工劳动报酬。若因承包人未按时支付民工劳动报酬导致民工有可能停工、闹事、投诉、曝光等不利，</w:t>
      </w:r>
      <w:r>
        <w:rPr>
          <w:rFonts w:hint="eastAsia" w:ascii="仿宋" w:hAnsi="仿宋" w:eastAsia="仿宋" w:cs="仿宋"/>
          <w:color w:val="auto"/>
          <w:sz w:val="24"/>
          <w:szCs w:val="24"/>
          <w:highlight w:val="none"/>
        </w:rPr>
        <w:t>承包人应于2日内解决完毕；若承包人未解决完毕，承包人无条件授权发包人出面</w:t>
      </w:r>
      <w:r>
        <w:rPr>
          <w:rFonts w:hint="eastAsia" w:ascii="仿宋" w:hAnsi="仿宋" w:eastAsia="仿宋" w:cs="仿宋"/>
          <w:color w:val="auto"/>
          <w:sz w:val="24"/>
          <w:szCs w:val="24"/>
          <w:highlight w:val="none"/>
          <w:u w:val="single"/>
        </w:rPr>
        <w:t>代承包人直接支付民工劳动报酬</w:t>
      </w:r>
      <w:r>
        <w:rPr>
          <w:rFonts w:hint="eastAsia" w:ascii="仿宋" w:hAnsi="仿宋" w:eastAsia="仿宋" w:cs="仿宋"/>
          <w:color w:val="auto"/>
          <w:sz w:val="24"/>
          <w:szCs w:val="24"/>
          <w:highlight w:val="none"/>
        </w:rPr>
        <w:t>（按此约定，承包人无需再另行出具委托书），承包人无条件认可发包人解决结果。</w:t>
      </w:r>
      <w:r>
        <w:rPr>
          <w:rFonts w:hint="eastAsia" w:ascii="仿宋" w:hAnsi="仿宋" w:eastAsia="仿宋" w:cs="仿宋"/>
          <w:color w:val="auto"/>
          <w:sz w:val="24"/>
          <w:szCs w:val="24"/>
          <w:highlight w:val="none"/>
          <w:u w:val="single"/>
        </w:rPr>
        <w:t>并以代付款金额的20%扣罚承包人违约金，代付的劳动报酬及违约金将从承包人工程款中扣除，发包人并有权解除本合同。本合同签订后，视为发包人已获承包人授权代其直接支付民工劳动报酬</w:t>
      </w:r>
      <w:r>
        <w:rPr>
          <w:rFonts w:hint="eastAsia" w:ascii="仿宋" w:hAnsi="仿宋" w:eastAsia="仿宋" w:cs="仿宋"/>
          <w:color w:val="auto"/>
          <w:sz w:val="24"/>
          <w:szCs w:val="24"/>
          <w:highlight w:val="none"/>
          <w:u w:val="none"/>
        </w:rPr>
        <w:t>。</w:t>
      </w:r>
    </w:p>
    <w:p w14:paraId="7B5F6AC3">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single"/>
        </w:rPr>
        <w:t>13)中标人的总承包服务费(含对分包的专业工程的总承包管理和协调及施工配合):按分包的专业工程造价(不含工程设备)的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计算。责任内容为:配合协调发包人进行的专业工程发包，对发包人自行采购的材料、工程设备等进行协调保管、以及施工现场管理、竣工验收资料收集归档整理等内容</w:t>
      </w:r>
      <w:r>
        <w:rPr>
          <w:rFonts w:hint="eastAsia" w:ascii="仿宋" w:hAnsi="仿宋" w:eastAsia="仿宋" w:cs="仿宋"/>
          <w:color w:val="auto"/>
          <w:sz w:val="24"/>
          <w:szCs w:val="24"/>
          <w:highlight w:val="none"/>
          <w:u w:val="none"/>
        </w:rPr>
        <w:t>。</w:t>
      </w:r>
    </w:p>
    <w:p w14:paraId="11AECCF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14)中标人的总承包服务、管理、协调、配合服务的主要内容如下:</w:t>
      </w:r>
    </w:p>
    <w:p w14:paraId="2CB67098">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①对本工程总体进度、质量、安全、文明施工的总管理、总协调、总控制(在监理单位的管理下);投标人中标后详细审阅所有各专业图纸，提出管道平衡方案与包括各专业在内的总进度计划，报监理单位批准后执行。尤其对吊顶可控高度及红线详细计算与设计后报监理与招标人同意。</w:t>
      </w:r>
    </w:p>
    <w:p w14:paraId="6BE75D77">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②给独立承包人或分包人提供施工场地及工地道路;</w:t>
      </w:r>
    </w:p>
    <w:p w14:paraId="71F0D528">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③提供现有垂直运输、客货梯等设施;</w:t>
      </w:r>
    </w:p>
    <w:p w14:paraId="7318136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④提供材料堆放场地;</w:t>
      </w:r>
    </w:p>
    <w:p w14:paraId="40148843">
      <w:pPr>
        <w:pStyle w:val="8"/>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⑤提供水源、电源、独立承包人或分包人自立总表箱，费用单独</w:t>
      </w:r>
      <w:r>
        <w:rPr>
          <w:rFonts w:hint="eastAsia" w:ascii="仿宋" w:hAnsi="仿宋" w:eastAsia="仿宋" w:cs="仿宋"/>
          <w:color w:val="auto"/>
          <w:sz w:val="24"/>
          <w:szCs w:val="24"/>
          <w:highlight w:val="none"/>
        </w:rPr>
        <w:t>承包人承担</w:t>
      </w:r>
    </w:p>
    <w:p w14:paraId="41C85E0D">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⑥提供卫生设施以共同使用;</w:t>
      </w:r>
    </w:p>
    <w:p w14:paraId="02F6791C">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⑦施工期间施工场所的安全保卫工作;</w:t>
      </w:r>
    </w:p>
    <w:p w14:paraId="62C81FD3">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@提供建筑垃圾集中堆场;</w:t>
      </w:r>
    </w:p>
    <w:p w14:paraId="6B30B12B">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⑨总承包人应尽的其他管理、协调、配合职责。。</w:t>
      </w:r>
    </w:p>
    <w:p w14:paraId="38103A2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 项目经理</w:t>
      </w:r>
    </w:p>
    <w:p w14:paraId="482BF4E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 xml:space="preserve">3.2.1 </w:t>
      </w:r>
      <w:r>
        <w:rPr>
          <w:rFonts w:hint="eastAsia" w:ascii="仿宋" w:hAnsi="仿宋" w:eastAsia="仿宋" w:cs="仿宋"/>
          <w:color w:val="auto"/>
          <w:sz w:val="24"/>
          <w:szCs w:val="24"/>
          <w:highlight w:val="none"/>
        </w:rPr>
        <w:t>项目经理：</w:t>
      </w:r>
    </w:p>
    <w:p w14:paraId="246EDE04">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0A8E94A5">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785EADB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建造师执业资格等级：</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068A8C3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建造师注册证书号：</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682F00C8">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建造师执业印章号：</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4DFC23D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安全生产考核合格证书号：</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35F598F0">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3E3B2891">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1A095769">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6567B020">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承包人对项目经理的授权范围如下：</w:t>
      </w:r>
      <w:r>
        <w:rPr>
          <w:rFonts w:hint="eastAsia" w:ascii="仿宋" w:hAnsi="仿宋" w:eastAsia="仿宋" w:cs="仿宋"/>
          <w:color w:val="auto"/>
          <w:sz w:val="24"/>
          <w:szCs w:val="24"/>
          <w:highlight w:val="none"/>
          <w:u w:val="single"/>
        </w:rPr>
        <w:t xml:space="preserve">代表承包人履行合同，负责本项目施工现场的全面管理工作  </w:t>
      </w:r>
      <w:r>
        <w:rPr>
          <w:rFonts w:hint="eastAsia" w:ascii="仿宋" w:hAnsi="仿宋" w:eastAsia="仿宋" w:cs="仿宋"/>
          <w:color w:val="auto"/>
          <w:sz w:val="24"/>
          <w:szCs w:val="24"/>
          <w:highlight w:val="none"/>
        </w:rPr>
        <w:t>。</w:t>
      </w:r>
    </w:p>
    <w:p w14:paraId="3A10A5A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关于项目经理每月在施工现场的时间要求：</w:t>
      </w:r>
      <w:r>
        <w:rPr>
          <w:rFonts w:hint="eastAsia" w:ascii="仿宋" w:hAnsi="仿宋" w:eastAsia="仿宋" w:cs="仿宋"/>
          <w:color w:val="auto"/>
          <w:sz w:val="24"/>
          <w:szCs w:val="24"/>
          <w:highlight w:val="none"/>
          <w:u w:val="single"/>
        </w:rPr>
        <w:t xml:space="preserve"> 保证项目经理在施工时在施工现场的天数每周不少于6天</w:t>
      </w:r>
      <w:r>
        <w:rPr>
          <w:rFonts w:hint="eastAsia" w:ascii="仿宋" w:hAnsi="仿宋" w:eastAsia="仿宋" w:cs="仿宋"/>
          <w:color w:val="auto"/>
          <w:sz w:val="24"/>
          <w:szCs w:val="24"/>
          <w:highlight w:val="none"/>
        </w:rPr>
        <w:t>。</w:t>
      </w:r>
    </w:p>
    <w:p w14:paraId="6394905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承包人未提交劳动合同，以及没有为项目经理交纳社会保险证明的违约责任</w:t>
      </w:r>
      <w:r>
        <w:rPr>
          <w:rFonts w:hint="eastAsia" w:ascii="仿宋" w:hAnsi="仿宋" w:eastAsia="仿宋" w:cs="仿宋"/>
          <w:color w:val="auto"/>
          <w:sz w:val="24"/>
          <w:szCs w:val="24"/>
          <w:highlight w:val="none"/>
          <w:u w:val="single"/>
        </w:rPr>
        <w:t>：责令承包任改正，并限期10日内提供项目经理社会保险证明</w:t>
      </w:r>
      <w:r>
        <w:rPr>
          <w:rFonts w:hint="eastAsia" w:ascii="仿宋" w:hAnsi="仿宋" w:eastAsia="仿宋" w:cs="仿宋"/>
          <w:color w:val="auto"/>
          <w:sz w:val="24"/>
          <w:szCs w:val="24"/>
          <w:highlight w:val="none"/>
        </w:rPr>
        <w:t>。</w:t>
      </w:r>
    </w:p>
    <w:p w14:paraId="7C63BFAA">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项目经理未经批准，擅自离开施工现场的违约责任：</w:t>
      </w:r>
      <w:r>
        <w:rPr>
          <w:rFonts w:hint="eastAsia" w:ascii="仿宋" w:hAnsi="仿宋" w:eastAsia="仿宋" w:cs="仿宋"/>
          <w:color w:val="auto"/>
          <w:kern w:val="0"/>
          <w:sz w:val="24"/>
          <w:szCs w:val="24"/>
          <w:highlight w:val="none"/>
          <w:u w:val="single"/>
        </w:rPr>
        <w:t>发包人有权以每天 5000元的违约罚金；单月擅离两次以上或者累计达五次或者单次擅自离开现场超过3天时，发包人有权要求更换该项目经理，由此而产生的其他损 失和责任也由承包人承担</w:t>
      </w:r>
      <w:r>
        <w:rPr>
          <w:rFonts w:hint="eastAsia" w:ascii="仿宋" w:hAnsi="仿宋" w:eastAsia="仿宋" w:cs="仿宋"/>
          <w:color w:val="auto"/>
          <w:sz w:val="24"/>
          <w:szCs w:val="24"/>
          <w:highlight w:val="none"/>
          <w:u w:val="single"/>
        </w:rPr>
        <w:t>。</w:t>
      </w:r>
    </w:p>
    <w:p w14:paraId="06229C5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3.2.3 承包人擅自更换项目经理的违约责任：</w:t>
      </w:r>
      <w:r>
        <w:rPr>
          <w:rFonts w:hint="eastAsia" w:ascii="仿宋" w:hAnsi="仿宋" w:eastAsia="仿宋" w:cs="仿宋"/>
          <w:color w:val="auto"/>
          <w:sz w:val="24"/>
          <w:szCs w:val="24"/>
          <w:highlight w:val="none"/>
          <w:u w:val="single"/>
        </w:rPr>
        <w:t xml:space="preserve"> 发包人有权以每人次10 万元违约罚金，由此而产生的其他损失和责任也由承包人承担。</w:t>
      </w:r>
    </w:p>
    <w:p w14:paraId="59C0151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3.2.4 承包人无正当理由拒绝更换项目经理的违约责任：</w:t>
      </w:r>
      <w:r>
        <w:rPr>
          <w:rFonts w:hint="eastAsia" w:ascii="仿宋" w:hAnsi="仿宋" w:eastAsia="仿宋" w:cs="仿宋"/>
          <w:color w:val="auto"/>
          <w:sz w:val="24"/>
          <w:szCs w:val="24"/>
          <w:highlight w:val="none"/>
          <w:u w:val="single"/>
        </w:rPr>
        <w:t xml:space="preserve"> 发包人有权以每人次10万元违约罚金，由此而产生的损失和责任也由承包人承担 。</w:t>
      </w:r>
    </w:p>
    <w:p w14:paraId="5F8C873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3.2.5</w:t>
      </w:r>
    </w:p>
    <w:p w14:paraId="434974E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(1)承包人项目经理必须与承包人投标时所承诺的人员一致，未经发包人书面同意不得更换。 </w:t>
      </w:r>
    </w:p>
    <w:p w14:paraId="1827B3C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(2)如经发包人书面同意承包人更换项目经理，新任命的项目经理必须在资历和能力等方面符合合同要求，并经发包人考察合格，否则视为承包人擅自更换项目经理，承包人应承担相应的违约责任。 </w:t>
      </w:r>
    </w:p>
    <w:p w14:paraId="314D401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(3)承包人未按照承诺和约定委派项目经理，发包人有权暂停施工以至解除合同，由此造成的损失和责任全部由承包人承担。</w:t>
      </w:r>
    </w:p>
    <w:p w14:paraId="4901446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上述违约罚金在当期支付时扣除。</w:t>
      </w:r>
    </w:p>
    <w:p w14:paraId="7AF293C9">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 承包人人员</w:t>
      </w:r>
    </w:p>
    <w:p w14:paraId="783A838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3.3.1 承包人提交项目管理机构及施工现场管理人员安排报告的期限：</w:t>
      </w:r>
      <w:r>
        <w:rPr>
          <w:rFonts w:hint="eastAsia" w:ascii="仿宋" w:hAnsi="仿宋" w:eastAsia="仿宋" w:cs="仿宋"/>
          <w:color w:val="auto"/>
          <w:sz w:val="24"/>
          <w:szCs w:val="24"/>
          <w:highlight w:val="none"/>
          <w:u w:val="single"/>
        </w:rPr>
        <w:t xml:space="preserve"> 签订合同后7天内。</w:t>
      </w:r>
    </w:p>
    <w:p w14:paraId="40986469">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3.3.3 承包人无正当理由拒绝撤换主要施工管理人员的违约责任：</w:t>
      </w:r>
      <w:r>
        <w:rPr>
          <w:rFonts w:hint="eastAsia" w:ascii="仿宋" w:hAnsi="仿宋" w:eastAsia="仿宋" w:cs="仿宋"/>
          <w:color w:val="auto"/>
          <w:sz w:val="24"/>
          <w:szCs w:val="24"/>
          <w:highlight w:val="none"/>
          <w:u w:val="single"/>
        </w:rPr>
        <w:t xml:space="preserve"> 发包人有权扣如下金额违约罚金：项目部中级职称人员每人次5万元，其他管理人员每人次2万元；若承包人在第二次接到撤换通知3天内仍未更换，监理人应书面通知该施工管理人员停止工作，并可以指示暂时停止施工以至解除合同，由此而产生的损失和责任由承包人承担  </w:t>
      </w:r>
      <w:r>
        <w:rPr>
          <w:rFonts w:hint="eastAsia" w:ascii="仿宋" w:hAnsi="仿宋" w:eastAsia="仿宋" w:cs="仿宋"/>
          <w:color w:val="auto"/>
          <w:sz w:val="24"/>
          <w:szCs w:val="24"/>
          <w:highlight w:val="none"/>
        </w:rPr>
        <w:t>。</w:t>
      </w:r>
    </w:p>
    <w:p w14:paraId="5C32FFC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3.3.4 承包人主要施工管理人员离开施工现场的批准要求：</w:t>
      </w:r>
      <w:r>
        <w:rPr>
          <w:rFonts w:hint="eastAsia" w:ascii="仿宋" w:hAnsi="仿宋" w:eastAsia="仿宋" w:cs="仿宋"/>
          <w:color w:val="auto"/>
          <w:sz w:val="24"/>
          <w:szCs w:val="24"/>
          <w:highlight w:val="none"/>
          <w:u w:val="single"/>
        </w:rPr>
        <w:t xml:space="preserve"> 需由发包人及总监理工程师签字确认后才能离开施工现场  。</w:t>
      </w:r>
    </w:p>
    <w:p w14:paraId="7398C2B1">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3.3.5承包人擅自更换主要施工管理人员的违约责任：</w:t>
      </w:r>
      <w:r>
        <w:rPr>
          <w:rFonts w:hint="eastAsia" w:ascii="仿宋" w:hAnsi="仿宋" w:eastAsia="仿宋" w:cs="仿宋"/>
          <w:color w:val="auto"/>
          <w:sz w:val="24"/>
          <w:szCs w:val="24"/>
          <w:highlight w:val="none"/>
          <w:u w:val="single"/>
        </w:rPr>
        <w:t xml:space="preserve"> 发包人有权扣以如下金额违约罚金：项目部中级职称人员每人次5万元，其他管理人员每人次2万元 。</w:t>
      </w:r>
    </w:p>
    <w:p w14:paraId="797C763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承包人主要施工管理人员擅自离开施工现场的违约责任：</w:t>
      </w:r>
      <w:r>
        <w:rPr>
          <w:rFonts w:hint="eastAsia" w:ascii="仿宋" w:hAnsi="仿宋" w:eastAsia="仿宋" w:cs="仿宋"/>
          <w:color w:val="auto"/>
          <w:sz w:val="24"/>
          <w:szCs w:val="24"/>
          <w:highlight w:val="none"/>
          <w:u w:val="single"/>
        </w:rPr>
        <w:t>发包人有权课如下金额违约罚金：项目部中级职称人员每天3000元，其他管理人员每人次每天2000元；单月擅离两次以上或者累计达五次或者单次超过3天时，视为承包人擅自更换主要施工管理人员，承包人应按第3.3.5条规定承担违约责任，由此而产生的其他损失和责任也由承包人承担。</w:t>
      </w:r>
    </w:p>
    <w:p w14:paraId="1B9DA9A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 分包</w:t>
      </w:r>
    </w:p>
    <w:p w14:paraId="4B5E07B5">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3.5.1 分包的一般约定</w:t>
      </w:r>
      <w:r>
        <w:rPr>
          <w:rStyle w:val="41"/>
          <w:rFonts w:hint="eastAsia" w:ascii="仿宋" w:hAnsi="仿宋" w:eastAsia="仿宋" w:cs="仿宋"/>
          <w:color w:val="auto"/>
          <w:sz w:val="24"/>
          <w:szCs w:val="24"/>
          <w:highlight w:val="none"/>
        </w:rPr>
        <w:t>（本3.5项下均不允许分包，承包人是否分包及如何操作我方不在合同中载明）</w:t>
      </w:r>
    </w:p>
    <w:p w14:paraId="76F6F77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禁止分包的工程包括：</w:t>
      </w:r>
      <w:r>
        <w:rPr>
          <w:rFonts w:hint="eastAsia" w:ascii="仿宋" w:hAnsi="仿宋" w:eastAsia="仿宋" w:cs="仿宋"/>
          <w:color w:val="auto"/>
          <w:sz w:val="24"/>
          <w:szCs w:val="24"/>
          <w:highlight w:val="none"/>
          <w:u w:val="single"/>
          <w:lang w:val="en-US" w:eastAsia="zh-CN"/>
        </w:rPr>
        <w:t>工程主体结构、关键性工作、《建筑法》规定的其他禁止分包工程。</w:t>
      </w:r>
    </w:p>
    <w:p w14:paraId="35AD437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3.5.2分包的确定</w:t>
      </w:r>
    </w:p>
    <w:p w14:paraId="16810AD7">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允许分包的专业工程包括：</w:t>
      </w:r>
      <w:r>
        <w:rPr>
          <w:rFonts w:hint="eastAsia" w:ascii="仿宋" w:hAnsi="仿宋" w:eastAsia="仿宋" w:cs="仿宋"/>
          <w:color w:val="auto"/>
          <w:sz w:val="24"/>
          <w:szCs w:val="24"/>
          <w:highlight w:val="none"/>
          <w:u w:val="single"/>
          <w:lang w:val="en-US" w:eastAsia="zh-CN"/>
        </w:rPr>
        <w:t xml:space="preserve">符合相关法律法规规定并经发包人书面同意的工程。由承包人自主选择分包单位但须提前 30 日提交分包工程函件，承包人可采用招标或竞争性谈判方式确定分包单位:如出现争议，双方协商解决。 </w:t>
      </w:r>
    </w:p>
    <w:p w14:paraId="78CBCE1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其他关于分包的约定：</w:t>
      </w:r>
      <w:r>
        <w:rPr>
          <w:rFonts w:hint="eastAsia" w:ascii="仿宋" w:hAnsi="仿宋" w:eastAsia="仿宋" w:cs="仿宋"/>
          <w:color w:val="auto"/>
          <w:sz w:val="24"/>
          <w:szCs w:val="24"/>
          <w:highlight w:val="none"/>
          <w:u w:val="single"/>
        </w:rPr>
        <w:t xml:space="preserve"> 按国家级地方相关规定执行</w:t>
      </w:r>
      <w:r>
        <w:rPr>
          <w:rFonts w:hint="eastAsia" w:ascii="仿宋" w:hAnsi="仿宋" w:eastAsia="仿宋" w:cs="仿宋"/>
          <w:color w:val="auto"/>
          <w:sz w:val="24"/>
          <w:szCs w:val="24"/>
          <w:highlight w:val="none"/>
        </w:rPr>
        <w:t>。</w:t>
      </w:r>
    </w:p>
    <w:p w14:paraId="5C8A6B7A">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3.5.4 分包合同价款</w:t>
      </w:r>
    </w:p>
    <w:p w14:paraId="3E17C19B">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关于分包合同价款支付的约定：</w:t>
      </w:r>
      <w:r>
        <w:rPr>
          <w:rFonts w:hint="eastAsia" w:ascii="仿宋" w:hAnsi="仿宋" w:eastAsia="仿宋" w:cs="仿宋"/>
          <w:color w:val="auto"/>
          <w:sz w:val="24"/>
          <w:szCs w:val="24"/>
          <w:highlight w:val="none"/>
          <w:u w:val="single"/>
        </w:rPr>
        <w:t>暂估价专业工程分包按要求必须进行公开招标，分包合同价款的支付按招标文件约定。</w:t>
      </w:r>
    </w:p>
    <w:p w14:paraId="49565D91">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 工程照管与成品、半成品保护</w:t>
      </w:r>
    </w:p>
    <w:p w14:paraId="10A7EFE0">
      <w:pPr>
        <w:keepNext w:val="0"/>
        <w:keepLines w:val="0"/>
        <w:pageBreakBefore w:val="0"/>
        <w:widowControl w:val="0"/>
        <w:kinsoku/>
        <w:wordWrap/>
        <w:overflowPunct/>
        <w:topLinePunct w:val="0"/>
        <w:bidi w:val="0"/>
        <w:snapToGrid/>
        <w:spacing w:before="120" w:after="120" w:line="440" w:lineRule="exact"/>
        <w:ind w:firstLine="480" w:firstLineChars="200"/>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承包人负责照管工程及工程相关的材料、工程设备的起始时间：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u w:val="single"/>
        </w:rPr>
        <w:t xml:space="preserve">进场时起至工程竣工撤离施工现场时止 </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32D4BEA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3.7 履约担保</w:t>
      </w:r>
    </w:p>
    <w:p w14:paraId="2689512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承包人是否提供履约担保：</w:t>
      </w:r>
      <w:r>
        <w:rPr>
          <w:rFonts w:hint="eastAsia" w:ascii="仿宋" w:hAnsi="仿宋" w:eastAsia="仿宋" w:cs="仿宋"/>
          <w:color w:val="auto"/>
          <w:sz w:val="24"/>
          <w:szCs w:val="24"/>
          <w:highlight w:val="none"/>
          <w:u w:val="single"/>
        </w:rPr>
        <w:t xml:space="preserve">  是            </w:t>
      </w:r>
      <w:r>
        <w:rPr>
          <w:rFonts w:hint="eastAsia" w:ascii="仿宋" w:hAnsi="仿宋" w:eastAsia="仿宋" w:cs="仿宋"/>
          <w:color w:val="auto"/>
          <w:sz w:val="24"/>
          <w:szCs w:val="24"/>
          <w:highlight w:val="none"/>
        </w:rPr>
        <w:t>。</w:t>
      </w:r>
    </w:p>
    <w:p w14:paraId="7E52E1F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承包人提供履约担保的形式、金额及期限的：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履约保证金的形式：现金转账或履约保函履约保证金额：中标价的 5%；履约保证金递交时间：中标人需在项目进场前完成履约保证金缴纳，接到招标人通知后 5 日内，按要求将保证金足额打入招标人指定账户，或提交符合招标文件规定的其他形式保证。</w:t>
      </w:r>
    </w:p>
    <w:p w14:paraId="064EA73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p>
    <w:p w14:paraId="32449C0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 监理人</w:t>
      </w:r>
    </w:p>
    <w:p w14:paraId="07E3CDE8">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4.1监理人的一般规定</w:t>
      </w:r>
    </w:p>
    <w:p w14:paraId="104A822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关于监理人的监理内容：</w:t>
      </w:r>
      <w:r>
        <w:rPr>
          <w:rFonts w:hint="eastAsia" w:ascii="仿宋" w:hAnsi="仿宋" w:eastAsia="仿宋" w:cs="仿宋"/>
          <w:color w:val="auto"/>
          <w:sz w:val="24"/>
          <w:szCs w:val="24"/>
          <w:highlight w:val="none"/>
          <w:u w:val="single"/>
        </w:rPr>
        <w:t xml:space="preserve"> 见监理合同    </w:t>
      </w:r>
      <w:r>
        <w:rPr>
          <w:rFonts w:hint="eastAsia" w:ascii="仿宋" w:hAnsi="仿宋" w:eastAsia="仿宋" w:cs="仿宋"/>
          <w:color w:val="auto"/>
          <w:sz w:val="24"/>
          <w:szCs w:val="24"/>
          <w:highlight w:val="none"/>
        </w:rPr>
        <w:t>。</w:t>
      </w:r>
    </w:p>
    <w:p w14:paraId="4F96D96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关于监理人的监理权限：</w:t>
      </w:r>
      <w:r>
        <w:rPr>
          <w:rFonts w:hint="eastAsia" w:ascii="仿宋" w:hAnsi="仿宋" w:eastAsia="仿宋" w:cs="仿宋"/>
          <w:color w:val="auto"/>
          <w:sz w:val="24"/>
          <w:szCs w:val="24"/>
          <w:highlight w:val="none"/>
          <w:u w:val="single"/>
        </w:rPr>
        <w:t xml:space="preserve"> 见监理合同  </w:t>
      </w:r>
      <w:r>
        <w:rPr>
          <w:rFonts w:hint="eastAsia" w:ascii="仿宋" w:hAnsi="仿宋" w:eastAsia="仿宋" w:cs="仿宋"/>
          <w:color w:val="auto"/>
          <w:sz w:val="24"/>
          <w:szCs w:val="24"/>
          <w:highlight w:val="none"/>
        </w:rPr>
        <w:t xml:space="preserve">。 </w:t>
      </w:r>
    </w:p>
    <w:p w14:paraId="16E8FE8F">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关于监理人在施工现场的办公场所、生活场所的提供和费用承担的约定：</w:t>
      </w:r>
      <w:r>
        <w:rPr>
          <w:rFonts w:hint="eastAsia" w:ascii="仿宋" w:hAnsi="仿宋" w:eastAsia="仿宋" w:cs="仿宋"/>
          <w:color w:val="auto"/>
          <w:sz w:val="24"/>
          <w:szCs w:val="24"/>
          <w:highlight w:val="none"/>
          <w:u w:val="single"/>
        </w:rPr>
        <w:t xml:space="preserve">见监理合同 </w:t>
      </w:r>
      <w:r>
        <w:rPr>
          <w:rFonts w:hint="eastAsia" w:ascii="仿宋" w:hAnsi="仿宋" w:eastAsia="仿宋" w:cs="仿宋"/>
          <w:color w:val="auto"/>
          <w:sz w:val="24"/>
          <w:szCs w:val="24"/>
          <w:highlight w:val="none"/>
        </w:rPr>
        <w:t>。</w:t>
      </w:r>
    </w:p>
    <w:p w14:paraId="27ECB5E4">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 监理人员</w:t>
      </w:r>
    </w:p>
    <w:p w14:paraId="5719E60A">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总监理工程师：</w:t>
      </w:r>
    </w:p>
    <w:p w14:paraId="0BC2168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2EE2ACF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    务：</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1B950E35">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监理工程师执业资格证书号：</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486156BC">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4D79443F">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5C0F1E0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6FBB3F21">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关于监理人的其他约定：</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51F0D6F9">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 商定或确定</w:t>
      </w:r>
    </w:p>
    <w:p w14:paraId="64814338">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在发包人和承包人不能通过协商达成一致意见时，发包人授权监理人对以下事项进行确定：</w:t>
      </w:r>
    </w:p>
    <w:p w14:paraId="7A829475">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F86943F">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8C2A37F">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1C18133">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5. 工程质量</w:t>
      </w:r>
    </w:p>
    <w:p w14:paraId="540DB498">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00" w:name="_Toc25141768"/>
      <w:r>
        <w:rPr>
          <w:rFonts w:hint="eastAsia" w:ascii="仿宋" w:hAnsi="仿宋" w:eastAsia="仿宋" w:cs="仿宋"/>
          <w:color w:val="auto"/>
          <w:sz w:val="24"/>
          <w:szCs w:val="24"/>
          <w:highlight w:val="none"/>
        </w:rPr>
        <w:t>5.1 质量要求</w:t>
      </w:r>
      <w:bookmarkEnd w:id="1500"/>
    </w:p>
    <w:p w14:paraId="250D1F05">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5.1.1 特殊质量标准和要求：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达到国家现行有关施工质量验收规范标准，一次性验收合格</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w:t>
      </w:r>
    </w:p>
    <w:p w14:paraId="124F8FFB">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关于工程奖项的约定：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D390EB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01" w:name="_Toc25141769"/>
      <w:r>
        <w:rPr>
          <w:rFonts w:hint="eastAsia" w:ascii="仿宋" w:hAnsi="仿宋" w:eastAsia="仿宋" w:cs="仿宋"/>
          <w:color w:val="auto"/>
          <w:sz w:val="24"/>
          <w:szCs w:val="24"/>
          <w:highlight w:val="none"/>
        </w:rPr>
        <w:t>5.3 隐蔽工程检查</w:t>
      </w:r>
      <w:bookmarkEnd w:id="1501"/>
    </w:p>
    <w:p w14:paraId="4E96E20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5.3.2承包人提前通知监理人隐蔽工程检查的期限的约定：</w:t>
      </w:r>
      <w:r>
        <w:rPr>
          <w:rFonts w:hint="eastAsia" w:ascii="仿宋" w:hAnsi="仿宋" w:eastAsia="仿宋" w:cs="仿宋"/>
          <w:color w:val="auto"/>
          <w:sz w:val="24"/>
          <w:szCs w:val="24"/>
          <w:highlight w:val="none"/>
          <w:u w:val="single"/>
        </w:rPr>
        <w:t xml:space="preserve">  达到验收条件24小时前   </w:t>
      </w:r>
      <w:r>
        <w:rPr>
          <w:rFonts w:hint="eastAsia" w:ascii="仿宋" w:hAnsi="仿宋" w:eastAsia="仿宋" w:cs="仿宋"/>
          <w:color w:val="auto"/>
          <w:sz w:val="24"/>
          <w:szCs w:val="24"/>
          <w:highlight w:val="none"/>
        </w:rPr>
        <w:t>。</w:t>
      </w:r>
    </w:p>
    <w:p w14:paraId="3A192A1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监理人不能按时进行检查时，应提前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小时提交书面延期要求。</w:t>
      </w:r>
    </w:p>
    <w:p w14:paraId="42D4223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小时。</w:t>
      </w:r>
    </w:p>
    <w:p w14:paraId="6F9879D2">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6. 安全文明施工与环境保护</w:t>
      </w:r>
    </w:p>
    <w:p w14:paraId="1C37D555">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6.1安全文明施工</w:t>
      </w:r>
    </w:p>
    <w:p w14:paraId="21E45B6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rPr>
        <w:t>6.1.1 项目安全生产的达标目标及相应事项的约定：</w:t>
      </w:r>
      <w:r>
        <w:rPr>
          <w:rFonts w:hint="eastAsia" w:ascii="仿宋" w:hAnsi="仿宋" w:eastAsia="仿宋" w:cs="仿宋"/>
          <w:color w:val="auto"/>
          <w:sz w:val="24"/>
          <w:szCs w:val="24"/>
          <w:highlight w:val="none"/>
          <w:u w:val="single"/>
        </w:rPr>
        <w:t xml:space="preserve"> 承包人应遵守工程建设安全生产有关管理规定，严格按现行安全标准组织施工，并随时接受行业安全检查人员依法实施的监督检查，采取必要的安全防护措施，消除事故隐患。本工程在整个施工期间杜绝一切人身伤亡和重大质量安全事故</w:t>
      </w:r>
      <w:r>
        <w:rPr>
          <w:rFonts w:hint="eastAsia" w:ascii="仿宋" w:hAnsi="仿宋" w:eastAsia="仿宋" w:cs="仿宋"/>
          <w:color w:val="auto"/>
          <w:sz w:val="24"/>
          <w:szCs w:val="24"/>
          <w:highlight w:val="none"/>
          <w:u w:val="none"/>
        </w:rPr>
        <w:t>。</w:t>
      </w:r>
    </w:p>
    <w:p w14:paraId="624760B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6.1.4 关于治安保卫的特别约定：</w:t>
      </w:r>
      <w:r>
        <w:rPr>
          <w:rFonts w:hint="eastAsia" w:ascii="仿宋" w:hAnsi="仿宋" w:eastAsia="仿宋" w:cs="仿宋"/>
          <w:color w:val="auto"/>
          <w:sz w:val="24"/>
          <w:szCs w:val="24"/>
          <w:highlight w:val="none"/>
          <w:u w:val="single"/>
        </w:rPr>
        <w:t xml:space="preserve"> 承包人施工现场及其他辖区的治安保卫工作，由承包人负责，承包人应按照有关规定及招投标文件的要求履行治安保卫义务。</w:t>
      </w:r>
    </w:p>
    <w:p w14:paraId="6EAE2A6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关于编制施工场地治安管理计划的约定：</w:t>
      </w:r>
      <w:r>
        <w:rPr>
          <w:rFonts w:hint="eastAsia" w:ascii="仿宋" w:hAnsi="仿宋" w:eastAsia="仿宋" w:cs="仿宋"/>
          <w:color w:val="auto"/>
          <w:sz w:val="24"/>
          <w:szCs w:val="24"/>
          <w:highlight w:val="none"/>
          <w:u w:val="single"/>
        </w:rPr>
        <w:t>工程开工后10天内，承包人 应编制并提交施工场地治安管理计划并制定应对突发治安事件的紧急预案  。</w:t>
      </w:r>
    </w:p>
    <w:p w14:paraId="20D037F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6.1.5 文明施工</w:t>
      </w:r>
    </w:p>
    <w:p w14:paraId="1E6AC2CE">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合同当事人对文明施工的要求：</w:t>
      </w:r>
      <w:r>
        <w:rPr>
          <w:rFonts w:hint="eastAsia" w:ascii="仿宋" w:hAnsi="仿宋" w:eastAsia="仿宋" w:cs="仿宋"/>
          <w:color w:val="auto"/>
          <w:sz w:val="24"/>
          <w:szCs w:val="24"/>
          <w:highlight w:val="none"/>
          <w:u w:val="single"/>
        </w:rPr>
        <w:t xml:space="preserve"> 承包人负责按照国家、行业标准、地方标准严格组织安全文明施工，对安全文明施工负总责</w:t>
      </w:r>
      <w:r>
        <w:rPr>
          <w:rFonts w:hint="eastAsia" w:ascii="仿宋" w:hAnsi="仿宋" w:eastAsia="仿宋" w:cs="仿宋"/>
          <w:color w:val="auto"/>
          <w:sz w:val="24"/>
          <w:szCs w:val="24"/>
          <w:highlight w:val="none"/>
        </w:rPr>
        <w:t>。</w:t>
      </w:r>
    </w:p>
    <w:p w14:paraId="31C95A24">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6.1.6 关于安全文明施工费支付比例和支付期限的约定：</w:t>
      </w:r>
      <w:r>
        <w:rPr>
          <w:rFonts w:hint="eastAsia" w:ascii="仿宋" w:hAnsi="仿宋" w:eastAsia="仿宋" w:cs="仿宋"/>
          <w:color w:val="auto"/>
          <w:sz w:val="24"/>
          <w:szCs w:val="24"/>
          <w:highlight w:val="none"/>
          <w:u w:val="single"/>
        </w:rPr>
        <w:t xml:space="preserve"> 发包人应在开工后28天内支付文明施工费总额的50%，其余部分</w:t>
      </w:r>
      <w:r>
        <w:rPr>
          <w:rStyle w:val="41"/>
          <w:rFonts w:hint="eastAsia" w:ascii="仿宋" w:hAnsi="仿宋" w:eastAsia="仿宋" w:cs="仿宋"/>
          <w:color w:val="auto"/>
          <w:sz w:val="24"/>
          <w:szCs w:val="24"/>
          <w:highlight w:val="none"/>
        </w:rPr>
        <w:t>按进度支付及按比例支付</w:t>
      </w:r>
      <w:r>
        <w:rPr>
          <w:rFonts w:hint="eastAsia" w:ascii="仿宋" w:hAnsi="仿宋" w:eastAsia="仿宋" w:cs="仿宋"/>
          <w:color w:val="auto"/>
          <w:sz w:val="24"/>
          <w:szCs w:val="24"/>
          <w:highlight w:val="none"/>
          <w:u w:val="single"/>
        </w:rPr>
        <w:t>。</w:t>
      </w:r>
    </w:p>
    <w:p w14:paraId="6EBF39BB">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7. 工期和进度</w:t>
      </w:r>
    </w:p>
    <w:p w14:paraId="2265EF0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 施工组织设计</w:t>
      </w:r>
    </w:p>
    <w:p w14:paraId="77B2BC78">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7.1.1 合</w:t>
      </w:r>
      <w:r>
        <w:rPr>
          <w:rFonts w:hint="eastAsia" w:ascii="仿宋" w:hAnsi="仿宋" w:eastAsia="仿宋" w:cs="仿宋"/>
          <w:color w:val="auto"/>
          <w:kern w:val="0"/>
          <w:sz w:val="24"/>
          <w:szCs w:val="24"/>
          <w:highlight w:val="none"/>
        </w:rPr>
        <w:t>同当事人约定的施工组织设计应包括的其他内容：</w:t>
      </w:r>
      <w:r>
        <w:rPr>
          <w:rFonts w:hint="eastAsia" w:ascii="仿宋" w:hAnsi="仿宋" w:eastAsia="仿宋" w:cs="仿宋"/>
          <w:color w:val="auto"/>
          <w:sz w:val="24"/>
          <w:szCs w:val="24"/>
          <w:highlight w:val="none"/>
          <w:u w:val="single"/>
        </w:rPr>
        <w:t xml:space="preserve">  按监理人和发包人要求执行。对危险性较大的分部分项工程，承包人应按照规定编制专项施工方案。</w:t>
      </w:r>
    </w:p>
    <w:p w14:paraId="2E052E1B">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 xml:space="preserve">7.1.2 </w:t>
      </w:r>
      <w:r>
        <w:rPr>
          <w:rFonts w:hint="eastAsia" w:ascii="仿宋" w:hAnsi="仿宋" w:eastAsia="仿宋" w:cs="仿宋"/>
          <w:color w:val="auto"/>
          <w:kern w:val="0"/>
          <w:sz w:val="24"/>
          <w:szCs w:val="24"/>
          <w:highlight w:val="none"/>
        </w:rPr>
        <w:t>施工组织设计的提交和修改</w:t>
      </w:r>
    </w:p>
    <w:p w14:paraId="3F573F8C">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承包人提交详细施工组织设计的期限的约定：</w:t>
      </w:r>
      <w:r>
        <w:rPr>
          <w:rFonts w:hint="eastAsia" w:ascii="仿宋" w:hAnsi="仿宋" w:eastAsia="仿宋" w:cs="仿宋"/>
          <w:color w:val="auto"/>
          <w:sz w:val="24"/>
          <w:szCs w:val="24"/>
          <w:highlight w:val="none"/>
          <w:u w:val="single"/>
        </w:rPr>
        <w:t>合同约定开工日期14天前</w:t>
      </w:r>
      <w:r>
        <w:rPr>
          <w:rFonts w:hint="eastAsia" w:ascii="仿宋" w:hAnsi="仿宋" w:eastAsia="仿宋" w:cs="仿宋"/>
          <w:color w:val="auto"/>
          <w:sz w:val="24"/>
          <w:szCs w:val="24"/>
          <w:highlight w:val="none"/>
        </w:rPr>
        <w:t>。</w:t>
      </w:r>
    </w:p>
    <w:p w14:paraId="3BAE1A0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发包人和监理人在收到详细的施工组织设计后确认或提出修改意见的期限：</w:t>
      </w:r>
      <w:r>
        <w:rPr>
          <w:rFonts w:hint="eastAsia" w:ascii="仿宋" w:hAnsi="仿宋" w:eastAsia="仿宋" w:cs="仿宋"/>
          <w:color w:val="auto"/>
          <w:sz w:val="24"/>
          <w:szCs w:val="24"/>
          <w:highlight w:val="none"/>
          <w:u w:val="single"/>
        </w:rPr>
        <w:t>收到承包人报告之日起7日内</w:t>
      </w:r>
      <w:r>
        <w:rPr>
          <w:rFonts w:hint="eastAsia" w:ascii="仿宋" w:hAnsi="仿宋" w:eastAsia="仿宋" w:cs="仿宋"/>
          <w:color w:val="auto"/>
          <w:sz w:val="24"/>
          <w:szCs w:val="24"/>
          <w:highlight w:val="none"/>
          <w:u w:val="none"/>
        </w:rPr>
        <w:t>。</w:t>
      </w:r>
    </w:p>
    <w:p w14:paraId="3B3ED635">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 施工进度计划</w:t>
      </w:r>
    </w:p>
    <w:p w14:paraId="3C47BE1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7.2.2 施工进度计划的修订</w:t>
      </w:r>
    </w:p>
    <w:p w14:paraId="2B76771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 自发包人和监理人收到修订的施工进度计划后7天内。承包人提交经修订的施工进度计划应满足合同关于工期(包括相应节点工期)的要求，并制定相应的工期保证措施，由此产生的相关费用已包括在承包人的签约合同价中，由承包人承担。合同履约过程中发包人不会因保障工期再向承包人支付任何性质的技术措施及赶工等费用。</w:t>
      </w:r>
    </w:p>
    <w:p w14:paraId="08EB6FC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 开工</w:t>
      </w:r>
    </w:p>
    <w:p w14:paraId="24C2452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7.3.1 开工准备</w:t>
      </w:r>
    </w:p>
    <w:p w14:paraId="140E9EAE">
      <w:pPr>
        <w:keepNext w:val="0"/>
        <w:keepLines w:val="0"/>
        <w:pageBreakBefore w:val="0"/>
        <w:widowControl w:val="0"/>
        <w:kinsoku/>
        <w:wordWrap/>
        <w:overflowPunct/>
        <w:topLinePunct w:val="0"/>
        <w:bidi w:val="0"/>
        <w:snapToGrid/>
        <w:spacing w:line="440" w:lineRule="exact"/>
        <w:ind w:firstLine="645"/>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关于承包人提交</w:t>
      </w:r>
      <w:r>
        <w:rPr>
          <w:rFonts w:hint="eastAsia" w:ascii="仿宋" w:hAnsi="仿宋" w:eastAsia="仿宋" w:cs="仿宋"/>
          <w:color w:val="auto"/>
          <w:kern w:val="0"/>
          <w:sz w:val="24"/>
          <w:szCs w:val="24"/>
          <w:highlight w:val="none"/>
        </w:rPr>
        <w:t>工程开工报审表的期限：</w:t>
      </w:r>
      <w:r>
        <w:rPr>
          <w:rFonts w:hint="eastAsia" w:ascii="仿宋" w:hAnsi="仿宋" w:eastAsia="仿宋" w:cs="仿宋"/>
          <w:color w:val="auto"/>
          <w:sz w:val="24"/>
          <w:szCs w:val="24"/>
          <w:highlight w:val="none"/>
          <w:u w:val="single"/>
        </w:rPr>
        <w:t xml:space="preserve">约定开工日期7天前 </w:t>
      </w:r>
      <w:r>
        <w:rPr>
          <w:rFonts w:hint="eastAsia" w:ascii="仿宋" w:hAnsi="仿宋" w:eastAsia="仿宋" w:cs="仿宋"/>
          <w:color w:val="auto"/>
          <w:sz w:val="24"/>
          <w:szCs w:val="24"/>
          <w:highlight w:val="none"/>
        </w:rPr>
        <w:t>。</w:t>
      </w:r>
    </w:p>
    <w:p w14:paraId="3D63921F">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关于发包人应完成的其他开工准备工作及期限：</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11B42B15">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关于承包人应完成的其他开工准备工作及期限：</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00E34B7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7.3.2开工通知</w:t>
      </w:r>
    </w:p>
    <w:p w14:paraId="706C91B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因发包人原因造成监理人未能在计划开工日期之日起</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天内发出开工通知的，承包人有权提出价格调整要求，或者解除合同。</w:t>
      </w:r>
    </w:p>
    <w:p w14:paraId="02CB0996">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7.4 测量放线</w:t>
      </w:r>
    </w:p>
    <w:p w14:paraId="14D6470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7.4.1发包人通过监理人向承包人提供测量基准点、基准线和水准点及其书面资料的期限：</w:t>
      </w:r>
      <w:r>
        <w:rPr>
          <w:rFonts w:hint="eastAsia" w:ascii="仿宋" w:hAnsi="仿宋" w:eastAsia="仿宋" w:cs="仿宋"/>
          <w:color w:val="auto"/>
          <w:sz w:val="24"/>
          <w:szCs w:val="24"/>
          <w:highlight w:val="none"/>
          <w:u w:val="single"/>
        </w:rPr>
        <w:t xml:space="preserve">程正式开工3天前 </w:t>
      </w:r>
      <w:r>
        <w:rPr>
          <w:rFonts w:hint="eastAsia" w:ascii="仿宋" w:hAnsi="仿宋" w:eastAsia="仿宋" w:cs="仿宋"/>
          <w:color w:val="auto"/>
          <w:sz w:val="24"/>
          <w:szCs w:val="24"/>
          <w:highlight w:val="none"/>
        </w:rPr>
        <w:t>。</w:t>
      </w:r>
    </w:p>
    <w:p w14:paraId="13FAAE56">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 工期延误</w:t>
      </w:r>
    </w:p>
    <w:p w14:paraId="4E111E8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7.5.1 因发包人原因导致工期延误</w:t>
      </w:r>
    </w:p>
    <w:p w14:paraId="0DBCDE14">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（7）因发包人原因导致工期延误的其他情形：</w:t>
      </w:r>
      <w:r>
        <w:rPr>
          <w:rFonts w:hint="eastAsia" w:ascii="仿宋" w:hAnsi="仿宋" w:eastAsia="仿宋" w:cs="仿宋"/>
          <w:color w:val="auto"/>
          <w:sz w:val="24"/>
          <w:szCs w:val="24"/>
          <w:highlight w:val="none"/>
          <w:u w:val="single"/>
        </w:rPr>
        <w:t xml:space="preserve"> 工程量增加、延期付款、及其他非承包人造成的工期延误 </w:t>
      </w:r>
      <w:r>
        <w:rPr>
          <w:rFonts w:hint="eastAsia" w:ascii="仿宋" w:hAnsi="仿宋" w:eastAsia="仿宋" w:cs="仿宋"/>
          <w:color w:val="auto"/>
          <w:sz w:val="24"/>
          <w:szCs w:val="24"/>
          <w:highlight w:val="none"/>
        </w:rPr>
        <w:t>。</w:t>
      </w:r>
    </w:p>
    <w:p w14:paraId="77209CD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7.5.2 因承包人原因导致工期延误</w:t>
      </w:r>
    </w:p>
    <w:p w14:paraId="6AA9F74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因承包人原因造成工期延误，逾期竣工违约金的计算方法为：</w:t>
      </w:r>
      <w:r>
        <w:rPr>
          <w:rFonts w:hint="eastAsia" w:ascii="仿宋" w:hAnsi="仿宋" w:eastAsia="仿宋" w:cs="仿宋"/>
          <w:color w:val="auto"/>
          <w:sz w:val="24"/>
          <w:szCs w:val="24"/>
          <w:highlight w:val="none"/>
          <w:u w:val="single"/>
        </w:rPr>
        <w:t xml:space="preserve"> 逾期竣工违约金计算标准为1万元/天。双方进一步确定：(1)主体结构未按计划完成，逾期违约金按1万元/天计算，其他工程节点按5000元/天计算；(2)如果发包人提供切实证据，证明承包人按第7.5款支付给发包人的逾期竣工违约金，不足以弥补因承包人逾期竣工给发包人造成的损失，承包人应另行向发包人支付赔偿金来弥补实际损失。由于承包人原因造成工程延期，导致监理人延期服务，延期服务费由承包人承担。  </w:t>
      </w:r>
      <w:r>
        <w:rPr>
          <w:rFonts w:hint="eastAsia" w:ascii="仿宋" w:hAnsi="仿宋" w:eastAsia="仿宋" w:cs="仿宋"/>
          <w:color w:val="auto"/>
          <w:sz w:val="24"/>
          <w:szCs w:val="24"/>
          <w:highlight w:val="none"/>
        </w:rPr>
        <w:t>。</w:t>
      </w:r>
    </w:p>
    <w:p w14:paraId="214F5FDB">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因承包人原因造成工期延误，逾期竣工违约金的上限：</w:t>
      </w:r>
      <w:r>
        <w:rPr>
          <w:rFonts w:hint="eastAsia" w:ascii="仿宋" w:hAnsi="仿宋" w:eastAsia="仿宋" w:cs="仿宋"/>
          <w:color w:val="auto"/>
          <w:sz w:val="24"/>
          <w:szCs w:val="24"/>
          <w:highlight w:val="none"/>
          <w:u w:val="single"/>
        </w:rPr>
        <w:t xml:space="preserve"> 合同约定价款总额的 5‰的违约金 </w:t>
      </w:r>
      <w:r>
        <w:rPr>
          <w:rFonts w:hint="eastAsia" w:ascii="仿宋" w:hAnsi="仿宋" w:eastAsia="仿宋" w:cs="仿宋"/>
          <w:color w:val="auto"/>
          <w:sz w:val="24"/>
          <w:szCs w:val="24"/>
          <w:highlight w:val="none"/>
          <w:u w:val="none"/>
        </w:rPr>
        <w:t>。</w:t>
      </w:r>
    </w:p>
    <w:p w14:paraId="092CC435">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7.6 不利物质条件</w:t>
      </w:r>
    </w:p>
    <w:p w14:paraId="489C956D">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不利物质条件的其他情形和有关约定：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363B93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7.7异常恶劣的气候条件</w:t>
      </w:r>
    </w:p>
    <w:p w14:paraId="2E8D02C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发包人和承包人同意以下情形视为异常恶劣的气候条件：</w:t>
      </w:r>
    </w:p>
    <w:p w14:paraId="63B6D7C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   暴雨、大雪、寒潮、冰雹、大雾      </w:t>
      </w:r>
    </w:p>
    <w:p w14:paraId="43406A4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  38度以上高温、 —10度以下严寒天气 </w:t>
      </w:r>
    </w:p>
    <w:p w14:paraId="641BC1F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  5级以上大风、沙尘暴及其他异常恶劣气候灾害   。</w:t>
      </w:r>
    </w:p>
    <w:p w14:paraId="1DBE5269">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02" w:name="_Toc25141770"/>
      <w:r>
        <w:rPr>
          <w:rFonts w:hint="eastAsia" w:ascii="仿宋" w:hAnsi="仿宋" w:eastAsia="仿宋" w:cs="仿宋"/>
          <w:color w:val="auto"/>
          <w:sz w:val="24"/>
          <w:szCs w:val="24"/>
          <w:highlight w:val="none"/>
        </w:rPr>
        <w:t>7.9 提前竣工的奖励</w:t>
      </w:r>
      <w:bookmarkEnd w:id="1502"/>
    </w:p>
    <w:p w14:paraId="01E8DF6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7.9.2提前竣工的奖励：</w:t>
      </w:r>
      <w:r>
        <w:rPr>
          <w:rFonts w:hint="eastAsia" w:ascii="仿宋" w:hAnsi="仿宋" w:eastAsia="仿宋" w:cs="仿宋"/>
          <w:color w:val="auto"/>
          <w:sz w:val="24"/>
          <w:szCs w:val="24"/>
          <w:highlight w:val="none"/>
          <w:u w:val="single"/>
        </w:rPr>
        <w:t>本着公平对等原则，提前竣工奖励与逾期竣工违约罚款金额一致。</w:t>
      </w:r>
    </w:p>
    <w:p w14:paraId="05900C3B">
      <w:pPr>
        <w:keepNext w:val="0"/>
        <w:keepLines w:val="0"/>
        <w:pageBreakBefore w:val="0"/>
        <w:widowControl w:val="0"/>
        <w:numPr>
          <w:ilvl w:val="0"/>
          <w:numId w:val="10"/>
        </w:numPr>
        <w:kinsoku/>
        <w:wordWrap/>
        <w:overflowPunct/>
        <w:topLinePunct w:val="0"/>
        <w:bidi w:val="0"/>
        <w:snapToGrid/>
        <w:spacing w:before="120" w:after="120"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材料与设备</w:t>
      </w:r>
    </w:p>
    <w:p w14:paraId="464D58F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8.2承包人采购材料与工程设备</w:t>
      </w:r>
    </w:p>
    <w:p w14:paraId="11E6B8F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8.2.1承包人承包范围内除发包人提供的材料和工程设备外，其他材料和设备均由承包人采购供应。承包人采购的主要材料和设备应是符合国家规范标准及设计文件、招标文件要求，所选材料、设备应为国内一线品牌“国内一线品牌指《中国建筑材料行业品牌评价名录》（最新版）中列示的 A 级品牌， 承包人在投标时须列明所用产品的品牌/厂家、规格型号等，合同签订前， 发包人将对承包人提供的主要材料和设备进行确认，发包人有权更换不符合要求的材料和设备，承包人应无条件接受。</w:t>
      </w:r>
    </w:p>
    <w:p w14:paraId="67E4785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8.2.2在项目实施阶段，如承包人提供的材料设备未达到设计及发包人的要求，或采购供应影响了工程进度，发包人保留采购材料设备的权利，有权要求更换所选用的材料设备的生产厂家。</w:t>
      </w:r>
    </w:p>
    <w:p w14:paraId="7C76516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8.4材料与工程设备的保管与使用</w:t>
      </w:r>
    </w:p>
    <w:p w14:paraId="0AB3AF5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8.4.1</w:t>
      </w:r>
      <w:r>
        <w:rPr>
          <w:rFonts w:hint="eastAsia" w:ascii="仿宋" w:hAnsi="仿宋" w:eastAsia="仿宋" w:cs="仿宋"/>
          <w:color w:val="auto"/>
          <w:sz w:val="24"/>
          <w:szCs w:val="24"/>
          <w:highlight w:val="none"/>
          <w:u w:val="single"/>
          <w:lang w:val="en-US" w:eastAsia="zh-CN"/>
        </w:rPr>
        <w:t>承</w:t>
      </w:r>
      <w:r>
        <w:rPr>
          <w:rFonts w:hint="eastAsia" w:ascii="仿宋" w:hAnsi="仿宋" w:eastAsia="仿宋" w:cs="仿宋"/>
          <w:color w:val="auto"/>
          <w:sz w:val="24"/>
          <w:szCs w:val="24"/>
          <w:highlight w:val="none"/>
          <w:u w:val="single"/>
        </w:rPr>
        <w:t xml:space="preserve">包人供应的材料设备的保管费用的承担： </w:t>
      </w:r>
      <w:r>
        <w:rPr>
          <w:rFonts w:hint="eastAsia" w:ascii="仿宋" w:hAnsi="仿宋" w:eastAsia="仿宋" w:cs="仿宋"/>
          <w:color w:val="auto"/>
          <w:sz w:val="24"/>
          <w:szCs w:val="24"/>
          <w:highlight w:val="none"/>
          <w:u w:val="single"/>
          <w:lang w:val="en-US" w:eastAsia="zh-CN"/>
        </w:rPr>
        <w:t>承</w:t>
      </w:r>
      <w:r>
        <w:rPr>
          <w:rFonts w:hint="eastAsia" w:ascii="仿宋" w:hAnsi="仿宋" w:eastAsia="仿宋" w:cs="仿宋"/>
          <w:color w:val="auto"/>
          <w:sz w:val="24"/>
          <w:szCs w:val="24"/>
          <w:highlight w:val="none"/>
          <w:u w:val="single"/>
        </w:rPr>
        <w:t>包人承担。</w:t>
      </w:r>
      <w:r>
        <w:rPr>
          <w:rFonts w:hint="eastAsia" w:ascii="仿宋" w:hAnsi="仿宋" w:eastAsia="仿宋" w:cs="仿宋"/>
          <w:color w:val="auto"/>
          <w:sz w:val="24"/>
          <w:szCs w:val="24"/>
          <w:highlight w:val="none"/>
          <w:u w:val="single"/>
          <w:lang w:val="en-US" w:eastAsia="zh-CN"/>
        </w:rPr>
        <w:t>承</w:t>
      </w:r>
      <w:r>
        <w:rPr>
          <w:rFonts w:hint="eastAsia" w:ascii="仿宋" w:hAnsi="仿宋" w:eastAsia="仿宋" w:cs="仿宋"/>
          <w:color w:val="auto"/>
          <w:sz w:val="24"/>
          <w:szCs w:val="24"/>
          <w:highlight w:val="none"/>
          <w:u w:val="single"/>
        </w:rPr>
        <w:t>包人提供的材料或工程设备不符合合同及设计要求的，</w:t>
      </w:r>
      <w:r>
        <w:rPr>
          <w:rFonts w:hint="eastAsia" w:ascii="仿宋" w:hAnsi="仿宋" w:eastAsia="仿宋" w:cs="仿宋"/>
          <w:color w:val="auto"/>
          <w:sz w:val="24"/>
          <w:szCs w:val="24"/>
          <w:highlight w:val="none"/>
          <w:u w:val="single"/>
          <w:lang w:val="en-US" w:eastAsia="zh-CN"/>
        </w:rPr>
        <w:t>发</w:t>
      </w:r>
      <w:r>
        <w:rPr>
          <w:rFonts w:hint="eastAsia" w:ascii="仿宋" w:hAnsi="仿宋" w:eastAsia="仿宋" w:cs="仿宋"/>
          <w:color w:val="auto"/>
          <w:sz w:val="24"/>
          <w:szCs w:val="24"/>
          <w:highlight w:val="none"/>
          <w:u w:val="single"/>
        </w:rPr>
        <w:t>包人有权拒绝，并可要求</w:t>
      </w:r>
      <w:r>
        <w:rPr>
          <w:rFonts w:hint="eastAsia" w:ascii="仿宋" w:hAnsi="仿宋" w:eastAsia="仿宋" w:cs="仿宋"/>
          <w:color w:val="auto"/>
          <w:sz w:val="24"/>
          <w:szCs w:val="24"/>
          <w:highlight w:val="none"/>
          <w:u w:val="single"/>
          <w:lang w:val="en-US" w:eastAsia="zh-CN"/>
        </w:rPr>
        <w:t>承</w:t>
      </w:r>
      <w:r>
        <w:rPr>
          <w:rFonts w:hint="eastAsia" w:ascii="仿宋" w:hAnsi="仿宋" w:eastAsia="仿宋" w:cs="仿宋"/>
          <w:color w:val="auto"/>
          <w:sz w:val="24"/>
          <w:szCs w:val="24"/>
          <w:highlight w:val="none"/>
          <w:u w:val="single"/>
        </w:rPr>
        <w:t>包人更换，由此增加的费用和(或)延误的工期由</w:t>
      </w:r>
      <w:r>
        <w:rPr>
          <w:rFonts w:hint="eastAsia" w:ascii="仿宋" w:hAnsi="仿宋" w:eastAsia="仿宋" w:cs="仿宋"/>
          <w:color w:val="auto"/>
          <w:sz w:val="24"/>
          <w:szCs w:val="24"/>
          <w:highlight w:val="none"/>
          <w:u w:val="single"/>
          <w:lang w:val="en-US" w:eastAsia="zh-CN"/>
        </w:rPr>
        <w:t>承</w:t>
      </w:r>
      <w:r>
        <w:rPr>
          <w:rFonts w:hint="eastAsia" w:ascii="仿宋" w:hAnsi="仿宋" w:eastAsia="仿宋" w:cs="仿宋"/>
          <w:color w:val="auto"/>
          <w:sz w:val="24"/>
          <w:szCs w:val="24"/>
          <w:highlight w:val="none"/>
          <w:u w:val="single"/>
        </w:rPr>
        <w:t>包人承担。</w:t>
      </w:r>
    </w:p>
    <w:p w14:paraId="6D4D807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8.6样品</w:t>
      </w:r>
    </w:p>
    <w:p w14:paraId="42B9BB8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8.6.1 样品的报送与封存</w:t>
      </w:r>
    </w:p>
    <w:p w14:paraId="10BAC4C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需要承包人报送样品的材料或工程设备，样品的种类、名称、规格、 数量要求：</w:t>
      </w:r>
      <w:r>
        <w:rPr>
          <w:rFonts w:hint="eastAsia" w:ascii="仿宋" w:hAnsi="仿宋" w:eastAsia="仿宋" w:cs="仿宋"/>
          <w:color w:val="auto"/>
          <w:sz w:val="24"/>
          <w:szCs w:val="24"/>
          <w:highlight w:val="none"/>
          <w:u w:val="single"/>
        </w:rPr>
        <w:t xml:space="preserve">按管理部门相关规定执行  </w:t>
      </w:r>
    </w:p>
    <w:p w14:paraId="2C48A627">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03" w:name="_Toc25141772"/>
      <w:r>
        <w:rPr>
          <w:rFonts w:hint="eastAsia" w:ascii="仿宋" w:hAnsi="仿宋" w:eastAsia="仿宋" w:cs="仿宋"/>
          <w:color w:val="auto"/>
          <w:sz w:val="24"/>
          <w:szCs w:val="24"/>
          <w:highlight w:val="none"/>
        </w:rPr>
        <w:t>8.8 施工设备和临时设施</w:t>
      </w:r>
      <w:bookmarkEnd w:id="1503"/>
    </w:p>
    <w:p w14:paraId="3025196B">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8.8.1 承包人提供的施工设备和临时设施</w:t>
      </w:r>
    </w:p>
    <w:p w14:paraId="52C3557C">
      <w:pPr>
        <w:keepNext w:val="0"/>
        <w:keepLines w:val="0"/>
        <w:pageBreakBefore w:val="0"/>
        <w:widowControl w:val="0"/>
        <w:kinsoku/>
        <w:wordWrap/>
        <w:overflowPunct/>
        <w:topLinePunct w:val="0"/>
        <w:autoSpaceDE w:val="0"/>
        <w:autoSpaceDN w:val="0"/>
        <w:bidi w:val="0"/>
        <w:adjustRightInd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关于修建临时设施费用承担的约定：</w:t>
      </w:r>
      <w:r>
        <w:rPr>
          <w:rFonts w:hint="eastAsia" w:ascii="仿宋" w:hAnsi="仿宋" w:eastAsia="仿宋" w:cs="仿宋"/>
          <w:color w:val="auto"/>
          <w:sz w:val="24"/>
          <w:szCs w:val="24"/>
          <w:highlight w:val="none"/>
          <w:u w:val="single"/>
        </w:rPr>
        <w:t xml:space="preserve">由承包人承担        </w:t>
      </w:r>
      <w:r>
        <w:rPr>
          <w:rFonts w:hint="eastAsia" w:ascii="仿宋" w:hAnsi="仿宋" w:eastAsia="仿宋" w:cs="仿宋"/>
          <w:color w:val="auto"/>
          <w:sz w:val="24"/>
          <w:szCs w:val="24"/>
          <w:highlight w:val="none"/>
        </w:rPr>
        <w:t>。</w:t>
      </w:r>
    </w:p>
    <w:p w14:paraId="2C4ECC29">
      <w:pPr>
        <w:keepNext w:val="0"/>
        <w:keepLines w:val="0"/>
        <w:pageBreakBefore w:val="0"/>
        <w:widowControl w:val="0"/>
        <w:kinsoku/>
        <w:wordWrap/>
        <w:overflowPunct/>
        <w:topLinePunct w:val="0"/>
        <w:bidi w:val="0"/>
        <w:snapToGrid/>
        <w:spacing w:before="120" w:after="120"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9. 试验与检验</w:t>
      </w:r>
    </w:p>
    <w:p w14:paraId="0A863DEF">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9.1试验设备与试验人员</w:t>
      </w:r>
    </w:p>
    <w:p w14:paraId="4579317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9.1.2 试验设备</w:t>
      </w:r>
    </w:p>
    <w:p w14:paraId="4862144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施工现场需要配置的试验场所：</w:t>
      </w:r>
      <w:r>
        <w:rPr>
          <w:rFonts w:hint="eastAsia" w:ascii="仿宋" w:hAnsi="仿宋" w:eastAsia="仿宋" w:cs="仿宋"/>
          <w:color w:val="auto"/>
          <w:sz w:val="24"/>
          <w:szCs w:val="24"/>
          <w:highlight w:val="none"/>
          <w:u w:val="single"/>
        </w:rPr>
        <w:t xml:space="preserve"> 按发包人和监理人</w:t>
      </w:r>
      <w:r>
        <w:rPr>
          <w:rFonts w:hint="eastAsia" w:ascii="仿宋" w:hAnsi="仿宋" w:eastAsia="仿宋" w:cs="仿宋"/>
          <w:color w:val="auto"/>
          <w:sz w:val="24"/>
          <w:szCs w:val="24"/>
          <w:highlight w:val="none"/>
          <w:u w:val="single"/>
          <w:lang w:val="en-US" w:eastAsia="zh-CN"/>
        </w:rPr>
        <w:t>要求</w:t>
      </w:r>
      <w:r>
        <w:rPr>
          <w:rFonts w:hint="eastAsia" w:ascii="仿宋" w:hAnsi="仿宋" w:eastAsia="仿宋" w:cs="仿宋"/>
          <w:color w:val="auto"/>
          <w:sz w:val="24"/>
          <w:szCs w:val="24"/>
          <w:highlight w:val="none"/>
        </w:rPr>
        <w:t xml:space="preserve">。 </w:t>
      </w:r>
    </w:p>
    <w:p w14:paraId="76041B9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施工现场需要配备的试验设备：</w:t>
      </w:r>
      <w:r>
        <w:rPr>
          <w:rFonts w:hint="eastAsia" w:ascii="仿宋" w:hAnsi="仿宋" w:eastAsia="仿宋" w:cs="仿宋"/>
          <w:color w:val="auto"/>
          <w:sz w:val="24"/>
          <w:szCs w:val="24"/>
          <w:highlight w:val="none"/>
          <w:u w:val="single"/>
        </w:rPr>
        <w:t>按发包人和监理人要</w:t>
      </w:r>
      <w:r>
        <w:rPr>
          <w:rFonts w:hint="eastAsia" w:ascii="仿宋" w:hAnsi="仿宋" w:eastAsia="仿宋" w:cs="仿宋"/>
          <w:color w:val="auto"/>
          <w:sz w:val="24"/>
          <w:szCs w:val="24"/>
          <w:highlight w:val="none"/>
          <w:u w:val="single"/>
          <w:lang w:val="en-US" w:eastAsia="zh-CN"/>
        </w:rPr>
        <w:t>求</w:t>
      </w:r>
      <w:r>
        <w:rPr>
          <w:rFonts w:hint="eastAsia" w:ascii="仿宋" w:hAnsi="仿宋" w:eastAsia="仿宋" w:cs="仿宋"/>
          <w:color w:val="auto"/>
          <w:sz w:val="24"/>
          <w:szCs w:val="24"/>
          <w:highlight w:val="none"/>
        </w:rPr>
        <w:t>。</w:t>
      </w:r>
    </w:p>
    <w:p w14:paraId="050C2BE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施工现场需要具备的其他试验条件：</w:t>
      </w:r>
      <w:r>
        <w:rPr>
          <w:rFonts w:hint="eastAsia" w:ascii="仿宋" w:hAnsi="仿宋" w:eastAsia="仿宋" w:cs="仿宋"/>
          <w:color w:val="auto"/>
          <w:sz w:val="24"/>
          <w:szCs w:val="24"/>
          <w:highlight w:val="none"/>
          <w:u w:val="single"/>
        </w:rPr>
        <w:t xml:space="preserve"> 按发包人和监理人要</w:t>
      </w:r>
      <w:r>
        <w:rPr>
          <w:rFonts w:hint="eastAsia" w:ascii="仿宋" w:hAnsi="仿宋" w:eastAsia="仿宋" w:cs="仿宋"/>
          <w:color w:val="auto"/>
          <w:sz w:val="24"/>
          <w:szCs w:val="24"/>
          <w:highlight w:val="none"/>
          <w:u w:val="single"/>
          <w:lang w:val="en-US" w:eastAsia="zh-CN"/>
        </w:rPr>
        <w:t>求</w:t>
      </w:r>
      <w:r>
        <w:rPr>
          <w:rFonts w:hint="eastAsia" w:ascii="仿宋" w:hAnsi="仿宋" w:eastAsia="仿宋" w:cs="仿宋"/>
          <w:color w:val="auto"/>
          <w:sz w:val="24"/>
          <w:szCs w:val="24"/>
          <w:highlight w:val="none"/>
        </w:rPr>
        <w:t>。</w:t>
      </w:r>
    </w:p>
    <w:p w14:paraId="09D2FC38">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04" w:name="_Toc25141773"/>
      <w:r>
        <w:rPr>
          <w:rFonts w:hint="eastAsia" w:ascii="仿宋" w:hAnsi="仿宋" w:eastAsia="仿宋" w:cs="仿宋"/>
          <w:color w:val="auto"/>
          <w:sz w:val="24"/>
          <w:szCs w:val="24"/>
          <w:highlight w:val="none"/>
        </w:rPr>
        <w:t>9.4 现场工艺试验</w:t>
      </w:r>
      <w:bookmarkEnd w:id="1504"/>
      <w:r>
        <w:rPr>
          <w:rFonts w:hint="eastAsia" w:ascii="仿宋" w:hAnsi="仿宋" w:eastAsia="仿宋" w:cs="仿宋"/>
          <w:color w:val="auto"/>
          <w:sz w:val="24"/>
          <w:szCs w:val="24"/>
          <w:highlight w:val="none"/>
        </w:rPr>
        <w:t xml:space="preserve"> </w:t>
      </w:r>
    </w:p>
    <w:p w14:paraId="739015A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现场工艺试验的有关约定：</w:t>
      </w:r>
      <w:r>
        <w:rPr>
          <w:rFonts w:hint="eastAsia" w:ascii="仿宋" w:hAnsi="仿宋" w:eastAsia="仿宋" w:cs="仿宋"/>
          <w:color w:val="auto"/>
          <w:sz w:val="24"/>
          <w:szCs w:val="24"/>
          <w:highlight w:val="none"/>
          <w:u w:val="single"/>
        </w:rPr>
        <w:t>按发包人和监理人要求 ，承包人承担一切费用。</w:t>
      </w:r>
    </w:p>
    <w:p w14:paraId="0E70A39E">
      <w:pPr>
        <w:keepNext w:val="0"/>
        <w:keepLines w:val="0"/>
        <w:pageBreakBefore w:val="0"/>
        <w:widowControl w:val="0"/>
        <w:kinsoku/>
        <w:wordWrap/>
        <w:overflowPunct/>
        <w:topLinePunct w:val="0"/>
        <w:bidi w:val="0"/>
        <w:snapToGrid/>
        <w:spacing w:before="120" w:after="120"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w:t>
      </w:r>
      <w:bookmarkStart w:id="1505" w:name="_Toc267251442"/>
      <w:r>
        <w:rPr>
          <w:rFonts w:hint="eastAsia" w:ascii="仿宋" w:hAnsi="仿宋" w:eastAsia="仿宋" w:cs="仿宋"/>
          <w:b/>
          <w:color w:val="auto"/>
          <w:sz w:val="24"/>
          <w:szCs w:val="24"/>
          <w:highlight w:val="none"/>
        </w:rPr>
        <w:t>0. 变更</w:t>
      </w:r>
    </w:p>
    <w:p w14:paraId="4007F26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10.1变更的范围</w:t>
      </w:r>
    </w:p>
    <w:p w14:paraId="05A214E6">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关于变更的范围的约定：</w:t>
      </w:r>
      <w:r>
        <w:rPr>
          <w:rFonts w:hint="eastAsia" w:ascii="仿宋" w:hAnsi="仿宋" w:eastAsia="仿宋" w:cs="仿宋"/>
          <w:color w:val="auto"/>
          <w:sz w:val="24"/>
          <w:szCs w:val="24"/>
          <w:highlight w:val="none"/>
          <w:u w:val="single"/>
        </w:rPr>
        <w:t>1、工程量清单缺项、漏项部分按实调整；2、设计变更；3、现场签证；4、工程联系函。</w:t>
      </w:r>
    </w:p>
    <w:p w14:paraId="3B7E0CA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06" w:name="_Toc25141774"/>
      <w:r>
        <w:rPr>
          <w:rFonts w:hint="eastAsia" w:ascii="仿宋" w:hAnsi="仿宋" w:eastAsia="仿宋" w:cs="仿宋"/>
          <w:color w:val="auto"/>
          <w:sz w:val="24"/>
          <w:szCs w:val="24"/>
          <w:highlight w:val="none"/>
        </w:rPr>
        <w:t>10.4 变更估价</w:t>
      </w:r>
      <w:bookmarkEnd w:id="1506"/>
    </w:p>
    <w:p w14:paraId="4C6C529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10.4.1 变更估价原则</w:t>
      </w:r>
    </w:p>
    <w:p w14:paraId="7025846F">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关于变更估价的</w:t>
      </w:r>
      <w:r>
        <w:rPr>
          <w:rFonts w:hint="eastAsia" w:ascii="仿宋" w:hAnsi="仿宋" w:eastAsia="仿宋" w:cs="仿宋"/>
          <w:color w:val="auto"/>
          <w:sz w:val="24"/>
          <w:szCs w:val="24"/>
          <w:highlight w:val="none"/>
          <w:u w:val="single"/>
        </w:rPr>
        <w:t>约定:  按通用条款执行</w:t>
      </w:r>
    </w:p>
    <w:p w14:paraId="6682C284">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10.5承包人的合理化建议</w:t>
      </w:r>
    </w:p>
    <w:p w14:paraId="0599B84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监理人审查承包人合理化建议的期限：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D73D87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发包人审批承包人合理化建议的期限：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61EBDD36">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承包人提出的合理化建议降低了合同价格或者提高了工程经济效益的奖励的方法和金额为：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4A2C26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07" w:name="_Toc25141775"/>
      <w:r>
        <w:rPr>
          <w:rFonts w:hint="eastAsia" w:ascii="仿宋" w:hAnsi="仿宋" w:eastAsia="仿宋" w:cs="仿宋"/>
          <w:color w:val="auto"/>
          <w:sz w:val="24"/>
          <w:szCs w:val="24"/>
          <w:highlight w:val="none"/>
        </w:rPr>
        <w:t>10.7 暂估价</w:t>
      </w:r>
      <w:bookmarkEnd w:id="1507"/>
    </w:p>
    <w:p w14:paraId="33199C3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暂估价材料和工程设备的明细详见附件11：《</w:t>
      </w:r>
      <w:r>
        <w:rPr>
          <w:rFonts w:hint="eastAsia" w:ascii="仿宋" w:hAnsi="仿宋" w:eastAsia="仿宋" w:cs="仿宋"/>
          <w:color w:val="auto"/>
          <w:sz w:val="24"/>
          <w:szCs w:val="24"/>
          <w:highlight w:val="none"/>
        </w:rPr>
        <w:t>暂估价一览表》</w:t>
      </w:r>
      <w:r>
        <w:rPr>
          <w:rFonts w:hint="eastAsia" w:ascii="仿宋" w:hAnsi="仿宋" w:eastAsia="仿宋" w:cs="仿宋"/>
          <w:color w:val="auto"/>
          <w:kern w:val="0"/>
          <w:sz w:val="24"/>
          <w:szCs w:val="24"/>
          <w:highlight w:val="none"/>
        </w:rPr>
        <w:t>。</w:t>
      </w:r>
    </w:p>
    <w:p w14:paraId="5EE0A17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10.7.1 依法必须招标的暂估价项目</w:t>
      </w:r>
    </w:p>
    <w:p w14:paraId="29CEF13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对于依法必须招标的暂估价项目的确认和批准采取第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种方式确定。</w:t>
      </w:r>
    </w:p>
    <w:p w14:paraId="0F16A58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10.7.2 不属于依法必须招标的暂估价项目</w:t>
      </w:r>
    </w:p>
    <w:p w14:paraId="05A19A8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对于不属于依法必须招标的暂估价项目的确认和批准采取第</w:t>
      </w:r>
      <w:r>
        <w:rPr>
          <w:rFonts w:hint="eastAsia" w:ascii="仿宋" w:hAnsi="仿宋" w:eastAsia="仿宋" w:cs="仿宋"/>
          <w:color w:val="auto"/>
          <w:sz w:val="24"/>
          <w:szCs w:val="24"/>
          <w:highlight w:val="none"/>
          <w:u w:val="single"/>
        </w:rPr>
        <w:t xml:space="preserve">  1 </w:t>
      </w:r>
      <w:r>
        <w:rPr>
          <w:rFonts w:hint="eastAsia" w:ascii="仿宋" w:hAnsi="仿宋" w:eastAsia="仿宋" w:cs="仿宋"/>
          <w:color w:val="auto"/>
          <w:sz w:val="24"/>
          <w:szCs w:val="24"/>
          <w:highlight w:val="none"/>
        </w:rPr>
        <w:t xml:space="preserve"> 种方式确定。</w:t>
      </w:r>
    </w:p>
    <w:p w14:paraId="054A026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第3种方式：承包人直接实施的暂估价项目</w:t>
      </w:r>
    </w:p>
    <w:p w14:paraId="0FF39B2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承包人直接实施的暂估价项目的约定： </w:t>
      </w:r>
      <w:r>
        <w:rPr>
          <w:rFonts w:hint="eastAsia" w:ascii="仿宋" w:hAnsi="仿宋" w:eastAsia="仿宋" w:cs="仿宋"/>
          <w:color w:val="auto"/>
          <w:sz w:val="24"/>
          <w:szCs w:val="24"/>
          <w:highlight w:val="none"/>
          <w:u w:val="single"/>
        </w:rPr>
        <w:t>按照通用条款第10.7.2条规定的第1种方式确定暂估价项目。</w:t>
      </w:r>
    </w:p>
    <w:p w14:paraId="7C983D5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10.8 暂列金额</w:t>
      </w:r>
    </w:p>
    <w:p w14:paraId="505456E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合同当事人关于暂列金额使用的约定：</w:t>
      </w:r>
      <w:r>
        <w:rPr>
          <w:rFonts w:hint="eastAsia" w:ascii="仿宋" w:hAnsi="仿宋" w:eastAsia="仿宋" w:cs="仿宋"/>
          <w:color w:val="auto"/>
          <w:sz w:val="24"/>
          <w:szCs w:val="24"/>
          <w:highlight w:val="none"/>
          <w:u w:val="single"/>
        </w:rPr>
        <w:t>暂列金额系发包人的备用金，由发包人掌握使用，余额归发包人所有     。</w:t>
      </w:r>
    </w:p>
    <w:p w14:paraId="59EBC4A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 价格调整</w:t>
      </w:r>
    </w:p>
    <w:p w14:paraId="2D38BB11">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 市场价格波动引起的调整</w:t>
      </w:r>
    </w:p>
    <w:p w14:paraId="37E85BF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市场价格波动是否调整合同价格的约定：</w:t>
      </w:r>
      <w:r>
        <w:rPr>
          <w:rFonts w:hint="eastAsia" w:ascii="仿宋" w:hAnsi="仿宋" w:eastAsia="仿宋" w:cs="仿宋"/>
          <w:color w:val="auto"/>
          <w:sz w:val="24"/>
          <w:szCs w:val="24"/>
          <w:highlight w:val="none"/>
          <w:u w:val="single"/>
        </w:rPr>
        <w:t xml:space="preserve"> 调整 </w:t>
      </w:r>
      <w:r>
        <w:rPr>
          <w:rFonts w:hint="eastAsia" w:ascii="仿宋" w:hAnsi="仿宋" w:eastAsia="仿宋" w:cs="仿宋"/>
          <w:color w:val="auto"/>
          <w:sz w:val="24"/>
          <w:szCs w:val="24"/>
          <w:highlight w:val="none"/>
        </w:rPr>
        <w:t>。</w:t>
      </w:r>
    </w:p>
    <w:p w14:paraId="6516ADB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因市场价格波动调整合同价格，采用以下第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3 </w:t>
      </w:r>
      <w:r>
        <w:rPr>
          <w:rFonts w:hint="eastAsia" w:ascii="仿宋" w:hAnsi="仿宋" w:eastAsia="仿宋" w:cs="仿宋"/>
          <w:color w:val="auto"/>
          <w:sz w:val="24"/>
          <w:szCs w:val="24"/>
          <w:highlight w:val="none"/>
        </w:rPr>
        <w:t>种方式对合同价格进行调整：</w:t>
      </w:r>
    </w:p>
    <w:p w14:paraId="17E40A1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第1种方式：采用价格指数进行价格调整。</w:t>
      </w:r>
    </w:p>
    <w:p w14:paraId="5C60D07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关于各可调因子、定值和变值权重，以及基本价格指数及其来源的约定：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7BCE7EA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第2种方式：采用造价信息进行价格调整。</w:t>
      </w:r>
    </w:p>
    <w:p w14:paraId="3678E72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（2）关于基准价格的约定</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14:paraId="1C6850D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第3种方式：其他价格调整方式：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原则上不能超过评审中心所提供价格</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设计遗漏部分或特殊情形双方协商处理。</w:t>
      </w:r>
      <w:r>
        <w:rPr>
          <w:rFonts w:hint="eastAsia" w:ascii="仿宋" w:hAnsi="仿宋" w:eastAsia="仿宋" w:cs="仿宋"/>
          <w:color w:val="auto"/>
          <w:sz w:val="24"/>
          <w:szCs w:val="24"/>
          <w:highlight w:val="none"/>
          <w:u w:val="single"/>
        </w:rPr>
        <w:t xml:space="preserve">      </w:t>
      </w:r>
    </w:p>
    <w:p w14:paraId="4479C2E8">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12. 合同价格、计量与支付</w:t>
      </w:r>
    </w:p>
    <w:p w14:paraId="32968B2D">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 合同价格形式</w:t>
      </w:r>
    </w:p>
    <w:p w14:paraId="66A656C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1、单价合同。</w:t>
      </w:r>
    </w:p>
    <w:p w14:paraId="79C3EEA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综合单价包含的风险范围：</w:t>
      </w:r>
      <w:r>
        <w:rPr>
          <w:rFonts w:hint="eastAsia" w:ascii="仿宋" w:hAnsi="仿宋" w:eastAsia="仿宋" w:cs="仿宋"/>
          <w:color w:val="auto"/>
          <w:sz w:val="24"/>
          <w:szCs w:val="24"/>
          <w:highlight w:val="none"/>
          <w:u w:val="single"/>
        </w:rPr>
        <w:t>按国家、行业及地方相关规定，本合同采用固定综合单价的计价方式。合同价中包含的风险费、措施费包括但不限于下列内容：</w:t>
      </w:r>
    </w:p>
    <w:p w14:paraId="35914A5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 施工期间的所有材料市场价格在变动范围内的变化；</w:t>
      </w:r>
    </w:p>
    <w:p w14:paraId="7EE03BA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 所有工程量变化不调整工程量清单综合单价；</w:t>
      </w:r>
    </w:p>
    <w:p w14:paraId="27E7052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 停水、停电、雨雪雾霾天、低温及高温恶劣天气等的影响；</w:t>
      </w:r>
    </w:p>
    <w:p w14:paraId="7AFEAC7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(4) 为保障工程施工顺利实施而采用的各种工程措施而增加的各种费用；</w:t>
      </w:r>
    </w:p>
    <w:p w14:paraId="221D1B2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(5) 本工程从开工至工程全部竣工验收达到质量标准期间的维护和成品、 半成品保护费用；</w:t>
      </w:r>
    </w:p>
    <w:p w14:paraId="35F35DE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(6) 因接受机场空防、飞行安全、治安、环卫等方面的管理而增加的各种费用 ；</w:t>
      </w:r>
    </w:p>
    <w:p w14:paraId="690C646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(7) 当发包方认为有必要赶工时，承包人必须调整施工计划，增加人、机、料赶工，并不再索取任何费用；</w:t>
      </w:r>
    </w:p>
    <w:p w14:paraId="1298E75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 施工条件、施工技术难度及施工社会环境影响风险；</w:t>
      </w:r>
    </w:p>
    <w:p w14:paraId="25F8502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(9) 除不可抗力因素的地震和战争外的其他不可预见因素的费用；</w:t>
      </w:r>
    </w:p>
    <w:p w14:paraId="5ED5B21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(10)</w:t>
      </w:r>
      <w:r>
        <w:rPr>
          <w:rFonts w:hint="eastAsia" w:ascii="仿宋" w:hAnsi="仿宋" w:eastAsia="仿宋" w:cs="仿宋"/>
          <w:color w:val="auto"/>
          <w:sz w:val="24"/>
          <w:szCs w:val="24"/>
          <w:highlight w:val="none"/>
          <w:u w:val="single"/>
          <w:lang w:val="en-US" w:eastAsia="zh-CN"/>
        </w:rPr>
        <w:t>其</w:t>
      </w:r>
      <w:r>
        <w:rPr>
          <w:rFonts w:hint="eastAsia" w:ascii="仿宋" w:hAnsi="仿宋" w:eastAsia="仿宋" w:cs="仿宋"/>
          <w:color w:val="auto"/>
          <w:sz w:val="24"/>
          <w:szCs w:val="24"/>
          <w:highlight w:val="none"/>
          <w:u w:val="single"/>
        </w:rPr>
        <w:t>他。</w:t>
      </w:r>
    </w:p>
    <w:p w14:paraId="4C8F6E0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风险费用的计算方法：</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59A8A4B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风险范围以外合同价格的调整方法：</w:t>
      </w:r>
      <w:r>
        <w:rPr>
          <w:rFonts w:hint="eastAsia" w:ascii="仿宋" w:hAnsi="仿宋" w:eastAsia="仿宋" w:cs="仿宋"/>
          <w:color w:val="auto"/>
          <w:sz w:val="24"/>
          <w:szCs w:val="24"/>
          <w:highlight w:val="none"/>
          <w:u w:val="single"/>
        </w:rPr>
        <w:t xml:space="preserve">  /   。</w:t>
      </w:r>
    </w:p>
    <w:p w14:paraId="52C2724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2、总价合同。</w:t>
      </w:r>
    </w:p>
    <w:p w14:paraId="6C50EFF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总价包含的风险范围：</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5C678E0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风险费用的计算方法：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F8650D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风险范围以外合同价格的调整方法：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F837A0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3、其他价格方式：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9B29297">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 预付款</w:t>
      </w:r>
    </w:p>
    <w:p w14:paraId="1793ABD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12.2.1 预付款的支付</w:t>
      </w:r>
    </w:p>
    <w:p w14:paraId="583F167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预付款支付比例或金额：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30%</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CA0575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预付款支付期限：</w:t>
      </w:r>
      <w:r>
        <w:rPr>
          <w:rFonts w:hint="eastAsia" w:ascii="仿宋" w:hAnsi="仿宋" w:eastAsia="仿宋" w:cs="仿宋"/>
          <w:color w:val="auto"/>
          <w:sz w:val="24"/>
          <w:szCs w:val="24"/>
          <w:highlight w:val="none"/>
          <w:u w:val="single"/>
        </w:rPr>
        <w:t xml:space="preserve"> 监理单位确认现场具备施工条件，施工单位主要人员、设备进场后 15 个工作日内。 </w:t>
      </w:r>
    </w:p>
    <w:p w14:paraId="3EA2849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预付款扣回的方式：</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在施工进度款支付时逐次扣回。发包人在承包人完成计量金额累计达到签约合同价的85%前，将工程预付金额扣回 。</w:t>
      </w:r>
    </w:p>
    <w:p w14:paraId="495752D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12.2.2 预付款担保</w:t>
      </w:r>
    </w:p>
    <w:p w14:paraId="3EFC59F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承包人提交预付款担保的期限：</w:t>
      </w:r>
      <w:r>
        <w:rPr>
          <w:rFonts w:hint="eastAsia" w:ascii="仿宋" w:hAnsi="仿宋" w:eastAsia="仿宋" w:cs="仿宋"/>
          <w:color w:val="auto"/>
          <w:sz w:val="24"/>
          <w:szCs w:val="24"/>
          <w:highlight w:val="none"/>
          <w:u w:val="single"/>
        </w:rPr>
        <w:t>本合同签订后【</w:t>
      </w:r>
      <w:r>
        <w:rPr>
          <w:rFonts w:hint="eastAsia" w:ascii="仿宋" w:hAnsi="仿宋" w:eastAsia="仿宋" w:cs="仿宋"/>
          <w:color w:val="auto"/>
          <w:sz w:val="24"/>
          <w:szCs w:val="24"/>
          <w:highlight w:val="none"/>
          <w:u w:val="single"/>
          <w:lang w:val="en-US" w:eastAsia="zh-CN"/>
        </w:rPr>
        <w:t>30</w:t>
      </w:r>
      <w:r>
        <w:rPr>
          <w:rFonts w:hint="eastAsia" w:ascii="仿宋" w:hAnsi="仿宋" w:eastAsia="仿宋" w:cs="仿宋"/>
          <w:color w:val="auto"/>
          <w:sz w:val="24"/>
          <w:szCs w:val="24"/>
          <w:highlight w:val="none"/>
          <w:u w:val="single"/>
        </w:rPr>
        <w:t xml:space="preserve">】日内，承包人提交合同预付款保函（金额：  </w:t>
      </w:r>
      <w:r>
        <w:rPr>
          <w:rFonts w:hint="eastAsia" w:ascii="仿宋" w:hAnsi="仿宋" w:eastAsia="仿宋" w:cs="仿宋"/>
          <w:color w:val="auto"/>
          <w:sz w:val="24"/>
          <w:szCs w:val="24"/>
          <w:highlight w:val="none"/>
          <w:u w:val="single"/>
          <w:lang w:eastAsia="zh-CN"/>
        </w:rPr>
        <w:t>　　　</w:t>
      </w:r>
      <w:r>
        <w:rPr>
          <w:rFonts w:hint="eastAsia" w:ascii="仿宋" w:hAnsi="仿宋" w:eastAsia="仿宋" w:cs="仿宋"/>
          <w:color w:val="auto"/>
          <w:sz w:val="24"/>
          <w:szCs w:val="24"/>
          <w:highlight w:val="none"/>
          <w:u w:val="single"/>
        </w:rPr>
        <w:t xml:space="preserve">）；预付款保函有效期为：自发包人将预付款支付给承包人起生效，至发包人将预付款完全扣回之日止。 </w:t>
      </w:r>
    </w:p>
    <w:p w14:paraId="03C723A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预付款担保的形式为：</w:t>
      </w:r>
      <w:r>
        <w:rPr>
          <w:rFonts w:hint="eastAsia" w:ascii="仿宋" w:hAnsi="仿宋" w:eastAsia="仿宋" w:cs="仿宋"/>
          <w:color w:val="auto"/>
          <w:sz w:val="24"/>
          <w:szCs w:val="24"/>
          <w:highlight w:val="none"/>
          <w:u w:val="single"/>
        </w:rPr>
        <w:t xml:space="preserve"> 见索即付的银行保函  </w:t>
      </w:r>
      <w:r>
        <w:rPr>
          <w:rFonts w:hint="eastAsia" w:ascii="仿宋" w:hAnsi="仿宋" w:eastAsia="仿宋" w:cs="仿宋"/>
          <w:color w:val="auto"/>
          <w:sz w:val="24"/>
          <w:szCs w:val="24"/>
          <w:highlight w:val="none"/>
        </w:rPr>
        <w:t>。</w:t>
      </w:r>
    </w:p>
    <w:p w14:paraId="72233BA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 计量</w:t>
      </w:r>
    </w:p>
    <w:p w14:paraId="0975696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12.3.1 计量原则</w:t>
      </w:r>
    </w:p>
    <w:p w14:paraId="369490B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工程量计算规则：</w:t>
      </w:r>
      <w:r>
        <w:rPr>
          <w:rFonts w:hint="eastAsia" w:ascii="仿宋" w:hAnsi="仿宋" w:eastAsia="仿宋" w:cs="仿宋"/>
          <w:color w:val="auto"/>
          <w:sz w:val="24"/>
          <w:szCs w:val="24"/>
          <w:highlight w:val="none"/>
          <w:u w:val="single"/>
        </w:rPr>
        <w:t>工程量清单计价</w:t>
      </w:r>
      <w:r>
        <w:rPr>
          <w:rFonts w:hint="eastAsia" w:ascii="仿宋" w:hAnsi="仿宋" w:eastAsia="仿宋" w:cs="仿宋"/>
          <w:color w:val="auto"/>
          <w:sz w:val="24"/>
          <w:szCs w:val="24"/>
          <w:highlight w:val="none"/>
          <w:u w:val="single"/>
          <w:lang w:val="en-US" w:eastAsia="zh-CN"/>
        </w:rPr>
        <w:t>标准(</w:t>
      </w:r>
      <w:r>
        <w:rPr>
          <w:rFonts w:hint="eastAsia" w:ascii="仿宋" w:hAnsi="仿宋" w:eastAsia="仿宋" w:cs="仿宋"/>
          <w:color w:val="auto"/>
          <w:sz w:val="24"/>
          <w:szCs w:val="24"/>
          <w:highlight w:val="none"/>
          <w:u w:val="single"/>
        </w:rPr>
        <w:t>GB</w:t>
      </w:r>
      <w:r>
        <w:rPr>
          <w:rFonts w:hint="eastAsia" w:ascii="仿宋" w:hAnsi="仿宋" w:eastAsia="仿宋" w:cs="仿宋"/>
          <w:color w:val="auto"/>
          <w:sz w:val="24"/>
          <w:szCs w:val="24"/>
          <w:highlight w:val="none"/>
          <w:u w:val="single"/>
          <w:lang w:val="en-US" w:eastAsia="zh-CN"/>
        </w:rPr>
        <w:t>/T</w:t>
      </w:r>
      <w:r>
        <w:rPr>
          <w:rFonts w:hint="eastAsia" w:ascii="仿宋" w:hAnsi="仿宋" w:eastAsia="仿宋" w:cs="仿宋"/>
          <w:color w:val="auto"/>
          <w:sz w:val="24"/>
          <w:szCs w:val="24"/>
          <w:highlight w:val="none"/>
          <w:u w:val="single"/>
        </w:rPr>
        <w:t>50500-20</w:t>
      </w:r>
      <w:r>
        <w:rPr>
          <w:rFonts w:hint="eastAsia" w:ascii="仿宋" w:hAnsi="仿宋" w:eastAsia="仿宋" w:cs="仿宋"/>
          <w:color w:val="auto"/>
          <w:sz w:val="24"/>
          <w:szCs w:val="24"/>
          <w:highlight w:val="none"/>
          <w:u w:val="single"/>
          <w:lang w:val="en-US" w:eastAsia="zh-CN"/>
        </w:rPr>
        <w:t>24</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val="en-US" w:eastAsia="zh-CN"/>
        </w:rPr>
        <w:t>河南省 2016 版系列定额</w:t>
      </w:r>
    </w:p>
    <w:p w14:paraId="145DBD1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12.3.2 计量周期</w:t>
      </w:r>
    </w:p>
    <w:p w14:paraId="306DE2F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关于计量周期的约定：</w:t>
      </w:r>
      <w:r>
        <w:rPr>
          <w:rFonts w:hint="eastAsia" w:ascii="仿宋" w:hAnsi="仿宋" w:eastAsia="仿宋" w:cs="仿宋"/>
          <w:color w:val="auto"/>
          <w:sz w:val="24"/>
          <w:szCs w:val="24"/>
          <w:highlight w:val="none"/>
          <w:u w:val="single"/>
        </w:rPr>
        <w:t xml:space="preserve">    按工程进度节点进行计量。</w:t>
      </w:r>
    </w:p>
    <w:p w14:paraId="73DD969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12.3.3 单价合同的计量</w:t>
      </w:r>
    </w:p>
    <w:p w14:paraId="00A0145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关于单价合同计量的约定：</w:t>
      </w:r>
      <w:r>
        <w:rPr>
          <w:rFonts w:hint="eastAsia" w:ascii="仿宋" w:hAnsi="仿宋" w:eastAsia="仿宋" w:cs="仿宋"/>
          <w:color w:val="auto"/>
          <w:sz w:val="24"/>
          <w:szCs w:val="24"/>
          <w:highlight w:val="none"/>
          <w:u w:val="single"/>
        </w:rPr>
        <w:t xml:space="preserve">   按通用条款约定                </w:t>
      </w:r>
      <w:r>
        <w:rPr>
          <w:rFonts w:hint="eastAsia" w:ascii="仿宋" w:hAnsi="仿宋" w:eastAsia="仿宋" w:cs="仿宋"/>
          <w:color w:val="auto"/>
          <w:sz w:val="24"/>
          <w:szCs w:val="24"/>
          <w:highlight w:val="none"/>
        </w:rPr>
        <w:t>。</w:t>
      </w:r>
    </w:p>
    <w:p w14:paraId="3BC6735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12.3.4 总价合同的计量</w:t>
      </w:r>
    </w:p>
    <w:p w14:paraId="5DEF176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关于总价合同计量的约定：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45E1C3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12.3.5总价合同采用支付分解表计量支付的，是否适用第</w:t>
      </w:r>
      <w:r>
        <w:rPr>
          <w:rFonts w:hint="eastAsia" w:ascii="仿宋" w:hAnsi="仿宋" w:eastAsia="仿宋" w:cs="仿宋"/>
          <w:color w:val="auto"/>
          <w:kern w:val="0"/>
          <w:sz w:val="24"/>
          <w:szCs w:val="24"/>
          <w:highlight w:val="none"/>
        </w:rPr>
        <w:t xml:space="preserve">12.3.4 </w:t>
      </w:r>
      <w:r>
        <w:rPr>
          <w:rFonts w:hint="eastAsia" w:ascii="仿宋" w:hAnsi="仿宋" w:eastAsia="仿宋" w:cs="仿宋"/>
          <w:color w:val="auto"/>
          <w:sz w:val="24"/>
          <w:szCs w:val="24"/>
          <w:highlight w:val="none"/>
        </w:rPr>
        <w:t>项</w:t>
      </w:r>
      <w:r>
        <w:rPr>
          <w:rFonts w:hint="eastAsia" w:ascii="仿宋" w:hAnsi="仿宋" w:eastAsia="仿宋" w:cs="仿宋"/>
          <w:color w:val="auto"/>
          <w:kern w:val="0"/>
          <w:sz w:val="24"/>
          <w:szCs w:val="24"/>
          <w:highlight w:val="none"/>
        </w:rPr>
        <w:t>〔总价合同的计量〕</w:t>
      </w:r>
      <w:r>
        <w:rPr>
          <w:rFonts w:hint="eastAsia" w:ascii="仿宋" w:hAnsi="仿宋" w:eastAsia="仿宋" w:cs="仿宋"/>
          <w:color w:val="auto"/>
          <w:sz w:val="24"/>
          <w:szCs w:val="24"/>
          <w:highlight w:val="none"/>
        </w:rPr>
        <w:t>约定进行计量：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55B77E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12.3.6 其他价格形式合同的计量</w:t>
      </w:r>
    </w:p>
    <w:p w14:paraId="221CA3D9">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其他价格形式的计量方式和程序：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F546AF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 工程进度款支付</w:t>
      </w:r>
    </w:p>
    <w:p w14:paraId="59317D1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bookmarkStart w:id="1508" w:name="_Toc303539163"/>
      <w:bookmarkStart w:id="1509" w:name="_Toc296891251"/>
      <w:bookmarkStart w:id="1510" w:name="_Toc296346712"/>
      <w:bookmarkStart w:id="1511" w:name="_Toc296944550"/>
      <w:bookmarkStart w:id="1512" w:name="_Toc297048397"/>
      <w:bookmarkStart w:id="1513" w:name="_Toc292559921"/>
      <w:bookmarkStart w:id="1514" w:name="_Toc300935006"/>
      <w:bookmarkStart w:id="1515" w:name="_Toc297120511"/>
      <w:bookmarkStart w:id="1516" w:name="_Toc296347210"/>
      <w:bookmarkStart w:id="1517" w:name="_Toc297216215"/>
      <w:bookmarkStart w:id="1518" w:name="_Toc296891039"/>
      <w:bookmarkStart w:id="1519" w:name="_Toc297123556"/>
      <w:bookmarkStart w:id="1520" w:name="_Toc292559416"/>
      <w:bookmarkStart w:id="1521" w:name="_Toc296503211"/>
      <w:r>
        <w:rPr>
          <w:rFonts w:hint="eastAsia" w:ascii="仿宋" w:hAnsi="仿宋" w:eastAsia="仿宋" w:cs="仿宋"/>
          <w:color w:val="auto"/>
          <w:sz w:val="24"/>
          <w:szCs w:val="24"/>
          <w:highlight w:val="none"/>
        </w:rPr>
        <w:t>12.4.1 付款周期</w:t>
      </w:r>
    </w:p>
    <w:p w14:paraId="2519F0B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关于付款周期的约定：</w:t>
      </w:r>
      <w:r>
        <w:rPr>
          <w:rStyle w:val="41"/>
          <w:rFonts w:hint="eastAsia" w:ascii="仿宋" w:hAnsi="仿宋" w:eastAsia="仿宋" w:cs="仿宋"/>
          <w:color w:val="auto"/>
          <w:sz w:val="24"/>
          <w:szCs w:val="24"/>
          <w:highlight w:val="none"/>
        </w:rPr>
        <w:t>发包人在每次付款前</w:t>
      </w:r>
      <w:r>
        <w:rPr>
          <w:rStyle w:val="41"/>
          <w:rFonts w:hint="eastAsia" w:ascii="仿宋" w:hAnsi="仿宋" w:eastAsia="仿宋" w:cs="仿宋"/>
          <w:color w:val="auto"/>
          <w:sz w:val="24"/>
          <w:szCs w:val="24"/>
          <w:highlight w:val="none"/>
          <w:u w:val="single"/>
        </w:rPr>
        <w:t xml:space="preserve"> 7</w:t>
      </w:r>
      <w:r>
        <w:rPr>
          <w:rStyle w:val="41"/>
          <w:rFonts w:hint="eastAsia" w:ascii="仿宋" w:hAnsi="仿宋" w:eastAsia="仿宋" w:cs="仿宋"/>
          <w:color w:val="auto"/>
          <w:sz w:val="24"/>
          <w:szCs w:val="24"/>
          <w:highlight w:val="none"/>
        </w:rPr>
        <w:t>日内由承包方应先向发包人开具增值税专用发票，否则发包人有权拒绝付款。</w:t>
      </w:r>
    </w:p>
    <w:p w14:paraId="1BFAF7A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预付款：</w:t>
      </w:r>
      <w:r>
        <w:rPr>
          <w:rFonts w:hint="eastAsia" w:ascii="仿宋" w:hAnsi="仿宋" w:eastAsia="仿宋" w:cs="仿宋"/>
          <w:color w:val="auto"/>
          <w:sz w:val="24"/>
          <w:szCs w:val="24"/>
          <w:highlight w:val="none"/>
          <w:u w:val="single"/>
          <w:lang w:val="en-US" w:eastAsia="zh-CN"/>
        </w:rPr>
        <w:t>30%</w:t>
      </w:r>
      <w:r>
        <w:rPr>
          <w:rFonts w:hint="eastAsia" w:ascii="仿宋" w:hAnsi="仿宋" w:eastAsia="仿宋" w:cs="仿宋"/>
          <w:color w:val="auto"/>
          <w:sz w:val="24"/>
          <w:szCs w:val="24"/>
          <w:highlight w:val="none"/>
          <w:u w:val="single"/>
        </w:rPr>
        <w:t xml:space="preserve"> 。</w:t>
      </w:r>
    </w:p>
    <w:p w14:paraId="2E09D58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工程进度款</w:t>
      </w:r>
      <w:r>
        <w:rPr>
          <w:rFonts w:hint="eastAsia" w:ascii="仿宋" w:hAnsi="仿宋" w:eastAsia="仿宋" w:cs="仿宋"/>
          <w:color w:val="auto"/>
          <w:sz w:val="24"/>
          <w:szCs w:val="24"/>
          <w:highlight w:val="none"/>
          <w:u w:val="single"/>
        </w:rPr>
        <w:t>：按月支付工程进度款：工程施工期间每月按实际完成合格工程量的80%支付进度款；工程完工竣工验收合格后付至合同价款的85%；经审计结算完成后，支付至结算审定金额的97%；若因非承包人原因逾期未出具审核结论，则按合同约定执行相应付款规则。剩余结算审定金额3%作为质量保证金，缺陷责任期满（24个月），扣除应由承包人承担的费用后无息一次性返还。</w:t>
      </w:r>
    </w:p>
    <w:p w14:paraId="71BED17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rPr>
        <w:t>缺陷责任期届满退还质量保证金，不免除承包人按照《建设工程质量管理条例》应当承担的法定质量保修期内保修责任。如发生维修费用超过质量保证金金额的，超出部分全部由承包人承担。</w:t>
      </w:r>
      <w:r>
        <w:rPr>
          <w:rFonts w:hint="eastAsia" w:ascii="仿宋" w:hAnsi="仿宋" w:eastAsia="仿宋" w:cs="仿宋"/>
          <w:color w:val="auto"/>
          <w:sz w:val="24"/>
          <w:szCs w:val="24"/>
          <w:highlight w:val="none"/>
          <w:u w:val="single"/>
          <w:lang w:val="en-US" w:eastAsia="zh-CN"/>
        </w:rPr>
        <w:t xml:space="preserve"> </w:t>
      </w:r>
    </w:p>
    <w:p w14:paraId="2BB9CD3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12.4.2 进度付款申请单的编制</w:t>
      </w:r>
    </w:p>
    <w:p w14:paraId="0650FD0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关于进度付款申请单编制的约定：</w:t>
      </w:r>
      <w:r>
        <w:rPr>
          <w:rFonts w:hint="eastAsia" w:ascii="仿宋" w:hAnsi="仿宋" w:eastAsia="仿宋" w:cs="仿宋"/>
          <w:color w:val="auto"/>
          <w:sz w:val="24"/>
          <w:szCs w:val="24"/>
          <w:highlight w:val="none"/>
          <w:u w:val="single"/>
        </w:rPr>
        <w:t xml:space="preserve"> 按规范规定执行       </w:t>
      </w:r>
      <w:r>
        <w:rPr>
          <w:rFonts w:hint="eastAsia" w:ascii="仿宋" w:hAnsi="仿宋" w:eastAsia="仿宋" w:cs="仿宋"/>
          <w:color w:val="auto"/>
          <w:sz w:val="24"/>
          <w:szCs w:val="24"/>
          <w:highlight w:val="none"/>
        </w:rPr>
        <w:t>。</w:t>
      </w:r>
    </w:p>
    <w:p w14:paraId="0ACFDC4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r>
        <w:rPr>
          <w:rFonts w:hint="eastAsia" w:ascii="仿宋" w:hAnsi="仿宋" w:eastAsia="仿宋" w:cs="仿宋"/>
          <w:color w:val="auto"/>
          <w:sz w:val="24"/>
          <w:szCs w:val="24"/>
          <w:highlight w:val="none"/>
        </w:rPr>
        <w:t>2.4.3 进度付款申请单的提交</w:t>
      </w:r>
    </w:p>
    <w:p w14:paraId="11877B1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（1）单价合同进度付款申请单提交的约定：</w:t>
      </w:r>
      <w:r>
        <w:rPr>
          <w:rFonts w:hint="eastAsia" w:ascii="仿宋" w:hAnsi="仿宋" w:eastAsia="仿宋" w:cs="仿宋"/>
          <w:color w:val="auto"/>
          <w:sz w:val="24"/>
          <w:szCs w:val="24"/>
          <w:highlight w:val="none"/>
          <w:u w:val="single"/>
        </w:rPr>
        <w:t xml:space="preserve">    按规范规定执行   </w:t>
      </w:r>
      <w:r>
        <w:rPr>
          <w:rFonts w:hint="eastAsia" w:ascii="仿宋" w:hAnsi="仿宋" w:eastAsia="仿宋" w:cs="仿宋"/>
          <w:color w:val="auto"/>
          <w:sz w:val="24"/>
          <w:szCs w:val="24"/>
          <w:highlight w:val="none"/>
        </w:rPr>
        <w:t>。</w:t>
      </w:r>
    </w:p>
    <w:p w14:paraId="6419C8E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（2）总价合同进度付款申请单提交的约定：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0C45B7B">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（3）其他价格形式合同进度付款申请单提交的约定：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6F625F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12.4.4 进度款审核和支付</w:t>
      </w:r>
    </w:p>
    <w:p w14:paraId="23C4A08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（1）监理人审查并报送发包人的期限：</w:t>
      </w:r>
      <w:r>
        <w:rPr>
          <w:rFonts w:hint="eastAsia" w:ascii="仿宋" w:hAnsi="仿宋" w:eastAsia="仿宋" w:cs="仿宋"/>
          <w:color w:val="auto"/>
          <w:sz w:val="24"/>
          <w:szCs w:val="24"/>
          <w:highlight w:val="none"/>
          <w:u w:val="single"/>
        </w:rPr>
        <w:t xml:space="preserve">  </w:t>
      </w:r>
      <w:bookmarkStart w:id="1522" w:name="EB80941ba5fe844a719c7805afdeb1ea20"/>
      <w:r>
        <w:rPr>
          <w:rFonts w:hint="eastAsia" w:ascii="仿宋" w:hAnsi="仿宋" w:eastAsia="仿宋" w:cs="仿宋"/>
          <w:color w:val="auto"/>
          <w:sz w:val="24"/>
          <w:szCs w:val="24"/>
          <w:highlight w:val="none"/>
          <w:u w:val="single"/>
        </w:rPr>
        <w:t>收到承包人报送的进度付款申请单后7日内审查完毕报送发包人</w:t>
      </w:r>
      <w:bookmarkEnd w:id="1522"/>
      <w:r>
        <w:rPr>
          <w:rFonts w:hint="eastAsia" w:ascii="仿宋" w:hAnsi="仿宋" w:eastAsia="仿宋" w:cs="仿宋"/>
          <w:color w:val="auto"/>
          <w:sz w:val="24"/>
          <w:szCs w:val="24"/>
          <w:highlight w:val="none"/>
          <w:u w:val="single"/>
        </w:rPr>
        <w:t xml:space="preserve">   。</w:t>
      </w:r>
    </w:p>
    <w:p w14:paraId="40BF9771">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发包人完成审批并签发进度款支付证书的期限：</w:t>
      </w:r>
      <w:r>
        <w:rPr>
          <w:rFonts w:hint="eastAsia" w:ascii="仿宋" w:hAnsi="仿宋" w:eastAsia="仿宋" w:cs="仿宋"/>
          <w:color w:val="auto"/>
          <w:sz w:val="24"/>
          <w:szCs w:val="24"/>
          <w:highlight w:val="none"/>
          <w:u w:val="single"/>
        </w:rPr>
        <w:t xml:space="preserve">  </w:t>
      </w:r>
      <w:bookmarkStart w:id="1523" w:name="EB4f017a4542e745a28b54bf9742648f05"/>
      <w:r>
        <w:rPr>
          <w:rFonts w:hint="eastAsia" w:ascii="仿宋" w:hAnsi="仿宋" w:eastAsia="仿宋" w:cs="仿宋"/>
          <w:color w:val="auto"/>
          <w:sz w:val="24"/>
          <w:szCs w:val="24"/>
          <w:highlight w:val="none"/>
          <w:u w:val="single"/>
        </w:rPr>
        <w:t>收到监理人提交进度付款申请单后7天内</w:t>
      </w:r>
      <w:bookmarkEnd w:id="1523"/>
      <w:r>
        <w:rPr>
          <w:rFonts w:hint="eastAsia" w:ascii="仿宋" w:hAnsi="仿宋" w:eastAsia="仿宋" w:cs="仿宋"/>
          <w:color w:val="auto"/>
          <w:sz w:val="24"/>
          <w:szCs w:val="24"/>
          <w:highlight w:val="none"/>
          <w:u w:val="single"/>
        </w:rPr>
        <w:t xml:space="preserve">    。</w:t>
      </w:r>
    </w:p>
    <w:p w14:paraId="741EF3F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（2）发包人支付进度款的期限：</w:t>
      </w:r>
      <w:r>
        <w:rPr>
          <w:rFonts w:hint="eastAsia" w:ascii="仿宋" w:hAnsi="仿宋" w:eastAsia="仿宋" w:cs="仿宋"/>
          <w:color w:val="auto"/>
          <w:sz w:val="24"/>
          <w:szCs w:val="24"/>
          <w:highlight w:val="none"/>
          <w:u w:val="single"/>
        </w:rPr>
        <w:t xml:space="preserve"> 发包人应在进度款支付证书或临时进度款支付证书签发后14天内完成支付（财政拨款除外）  </w:t>
      </w:r>
      <w:r>
        <w:rPr>
          <w:rFonts w:hint="eastAsia" w:ascii="仿宋" w:hAnsi="仿宋" w:eastAsia="仿宋" w:cs="仿宋"/>
          <w:color w:val="auto"/>
          <w:sz w:val="24"/>
          <w:szCs w:val="24"/>
          <w:highlight w:val="none"/>
        </w:rPr>
        <w:t>。</w:t>
      </w:r>
    </w:p>
    <w:p w14:paraId="3B98756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发包人逾期支付进度款的违约金的计算方式：</w:t>
      </w:r>
      <w:r>
        <w:rPr>
          <w:rFonts w:hint="eastAsia" w:ascii="仿宋" w:hAnsi="仿宋" w:eastAsia="仿宋" w:cs="仿宋"/>
          <w:color w:val="auto"/>
          <w:sz w:val="24"/>
          <w:szCs w:val="24"/>
          <w:highlight w:val="none"/>
          <w:u w:val="single"/>
        </w:rPr>
        <w:t>执行通用条款</w:t>
      </w:r>
    </w:p>
    <w:p w14:paraId="670ADE20">
      <w:pPr>
        <w:keepNext w:val="0"/>
        <w:keepLines w:val="0"/>
        <w:pageBreakBefore w:val="0"/>
        <w:widowControl w:val="0"/>
        <w:kinsoku/>
        <w:wordWrap/>
        <w:overflowPunct/>
        <w:topLinePunct w:val="0"/>
        <w:bidi w:val="0"/>
        <w:snapToGrid/>
        <w:spacing w:line="440" w:lineRule="exact"/>
        <w:ind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12.4.6 支付分解表的编制</w:t>
      </w:r>
    </w:p>
    <w:p w14:paraId="3B43EB4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2、总价合同支付分解表的编制与审批：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7D3C73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3、单价合同的总价项目支付分解表的编制与审批：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bookmarkEnd w:id="1505"/>
    <w:p w14:paraId="440EB39B">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13. 验收和工程试车</w:t>
      </w:r>
    </w:p>
    <w:p w14:paraId="3A83AEC1">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 分部分项工程验收</w:t>
      </w:r>
    </w:p>
    <w:p w14:paraId="1897BB2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13.1.2监理人不能按时进行验收时，应提前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小时提交书面延期要求。</w:t>
      </w:r>
    </w:p>
    <w:p w14:paraId="76713E3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小时。</w:t>
      </w:r>
    </w:p>
    <w:p w14:paraId="3FC3157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 竣工验收</w:t>
      </w:r>
    </w:p>
    <w:p w14:paraId="5CEA40A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13.2.2竣工验收程序</w:t>
      </w:r>
    </w:p>
    <w:p w14:paraId="3C406659">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关于竣工验收程序的约定：</w:t>
      </w:r>
      <w:r>
        <w:rPr>
          <w:rFonts w:hint="eastAsia" w:ascii="仿宋" w:hAnsi="仿宋" w:eastAsia="仿宋" w:cs="仿宋"/>
          <w:color w:val="auto"/>
          <w:kern w:val="0"/>
          <w:sz w:val="24"/>
          <w:szCs w:val="24"/>
          <w:highlight w:val="none"/>
          <w:u w:val="single"/>
        </w:rPr>
        <w:t>按国家、行业及地方规定的程序进行</w:t>
      </w:r>
      <w:r>
        <w:rPr>
          <w:rFonts w:hint="eastAsia" w:ascii="仿宋" w:hAnsi="仿宋" w:eastAsia="仿宋" w:cs="仿宋"/>
          <w:color w:val="auto"/>
          <w:sz w:val="24"/>
          <w:szCs w:val="24"/>
          <w:highlight w:val="none"/>
          <w:u w:val="single"/>
        </w:rPr>
        <w:t>。</w:t>
      </w:r>
    </w:p>
    <w:p w14:paraId="0CC0DE0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13.2.5移交、接收全部与部分工程</w:t>
      </w:r>
    </w:p>
    <w:p w14:paraId="7952950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承包人向发包人移交工程的期限：</w:t>
      </w:r>
      <w:r>
        <w:rPr>
          <w:rFonts w:hint="eastAsia" w:ascii="仿宋" w:hAnsi="仿宋" w:eastAsia="仿宋" w:cs="仿宋"/>
          <w:color w:val="auto"/>
          <w:sz w:val="24"/>
          <w:szCs w:val="24"/>
          <w:highlight w:val="none"/>
          <w:u w:val="single"/>
        </w:rPr>
        <w:t>竣工验收合格之日起30天内。</w:t>
      </w:r>
    </w:p>
    <w:p w14:paraId="519F7C0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发包人未按本合同约定接收全部或部分工程的，违约金的计算方法为：</w:t>
      </w:r>
      <w:r>
        <w:rPr>
          <w:rFonts w:hint="eastAsia" w:ascii="仿宋" w:hAnsi="仿宋" w:eastAsia="仿宋" w:cs="仿宋"/>
          <w:color w:val="auto"/>
          <w:sz w:val="24"/>
          <w:szCs w:val="24"/>
          <w:highlight w:val="none"/>
          <w:u w:val="single"/>
        </w:rPr>
        <w:t xml:space="preserve"> 无。 </w:t>
      </w:r>
    </w:p>
    <w:p w14:paraId="0469F0C4">
      <w:pPr>
        <w:keepNext w:val="0"/>
        <w:keepLines w:val="0"/>
        <w:pageBreakBefore w:val="0"/>
        <w:widowControl w:val="0"/>
        <w:kinsoku/>
        <w:wordWrap/>
        <w:overflowPunct/>
        <w:topLinePunct w:val="0"/>
        <w:bidi w:val="0"/>
        <w:snapToGrid/>
        <w:spacing w:line="44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承包人未按时移交工程的，违约金的计算方法为：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以</w:t>
      </w:r>
      <w:r>
        <w:rPr>
          <w:rFonts w:hint="eastAsia" w:ascii="仿宋" w:hAnsi="仿宋" w:eastAsia="仿宋" w:cs="仿宋"/>
          <w:color w:val="auto"/>
          <w:sz w:val="24"/>
          <w:szCs w:val="24"/>
          <w:highlight w:val="none"/>
          <w:u w:val="single"/>
        </w:rPr>
        <w:t>发包人</w:t>
      </w:r>
      <w:r>
        <w:rPr>
          <w:rFonts w:hint="eastAsia" w:ascii="仿宋" w:hAnsi="仿宋" w:eastAsia="仿宋" w:cs="仿宋"/>
          <w:color w:val="auto"/>
          <w:sz w:val="24"/>
          <w:szCs w:val="24"/>
          <w:highlight w:val="none"/>
          <w:u w:val="single"/>
          <w:lang w:val="en-US" w:eastAsia="zh-CN"/>
        </w:rPr>
        <w:t>书面通知</w:t>
      </w:r>
      <w:r>
        <w:rPr>
          <w:rFonts w:hint="eastAsia" w:ascii="仿宋" w:hAnsi="仿宋" w:eastAsia="仿宋" w:cs="仿宋"/>
          <w:color w:val="auto"/>
          <w:sz w:val="24"/>
          <w:szCs w:val="24"/>
          <w:highlight w:val="none"/>
          <w:u w:val="single"/>
        </w:rPr>
        <w:t xml:space="preserve">之日起，每延误1天罚款1万元。从工程款中扣除。 </w:t>
      </w:r>
    </w:p>
    <w:p w14:paraId="37E17A6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13.3 工程试车</w:t>
      </w:r>
    </w:p>
    <w:p w14:paraId="02E3A12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13.3.1 试车程序</w:t>
      </w:r>
    </w:p>
    <w:p w14:paraId="61B289F6">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工程试车内容：</w:t>
      </w:r>
      <w:r>
        <w:rPr>
          <w:rFonts w:hint="eastAsia" w:ascii="仿宋" w:hAnsi="仿宋" w:eastAsia="仿宋" w:cs="仿宋"/>
          <w:color w:val="auto"/>
          <w:sz w:val="24"/>
          <w:szCs w:val="24"/>
          <w:highlight w:val="none"/>
          <w:u w:val="single"/>
        </w:rPr>
        <w:t xml:space="preserve">      按相关规定执行            </w:t>
      </w:r>
      <w:r>
        <w:rPr>
          <w:rFonts w:hint="eastAsia" w:ascii="仿宋" w:hAnsi="仿宋" w:eastAsia="仿宋" w:cs="仿宋"/>
          <w:color w:val="auto"/>
          <w:sz w:val="24"/>
          <w:szCs w:val="24"/>
          <w:highlight w:val="none"/>
        </w:rPr>
        <w:t>。</w:t>
      </w:r>
    </w:p>
    <w:p w14:paraId="526805D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（1）单机无负荷试车费用由</w:t>
      </w:r>
      <w:r>
        <w:rPr>
          <w:rFonts w:hint="eastAsia" w:ascii="仿宋" w:hAnsi="仿宋" w:eastAsia="仿宋" w:cs="仿宋"/>
          <w:color w:val="auto"/>
          <w:sz w:val="24"/>
          <w:szCs w:val="24"/>
          <w:highlight w:val="none"/>
          <w:u w:val="single"/>
        </w:rPr>
        <w:t xml:space="preserve">     承包人      </w:t>
      </w:r>
      <w:r>
        <w:rPr>
          <w:rFonts w:hint="eastAsia" w:ascii="仿宋" w:hAnsi="仿宋" w:eastAsia="仿宋" w:cs="仿宋"/>
          <w:color w:val="auto"/>
          <w:kern w:val="0"/>
          <w:sz w:val="24"/>
          <w:szCs w:val="24"/>
          <w:highlight w:val="none"/>
        </w:rPr>
        <w:t>承担；</w:t>
      </w:r>
    </w:p>
    <w:p w14:paraId="60135D4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（2）无负荷联动试车费用由</w:t>
      </w:r>
      <w:r>
        <w:rPr>
          <w:rFonts w:hint="eastAsia" w:ascii="仿宋" w:hAnsi="仿宋" w:eastAsia="仿宋" w:cs="仿宋"/>
          <w:color w:val="auto"/>
          <w:sz w:val="24"/>
          <w:szCs w:val="24"/>
          <w:highlight w:val="none"/>
          <w:u w:val="single"/>
        </w:rPr>
        <w:t xml:space="preserve">       承包人     </w:t>
      </w:r>
      <w:r>
        <w:rPr>
          <w:rFonts w:hint="eastAsia" w:ascii="仿宋" w:hAnsi="仿宋" w:eastAsia="仿宋" w:cs="仿宋"/>
          <w:color w:val="auto"/>
          <w:kern w:val="0"/>
          <w:sz w:val="24"/>
          <w:szCs w:val="24"/>
          <w:highlight w:val="none"/>
        </w:rPr>
        <w:t>承担。</w:t>
      </w:r>
    </w:p>
    <w:p w14:paraId="22E54E1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13.3.3 投料试车</w:t>
      </w:r>
    </w:p>
    <w:p w14:paraId="6EC87E4D">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关于投料试车相关事项的约定：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468AE4D">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24" w:name="_Toc25141776"/>
      <w:r>
        <w:rPr>
          <w:rFonts w:hint="eastAsia" w:ascii="仿宋" w:hAnsi="仿宋" w:eastAsia="仿宋" w:cs="仿宋"/>
          <w:color w:val="auto"/>
          <w:sz w:val="24"/>
          <w:szCs w:val="24"/>
          <w:highlight w:val="none"/>
        </w:rPr>
        <w:t>13.6 竣工退场</w:t>
      </w:r>
      <w:bookmarkEnd w:id="1524"/>
    </w:p>
    <w:p w14:paraId="2F03E35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13.6.1 竣工退场</w:t>
      </w:r>
    </w:p>
    <w:p w14:paraId="2823E2D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承包人完成竣工退场的期限：</w:t>
      </w:r>
      <w:r>
        <w:rPr>
          <w:rFonts w:hint="eastAsia" w:ascii="仿宋" w:hAnsi="仿宋" w:eastAsia="仿宋" w:cs="仿宋"/>
          <w:color w:val="auto"/>
          <w:sz w:val="24"/>
          <w:szCs w:val="24"/>
          <w:highlight w:val="none"/>
          <w:u w:val="single"/>
        </w:rPr>
        <w:t xml:space="preserve">    竣工验收合格之日起30天内    </w:t>
      </w:r>
      <w:r>
        <w:rPr>
          <w:rFonts w:hint="eastAsia" w:ascii="仿宋" w:hAnsi="仿宋" w:eastAsia="仿宋" w:cs="仿宋"/>
          <w:color w:val="auto"/>
          <w:kern w:val="0"/>
          <w:sz w:val="24"/>
          <w:szCs w:val="24"/>
          <w:highlight w:val="none"/>
        </w:rPr>
        <w:t>。</w:t>
      </w:r>
    </w:p>
    <w:p w14:paraId="5BF4CD81">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14. 竣工结算</w:t>
      </w:r>
    </w:p>
    <w:p w14:paraId="2FC878B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 竣工结算申请</w:t>
      </w:r>
    </w:p>
    <w:p w14:paraId="5058537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承包人提交竣工结算申请单的期限：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5C9606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竣工结算申请单应包括的内容：</w:t>
      </w:r>
      <w:r>
        <w:rPr>
          <w:rFonts w:hint="eastAsia" w:ascii="仿宋" w:hAnsi="仿宋" w:eastAsia="仿宋" w:cs="仿宋"/>
          <w:color w:val="auto"/>
          <w:sz w:val="24"/>
          <w:szCs w:val="24"/>
          <w:highlight w:val="none"/>
          <w:u w:val="single"/>
        </w:rPr>
        <w:t>工程交付时，必须报送全部竣工结算资料，工程交付后28天内，必须报送变更、签证资料目录。工程结算资料必须装订成册。</w:t>
      </w:r>
    </w:p>
    <w:p w14:paraId="42B2FCE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对于承包人没有结算资料和依据的结算请求，发包人不予结算。工程交付后28天内承包人不能报送竣工结算资料，视为放弃；放弃部分发包人只计 算变更减少部分，不再计算变更增加部分。</w:t>
      </w:r>
    </w:p>
    <w:p w14:paraId="6E6B54C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工程竣工结算补充约定如下：</w:t>
      </w:r>
    </w:p>
    <w:p w14:paraId="7F9CD8F2">
      <w:pPr>
        <w:keepNext w:val="0"/>
        <w:keepLines w:val="0"/>
        <w:pageBreakBefore w:val="0"/>
        <w:widowControl w:val="0"/>
        <w:numPr>
          <w:ilvl w:val="0"/>
          <w:numId w:val="11"/>
        </w:numPr>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工程竣工结算应根据下列依据编制和复核： </w:t>
      </w:r>
    </w:p>
    <w:p w14:paraId="4F1BDD4B">
      <w:pPr>
        <w:keepNext w:val="0"/>
        <w:keepLines w:val="0"/>
        <w:pageBreakBefore w:val="0"/>
        <w:widowControl w:val="0"/>
        <w:numPr>
          <w:ilvl w:val="0"/>
          <w:numId w:val="0"/>
        </w:numPr>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w:t>
      </w:r>
      <w:r>
        <w:rPr>
          <w:rFonts w:hint="eastAsia" w:ascii="仿宋" w:hAnsi="仿宋" w:eastAsia="仿宋" w:cs="仿宋"/>
          <w:color w:val="auto"/>
          <w:sz w:val="24"/>
          <w:szCs w:val="24"/>
          <w:highlight w:val="none"/>
          <w:u w:val="single"/>
          <w:lang w:eastAsia="zh-CN"/>
        </w:rPr>
        <w:t>工程量清单计价标准(GB/T50500-2024）</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对比12.3.1计价方式缺少约定项，如河南省计价</w:t>
      </w:r>
    </w:p>
    <w:p w14:paraId="6CD2C00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2)本工程合同；  </w:t>
      </w:r>
    </w:p>
    <w:p w14:paraId="2E51085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3)发承包双方实施过程中已确认的工程量及其结算的合同价款；  </w:t>
      </w:r>
    </w:p>
    <w:p w14:paraId="708BE7A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4)发承包双方实施过程中已确认调整后追加(减)的合同价款；  </w:t>
      </w:r>
    </w:p>
    <w:p w14:paraId="593430B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5)建设工程设计文件及相关资料；  </w:t>
      </w:r>
    </w:p>
    <w:p w14:paraId="7F15F9D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6)招投标文件；  </w:t>
      </w:r>
    </w:p>
    <w:p w14:paraId="18E5889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7)其他依据。  </w:t>
      </w:r>
    </w:p>
    <w:p w14:paraId="61CB6AA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(2)分部分项工程和措施项目中的单价项目应依据发承包双方确认的工程量与已标价工程量清单的综合单价计算。 </w:t>
      </w:r>
    </w:p>
    <w:p w14:paraId="58AF8C8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(3)安全文明施工费应按河南省建设主管部门的规定计算。  </w:t>
      </w:r>
    </w:p>
    <w:p w14:paraId="27E901D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(4)其他项目应按下列规定计价： </w:t>
      </w:r>
    </w:p>
    <w:p w14:paraId="702E3B4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1)计日工应按发包人实际签证确认的事项计算； </w:t>
      </w:r>
    </w:p>
    <w:p w14:paraId="53CEC49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2)暂估价应按以下原则计算：发包人在招标工程量清单中给定暂估价的材料、工程设备、专业工程依法必须招标，(本项目为中央预算内投资项目), 应以中标价为依据取代暂估价，调整合同价款。 </w:t>
      </w:r>
    </w:p>
    <w:p w14:paraId="51D4983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3)索赔费用应依据发承包双方确认的索赔事项和金额计算；  </w:t>
      </w:r>
    </w:p>
    <w:p w14:paraId="0ABBDF8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4)现场签证费用应依据发承包双方签证资料确认的金额计算；  </w:t>
      </w:r>
    </w:p>
    <w:p w14:paraId="4683255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5)暂列金额应减去合同价款调整(包括索赔、现场签证)金额计算，如有 余额归发包人；</w:t>
      </w:r>
    </w:p>
    <w:p w14:paraId="48C60B6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6)合同管理专项资金金额应减去奖励金额计算，如有余额归发包人；  </w:t>
      </w:r>
    </w:p>
    <w:p w14:paraId="6F1B97E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7)违约费用按照本合同约定计算。 </w:t>
      </w:r>
    </w:p>
    <w:p w14:paraId="142C358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(5)规费和税金应按河南省建设主管部门的规定计算。  </w:t>
      </w:r>
    </w:p>
    <w:p w14:paraId="7010FB0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(6)发承包双方在合同工程实施过程中已经确认的工程计量结果和合同价款，在竣工结算办理中应直接进入结算。</w:t>
      </w:r>
    </w:p>
    <w:p w14:paraId="69C516FB">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25" w:name="_Toc25141777"/>
      <w:r>
        <w:rPr>
          <w:rFonts w:hint="eastAsia" w:ascii="仿宋" w:hAnsi="仿宋" w:eastAsia="仿宋" w:cs="仿宋"/>
          <w:color w:val="auto"/>
          <w:sz w:val="24"/>
          <w:szCs w:val="24"/>
          <w:highlight w:val="none"/>
        </w:rPr>
        <w:t>14.2 竣工结算审核</w:t>
      </w:r>
      <w:bookmarkEnd w:id="1525"/>
    </w:p>
    <w:p w14:paraId="7BCEBDF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发包人审批竣工付款申请单的期限：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DE3FC9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发包人完成竣工付款的期限：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2965E4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关于竣工付款证书异议部分复核的方式和程序：</w:t>
      </w:r>
    </w:p>
    <w:p w14:paraId="39294FD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1)承包人的异议应以书面 的形式提出，内容具体、明确，并阐明理由、提供依据；</w:t>
      </w:r>
    </w:p>
    <w:p w14:paraId="6E6ED01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2)、针对承包人的异议，发包人在28天内进行复核，承包人予以配合；</w:t>
      </w:r>
    </w:p>
    <w:p w14:paraId="126FCA2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对于有争议的内容，双方可以协商委托造价机构等独立第三方进行审核。工程结算除发包人审核外，还应按照国家有关规定进行真实性、合规性、合法性审计，最终结算以审计结果为准，双方均应执行政府审计决定。</w:t>
      </w:r>
    </w:p>
    <w:p w14:paraId="68C27D4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4）</w:t>
      </w:r>
      <w:r>
        <w:rPr>
          <w:rFonts w:hint="eastAsia" w:ascii="仿宋" w:hAnsi="仿宋" w:eastAsia="仿宋" w:cs="仿宋"/>
          <w:color w:val="auto"/>
          <w:sz w:val="24"/>
          <w:szCs w:val="24"/>
          <w:highlight w:val="none"/>
          <w:u w:val="single"/>
        </w:rPr>
        <w:t>承包人应依据工程实际情况，如实编制并报送工程结算书，且需对所提交结算资料的准确性</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rPr>
        <w:t>合理性承担全部责任。如最终结算造价与承包人报送的工程结算造价的偏差率(审减额/  承包人送审结算造价)超过5%</w:t>
      </w:r>
      <w:r>
        <w:rPr>
          <w:rFonts w:hint="eastAsia" w:ascii="仿宋" w:hAnsi="仿宋" w:eastAsia="仿宋" w:cs="仿宋"/>
          <w:color w:val="auto"/>
          <w:sz w:val="24"/>
          <w:szCs w:val="24"/>
          <w:highlight w:val="none"/>
          <w:u w:val="single"/>
          <w:lang w:val="en-US" w:eastAsia="zh-CN"/>
        </w:rPr>
        <w:t>的部分</w:t>
      </w:r>
      <w:r>
        <w:rPr>
          <w:rFonts w:hint="eastAsia" w:ascii="仿宋" w:hAnsi="仿宋" w:eastAsia="仿宋" w:cs="仿宋"/>
          <w:color w:val="auto"/>
          <w:sz w:val="24"/>
          <w:szCs w:val="24"/>
          <w:highlight w:val="none"/>
          <w:u w:val="single"/>
        </w:rPr>
        <w:t>，全部审核费用均由承包人承担。</w:t>
      </w:r>
    </w:p>
    <w:p w14:paraId="118801A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14.4 最终结清</w:t>
      </w:r>
    </w:p>
    <w:p w14:paraId="11E7065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14.4.1 最终结清申请单</w:t>
      </w:r>
    </w:p>
    <w:p w14:paraId="7DCC4E5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承包人提交最终结清申请单的份数：</w:t>
      </w:r>
      <w:r>
        <w:rPr>
          <w:rFonts w:hint="eastAsia" w:ascii="仿宋" w:hAnsi="仿宋" w:eastAsia="仿宋" w:cs="仿宋"/>
          <w:color w:val="auto"/>
          <w:sz w:val="24"/>
          <w:szCs w:val="24"/>
          <w:highlight w:val="none"/>
          <w:u w:val="single"/>
        </w:rPr>
        <w:t xml:space="preserve">   按监理人和发包人要求执行        </w:t>
      </w:r>
      <w:r>
        <w:rPr>
          <w:rFonts w:hint="eastAsia" w:ascii="仿宋" w:hAnsi="仿宋" w:eastAsia="仿宋" w:cs="仿宋"/>
          <w:color w:val="auto"/>
          <w:sz w:val="24"/>
          <w:szCs w:val="24"/>
          <w:highlight w:val="none"/>
        </w:rPr>
        <w:t>。</w:t>
      </w:r>
    </w:p>
    <w:p w14:paraId="657646A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承包人提交最终结算申请单的期限：</w:t>
      </w:r>
      <w:r>
        <w:rPr>
          <w:rFonts w:hint="eastAsia" w:ascii="仿宋" w:hAnsi="仿宋" w:eastAsia="仿宋" w:cs="仿宋"/>
          <w:color w:val="auto"/>
          <w:sz w:val="24"/>
          <w:szCs w:val="24"/>
          <w:highlight w:val="none"/>
          <w:u w:val="single"/>
        </w:rPr>
        <w:t xml:space="preserve">     按监理人和发包人要求执行              </w:t>
      </w:r>
      <w:r>
        <w:rPr>
          <w:rFonts w:hint="eastAsia" w:ascii="仿宋" w:hAnsi="仿宋" w:eastAsia="仿宋" w:cs="仿宋"/>
          <w:color w:val="auto"/>
          <w:sz w:val="24"/>
          <w:szCs w:val="24"/>
          <w:highlight w:val="none"/>
        </w:rPr>
        <w:t xml:space="preserve">。 </w:t>
      </w:r>
    </w:p>
    <w:p w14:paraId="6AA8728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14.4.2 最终结清证书和支付</w:t>
      </w:r>
    </w:p>
    <w:p w14:paraId="33DDEA1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（1）发包人完成最终结清申请单的审批并颁发最终结清证书的期限：</w:t>
      </w:r>
      <w:r>
        <w:rPr>
          <w:rFonts w:hint="eastAsia" w:ascii="仿宋" w:hAnsi="仿宋" w:eastAsia="仿宋" w:cs="仿宋"/>
          <w:color w:val="auto"/>
          <w:sz w:val="24"/>
          <w:szCs w:val="24"/>
          <w:highlight w:val="none"/>
          <w:u w:val="single"/>
        </w:rPr>
        <w:t xml:space="preserve">按通用条款执行   </w:t>
      </w:r>
      <w:r>
        <w:rPr>
          <w:rFonts w:hint="eastAsia" w:ascii="仿宋" w:hAnsi="仿宋" w:eastAsia="仿宋" w:cs="仿宋"/>
          <w:color w:val="auto"/>
          <w:sz w:val="24"/>
          <w:szCs w:val="24"/>
          <w:highlight w:val="none"/>
        </w:rPr>
        <w:t>。</w:t>
      </w:r>
    </w:p>
    <w:p w14:paraId="1BFD287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（2）发包人完成支付的期限：</w:t>
      </w:r>
      <w:r>
        <w:rPr>
          <w:rFonts w:hint="eastAsia" w:ascii="仿宋" w:hAnsi="仿宋" w:eastAsia="仿宋" w:cs="仿宋"/>
          <w:color w:val="auto"/>
          <w:sz w:val="24"/>
          <w:szCs w:val="24"/>
          <w:highlight w:val="none"/>
          <w:u w:val="single"/>
        </w:rPr>
        <w:t xml:space="preserve">   按专用条款执行  </w:t>
      </w:r>
      <w:r>
        <w:rPr>
          <w:rFonts w:hint="eastAsia" w:ascii="仿宋" w:hAnsi="仿宋" w:eastAsia="仿宋" w:cs="仿宋"/>
          <w:color w:val="auto"/>
          <w:sz w:val="24"/>
          <w:szCs w:val="24"/>
          <w:highlight w:val="none"/>
        </w:rPr>
        <w:t>。</w:t>
      </w:r>
    </w:p>
    <w:p w14:paraId="145B0F06">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15. 缺陷责任期与保修</w:t>
      </w:r>
    </w:p>
    <w:p w14:paraId="23C6F44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15.2缺陷责任期</w:t>
      </w:r>
    </w:p>
    <w:p w14:paraId="0F2C9C89">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缺陷责任期的具体期限：</w:t>
      </w:r>
      <w:r>
        <w:rPr>
          <w:rFonts w:hint="eastAsia" w:ascii="仿宋" w:hAnsi="仿宋" w:eastAsia="仿宋" w:cs="仿宋"/>
          <w:color w:val="auto"/>
          <w:sz w:val="24"/>
          <w:szCs w:val="24"/>
          <w:highlight w:val="none"/>
          <w:u w:val="single"/>
        </w:rPr>
        <w:t xml:space="preserve">    24个月        </w:t>
      </w:r>
      <w:r>
        <w:rPr>
          <w:rFonts w:hint="eastAsia" w:ascii="仿宋" w:hAnsi="仿宋" w:eastAsia="仿宋" w:cs="仿宋"/>
          <w:color w:val="auto"/>
          <w:sz w:val="24"/>
          <w:szCs w:val="24"/>
          <w:highlight w:val="none"/>
        </w:rPr>
        <w:t>。</w:t>
      </w:r>
    </w:p>
    <w:p w14:paraId="74D706A1">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26" w:name="_Toc25141778"/>
      <w:r>
        <w:rPr>
          <w:rFonts w:hint="eastAsia" w:ascii="仿宋" w:hAnsi="仿宋" w:eastAsia="仿宋" w:cs="仿宋"/>
          <w:color w:val="auto"/>
          <w:sz w:val="24"/>
          <w:szCs w:val="24"/>
          <w:highlight w:val="none"/>
        </w:rPr>
        <w:t>15.3 质量保证金</w:t>
      </w:r>
      <w:bookmarkEnd w:id="1526"/>
    </w:p>
    <w:p w14:paraId="79164B4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关于是否扣留质量保证金的约定：</w:t>
      </w:r>
      <w:r>
        <w:rPr>
          <w:rFonts w:hint="eastAsia" w:ascii="仿宋" w:hAnsi="仿宋" w:eastAsia="仿宋" w:cs="仿宋"/>
          <w:color w:val="auto"/>
          <w:sz w:val="24"/>
          <w:szCs w:val="24"/>
          <w:highlight w:val="none"/>
          <w:u w:val="single"/>
        </w:rPr>
        <w:t xml:space="preserve">       扣留    </w:t>
      </w:r>
      <w:r>
        <w:rPr>
          <w:rFonts w:hint="eastAsia" w:ascii="仿宋" w:hAnsi="仿宋" w:eastAsia="仿宋" w:cs="仿宋"/>
          <w:color w:val="auto"/>
          <w:sz w:val="24"/>
          <w:szCs w:val="24"/>
          <w:highlight w:val="none"/>
        </w:rPr>
        <w:t>。在工程项目竣工前，承包人按专用合同条款第3.7条提供履约担保的，发包人不得同时预留工程质量保证金。</w:t>
      </w:r>
    </w:p>
    <w:p w14:paraId="32475114">
      <w:pPr>
        <w:keepNext w:val="0"/>
        <w:keepLines w:val="0"/>
        <w:pageBreakBefore w:val="0"/>
        <w:widowControl w:val="0"/>
        <w:kinsoku/>
        <w:wordWrap/>
        <w:overflowPunct/>
        <w:topLinePunct w:val="0"/>
        <w:bidi w:val="0"/>
        <w:snapToGrid/>
        <w:spacing w:line="440" w:lineRule="exact"/>
        <w:ind w:firstLine="468" w:firstLineChars="195"/>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15.3.1 承包人提供质量保证金的方式</w:t>
      </w:r>
    </w:p>
    <w:p w14:paraId="58425D0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质量保证金采用以下第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w:t>
      </w:r>
    </w:p>
    <w:p w14:paraId="2213C405">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（1）质量保证金保函，保证金额为：</w:t>
      </w:r>
      <w:r>
        <w:rPr>
          <w:rFonts w:hint="eastAsia" w:ascii="仿宋" w:hAnsi="仿宋" w:eastAsia="仿宋" w:cs="仿宋"/>
          <w:color w:val="auto"/>
          <w:kern w:val="0"/>
          <w:sz w:val="24"/>
          <w:szCs w:val="24"/>
          <w:highlight w:val="none"/>
          <w:u w:val="single"/>
        </w:rPr>
        <w:t xml:space="preserve">  /            </w:t>
      </w:r>
      <w:r>
        <w:rPr>
          <w:rFonts w:hint="eastAsia" w:ascii="仿宋" w:hAnsi="仿宋" w:eastAsia="仿宋" w:cs="仿宋"/>
          <w:color w:val="auto"/>
          <w:kern w:val="0"/>
          <w:sz w:val="24"/>
          <w:szCs w:val="24"/>
          <w:highlight w:val="none"/>
        </w:rPr>
        <w:t xml:space="preserve">； </w:t>
      </w:r>
    </w:p>
    <w:p w14:paraId="5AF598B6">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US" w:eastAsia="zh-CN"/>
        </w:rPr>
        <w:t>3</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rPr>
        <w:t>%的工程款；</w:t>
      </w:r>
    </w:p>
    <w:p w14:paraId="10FCFB0A">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（3）其他方式:</w:t>
      </w:r>
      <w:r>
        <w:rPr>
          <w:rFonts w:hint="eastAsia" w:ascii="仿宋" w:hAnsi="仿宋" w:eastAsia="仿宋" w:cs="仿宋"/>
          <w:color w:val="auto"/>
          <w:kern w:val="0"/>
          <w:sz w:val="24"/>
          <w:szCs w:val="24"/>
          <w:highlight w:val="none"/>
          <w:u w:val="single"/>
        </w:rPr>
        <w:t xml:space="preserve">           /             </w:t>
      </w:r>
      <w:r>
        <w:rPr>
          <w:rFonts w:hint="eastAsia" w:ascii="仿宋" w:hAnsi="仿宋" w:eastAsia="仿宋" w:cs="仿宋"/>
          <w:color w:val="auto"/>
          <w:kern w:val="0"/>
          <w:sz w:val="24"/>
          <w:szCs w:val="24"/>
          <w:highlight w:val="none"/>
        </w:rPr>
        <w:t>。</w:t>
      </w:r>
    </w:p>
    <w:p w14:paraId="5AC23366">
      <w:pPr>
        <w:keepNext w:val="0"/>
        <w:keepLines w:val="0"/>
        <w:pageBreakBefore w:val="0"/>
        <w:widowControl w:val="0"/>
        <w:kinsoku/>
        <w:wordWrap/>
        <w:overflowPunct/>
        <w:topLinePunct w:val="0"/>
        <w:bidi w:val="0"/>
        <w:snapToGrid/>
        <w:spacing w:line="440" w:lineRule="exact"/>
        <w:ind w:firstLine="468" w:firstLineChars="195"/>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15.3.2 质量保证金的扣留 </w:t>
      </w:r>
    </w:p>
    <w:p w14:paraId="3FA6F140">
      <w:pPr>
        <w:keepNext w:val="0"/>
        <w:keepLines w:val="0"/>
        <w:pageBreakBefore w:val="0"/>
        <w:widowControl w:val="0"/>
        <w:kinsoku/>
        <w:wordWrap/>
        <w:overflowPunct/>
        <w:topLinePunct w:val="0"/>
        <w:bidi w:val="0"/>
        <w:snapToGrid/>
        <w:spacing w:line="440" w:lineRule="exact"/>
        <w:ind w:firstLine="468" w:firstLineChars="195"/>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质量保证金的扣留采取以下第  2   种方式：</w:t>
      </w:r>
    </w:p>
    <w:p w14:paraId="28C9ACD9">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（1）在支付工程进度款时逐次扣留，在此情形下，质量保证金的计算基数不包括预付款的支付、扣回以及价格调整的金额；</w:t>
      </w:r>
    </w:p>
    <w:p w14:paraId="4C39B320">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（2）工程竣工结算时一次性扣留质量保证金；</w:t>
      </w:r>
    </w:p>
    <w:p w14:paraId="6BF2A55D">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（3）其他扣留方式:</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4E8FB3F6">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sz w:val="24"/>
          <w:szCs w:val="24"/>
          <w:highlight w:val="none"/>
        </w:rPr>
        <w:t>关于质量保证金的补充约定：</w:t>
      </w:r>
      <w:r>
        <w:rPr>
          <w:rFonts w:hint="eastAsia" w:ascii="仿宋" w:hAnsi="仿宋" w:eastAsia="仿宋" w:cs="仿宋"/>
          <w:color w:val="auto"/>
          <w:kern w:val="0"/>
          <w:sz w:val="24"/>
          <w:szCs w:val="24"/>
          <w:highlight w:val="none"/>
          <w:u w:val="single"/>
        </w:rPr>
        <w:t>无       。</w:t>
      </w:r>
    </w:p>
    <w:p w14:paraId="79B70D19">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15.4保修</w:t>
      </w:r>
    </w:p>
    <w:p w14:paraId="521BE861">
      <w:pPr>
        <w:keepNext w:val="0"/>
        <w:keepLines w:val="0"/>
        <w:pageBreakBefore w:val="0"/>
        <w:widowControl w:val="0"/>
        <w:kinsoku/>
        <w:wordWrap/>
        <w:overflowPunct/>
        <w:topLinePunct w:val="0"/>
        <w:bidi w:val="0"/>
        <w:snapToGrid/>
        <w:spacing w:line="440" w:lineRule="exact"/>
        <w:ind w:firstLine="468" w:firstLineChars="195"/>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15.4.1 保修责任工程保修期为：</w:t>
      </w:r>
      <w:r>
        <w:rPr>
          <w:rFonts w:hint="eastAsia" w:ascii="仿宋" w:hAnsi="仿宋" w:eastAsia="仿宋" w:cs="仿宋"/>
          <w:color w:val="auto"/>
          <w:kern w:val="0"/>
          <w:sz w:val="24"/>
          <w:szCs w:val="24"/>
          <w:highlight w:val="none"/>
          <w:u w:val="single"/>
        </w:rPr>
        <w:t xml:space="preserve">   详见质量保修书       </w:t>
      </w:r>
      <w:r>
        <w:rPr>
          <w:rFonts w:hint="eastAsia" w:ascii="仿宋" w:hAnsi="仿宋" w:eastAsia="仿宋" w:cs="仿宋"/>
          <w:color w:val="auto"/>
          <w:kern w:val="0"/>
          <w:sz w:val="24"/>
          <w:szCs w:val="24"/>
          <w:highlight w:val="none"/>
        </w:rPr>
        <w:t>。</w:t>
      </w:r>
    </w:p>
    <w:p w14:paraId="525848A4">
      <w:pPr>
        <w:keepNext w:val="0"/>
        <w:keepLines w:val="0"/>
        <w:pageBreakBefore w:val="0"/>
        <w:widowControl w:val="0"/>
        <w:kinsoku/>
        <w:wordWrap/>
        <w:overflowPunct/>
        <w:topLinePunct w:val="0"/>
        <w:bidi w:val="0"/>
        <w:snapToGrid/>
        <w:spacing w:line="440" w:lineRule="exact"/>
        <w:ind w:firstLine="468" w:firstLineChars="195"/>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15.4.3 修复通知</w:t>
      </w:r>
    </w:p>
    <w:p w14:paraId="680B14E0">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承包人收到保修通知并到达工程现场的合理时间：</w:t>
      </w:r>
      <w:r>
        <w:rPr>
          <w:rFonts w:hint="eastAsia" w:ascii="仿宋" w:hAnsi="仿宋" w:eastAsia="仿宋" w:cs="仿宋"/>
          <w:color w:val="auto"/>
          <w:kern w:val="0"/>
          <w:sz w:val="24"/>
          <w:szCs w:val="24"/>
          <w:highlight w:val="none"/>
          <w:u w:val="single"/>
        </w:rPr>
        <w:t xml:space="preserve"> 接到通知后24小时内 </w:t>
      </w:r>
      <w:r>
        <w:rPr>
          <w:rFonts w:hint="eastAsia" w:ascii="仿宋" w:hAnsi="仿宋" w:eastAsia="仿宋" w:cs="仿宋"/>
          <w:color w:val="auto"/>
          <w:kern w:val="0"/>
          <w:sz w:val="24"/>
          <w:szCs w:val="24"/>
          <w:highlight w:val="none"/>
        </w:rPr>
        <w:t>。</w:t>
      </w:r>
    </w:p>
    <w:p w14:paraId="4020AFB5">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16. 违约</w:t>
      </w:r>
    </w:p>
    <w:p w14:paraId="524C16EB">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27" w:name="_Toc25141779"/>
      <w:r>
        <w:rPr>
          <w:rFonts w:hint="eastAsia" w:ascii="仿宋" w:hAnsi="仿宋" w:eastAsia="仿宋" w:cs="仿宋"/>
          <w:color w:val="auto"/>
          <w:sz w:val="24"/>
          <w:szCs w:val="24"/>
          <w:highlight w:val="none"/>
        </w:rPr>
        <w:t>16.1 发包人违约</w:t>
      </w:r>
      <w:bookmarkEnd w:id="1527"/>
    </w:p>
    <w:p w14:paraId="7273964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16.1.1发包人违约的情形</w:t>
      </w:r>
    </w:p>
    <w:p w14:paraId="3BF20645">
      <w:pPr>
        <w:keepNext w:val="0"/>
        <w:keepLines w:val="0"/>
        <w:pageBreakBefore w:val="0"/>
        <w:widowControl w:val="0"/>
        <w:kinsoku/>
        <w:wordWrap/>
        <w:overflowPunct/>
        <w:topLinePunct w:val="0"/>
        <w:bidi w:val="0"/>
        <w:snapToGrid/>
        <w:spacing w:line="440" w:lineRule="exact"/>
        <w:ind w:left="1050" w:hanging="1200" w:hangingChars="5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发包人违约的其他情形：</w:t>
      </w:r>
      <w:r>
        <w:rPr>
          <w:rFonts w:hint="eastAsia" w:ascii="仿宋" w:hAnsi="仿宋" w:eastAsia="仿宋" w:cs="仿宋"/>
          <w:color w:val="auto"/>
          <w:kern w:val="0"/>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35D5B6AF">
      <w:pPr>
        <w:keepNext w:val="0"/>
        <w:keepLines w:val="0"/>
        <w:pageBreakBefore w:val="0"/>
        <w:widowControl w:val="0"/>
        <w:kinsoku/>
        <w:wordWrap/>
        <w:overflowPunct/>
        <w:topLinePunct w:val="0"/>
        <w:bidi w:val="0"/>
        <w:snapToGrid/>
        <w:spacing w:line="440" w:lineRule="exact"/>
        <w:ind w:left="1050" w:hanging="1200" w:hangingChars="5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16.1.2 发包人违约的责任</w:t>
      </w:r>
    </w:p>
    <w:p w14:paraId="660AA65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发包人违约责任的承担方式和计算方法：</w:t>
      </w:r>
    </w:p>
    <w:p w14:paraId="0401EC1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（1）因发包人原因未能在计划开工日期前7天内下达开工通知的违约责任：</w:t>
      </w:r>
      <w:r>
        <w:rPr>
          <w:rFonts w:hint="eastAsia" w:ascii="仿宋" w:hAnsi="仿宋" w:eastAsia="仿宋" w:cs="仿宋"/>
          <w:color w:val="auto"/>
          <w:kern w:val="0"/>
          <w:sz w:val="24"/>
          <w:szCs w:val="24"/>
          <w:highlight w:val="none"/>
          <w:u w:val="single"/>
        </w:rPr>
        <w:t xml:space="preserve"> 给承包人造成损失的据实赔偿。    </w:t>
      </w:r>
    </w:p>
    <w:p w14:paraId="3412C05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（2）因发包人原因未能按合同约定支付合同价款的违约责任：</w:t>
      </w:r>
      <w:r>
        <w:rPr>
          <w:rFonts w:hint="eastAsia" w:ascii="仿宋" w:hAnsi="仿宋" w:eastAsia="仿宋" w:cs="仿宋"/>
          <w:color w:val="auto"/>
          <w:kern w:val="0"/>
          <w:sz w:val="24"/>
          <w:szCs w:val="24"/>
          <w:highlight w:val="none"/>
          <w:u w:val="single"/>
        </w:rPr>
        <w:t>执行通用条款</w:t>
      </w:r>
      <w:r>
        <w:rPr>
          <w:rFonts w:hint="eastAsia" w:ascii="仿宋" w:hAnsi="仿宋" w:eastAsia="仿宋" w:cs="仿宋"/>
          <w:color w:val="auto"/>
          <w:sz w:val="24"/>
          <w:szCs w:val="24"/>
          <w:highlight w:val="none"/>
          <w:u w:val="single"/>
        </w:rPr>
        <w:t>。</w:t>
      </w:r>
    </w:p>
    <w:p w14:paraId="3501DF7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（3）发包人违反第10.1款〔变更的范围〕第（2）项约定，自行实施被取消的工作或转由他人实施的违约责任：</w:t>
      </w:r>
      <w:r>
        <w:rPr>
          <w:rFonts w:hint="eastAsia" w:ascii="仿宋" w:hAnsi="仿宋" w:eastAsia="仿宋" w:cs="仿宋"/>
          <w:color w:val="auto"/>
          <w:kern w:val="0"/>
          <w:sz w:val="24"/>
          <w:szCs w:val="24"/>
          <w:highlight w:val="none"/>
          <w:u w:val="single"/>
        </w:rPr>
        <w:t xml:space="preserve">给承包人造成损失的据实赔偿 </w:t>
      </w:r>
      <w:r>
        <w:rPr>
          <w:rFonts w:hint="eastAsia" w:ascii="仿宋" w:hAnsi="仿宋" w:eastAsia="仿宋" w:cs="仿宋"/>
          <w:color w:val="auto"/>
          <w:kern w:val="0"/>
          <w:sz w:val="24"/>
          <w:szCs w:val="24"/>
          <w:highlight w:val="none"/>
        </w:rPr>
        <w:t>。</w:t>
      </w:r>
    </w:p>
    <w:p w14:paraId="6D4BB053">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）因发包人违反合同约定造成暂停施工的违约责任：</w:t>
      </w:r>
      <w:r>
        <w:rPr>
          <w:rFonts w:hint="eastAsia" w:ascii="仿宋" w:hAnsi="仿宋" w:eastAsia="仿宋" w:cs="仿宋"/>
          <w:color w:val="auto"/>
          <w:kern w:val="0"/>
          <w:sz w:val="24"/>
          <w:szCs w:val="24"/>
          <w:highlight w:val="none"/>
          <w:u w:val="single"/>
        </w:rPr>
        <w:t xml:space="preserve">  给承包人造成损失的据实赔偿</w:t>
      </w:r>
      <w:r>
        <w:rPr>
          <w:rFonts w:hint="eastAsia" w:ascii="仿宋" w:hAnsi="仿宋" w:eastAsia="仿宋" w:cs="仿宋"/>
          <w:color w:val="auto"/>
          <w:kern w:val="0"/>
          <w:sz w:val="24"/>
          <w:szCs w:val="24"/>
          <w:highlight w:val="none"/>
        </w:rPr>
        <w:t>。</w:t>
      </w:r>
    </w:p>
    <w:p w14:paraId="7303217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）发包人无正当理由没有在约定期限内发出复工指示，导致承包人无法复工的违约责任：</w:t>
      </w:r>
      <w:r>
        <w:rPr>
          <w:rFonts w:hint="eastAsia" w:ascii="仿宋" w:hAnsi="仿宋" w:eastAsia="仿宋" w:cs="仿宋"/>
          <w:color w:val="auto"/>
          <w:kern w:val="0"/>
          <w:sz w:val="24"/>
          <w:szCs w:val="24"/>
          <w:highlight w:val="none"/>
          <w:u w:val="single"/>
        </w:rPr>
        <w:t xml:space="preserve">  给承包人造成损失的据实赔偿  </w:t>
      </w:r>
      <w:r>
        <w:rPr>
          <w:rFonts w:hint="eastAsia" w:ascii="仿宋" w:hAnsi="仿宋" w:eastAsia="仿宋" w:cs="仿宋"/>
          <w:color w:val="auto"/>
          <w:kern w:val="0"/>
          <w:sz w:val="24"/>
          <w:szCs w:val="24"/>
          <w:highlight w:val="none"/>
        </w:rPr>
        <w:t>。</w:t>
      </w:r>
    </w:p>
    <w:p w14:paraId="58195E9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）其他：</w:t>
      </w:r>
      <w:r>
        <w:rPr>
          <w:rFonts w:hint="eastAsia" w:ascii="仿宋" w:hAnsi="仿宋" w:eastAsia="仿宋" w:cs="仿宋"/>
          <w:color w:val="auto"/>
          <w:kern w:val="0"/>
          <w:sz w:val="24"/>
          <w:szCs w:val="24"/>
          <w:highlight w:val="none"/>
          <w:u w:val="single"/>
        </w:rPr>
        <w:t xml:space="preserve">另行协商  </w:t>
      </w:r>
      <w:r>
        <w:rPr>
          <w:rFonts w:hint="eastAsia" w:ascii="仿宋" w:hAnsi="仿宋" w:eastAsia="仿宋" w:cs="仿宋"/>
          <w:color w:val="auto"/>
          <w:kern w:val="0"/>
          <w:sz w:val="24"/>
          <w:szCs w:val="24"/>
          <w:highlight w:val="none"/>
        </w:rPr>
        <w:t>。</w:t>
      </w:r>
    </w:p>
    <w:p w14:paraId="1B4CB02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16.1.3 因发包人违约解除合同</w:t>
      </w:r>
    </w:p>
    <w:p w14:paraId="6468176B">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承包人按16.1.1项〔发包人违约的情形〕约定暂停施工满</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天后发包人仍不纠正其违约行为并致使合同目的不能实现的，承包人有权解除合同。</w:t>
      </w:r>
    </w:p>
    <w:p w14:paraId="49351C3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28" w:name="_Toc25141780"/>
      <w:r>
        <w:rPr>
          <w:rFonts w:hint="eastAsia" w:ascii="仿宋" w:hAnsi="仿宋" w:eastAsia="仿宋" w:cs="仿宋"/>
          <w:color w:val="auto"/>
          <w:sz w:val="24"/>
          <w:szCs w:val="24"/>
          <w:highlight w:val="none"/>
        </w:rPr>
        <w:t>16.2 承包人违约</w:t>
      </w:r>
      <w:bookmarkEnd w:id="1528"/>
    </w:p>
    <w:p w14:paraId="71D913B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16.2.1 承包人违约的情形</w:t>
      </w:r>
    </w:p>
    <w:p w14:paraId="4A3F0E0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承包人违约的其他情形：</w:t>
      </w:r>
      <w:r>
        <w:rPr>
          <w:rFonts w:hint="eastAsia" w:ascii="仿宋" w:hAnsi="仿宋" w:eastAsia="仿宋" w:cs="仿宋"/>
          <w:color w:val="auto"/>
          <w:kern w:val="0"/>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04ADFD5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16.2.2承包人违约的责任</w:t>
      </w:r>
    </w:p>
    <w:p w14:paraId="18A0B9C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承包人违约责任的承担方式和计算方法：</w:t>
      </w:r>
      <w:r>
        <w:rPr>
          <w:rFonts w:hint="eastAsia" w:ascii="仿宋" w:hAnsi="仿宋" w:eastAsia="仿宋" w:cs="仿宋"/>
          <w:color w:val="auto"/>
          <w:kern w:val="0"/>
          <w:sz w:val="24"/>
          <w:szCs w:val="24"/>
          <w:highlight w:val="none"/>
          <w:u w:val="single"/>
        </w:rPr>
        <w:t xml:space="preserve">据实赔偿 </w:t>
      </w:r>
      <w:r>
        <w:rPr>
          <w:rFonts w:hint="eastAsia" w:ascii="仿宋" w:hAnsi="仿宋" w:eastAsia="仿宋" w:cs="仿宋"/>
          <w:color w:val="auto"/>
          <w:kern w:val="0"/>
          <w:sz w:val="24"/>
          <w:szCs w:val="24"/>
          <w:highlight w:val="none"/>
        </w:rPr>
        <w:t>。</w:t>
      </w:r>
      <w:r>
        <w:rPr>
          <w:rFonts w:hint="eastAsia" w:ascii="仿宋" w:hAnsi="仿宋" w:eastAsia="仿宋" w:cs="仿宋"/>
          <w:color w:val="auto"/>
          <w:sz w:val="24"/>
          <w:szCs w:val="24"/>
          <w:highlight w:val="none"/>
        </w:rPr>
        <w:t xml:space="preserve">    </w:t>
      </w:r>
    </w:p>
    <w:p w14:paraId="2960B519">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16.2.3 因承包人违约解除合同</w:t>
      </w:r>
    </w:p>
    <w:p w14:paraId="506BB995">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关于承包人违约解除合同的特别约定：</w:t>
      </w:r>
    </w:p>
    <w:p w14:paraId="1085AB2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(1) 承包人实际进度比计划进度滞后30天以上，无论总进度是否满足要求，视同工期延误；因承包人原因造成实际进度滞后100天以上，发包人有权单方面终止合同，承包人须无条件退场并承担违约责任。承包人违约金按履约保证金全额扣除</w:t>
      </w:r>
      <w:r>
        <w:rPr>
          <w:rStyle w:val="41"/>
          <w:rFonts w:hint="eastAsia" w:ascii="仿宋" w:hAnsi="仿宋" w:eastAsia="仿宋" w:cs="仿宋"/>
          <w:color w:val="auto"/>
          <w:sz w:val="24"/>
          <w:szCs w:val="24"/>
          <w:highlight w:val="none"/>
        </w:rPr>
        <w:t>，若该违约金不足以弥补发包人因此遭受的全部损失（包括但不限于另行委托施工产生的额外费用、管理费、工期延误损失等），承包人应予以补足。</w:t>
      </w:r>
    </w:p>
    <w:p w14:paraId="11AD090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u w:val="single"/>
        </w:rPr>
        <w:t>(2) 承包人在项目实施过程中，如发生重大质量、安全事故造成不良影响或经济损失的，由承包人承担一切责任。发包人保留追究承包方法律责任的权利。</w:t>
      </w:r>
    </w:p>
    <w:p w14:paraId="4AC1DD4E">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发包人继续使用承包人在施工现场的材料、设备、临时工程、承包人文件和由承包人或以其名义编制的其他文件的费用承担方式：</w:t>
      </w:r>
      <w:r>
        <w:rPr>
          <w:rFonts w:hint="eastAsia" w:ascii="仿宋" w:hAnsi="仿宋" w:eastAsia="仿宋" w:cs="仿宋"/>
          <w:color w:val="auto"/>
          <w:kern w:val="0"/>
          <w:sz w:val="24"/>
          <w:szCs w:val="24"/>
          <w:highlight w:val="none"/>
          <w:u w:val="single"/>
        </w:rPr>
        <w:t>执行通用条款</w:t>
      </w:r>
      <w:r>
        <w:rPr>
          <w:rFonts w:hint="eastAsia" w:ascii="仿宋" w:hAnsi="仿宋" w:eastAsia="仿宋" w:cs="仿宋"/>
          <w:color w:val="auto"/>
          <w:kern w:val="0"/>
          <w:sz w:val="24"/>
          <w:szCs w:val="24"/>
          <w:highlight w:val="none"/>
        </w:rPr>
        <w:t>。</w:t>
      </w:r>
      <w:r>
        <w:rPr>
          <w:rFonts w:hint="eastAsia" w:ascii="仿宋" w:hAnsi="仿宋" w:eastAsia="仿宋" w:cs="仿宋"/>
          <w:color w:val="auto"/>
          <w:sz w:val="24"/>
          <w:szCs w:val="24"/>
          <w:highlight w:val="none"/>
        </w:rPr>
        <w:t xml:space="preserve"> </w:t>
      </w:r>
    </w:p>
    <w:p w14:paraId="1D0D23CF">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17. 不可抗力 </w:t>
      </w:r>
    </w:p>
    <w:p w14:paraId="1658ACF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17.1 不可抗力的确认</w:t>
      </w:r>
    </w:p>
    <w:p w14:paraId="313F0CF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 </w:t>
      </w:r>
      <w:r>
        <w:rPr>
          <w:rFonts w:hint="eastAsia" w:ascii="仿宋" w:hAnsi="仿宋" w:eastAsia="仿宋" w:cs="仿宋"/>
          <w:color w:val="auto"/>
          <w:sz w:val="24"/>
          <w:szCs w:val="24"/>
          <w:highlight w:val="none"/>
          <w:u w:val="single"/>
        </w:rPr>
        <w:t>交通管制，重要节假日或重大活动及政府部门要求停工情形等</w:t>
      </w:r>
      <w:r>
        <w:rPr>
          <w:rFonts w:hint="eastAsia" w:ascii="仿宋" w:hAnsi="仿宋" w:eastAsia="仿宋" w:cs="仿宋"/>
          <w:color w:val="auto"/>
          <w:kern w:val="0"/>
          <w:sz w:val="24"/>
          <w:szCs w:val="24"/>
          <w:highlight w:val="none"/>
          <w:u w:val="single"/>
        </w:rPr>
        <w:t>。</w:t>
      </w:r>
    </w:p>
    <w:p w14:paraId="1FEECB2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29" w:name="_Toc25141781"/>
      <w:r>
        <w:rPr>
          <w:rFonts w:hint="eastAsia" w:ascii="仿宋" w:hAnsi="仿宋" w:eastAsia="仿宋" w:cs="仿宋"/>
          <w:color w:val="auto"/>
          <w:sz w:val="24"/>
          <w:szCs w:val="24"/>
          <w:highlight w:val="none"/>
        </w:rPr>
        <w:t>17.4 因不可抗力解除合同</w:t>
      </w:r>
      <w:bookmarkEnd w:id="1529"/>
    </w:p>
    <w:p w14:paraId="3CB8000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合同解除后，发包人应在商定或确定发包人应支付款项后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天内完成款项的支付。</w:t>
      </w:r>
    </w:p>
    <w:p w14:paraId="171E1215">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18. 保险</w:t>
      </w:r>
    </w:p>
    <w:p w14:paraId="22B1F7E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18.1 工程保险</w:t>
      </w:r>
    </w:p>
    <w:p w14:paraId="0A6F5F6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sz w:val="24"/>
          <w:szCs w:val="24"/>
          <w:highlight w:val="none"/>
        </w:rPr>
        <w:t>关于工程保险的特别约定：</w:t>
      </w:r>
      <w:r>
        <w:rPr>
          <w:rFonts w:hint="eastAsia" w:ascii="仿宋" w:hAnsi="仿宋" w:eastAsia="仿宋" w:cs="仿宋"/>
          <w:color w:val="auto"/>
          <w:kern w:val="0"/>
          <w:sz w:val="24"/>
          <w:szCs w:val="24"/>
          <w:highlight w:val="none"/>
          <w:u w:val="single"/>
        </w:rPr>
        <w:t xml:space="preserve">  承包人须为本合同工程办理建筑工程一切险，费用已经包含在合同价款中  。</w:t>
      </w:r>
    </w:p>
    <w:p w14:paraId="1167562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30" w:name="_Toc25141782"/>
      <w:r>
        <w:rPr>
          <w:rFonts w:hint="eastAsia" w:ascii="仿宋" w:hAnsi="仿宋" w:eastAsia="仿宋" w:cs="仿宋"/>
          <w:color w:val="auto"/>
          <w:sz w:val="24"/>
          <w:szCs w:val="24"/>
          <w:highlight w:val="none"/>
        </w:rPr>
        <w:t>18.3 其他保险</w:t>
      </w:r>
      <w:bookmarkEnd w:id="1530"/>
    </w:p>
    <w:p w14:paraId="6E9C14B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关于其他保险的约定：</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u w:val="single"/>
        </w:rPr>
        <w:t xml:space="preserve">由承包人按需要自行投保  </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3F05902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承包人是否应为其施工设备等办理财产保险：</w:t>
      </w:r>
      <w:r>
        <w:rPr>
          <w:rFonts w:hint="eastAsia" w:ascii="仿宋" w:hAnsi="仿宋" w:eastAsia="仿宋" w:cs="仿宋"/>
          <w:color w:val="auto"/>
          <w:sz w:val="24"/>
          <w:szCs w:val="24"/>
          <w:highlight w:val="none"/>
          <w:u w:val="single"/>
        </w:rPr>
        <w:t xml:space="preserve">  是    </w:t>
      </w:r>
      <w:r>
        <w:rPr>
          <w:rFonts w:hint="eastAsia" w:ascii="仿宋" w:hAnsi="仿宋" w:eastAsia="仿宋" w:cs="仿宋"/>
          <w:color w:val="auto"/>
          <w:sz w:val="24"/>
          <w:szCs w:val="24"/>
          <w:highlight w:val="none"/>
        </w:rPr>
        <w:t>。</w:t>
      </w:r>
    </w:p>
    <w:p w14:paraId="54046FA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18.7 通知义务</w:t>
      </w:r>
    </w:p>
    <w:p w14:paraId="3C7DF40B">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关于变更保险合同时的通知义务的约定：</w:t>
      </w:r>
      <w:r>
        <w:rPr>
          <w:rFonts w:hint="eastAsia" w:ascii="仿宋" w:hAnsi="仿宋" w:eastAsia="仿宋" w:cs="仿宋"/>
          <w:color w:val="auto"/>
          <w:kern w:val="0"/>
          <w:sz w:val="24"/>
          <w:szCs w:val="24"/>
          <w:highlight w:val="none"/>
          <w:u w:val="single"/>
        </w:rPr>
        <w:t>变更7天前通知所有当事人 。</w:t>
      </w:r>
    </w:p>
    <w:p w14:paraId="235F19B8">
      <w:pPr>
        <w:keepNext w:val="0"/>
        <w:keepLines w:val="0"/>
        <w:pageBreakBefore w:val="0"/>
        <w:widowControl w:val="0"/>
        <w:kinsoku/>
        <w:wordWrap/>
        <w:overflowPunct/>
        <w:topLinePunct w:val="0"/>
        <w:autoSpaceDE w:val="0"/>
        <w:autoSpaceDN w:val="0"/>
        <w:bidi w:val="0"/>
        <w:adjustRightInd w:val="0"/>
        <w:snapToGrid/>
        <w:spacing w:line="440" w:lineRule="exact"/>
        <w:ind w:firstLine="482" w:firstLineChars="2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19补充条款；</w:t>
      </w:r>
    </w:p>
    <w:p w14:paraId="2878727E">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19.1承包人应及时按发包人或监理人要求提交办理工程相关手续所需的资料，无故超过发包人或监理人要求期限，按5000元/天处罚。因承包人原因造成手续办理进度滞后或直接影响工程进度等严重后果的，承包人负全部责任。</w:t>
      </w:r>
    </w:p>
    <w:p w14:paraId="7EFD88F3">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19.2施工用主要材料，订货前必须经发包人、监理人、承包人三方确认后签订采购合同。若承包人报请的材料连续两次因质量问题或手续不全被发包人和监理人拒绝，要对承包人处5万元处罚。施工期间所有进场材料，在执行验收标准时，必须符合国家标准，否则，不准进场。</w:t>
      </w:r>
    </w:p>
    <w:p w14:paraId="6547259E">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19.3承包人采购的材料设备，不得侵犯他人的权利(包括知识产权),承包人并应当自费取得权利人的使用许可，否则一切责任由承包人承担，发包人如为继续使用而承担的费用，均由承包人承担。</w:t>
      </w:r>
    </w:p>
    <w:p w14:paraId="09E2E259">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19.4关键工序施工完毕后，须经监理。发包人验收合格并签字后(承包人应在验收前向发包人、监理提交三检记录、施工交底记录等资料),方可进行下道工序施工，承包人违反此规定擅自进行下道工序施工的，应负责拆除并重新施工，直至验收合格，并承担由此造成的一切费用和延误的工期；若情节严重或屡次发生的，发包人有权要求承包人支付20000元违约金。</w:t>
      </w:r>
    </w:p>
    <w:p w14:paraId="7AC4E5F2">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19.5在工程施工过程中以及工程移交后的约定保修期间，由于承包人责任出现质量问题、安全事故或者其他原因，受到报纸、电视等媒体的曝光或政府有关主管部门的通报批评，给本工程的社会形象造成损失，每次由承包人向发包人支付30万元的违约金，从承包人工程款中扣除，并承担全部责任 。</w:t>
      </w:r>
    </w:p>
    <w:p w14:paraId="2AE476C8">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9.6在施工期间，对市政道路、桥梁、电缆等造成损坏以及由此引起的罚款等承包人全部承担。</w:t>
      </w:r>
    </w:p>
    <w:p w14:paraId="7AAC33A2">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19.7发包人实行工地例会制。承包方所有与会人员应严格遵守例会规章度，承包人投标项目经理、技术负责人必须参加每次工程例会，每迟到一次，罚款500元。每缺席一次罚款2000元。</w:t>
      </w:r>
    </w:p>
    <w:p w14:paraId="6D21FDE3">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19.8由于法律行政法规变化及政策性调整的根据情况调整、</w:t>
      </w:r>
    </w:p>
    <w:p w14:paraId="49EC643D">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rPr>
        <w:t>本工程发包方与承包方的最终结算价以</w:t>
      </w:r>
      <w:r>
        <w:rPr>
          <w:rFonts w:hint="eastAsia" w:ascii="仿宋" w:hAnsi="仿宋" w:eastAsia="仿宋" w:cs="仿宋"/>
          <w:color w:val="auto"/>
          <w:kern w:val="0"/>
          <w:sz w:val="24"/>
          <w:szCs w:val="24"/>
          <w:highlight w:val="none"/>
          <w:lang w:val="en-US" w:eastAsia="zh-CN"/>
        </w:rPr>
        <w:t>政府</w:t>
      </w:r>
      <w:r>
        <w:rPr>
          <w:rFonts w:hint="eastAsia" w:ascii="仿宋" w:hAnsi="仿宋" w:eastAsia="仿宋" w:cs="仿宋"/>
          <w:color w:val="auto"/>
          <w:kern w:val="0"/>
          <w:sz w:val="24"/>
          <w:szCs w:val="24"/>
          <w:highlight w:val="none"/>
        </w:rPr>
        <w:t>部门审计结果(金额)为准。</w:t>
      </w:r>
    </w:p>
    <w:p w14:paraId="699631BB">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其他未尽事宜，在符合国家相关法律法规和满足招标人招标文件要求的前提下，友好协商，签订补充说明，该说明与合同具有同等法律效力。  </w:t>
      </w:r>
    </w:p>
    <w:p w14:paraId="68340B79">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20. 争议解决</w:t>
      </w:r>
    </w:p>
    <w:p w14:paraId="66F097BD">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31" w:name="_Toc25141783"/>
      <w:r>
        <w:rPr>
          <w:rFonts w:hint="eastAsia" w:ascii="仿宋" w:hAnsi="仿宋" w:eastAsia="仿宋" w:cs="仿宋"/>
          <w:color w:val="auto"/>
          <w:sz w:val="24"/>
          <w:szCs w:val="24"/>
          <w:highlight w:val="none"/>
        </w:rPr>
        <w:t>20.3 争议评审</w:t>
      </w:r>
      <w:bookmarkEnd w:id="1531"/>
      <w:r>
        <w:rPr>
          <w:rFonts w:hint="eastAsia" w:ascii="仿宋" w:hAnsi="仿宋" w:eastAsia="仿宋" w:cs="仿宋"/>
          <w:color w:val="auto"/>
          <w:sz w:val="24"/>
          <w:szCs w:val="24"/>
          <w:highlight w:val="none"/>
        </w:rPr>
        <w:t>合同当事人是否同意将工程争议提交争议评审小组决定：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p>
    <w:p w14:paraId="2C89EB0C">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20.3.1 争议评审小组的确定</w:t>
      </w:r>
    </w:p>
    <w:p w14:paraId="7A62738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争议评审小组成员的确定：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A2CD77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选定争议评审员的期限：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B2AA25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争议评审小组成员的报酬承担方式：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EE45F0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3C653D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20.3.2 争议评审小组的决定</w:t>
      </w:r>
    </w:p>
    <w:p w14:paraId="1D051FC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合同当事人关于本项的约定：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FFA593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32" w:name="_Toc25141784"/>
      <w:r>
        <w:rPr>
          <w:rFonts w:hint="eastAsia" w:ascii="仿宋" w:hAnsi="仿宋" w:eastAsia="仿宋" w:cs="仿宋"/>
          <w:color w:val="auto"/>
          <w:sz w:val="24"/>
          <w:szCs w:val="24"/>
          <w:highlight w:val="none"/>
        </w:rPr>
        <w:t>20.4仲裁或诉讼</w:t>
      </w:r>
      <w:bookmarkEnd w:id="1532"/>
    </w:p>
    <w:p w14:paraId="449A2228">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因合同及合同有关事项发生的争议，按下列第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种方式解决：</w:t>
      </w:r>
    </w:p>
    <w:p w14:paraId="5299DA2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（1）向</w:t>
      </w:r>
      <w:r>
        <w:rPr>
          <w:rFonts w:hint="eastAsia" w:ascii="仿宋" w:hAnsi="仿宋" w:eastAsia="仿宋" w:cs="仿宋"/>
          <w:color w:val="auto"/>
          <w:sz w:val="24"/>
          <w:szCs w:val="24"/>
          <w:highlight w:val="none"/>
          <w:u w:val="single"/>
        </w:rPr>
        <w:t xml:space="preserve">     项目所在地        </w:t>
      </w:r>
      <w:r>
        <w:rPr>
          <w:rFonts w:hint="eastAsia" w:ascii="仿宋" w:hAnsi="仿宋" w:eastAsia="仿宋" w:cs="仿宋"/>
          <w:color w:val="auto"/>
          <w:sz w:val="24"/>
          <w:szCs w:val="24"/>
          <w:highlight w:val="none"/>
        </w:rPr>
        <w:t>仲裁委员会申请仲裁；</w:t>
      </w:r>
    </w:p>
    <w:p w14:paraId="7D02218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（2）向</w:t>
      </w:r>
      <w:r>
        <w:rPr>
          <w:rFonts w:hint="eastAsia" w:ascii="仿宋" w:hAnsi="仿宋" w:eastAsia="仿宋" w:cs="仿宋"/>
          <w:color w:val="auto"/>
          <w:sz w:val="24"/>
          <w:szCs w:val="24"/>
          <w:highlight w:val="none"/>
          <w:u w:val="single"/>
        </w:rPr>
        <w:t xml:space="preserve">    项目所在地       </w:t>
      </w:r>
      <w:r>
        <w:rPr>
          <w:rFonts w:hint="eastAsia" w:ascii="仿宋" w:hAnsi="仿宋" w:eastAsia="仿宋" w:cs="仿宋"/>
          <w:color w:val="auto"/>
          <w:sz w:val="24"/>
          <w:szCs w:val="24"/>
          <w:highlight w:val="none"/>
        </w:rPr>
        <w:t>人民法院起诉。</w:t>
      </w:r>
    </w:p>
    <w:p w14:paraId="40CADD81">
      <w:pPr>
        <w:spacing w:line="360" w:lineRule="auto"/>
        <w:ind w:firstLine="480" w:firstLineChars="200"/>
        <w:jc w:val="left"/>
        <w:rPr>
          <w:rFonts w:hint="eastAsia" w:ascii="仿宋" w:hAnsi="仿宋" w:eastAsia="仿宋" w:cs="仿宋"/>
          <w:color w:val="auto"/>
          <w:sz w:val="24"/>
          <w:szCs w:val="24"/>
          <w:highlight w:val="none"/>
        </w:rPr>
      </w:pPr>
    </w:p>
    <w:p w14:paraId="14780E24">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bookmarkStart w:id="1533" w:name="_Toc351203652"/>
      <w:r>
        <w:rPr>
          <w:rFonts w:hint="eastAsia" w:ascii="仿宋" w:hAnsi="仿宋" w:eastAsia="仿宋" w:cs="仿宋"/>
          <w:color w:val="auto"/>
          <w:sz w:val="24"/>
          <w:szCs w:val="24"/>
          <w:highlight w:val="none"/>
        </w:rPr>
        <w:br w:type="page"/>
      </w:r>
      <w:r>
        <w:rPr>
          <w:rFonts w:hint="eastAsia" w:ascii="仿宋" w:hAnsi="仿宋" w:eastAsia="仿宋" w:cs="仿宋"/>
          <w:color w:val="auto"/>
          <w:sz w:val="24"/>
          <w:szCs w:val="24"/>
          <w:highlight w:val="none"/>
        </w:rPr>
        <w:t>附件</w:t>
      </w:r>
      <w:bookmarkEnd w:id="1533"/>
    </w:p>
    <w:p w14:paraId="06A94DEA">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协议书附件：</w:t>
      </w:r>
    </w:p>
    <w:p w14:paraId="59D83011">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附件1：承包人承揽工程项目一览表</w:t>
      </w:r>
    </w:p>
    <w:p w14:paraId="129101E8">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专用合同条款附件：</w:t>
      </w:r>
    </w:p>
    <w:p w14:paraId="48FEE649">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附件2：发包人供应材料设备一览表</w:t>
      </w:r>
    </w:p>
    <w:p w14:paraId="420F9D8B">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附件3：工程质量保修书</w:t>
      </w:r>
    </w:p>
    <w:p w14:paraId="198F03E9">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附件4：主要建设工程文件目录</w:t>
      </w:r>
    </w:p>
    <w:p w14:paraId="2AB0C6BB">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附件5：承包人用于本工程施工的机械设备表</w:t>
      </w:r>
    </w:p>
    <w:p w14:paraId="3889D04D">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附件6：承包人主要施工管理人员表</w:t>
      </w:r>
    </w:p>
    <w:p w14:paraId="68F61057">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附件7：分包人主要施工管理人员表</w:t>
      </w:r>
    </w:p>
    <w:p w14:paraId="060CBC8C">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附件8：履约担保格式</w:t>
      </w:r>
    </w:p>
    <w:p w14:paraId="521AF023">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附件9：预付款担保格式</w:t>
      </w:r>
    </w:p>
    <w:p w14:paraId="7B341B08">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附件10：支付担保格式</w:t>
      </w:r>
    </w:p>
    <w:p w14:paraId="12ABEE42">
      <w:pPr>
        <w:spacing w:line="360" w:lineRule="auto"/>
        <w:jc w:val="left"/>
        <w:rPr>
          <w:rFonts w:hint="eastAsia" w:ascii="仿宋" w:hAnsi="仿宋" w:eastAsia="仿宋" w:cs="仿宋"/>
          <w:color w:val="auto"/>
          <w:sz w:val="24"/>
          <w:szCs w:val="24"/>
          <w:highlight w:val="none"/>
        </w:rPr>
        <w:sectPr>
          <w:pgSz w:w="11906" w:h="16838"/>
          <w:pgMar w:top="1418" w:right="1555" w:bottom="1418" w:left="1531" w:header="851" w:footer="992" w:gutter="0"/>
          <w:pgNumType w:fmt="decimal"/>
          <w:cols w:space="720" w:num="1"/>
          <w:titlePg/>
          <w:docGrid w:type="lines" w:linePitch="312" w:charSpace="0"/>
        </w:sectPr>
      </w:pPr>
      <w:r>
        <w:rPr>
          <w:rFonts w:hint="eastAsia" w:ascii="仿宋" w:hAnsi="仿宋" w:eastAsia="仿宋" w:cs="仿宋"/>
          <w:color w:val="auto"/>
          <w:sz w:val="24"/>
          <w:szCs w:val="24"/>
          <w:highlight w:val="none"/>
        </w:rPr>
        <w:t>附件11：暂估价一览表</w:t>
      </w:r>
    </w:p>
    <w:p w14:paraId="44EA76DF">
      <w:pPr>
        <w:bidi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附件1：</w:t>
      </w:r>
    </w:p>
    <w:p w14:paraId="2766AF53">
      <w:pPr>
        <w:spacing w:before="156" w:beforeLines="50" w:after="156" w:afterLines="50" w:line="440" w:lineRule="exact"/>
        <w:jc w:val="center"/>
        <w:rPr>
          <w:rFonts w:eastAsia="黑体"/>
          <w:color w:val="auto"/>
          <w:sz w:val="30"/>
          <w:szCs w:val="30"/>
          <w:highlight w:val="none"/>
        </w:rPr>
      </w:pPr>
      <w:r>
        <w:rPr>
          <w:rFonts w:eastAsia="黑体"/>
          <w:color w:val="auto"/>
          <w:sz w:val="30"/>
          <w:szCs w:val="30"/>
          <w:highlight w:val="none"/>
        </w:rPr>
        <w:t>承包人承揽工程项目一览表</w:t>
      </w:r>
    </w:p>
    <w:tbl>
      <w:tblPr>
        <w:tblStyle w:val="28"/>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3DB0FE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noWrap w:val="0"/>
            <w:vAlign w:val="center"/>
          </w:tcPr>
          <w:p w14:paraId="2A8F2CD2">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单位工程名称</w:t>
            </w:r>
          </w:p>
        </w:tc>
        <w:tc>
          <w:tcPr>
            <w:tcW w:w="1843" w:type="dxa"/>
            <w:tcBorders>
              <w:top w:val="single" w:color="auto" w:sz="12" w:space="0"/>
              <w:bottom w:val="double" w:color="auto" w:sz="6" w:space="0"/>
            </w:tcBorders>
            <w:noWrap w:val="0"/>
            <w:vAlign w:val="center"/>
          </w:tcPr>
          <w:p w14:paraId="1A576BFF">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建设规模</w:t>
            </w:r>
          </w:p>
        </w:tc>
        <w:tc>
          <w:tcPr>
            <w:tcW w:w="1417" w:type="dxa"/>
            <w:tcBorders>
              <w:top w:val="single" w:color="auto" w:sz="12" w:space="0"/>
              <w:bottom w:val="double" w:color="auto" w:sz="6" w:space="0"/>
            </w:tcBorders>
            <w:noWrap w:val="0"/>
            <w:vAlign w:val="center"/>
          </w:tcPr>
          <w:p w14:paraId="5BDC6A5E">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建筑面积(平方米)</w:t>
            </w:r>
          </w:p>
        </w:tc>
        <w:tc>
          <w:tcPr>
            <w:tcW w:w="2410" w:type="dxa"/>
            <w:tcBorders>
              <w:top w:val="single" w:color="auto" w:sz="12" w:space="0"/>
              <w:bottom w:val="double" w:color="auto" w:sz="6" w:space="0"/>
            </w:tcBorders>
            <w:noWrap w:val="0"/>
            <w:vAlign w:val="center"/>
          </w:tcPr>
          <w:p w14:paraId="2C990F3A">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结构</w:t>
            </w:r>
            <w:r>
              <w:rPr>
                <w:rFonts w:hint="eastAsia" w:eastAsia="仿宋_GB2312"/>
                <w:color w:val="auto"/>
                <w:kern w:val="2"/>
                <w:sz w:val="28"/>
                <w:szCs w:val="30"/>
                <w:highlight w:val="none"/>
              </w:rPr>
              <w:t>形式</w:t>
            </w:r>
          </w:p>
        </w:tc>
        <w:tc>
          <w:tcPr>
            <w:tcW w:w="850" w:type="dxa"/>
            <w:tcBorders>
              <w:top w:val="single" w:color="auto" w:sz="12" w:space="0"/>
              <w:bottom w:val="double" w:color="auto" w:sz="6" w:space="0"/>
            </w:tcBorders>
            <w:noWrap w:val="0"/>
            <w:vAlign w:val="center"/>
          </w:tcPr>
          <w:p w14:paraId="4D7977D0">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层数</w:t>
            </w:r>
          </w:p>
        </w:tc>
        <w:tc>
          <w:tcPr>
            <w:tcW w:w="1560" w:type="dxa"/>
            <w:tcBorders>
              <w:top w:val="single" w:color="auto" w:sz="12" w:space="0"/>
              <w:bottom w:val="double" w:color="auto" w:sz="6" w:space="0"/>
            </w:tcBorders>
            <w:noWrap w:val="0"/>
            <w:vAlign w:val="center"/>
          </w:tcPr>
          <w:p w14:paraId="293BE637">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生产能力</w:t>
            </w:r>
          </w:p>
        </w:tc>
        <w:tc>
          <w:tcPr>
            <w:tcW w:w="2126" w:type="dxa"/>
            <w:tcBorders>
              <w:top w:val="single" w:color="auto" w:sz="12" w:space="0"/>
              <w:bottom w:val="double" w:color="auto" w:sz="6" w:space="0"/>
            </w:tcBorders>
            <w:noWrap w:val="0"/>
            <w:vAlign w:val="center"/>
          </w:tcPr>
          <w:p w14:paraId="05D6EF41">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设备安装内容</w:t>
            </w:r>
          </w:p>
        </w:tc>
        <w:tc>
          <w:tcPr>
            <w:tcW w:w="1417" w:type="dxa"/>
            <w:tcBorders>
              <w:top w:val="single" w:color="auto" w:sz="12" w:space="0"/>
              <w:bottom w:val="double" w:color="auto" w:sz="6" w:space="0"/>
            </w:tcBorders>
            <w:noWrap w:val="0"/>
            <w:vAlign w:val="center"/>
          </w:tcPr>
          <w:p w14:paraId="7842C87D">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合同价格（元）</w:t>
            </w:r>
          </w:p>
        </w:tc>
        <w:tc>
          <w:tcPr>
            <w:tcW w:w="851" w:type="dxa"/>
            <w:tcBorders>
              <w:top w:val="single" w:color="auto" w:sz="12" w:space="0"/>
              <w:bottom w:val="double" w:color="auto" w:sz="6" w:space="0"/>
            </w:tcBorders>
            <w:noWrap w:val="0"/>
            <w:vAlign w:val="center"/>
          </w:tcPr>
          <w:p w14:paraId="5516BECA">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开工日期</w:t>
            </w:r>
          </w:p>
        </w:tc>
        <w:tc>
          <w:tcPr>
            <w:tcW w:w="850" w:type="dxa"/>
            <w:tcBorders>
              <w:top w:val="single" w:color="auto" w:sz="12" w:space="0"/>
              <w:bottom w:val="double" w:color="auto" w:sz="6" w:space="0"/>
            </w:tcBorders>
            <w:noWrap w:val="0"/>
            <w:vAlign w:val="center"/>
          </w:tcPr>
          <w:p w14:paraId="2C0F91A8">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竣工日期</w:t>
            </w:r>
          </w:p>
        </w:tc>
      </w:tr>
      <w:tr w14:paraId="18F764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noWrap w:val="0"/>
            <w:vAlign w:val="center"/>
          </w:tcPr>
          <w:p w14:paraId="5ED19805">
            <w:pPr>
              <w:pStyle w:val="9"/>
              <w:keepNext/>
              <w:spacing w:after="0" w:line="440" w:lineRule="exact"/>
              <w:ind w:left="63" w:right="63"/>
              <w:rPr>
                <w:rFonts w:eastAsia="仿宋_GB2312"/>
                <w:color w:val="auto"/>
                <w:kern w:val="2"/>
                <w:sz w:val="30"/>
                <w:szCs w:val="30"/>
                <w:highlight w:val="none"/>
              </w:rPr>
            </w:pPr>
          </w:p>
        </w:tc>
        <w:tc>
          <w:tcPr>
            <w:tcW w:w="1843" w:type="dxa"/>
            <w:tcBorders>
              <w:top w:val="double" w:color="auto" w:sz="6" w:space="0"/>
              <w:bottom w:val="single" w:color="auto" w:sz="6" w:space="0"/>
            </w:tcBorders>
            <w:noWrap w:val="0"/>
            <w:vAlign w:val="center"/>
          </w:tcPr>
          <w:p w14:paraId="6569B945">
            <w:pPr>
              <w:pStyle w:val="9"/>
              <w:keepNext/>
              <w:spacing w:after="0" w:line="440" w:lineRule="exact"/>
              <w:ind w:left="63" w:right="63"/>
              <w:rPr>
                <w:rFonts w:eastAsia="仿宋_GB2312"/>
                <w:color w:val="auto"/>
                <w:kern w:val="2"/>
                <w:sz w:val="30"/>
                <w:szCs w:val="30"/>
                <w:highlight w:val="none"/>
              </w:rPr>
            </w:pPr>
          </w:p>
        </w:tc>
        <w:tc>
          <w:tcPr>
            <w:tcW w:w="1417" w:type="dxa"/>
            <w:tcBorders>
              <w:top w:val="double" w:color="auto" w:sz="6" w:space="0"/>
              <w:bottom w:val="single" w:color="auto" w:sz="6" w:space="0"/>
            </w:tcBorders>
            <w:noWrap w:val="0"/>
            <w:vAlign w:val="center"/>
          </w:tcPr>
          <w:p w14:paraId="2E0C18F5">
            <w:pPr>
              <w:pStyle w:val="9"/>
              <w:keepNext/>
              <w:spacing w:after="0" w:line="440" w:lineRule="exact"/>
              <w:ind w:left="63" w:right="63"/>
              <w:rPr>
                <w:rFonts w:eastAsia="仿宋_GB2312"/>
                <w:color w:val="auto"/>
                <w:kern w:val="2"/>
                <w:sz w:val="30"/>
                <w:szCs w:val="30"/>
                <w:highlight w:val="none"/>
              </w:rPr>
            </w:pPr>
          </w:p>
        </w:tc>
        <w:tc>
          <w:tcPr>
            <w:tcW w:w="2410" w:type="dxa"/>
            <w:tcBorders>
              <w:top w:val="double" w:color="auto" w:sz="6" w:space="0"/>
              <w:bottom w:val="single" w:color="auto" w:sz="6" w:space="0"/>
            </w:tcBorders>
            <w:noWrap w:val="0"/>
            <w:vAlign w:val="center"/>
          </w:tcPr>
          <w:p w14:paraId="76B3C304">
            <w:pPr>
              <w:pStyle w:val="9"/>
              <w:keepNext/>
              <w:spacing w:after="0" w:line="440" w:lineRule="exact"/>
              <w:ind w:left="63" w:right="63"/>
              <w:rPr>
                <w:rFonts w:eastAsia="仿宋_GB2312"/>
                <w:color w:val="auto"/>
                <w:kern w:val="2"/>
                <w:sz w:val="30"/>
                <w:szCs w:val="30"/>
                <w:highlight w:val="none"/>
              </w:rPr>
            </w:pPr>
          </w:p>
        </w:tc>
        <w:tc>
          <w:tcPr>
            <w:tcW w:w="850" w:type="dxa"/>
            <w:tcBorders>
              <w:top w:val="double" w:color="auto" w:sz="6" w:space="0"/>
              <w:bottom w:val="single" w:color="auto" w:sz="6" w:space="0"/>
            </w:tcBorders>
            <w:noWrap w:val="0"/>
            <w:vAlign w:val="center"/>
          </w:tcPr>
          <w:p w14:paraId="37AD7C28">
            <w:pPr>
              <w:pStyle w:val="9"/>
              <w:keepNext/>
              <w:spacing w:after="0" w:line="440" w:lineRule="exact"/>
              <w:ind w:left="63" w:right="63"/>
              <w:rPr>
                <w:rFonts w:eastAsia="仿宋_GB2312"/>
                <w:color w:val="auto"/>
                <w:kern w:val="2"/>
                <w:sz w:val="30"/>
                <w:szCs w:val="30"/>
                <w:highlight w:val="none"/>
              </w:rPr>
            </w:pPr>
          </w:p>
        </w:tc>
        <w:tc>
          <w:tcPr>
            <w:tcW w:w="1560" w:type="dxa"/>
            <w:tcBorders>
              <w:top w:val="double" w:color="auto" w:sz="6" w:space="0"/>
              <w:bottom w:val="single" w:color="auto" w:sz="6" w:space="0"/>
            </w:tcBorders>
            <w:noWrap w:val="0"/>
            <w:vAlign w:val="center"/>
          </w:tcPr>
          <w:p w14:paraId="1C50BC15">
            <w:pPr>
              <w:pStyle w:val="9"/>
              <w:keepNext/>
              <w:spacing w:after="0" w:line="440" w:lineRule="exact"/>
              <w:ind w:left="63" w:right="63"/>
              <w:rPr>
                <w:rFonts w:eastAsia="仿宋_GB2312"/>
                <w:color w:val="auto"/>
                <w:kern w:val="2"/>
                <w:sz w:val="30"/>
                <w:szCs w:val="30"/>
                <w:highlight w:val="none"/>
              </w:rPr>
            </w:pPr>
          </w:p>
        </w:tc>
        <w:tc>
          <w:tcPr>
            <w:tcW w:w="2126" w:type="dxa"/>
            <w:tcBorders>
              <w:top w:val="double" w:color="auto" w:sz="6" w:space="0"/>
              <w:bottom w:val="single" w:color="auto" w:sz="6" w:space="0"/>
            </w:tcBorders>
            <w:noWrap w:val="0"/>
            <w:vAlign w:val="center"/>
          </w:tcPr>
          <w:p w14:paraId="5F7B1191">
            <w:pPr>
              <w:pStyle w:val="9"/>
              <w:keepNext/>
              <w:spacing w:after="0" w:line="440" w:lineRule="exact"/>
              <w:ind w:left="63" w:right="63"/>
              <w:rPr>
                <w:rFonts w:eastAsia="仿宋_GB2312"/>
                <w:color w:val="auto"/>
                <w:kern w:val="2"/>
                <w:sz w:val="30"/>
                <w:szCs w:val="30"/>
                <w:highlight w:val="none"/>
              </w:rPr>
            </w:pPr>
          </w:p>
        </w:tc>
        <w:tc>
          <w:tcPr>
            <w:tcW w:w="1417" w:type="dxa"/>
            <w:tcBorders>
              <w:top w:val="double" w:color="auto" w:sz="6" w:space="0"/>
              <w:bottom w:val="single" w:color="auto" w:sz="6" w:space="0"/>
            </w:tcBorders>
            <w:noWrap w:val="0"/>
            <w:vAlign w:val="center"/>
          </w:tcPr>
          <w:p w14:paraId="7A499F19">
            <w:pPr>
              <w:pStyle w:val="9"/>
              <w:keepNext/>
              <w:spacing w:after="0" w:line="440" w:lineRule="exact"/>
              <w:ind w:left="63" w:right="63"/>
              <w:rPr>
                <w:rFonts w:eastAsia="仿宋_GB2312"/>
                <w:color w:val="auto"/>
                <w:kern w:val="2"/>
                <w:sz w:val="30"/>
                <w:szCs w:val="30"/>
                <w:highlight w:val="none"/>
              </w:rPr>
            </w:pPr>
          </w:p>
        </w:tc>
        <w:tc>
          <w:tcPr>
            <w:tcW w:w="851" w:type="dxa"/>
            <w:tcBorders>
              <w:top w:val="double" w:color="auto" w:sz="6" w:space="0"/>
              <w:bottom w:val="single" w:color="auto" w:sz="6" w:space="0"/>
            </w:tcBorders>
            <w:noWrap w:val="0"/>
            <w:vAlign w:val="center"/>
          </w:tcPr>
          <w:p w14:paraId="487BADE7">
            <w:pPr>
              <w:pStyle w:val="9"/>
              <w:keepNext/>
              <w:spacing w:after="0" w:line="440" w:lineRule="exact"/>
              <w:ind w:left="63" w:right="63"/>
              <w:rPr>
                <w:rFonts w:eastAsia="仿宋_GB2312"/>
                <w:color w:val="auto"/>
                <w:kern w:val="2"/>
                <w:sz w:val="30"/>
                <w:szCs w:val="30"/>
                <w:highlight w:val="none"/>
              </w:rPr>
            </w:pPr>
          </w:p>
        </w:tc>
        <w:tc>
          <w:tcPr>
            <w:tcW w:w="850" w:type="dxa"/>
            <w:tcBorders>
              <w:top w:val="double" w:color="auto" w:sz="6" w:space="0"/>
              <w:bottom w:val="single" w:color="auto" w:sz="6" w:space="0"/>
            </w:tcBorders>
            <w:noWrap w:val="0"/>
            <w:vAlign w:val="center"/>
          </w:tcPr>
          <w:p w14:paraId="6C0038D9">
            <w:pPr>
              <w:pStyle w:val="9"/>
              <w:keepNext/>
              <w:spacing w:after="0" w:line="440" w:lineRule="exact"/>
              <w:ind w:left="63" w:right="63"/>
              <w:rPr>
                <w:rFonts w:eastAsia="仿宋_GB2312"/>
                <w:color w:val="auto"/>
                <w:kern w:val="2"/>
                <w:sz w:val="30"/>
                <w:szCs w:val="30"/>
                <w:highlight w:val="none"/>
              </w:rPr>
            </w:pPr>
          </w:p>
        </w:tc>
      </w:tr>
      <w:tr w14:paraId="753F99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2F6DF5BE">
            <w:pPr>
              <w:pStyle w:val="9"/>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1A84E3A6">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47DD0E1B">
            <w:pPr>
              <w:pStyle w:val="9"/>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18C94B05">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7A9D506D">
            <w:pPr>
              <w:pStyle w:val="9"/>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2707043E">
            <w:pPr>
              <w:pStyle w:val="9"/>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3D0035A1">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047565C7">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5D8B71E6">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718A897A">
            <w:pPr>
              <w:pStyle w:val="9"/>
              <w:keepNext/>
              <w:spacing w:after="0" w:line="440" w:lineRule="exact"/>
              <w:ind w:left="63" w:right="63"/>
              <w:rPr>
                <w:rFonts w:eastAsia="仿宋_GB2312"/>
                <w:color w:val="auto"/>
                <w:kern w:val="2"/>
                <w:sz w:val="30"/>
                <w:szCs w:val="30"/>
                <w:highlight w:val="none"/>
              </w:rPr>
            </w:pPr>
          </w:p>
        </w:tc>
      </w:tr>
      <w:tr w14:paraId="64CBDF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trPr>
        <w:tc>
          <w:tcPr>
            <w:tcW w:w="1277" w:type="dxa"/>
            <w:tcBorders>
              <w:top w:val="nil"/>
            </w:tcBorders>
            <w:noWrap w:val="0"/>
            <w:vAlign w:val="center"/>
          </w:tcPr>
          <w:p w14:paraId="1EFBB9AB">
            <w:pPr>
              <w:pStyle w:val="9"/>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7208B1EB">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43F72285">
            <w:pPr>
              <w:pStyle w:val="9"/>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6FC10AFE">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40D4A05F">
            <w:pPr>
              <w:pStyle w:val="9"/>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3433201D">
            <w:pPr>
              <w:pStyle w:val="9"/>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3592FD99">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594A0293">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48246275">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365AA39D">
            <w:pPr>
              <w:pStyle w:val="9"/>
              <w:keepNext/>
              <w:spacing w:after="0" w:line="440" w:lineRule="exact"/>
              <w:ind w:left="63" w:right="63"/>
              <w:rPr>
                <w:rFonts w:eastAsia="仿宋_GB2312"/>
                <w:color w:val="auto"/>
                <w:kern w:val="2"/>
                <w:sz w:val="30"/>
                <w:szCs w:val="30"/>
                <w:highlight w:val="none"/>
              </w:rPr>
            </w:pPr>
          </w:p>
        </w:tc>
      </w:tr>
      <w:tr w14:paraId="2DB06B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trPr>
        <w:tc>
          <w:tcPr>
            <w:tcW w:w="1277" w:type="dxa"/>
            <w:noWrap w:val="0"/>
            <w:vAlign w:val="center"/>
          </w:tcPr>
          <w:p w14:paraId="4E307B18">
            <w:pPr>
              <w:pStyle w:val="9"/>
              <w:keepNext/>
              <w:spacing w:after="0" w:line="440" w:lineRule="exact"/>
              <w:ind w:left="63" w:right="63"/>
              <w:rPr>
                <w:rFonts w:eastAsia="仿宋_GB2312"/>
                <w:color w:val="auto"/>
                <w:kern w:val="2"/>
                <w:sz w:val="30"/>
                <w:szCs w:val="30"/>
                <w:highlight w:val="none"/>
              </w:rPr>
            </w:pPr>
          </w:p>
        </w:tc>
        <w:tc>
          <w:tcPr>
            <w:tcW w:w="1843" w:type="dxa"/>
            <w:noWrap w:val="0"/>
            <w:vAlign w:val="center"/>
          </w:tcPr>
          <w:p w14:paraId="05173636">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1EC12936">
            <w:pPr>
              <w:pStyle w:val="9"/>
              <w:keepNext/>
              <w:spacing w:after="0" w:line="440" w:lineRule="exact"/>
              <w:ind w:left="63" w:right="63"/>
              <w:rPr>
                <w:rFonts w:eastAsia="仿宋_GB2312"/>
                <w:color w:val="auto"/>
                <w:kern w:val="2"/>
                <w:sz w:val="30"/>
                <w:szCs w:val="30"/>
                <w:highlight w:val="none"/>
              </w:rPr>
            </w:pPr>
          </w:p>
        </w:tc>
        <w:tc>
          <w:tcPr>
            <w:tcW w:w="2410" w:type="dxa"/>
            <w:noWrap w:val="0"/>
            <w:vAlign w:val="center"/>
          </w:tcPr>
          <w:p w14:paraId="2BDD894F">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3CBE0E41">
            <w:pPr>
              <w:pStyle w:val="9"/>
              <w:keepNext/>
              <w:spacing w:after="0" w:line="440" w:lineRule="exact"/>
              <w:ind w:left="63" w:right="63"/>
              <w:rPr>
                <w:rFonts w:eastAsia="仿宋_GB2312"/>
                <w:color w:val="auto"/>
                <w:kern w:val="2"/>
                <w:sz w:val="30"/>
                <w:szCs w:val="30"/>
                <w:highlight w:val="none"/>
              </w:rPr>
            </w:pPr>
          </w:p>
        </w:tc>
        <w:tc>
          <w:tcPr>
            <w:tcW w:w="1560" w:type="dxa"/>
            <w:noWrap w:val="0"/>
            <w:vAlign w:val="center"/>
          </w:tcPr>
          <w:p w14:paraId="55FFE27F">
            <w:pPr>
              <w:pStyle w:val="9"/>
              <w:keepNext/>
              <w:spacing w:after="0" w:line="440" w:lineRule="exact"/>
              <w:ind w:left="63" w:right="63"/>
              <w:rPr>
                <w:rFonts w:eastAsia="仿宋_GB2312"/>
                <w:color w:val="auto"/>
                <w:kern w:val="2"/>
                <w:sz w:val="30"/>
                <w:szCs w:val="30"/>
                <w:highlight w:val="none"/>
              </w:rPr>
            </w:pPr>
          </w:p>
        </w:tc>
        <w:tc>
          <w:tcPr>
            <w:tcW w:w="2126" w:type="dxa"/>
            <w:noWrap w:val="0"/>
            <w:vAlign w:val="center"/>
          </w:tcPr>
          <w:p w14:paraId="692305F6">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31692626">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01899E93">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4C819B0D">
            <w:pPr>
              <w:pStyle w:val="9"/>
              <w:keepNext/>
              <w:spacing w:after="0" w:line="440" w:lineRule="exact"/>
              <w:ind w:left="63" w:right="63"/>
              <w:rPr>
                <w:rFonts w:eastAsia="仿宋_GB2312"/>
                <w:color w:val="auto"/>
                <w:kern w:val="2"/>
                <w:sz w:val="30"/>
                <w:szCs w:val="30"/>
                <w:highlight w:val="none"/>
              </w:rPr>
            </w:pPr>
          </w:p>
        </w:tc>
      </w:tr>
      <w:tr w14:paraId="4CBE71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trPr>
        <w:tc>
          <w:tcPr>
            <w:tcW w:w="1277" w:type="dxa"/>
            <w:tcBorders>
              <w:top w:val="nil"/>
            </w:tcBorders>
            <w:noWrap w:val="0"/>
            <w:vAlign w:val="center"/>
          </w:tcPr>
          <w:p w14:paraId="67A9DE0C">
            <w:pPr>
              <w:pStyle w:val="9"/>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79D486D0">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41F67479">
            <w:pPr>
              <w:pStyle w:val="9"/>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1F1B0C66">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73D35CD4">
            <w:pPr>
              <w:pStyle w:val="9"/>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512A2EF0">
            <w:pPr>
              <w:pStyle w:val="9"/>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72BF658E">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1A468F44">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09A81987">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4038E585">
            <w:pPr>
              <w:pStyle w:val="9"/>
              <w:keepNext/>
              <w:spacing w:after="0" w:line="440" w:lineRule="exact"/>
              <w:ind w:left="63" w:right="63"/>
              <w:rPr>
                <w:rFonts w:eastAsia="仿宋_GB2312"/>
                <w:color w:val="auto"/>
                <w:kern w:val="2"/>
                <w:sz w:val="30"/>
                <w:szCs w:val="30"/>
                <w:highlight w:val="none"/>
              </w:rPr>
            </w:pPr>
          </w:p>
        </w:tc>
      </w:tr>
      <w:tr w14:paraId="3742C3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6E82F051">
            <w:pPr>
              <w:pStyle w:val="9"/>
              <w:keepNext/>
              <w:spacing w:after="0" w:line="440" w:lineRule="exact"/>
              <w:ind w:left="63" w:right="63"/>
              <w:rPr>
                <w:rFonts w:eastAsia="仿宋_GB2312"/>
                <w:color w:val="auto"/>
                <w:kern w:val="2"/>
                <w:sz w:val="30"/>
                <w:szCs w:val="30"/>
                <w:highlight w:val="none"/>
              </w:rPr>
            </w:pPr>
          </w:p>
        </w:tc>
        <w:tc>
          <w:tcPr>
            <w:tcW w:w="1843" w:type="dxa"/>
            <w:noWrap w:val="0"/>
            <w:vAlign w:val="center"/>
          </w:tcPr>
          <w:p w14:paraId="0D958BE7">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50F90E5D">
            <w:pPr>
              <w:pStyle w:val="9"/>
              <w:keepNext/>
              <w:spacing w:after="0" w:line="440" w:lineRule="exact"/>
              <w:ind w:left="63" w:right="63"/>
              <w:rPr>
                <w:rFonts w:eastAsia="仿宋_GB2312"/>
                <w:color w:val="auto"/>
                <w:kern w:val="2"/>
                <w:sz w:val="30"/>
                <w:szCs w:val="30"/>
                <w:highlight w:val="none"/>
              </w:rPr>
            </w:pPr>
          </w:p>
        </w:tc>
        <w:tc>
          <w:tcPr>
            <w:tcW w:w="2410" w:type="dxa"/>
            <w:noWrap w:val="0"/>
            <w:vAlign w:val="center"/>
          </w:tcPr>
          <w:p w14:paraId="4394698C">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776C33D5">
            <w:pPr>
              <w:pStyle w:val="9"/>
              <w:keepNext/>
              <w:spacing w:after="0" w:line="440" w:lineRule="exact"/>
              <w:ind w:left="63" w:right="63"/>
              <w:rPr>
                <w:rFonts w:eastAsia="仿宋_GB2312"/>
                <w:color w:val="auto"/>
                <w:kern w:val="2"/>
                <w:sz w:val="30"/>
                <w:szCs w:val="30"/>
                <w:highlight w:val="none"/>
              </w:rPr>
            </w:pPr>
          </w:p>
        </w:tc>
        <w:tc>
          <w:tcPr>
            <w:tcW w:w="1560" w:type="dxa"/>
            <w:noWrap w:val="0"/>
            <w:vAlign w:val="center"/>
          </w:tcPr>
          <w:p w14:paraId="70C9BB17">
            <w:pPr>
              <w:pStyle w:val="9"/>
              <w:keepNext/>
              <w:spacing w:after="0" w:line="440" w:lineRule="exact"/>
              <w:ind w:left="63" w:right="63"/>
              <w:rPr>
                <w:rFonts w:eastAsia="仿宋_GB2312"/>
                <w:color w:val="auto"/>
                <w:kern w:val="2"/>
                <w:sz w:val="30"/>
                <w:szCs w:val="30"/>
                <w:highlight w:val="none"/>
              </w:rPr>
            </w:pPr>
          </w:p>
        </w:tc>
        <w:tc>
          <w:tcPr>
            <w:tcW w:w="2126" w:type="dxa"/>
            <w:noWrap w:val="0"/>
            <w:vAlign w:val="center"/>
          </w:tcPr>
          <w:p w14:paraId="6591EA88">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53D3AC31">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281B4951">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6BA4AD28">
            <w:pPr>
              <w:pStyle w:val="9"/>
              <w:keepNext/>
              <w:spacing w:after="0" w:line="440" w:lineRule="exact"/>
              <w:ind w:left="63" w:right="63"/>
              <w:rPr>
                <w:rFonts w:eastAsia="仿宋_GB2312"/>
                <w:color w:val="auto"/>
                <w:kern w:val="2"/>
                <w:sz w:val="30"/>
                <w:szCs w:val="30"/>
                <w:highlight w:val="none"/>
              </w:rPr>
            </w:pPr>
          </w:p>
        </w:tc>
      </w:tr>
      <w:tr w14:paraId="1B3839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0C3F6E8C">
            <w:pPr>
              <w:pStyle w:val="9"/>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6F16B15D">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7DF59C3C">
            <w:pPr>
              <w:pStyle w:val="9"/>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38FA5F84">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461B64B9">
            <w:pPr>
              <w:pStyle w:val="9"/>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6CDE0C74">
            <w:pPr>
              <w:pStyle w:val="9"/>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16BD8E51">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1E20D789">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4A50FEE6">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0A05A8A7">
            <w:pPr>
              <w:pStyle w:val="9"/>
              <w:keepNext/>
              <w:spacing w:after="0" w:line="440" w:lineRule="exact"/>
              <w:ind w:left="63" w:right="63"/>
              <w:rPr>
                <w:rFonts w:eastAsia="仿宋_GB2312"/>
                <w:color w:val="auto"/>
                <w:kern w:val="2"/>
                <w:sz w:val="30"/>
                <w:szCs w:val="30"/>
                <w:highlight w:val="none"/>
              </w:rPr>
            </w:pPr>
          </w:p>
        </w:tc>
      </w:tr>
      <w:tr w14:paraId="3D2A71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48D25090">
            <w:pPr>
              <w:pStyle w:val="9"/>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4F545D7B">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52C02B23">
            <w:pPr>
              <w:pStyle w:val="9"/>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26E05244">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58C69B74">
            <w:pPr>
              <w:pStyle w:val="9"/>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1CC0BF84">
            <w:pPr>
              <w:pStyle w:val="9"/>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23E50C0F">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441204DF">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5DD80352">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5E00439E">
            <w:pPr>
              <w:pStyle w:val="9"/>
              <w:keepNext/>
              <w:spacing w:after="0" w:line="440" w:lineRule="exact"/>
              <w:ind w:left="63" w:right="63"/>
              <w:rPr>
                <w:rFonts w:eastAsia="仿宋_GB2312"/>
                <w:color w:val="auto"/>
                <w:kern w:val="2"/>
                <w:sz w:val="30"/>
                <w:szCs w:val="30"/>
                <w:highlight w:val="none"/>
              </w:rPr>
            </w:pPr>
          </w:p>
        </w:tc>
      </w:tr>
      <w:tr w14:paraId="5CB8CA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trPr>
        <w:tc>
          <w:tcPr>
            <w:tcW w:w="1277" w:type="dxa"/>
            <w:noWrap w:val="0"/>
            <w:vAlign w:val="center"/>
          </w:tcPr>
          <w:p w14:paraId="6C80C7F7">
            <w:pPr>
              <w:pStyle w:val="9"/>
              <w:keepNext/>
              <w:spacing w:after="0" w:line="440" w:lineRule="exact"/>
              <w:ind w:left="63" w:right="63"/>
              <w:rPr>
                <w:rFonts w:eastAsia="仿宋_GB2312"/>
                <w:color w:val="auto"/>
                <w:kern w:val="2"/>
                <w:sz w:val="30"/>
                <w:szCs w:val="30"/>
                <w:highlight w:val="none"/>
              </w:rPr>
            </w:pPr>
          </w:p>
        </w:tc>
        <w:tc>
          <w:tcPr>
            <w:tcW w:w="1843" w:type="dxa"/>
            <w:noWrap w:val="0"/>
            <w:vAlign w:val="center"/>
          </w:tcPr>
          <w:p w14:paraId="108890AB">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6423AF4B">
            <w:pPr>
              <w:pStyle w:val="9"/>
              <w:keepNext/>
              <w:spacing w:after="0" w:line="440" w:lineRule="exact"/>
              <w:ind w:left="63" w:right="63"/>
              <w:rPr>
                <w:rFonts w:eastAsia="仿宋_GB2312"/>
                <w:color w:val="auto"/>
                <w:kern w:val="2"/>
                <w:sz w:val="30"/>
                <w:szCs w:val="30"/>
                <w:highlight w:val="none"/>
              </w:rPr>
            </w:pPr>
          </w:p>
        </w:tc>
        <w:tc>
          <w:tcPr>
            <w:tcW w:w="2410" w:type="dxa"/>
            <w:noWrap w:val="0"/>
            <w:vAlign w:val="center"/>
          </w:tcPr>
          <w:p w14:paraId="44B07572">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15C0C25D">
            <w:pPr>
              <w:pStyle w:val="9"/>
              <w:keepNext/>
              <w:spacing w:after="0" w:line="440" w:lineRule="exact"/>
              <w:ind w:left="63" w:right="63"/>
              <w:rPr>
                <w:rFonts w:eastAsia="仿宋_GB2312"/>
                <w:color w:val="auto"/>
                <w:kern w:val="2"/>
                <w:sz w:val="30"/>
                <w:szCs w:val="30"/>
                <w:highlight w:val="none"/>
              </w:rPr>
            </w:pPr>
          </w:p>
        </w:tc>
        <w:tc>
          <w:tcPr>
            <w:tcW w:w="1560" w:type="dxa"/>
            <w:noWrap w:val="0"/>
            <w:vAlign w:val="center"/>
          </w:tcPr>
          <w:p w14:paraId="6A2D7B1B">
            <w:pPr>
              <w:pStyle w:val="9"/>
              <w:keepNext/>
              <w:spacing w:after="0" w:line="440" w:lineRule="exact"/>
              <w:ind w:left="63" w:right="63"/>
              <w:rPr>
                <w:rFonts w:eastAsia="仿宋_GB2312"/>
                <w:color w:val="auto"/>
                <w:kern w:val="2"/>
                <w:sz w:val="30"/>
                <w:szCs w:val="30"/>
                <w:highlight w:val="none"/>
              </w:rPr>
            </w:pPr>
          </w:p>
        </w:tc>
        <w:tc>
          <w:tcPr>
            <w:tcW w:w="2126" w:type="dxa"/>
            <w:noWrap w:val="0"/>
            <w:vAlign w:val="center"/>
          </w:tcPr>
          <w:p w14:paraId="71CDF6FC">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3FB34A29">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7D989EF1">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17844C8A">
            <w:pPr>
              <w:pStyle w:val="9"/>
              <w:keepNext/>
              <w:spacing w:after="0" w:line="440" w:lineRule="exact"/>
              <w:ind w:left="63" w:right="63"/>
              <w:rPr>
                <w:rFonts w:eastAsia="仿宋_GB2312"/>
                <w:color w:val="auto"/>
                <w:kern w:val="2"/>
                <w:sz w:val="30"/>
                <w:szCs w:val="30"/>
                <w:highlight w:val="none"/>
              </w:rPr>
            </w:pPr>
          </w:p>
        </w:tc>
      </w:tr>
      <w:tr w14:paraId="17C6B5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trPr>
        <w:tc>
          <w:tcPr>
            <w:tcW w:w="1277" w:type="dxa"/>
            <w:tcBorders>
              <w:top w:val="nil"/>
            </w:tcBorders>
            <w:noWrap w:val="0"/>
            <w:vAlign w:val="center"/>
          </w:tcPr>
          <w:p w14:paraId="3F11F3D0">
            <w:pPr>
              <w:pStyle w:val="9"/>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4BB0CBA7">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56F0627E">
            <w:pPr>
              <w:pStyle w:val="9"/>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7728EBFB">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5CE543C2">
            <w:pPr>
              <w:pStyle w:val="9"/>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761013A9">
            <w:pPr>
              <w:pStyle w:val="9"/>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3535DD32">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5458641E">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54EDEA2A">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7A94CD9A">
            <w:pPr>
              <w:pStyle w:val="9"/>
              <w:keepNext/>
              <w:spacing w:after="0" w:line="440" w:lineRule="exact"/>
              <w:ind w:left="63" w:right="63"/>
              <w:rPr>
                <w:rFonts w:eastAsia="仿宋_GB2312"/>
                <w:color w:val="auto"/>
                <w:kern w:val="2"/>
                <w:sz w:val="30"/>
                <w:szCs w:val="30"/>
                <w:highlight w:val="none"/>
              </w:rPr>
            </w:pPr>
          </w:p>
        </w:tc>
      </w:tr>
      <w:tr w14:paraId="1DAA09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trPr>
        <w:tc>
          <w:tcPr>
            <w:tcW w:w="1277" w:type="dxa"/>
            <w:noWrap w:val="0"/>
            <w:vAlign w:val="center"/>
          </w:tcPr>
          <w:p w14:paraId="7F891AB9">
            <w:pPr>
              <w:pStyle w:val="9"/>
              <w:keepNext/>
              <w:spacing w:after="0" w:line="440" w:lineRule="exact"/>
              <w:ind w:left="63" w:right="63"/>
              <w:rPr>
                <w:rFonts w:eastAsia="仿宋_GB2312"/>
                <w:color w:val="auto"/>
                <w:kern w:val="2"/>
                <w:sz w:val="30"/>
                <w:szCs w:val="30"/>
                <w:highlight w:val="none"/>
              </w:rPr>
            </w:pPr>
          </w:p>
        </w:tc>
        <w:tc>
          <w:tcPr>
            <w:tcW w:w="1843" w:type="dxa"/>
            <w:noWrap w:val="0"/>
            <w:vAlign w:val="center"/>
          </w:tcPr>
          <w:p w14:paraId="7E39C009">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6FC58BAA">
            <w:pPr>
              <w:pStyle w:val="9"/>
              <w:keepNext/>
              <w:spacing w:after="0" w:line="440" w:lineRule="exact"/>
              <w:ind w:left="63" w:right="63"/>
              <w:rPr>
                <w:rFonts w:eastAsia="仿宋_GB2312"/>
                <w:color w:val="auto"/>
                <w:kern w:val="2"/>
                <w:sz w:val="30"/>
                <w:szCs w:val="30"/>
                <w:highlight w:val="none"/>
              </w:rPr>
            </w:pPr>
          </w:p>
        </w:tc>
        <w:tc>
          <w:tcPr>
            <w:tcW w:w="2410" w:type="dxa"/>
            <w:noWrap w:val="0"/>
            <w:vAlign w:val="center"/>
          </w:tcPr>
          <w:p w14:paraId="50F8A063">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0995B220">
            <w:pPr>
              <w:pStyle w:val="9"/>
              <w:keepNext/>
              <w:spacing w:after="0" w:line="440" w:lineRule="exact"/>
              <w:ind w:left="63" w:right="63"/>
              <w:rPr>
                <w:rFonts w:eastAsia="仿宋_GB2312"/>
                <w:color w:val="auto"/>
                <w:kern w:val="2"/>
                <w:sz w:val="30"/>
                <w:szCs w:val="30"/>
                <w:highlight w:val="none"/>
              </w:rPr>
            </w:pPr>
          </w:p>
        </w:tc>
        <w:tc>
          <w:tcPr>
            <w:tcW w:w="1560" w:type="dxa"/>
            <w:noWrap w:val="0"/>
            <w:vAlign w:val="center"/>
          </w:tcPr>
          <w:p w14:paraId="1FF9848D">
            <w:pPr>
              <w:pStyle w:val="9"/>
              <w:keepNext/>
              <w:spacing w:after="0" w:line="440" w:lineRule="exact"/>
              <w:ind w:left="63" w:right="63"/>
              <w:rPr>
                <w:rFonts w:eastAsia="仿宋_GB2312"/>
                <w:color w:val="auto"/>
                <w:kern w:val="2"/>
                <w:sz w:val="30"/>
                <w:szCs w:val="30"/>
                <w:highlight w:val="none"/>
              </w:rPr>
            </w:pPr>
          </w:p>
        </w:tc>
        <w:tc>
          <w:tcPr>
            <w:tcW w:w="2126" w:type="dxa"/>
            <w:noWrap w:val="0"/>
            <w:vAlign w:val="center"/>
          </w:tcPr>
          <w:p w14:paraId="2405C551">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31C8830A">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166CDA00">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033507F4">
            <w:pPr>
              <w:pStyle w:val="9"/>
              <w:keepNext/>
              <w:spacing w:after="0" w:line="440" w:lineRule="exact"/>
              <w:ind w:left="63" w:right="63"/>
              <w:rPr>
                <w:rFonts w:eastAsia="仿宋_GB2312"/>
                <w:color w:val="auto"/>
                <w:kern w:val="2"/>
                <w:sz w:val="30"/>
                <w:szCs w:val="30"/>
                <w:highlight w:val="none"/>
              </w:rPr>
            </w:pPr>
          </w:p>
        </w:tc>
      </w:tr>
    </w:tbl>
    <w:p w14:paraId="33A5A9A1">
      <w:pPr>
        <w:spacing w:line="440" w:lineRule="exact"/>
        <w:rPr>
          <w:rFonts w:eastAsia="仿宋_GB2312"/>
          <w:b/>
          <w:color w:val="auto"/>
          <w:sz w:val="30"/>
          <w:szCs w:val="30"/>
          <w:highlight w:val="none"/>
        </w:rPr>
        <w:sectPr>
          <w:pgSz w:w="16838" w:h="11906" w:orient="landscape"/>
          <w:pgMar w:top="1554" w:right="1418" w:bottom="1531" w:left="1418" w:header="851" w:footer="992" w:gutter="0"/>
          <w:pgBorders>
            <w:top w:val="none" w:sz="0" w:space="0"/>
            <w:left w:val="none" w:sz="0" w:space="0"/>
            <w:bottom w:val="none" w:sz="0" w:space="0"/>
            <w:right w:val="none" w:sz="0" w:space="0"/>
          </w:pgBorders>
          <w:pgNumType w:fmt="decimal"/>
          <w:cols w:space="720" w:num="1"/>
          <w:titlePg/>
          <w:docGrid w:type="linesAndChars" w:linePitch="312" w:charSpace="0"/>
        </w:sectPr>
      </w:pPr>
    </w:p>
    <w:p w14:paraId="7BB1DEE4">
      <w:pPr>
        <w:bidi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w:t>
      </w:r>
      <w:bookmarkStart w:id="1534" w:name="_Toc296503225"/>
      <w:bookmarkStart w:id="1535" w:name="_Toc296347224"/>
      <w:bookmarkStart w:id="1536" w:name="_Toc296346726"/>
      <w:bookmarkStart w:id="1537" w:name="_Toc267261692"/>
      <w:bookmarkStart w:id="1538" w:name="_Toc296891053"/>
      <w:bookmarkStart w:id="1539" w:name="_Toc296944564"/>
      <w:bookmarkStart w:id="1540" w:name="_Toc296891265"/>
      <w:r>
        <w:rPr>
          <w:rFonts w:hint="eastAsia" w:ascii="仿宋" w:hAnsi="仿宋" w:eastAsia="仿宋" w:cs="仿宋"/>
          <w:color w:val="auto"/>
          <w:sz w:val="24"/>
          <w:szCs w:val="24"/>
          <w:highlight w:val="none"/>
        </w:rPr>
        <w:t>件2：</w:t>
      </w:r>
    </w:p>
    <w:bookmarkEnd w:id="1534"/>
    <w:bookmarkEnd w:id="1535"/>
    <w:bookmarkEnd w:id="1536"/>
    <w:bookmarkEnd w:id="1537"/>
    <w:bookmarkEnd w:id="1538"/>
    <w:bookmarkEnd w:id="1539"/>
    <w:bookmarkEnd w:id="1540"/>
    <w:p w14:paraId="37CC8246">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发包人供应材料设备一览表</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5236C6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noWrap w:val="0"/>
            <w:vAlign w:val="center"/>
          </w:tcPr>
          <w:p w14:paraId="065B397D">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序号</w:t>
            </w:r>
          </w:p>
        </w:tc>
        <w:tc>
          <w:tcPr>
            <w:tcW w:w="1276" w:type="dxa"/>
            <w:tcBorders>
              <w:top w:val="single" w:color="auto" w:sz="12" w:space="0"/>
              <w:bottom w:val="double" w:color="auto" w:sz="6" w:space="0"/>
            </w:tcBorders>
            <w:noWrap w:val="0"/>
            <w:vAlign w:val="center"/>
          </w:tcPr>
          <w:p w14:paraId="376802EC">
            <w:pPr>
              <w:pStyle w:val="9"/>
              <w:keepNext/>
              <w:spacing w:after="0" w:line="440" w:lineRule="exact"/>
              <w:ind w:left="63" w:right="63"/>
              <w:rPr>
                <w:rFonts w:eastAsia="仿宋_GB2312"/>
                <w:color w:val="auto"/>
                <w:kern w:val="2"/>
                <w:sz w:val="28"/>
                <w:szCs w:val="30"/>
                <w:highlight w:val="none"/>
              </w:rPr>
            </w:pPr>
            <w:r>
              <w:rPr>
                <w:rFonts w:hint="eastAsia" w:eastAsia="仿宋_GB2312"/>
                <w:color w:val="auto"/>
                <w:kern w:val="2"/>
                <w:sz w:val="28"/>
                <w:szCs w:val="30"/>
                <w:highlight w:val="none"/>
              </w:rPr>
              <w:t xml:space="preserve">  </w:t>
            </w:r>
            <w:r>
              <w:rPr>
                <w:rFonts w:eastAsia="仿宋_GB2312"/>
                <w:color w:val="auto"/>
                <w:kern w:val="2"/>
                <w:sz w:val="28"/>
                <w:szCs w:val="30"/>
                <w:highlight w:val="none"/>
              </w:rPr>
              <w:t>材料、</w:t>
            </w:r>
          </w:p>
          <w:p w14:paraId="741F9F0F">
            <w:pPr>
              <w:pStyle w:val="9"/>
              <w:keepNext/>
              <w:spacing w:after="0" w:line="440" w:lineRule="exact"/>
              <w:ind w:left="0" w:leftChars="0" w:right="63"/>
              <w:jc w:val="both"/>
              <w:rPr>
                <w:rFonts w:eastAsia="仿宋_GB2312"/>
                <w:color w:val="auto"/>
                <w:kern w:val="2"/>
                <w:sz w:val="28"/>
                <w:szCs w:val="30"/>
                <w:highlight w:val="none"/>
              </w:rPr>
            </w:pPr>
            <w:r>
              <w:rPr>
                <w:rFonts w:eastAsia="仿宋_GB2312"/>
                <w:color w:val="auto"/>
                <w:kern w:val="2"/>
                <w:sz w:val="28"/>
                <w:szCs w:val="30"/>
                <w:highlight w:val="none"/>
              </w:rPr>
              <w:t>设备品种</w:t>
            </w:r>
          </w:p>
        </w:tc>
        <w:tc>
          <w:tcPr>
            <w:tcW w:w="1418" w:type="dxa"/>
            <w:tcBorders>
              <w:top w:val="single" w:color="auto" w:sz="12" w:space="0"/>
              <w:bottom w:val="double" w:color="auto" w:sz="6" w:space="0"/>
            </w:tcBorders>
            <w:noWrap w:val="0"/>
            <w:vAlign w:val="center"/>
          </w:tcPr>
          <w:p w14:paraId="5DBF2648">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规格型号</w:t>
            </w:r>
          </w:p>
        </w:tc>
        <w:tc>
          <w:tcPr>
            <w:tcW w:w="940" w:type="dxa"/>
            <w:tcBorders>
              <w:top w:val="single" w:color="auto" w:sz="12" w:space="0"/>
              <w:bottom w:val="double" w:color="auto" w:sz="6" w:space="0"/>
            </w:tcBorders>
            <w:noWrap w:val="0"/>
            <w:vAlign w:val="center"/>
          </w:tcPr>
          <w:p w14:paraId="30F6B3BE">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单位</w:t>
            </w:r>
          </w:p>
        </w:tc>
        <w:tc>
          <w:tcPr>
            <w:tcW w:w="851" w:type="dxa"/>
            <w:tcBorders>
              <w:top w:val="single" w:color="auto" w:sz="12" w:space="0"/>
              <w:bottom w:val="double" w:color="auto" w:sz="6" w:space="0"/>
            </w:tcBorders>
            <w:noWrap w:val="0"/>
            <w:vAlign w:val="center"/>
          </w:tcPr>
          <w:p w14:paraId="00AF975A">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数量</w:t>
            </w:r>
          </w:p>
        </w:tc>
        <w:tc>
          <w:tcPr>
            <w:tcW w:w="1044" w:type="dxa"/>
            <w:tcBorders>
              <w:top w:val="single" w:color="auto" w:sz="12" w:space="0"/>
              <w:bottom w:val="double" w:color="auto" w:sz="6" w:space="0"/>
            </w:tcBorders>
            <w:noWrap w:val="0"/>
            <w:vAlign w:val="center"/>
          </w:tcPr>
          <w:p w14:paraId="05D96E0B">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单价</w:t>
            </w:r>
            <w:r>
              <w:rPr>
                <w:rFonts w:hint="eastAsia" w:eastAsia="仿宋_GB2312"/>
                <w:color w:val="auto"/>
                <w:kern w:val="2"/>
                <w:sz w:val="28"/>
                <w:szCs w:val="30"/>
                <w:highlight w:val="none"/>
              </w:rPr>
              <w:t>（元）</w:t>
            </w:r>
          </w:p>
        </w:tc>
        <w:tc>
          <w:tcPr>
            <w:tcW w:w="992" w:type="dxa"/>
            <w:tcBorders>
              <w:top w:val="single" w:color="auto" w:sz="12" w:space="0"/>
              <w:bottom w:val="double" w:color="auto" w:sz="6" w:space="0"/>
            </w:tcBorders>
            <w:noWrap w:val="0"/>
            <w:vAlign w:val="center"/>
          </w:tcPr>
          <w:p w14:paraId="20708F2C">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质量等级</w:t>
            </w:r>
          </w:p>
        </w:tc>
        <w:tc>
          <w:tcPr>
            <w:tcW w:w="851" w:type="dxa"/>
            <w:tcBorders>
              <w:top w:val="single" w:color="auto" w:sz="12" w:space="0"/>
              <w:bottom w:val="double" w:color="auto" w:sz="6" w:space="0"/>
            </w:tcBorders>
            <w:noWrap w:val="0"/>
            <w:vAlign w:val="center"/>
          </w:tcPr>
          <w:p w14:paraId="668FEA9E">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供应时间</w:t>
            </w:r>
          </w:p>
        </w:tc>
        <w:tc>
          <w:tcPr>
            <w:tcW w:w="1487" w:type="dxa"/>
            <w:tcBorders>
              <w:top w:val="single" w:color="auto" w:sz="12" w:space="0"/>
              <w:bottom w:val="double" w:color="auto" w:sz="6" w:space="0"/>
            </w:tcBorders>
            <w:noWrap w:val="0"/>
            <w:vAlign w:val="center"/>
          </w:tcPr>
          <w:p w14:paraId="676E82AB">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送达地点</w:t>
            </w:r>
          </w:p>
        </w:tc>
        <w:tc>
          <w:tcPr>
            <w:tcW w:w="992" w:type="dxa"/>
            <w:tcBorders>
              <w:top w:val="single" w:color="auto" w:sz="12" w:space="0"/>
              <w:bottom w:val="double" w:color="auto" w:sz="6" w:space="0"/>
            </w:tcBorders>
            <w:noWrap w:val="0"/>
            <w:vAlign w:val="center"/>
          </w:tcPr>
          <w:p w14:paraId="348403E2">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备注</w:t>
            </w:r>
          </w:p>
        </w:tc>
      </w:tr>
      <w:tr w14:paraId="433646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noWrap w:val="0"/>
            <w:vAlign w:val="center"/>
          </w:tcPr>
          <w:p w14:paraId="3D64BD07">
            <w:pPr>
              <w:pStyle w:val="9"/>
              <w:keepNext/>
              <w:spacing w:after="0" w:line="440" w:lineRule="exact"/>
              <w:ind w:left="63" w:right="63"/>
              <w:rPr>
                <w:rFonts w:eastAsia="仿宋_GB2312"/>
                <w:color w:val="auto"/>
                <w:kern w:val="2"/>
                <w:sz w:val="30"/>
                <w:szCs w:val="30"/>
                <w:highlight w:val="none"/>
              </w:rPr>
            </w:pPr>
          </w:p>
        </w:tc>
        <w:tc>
          <w:tcPr>
            <w:tcW w:w="1276" w:type="dxa"/>
            <w:tcBorders>
              <w:top w:val="double" w:color="auto" w:sz="6" w:space="0"/>
              <w:bottom w:val="single" w:color="auto" w:sz="6" w:space="0"/>
            </w:tcBorders>
            <w:noWrap w:val="0"/>
            <w:vAlign w:val="center"/>
          </w:tcPr>
          <w:p w14:paraId="4050BBE0">
            <w:pPr>
              <w:pStyle w:val="9"/>
              <w:keepNext/>
              <w:spacing w:after="0" w:line="440" w:lineRule="exact"/>
              <w:ind w:left="63" w:right="63"/>
              <w:rPr>
                <w:rFonts w:eastAsia="仿宋_GB2312"/>
                <w:color w:val="auto"/>
                <w:kern w:val="2"/>
                <w:sz w:val="30"/>
                <w:szCs w:val="30"/>
                <w:highlight w:val="none"/>
              </w:rPr>
            </w:pPr>
          </w:p>
        </w:tc>
        <w:tc>
          <w:tcPr>
            <w:tcW w:w="1418" w:type="dxa"/>
            <w:tcBorders>
              <w:top w:val="double" w:color="auto" w:sz="6" w:space="0"/>
              <w:bottom w:val="single" w:color="auto" w:sz="6" w:space="0"/>
            </w:tcBorders>
            <w:noWrap w:val="0"/>
            <w:vAlign w:val="center"/>
          </w:tcPr>
          <w:p w14:paraId="5B175557">
            <w:pPr>
              <w:pStyle w:val="9"/>
              <w:keepNext/>
              <w:spacing w:after="0" w:line="440" w:lineRule="exact"/>
              <w:ind w:left="63" w:right="63"/>
              <w:rPr>
                <w:rFonts w:eastAsia="仿宋_GB2312"/>
                <w:color w:val="auto"/>
                <w:kern w:val="2"/>
                <w:sz w:val="30"/>
                <w:szCs w:val="30"/>
                <w:highlight w:val="none"/>
              </w:rPr>
            </w:pPr>
          </w:p>
        </w:tc>
        <w:tc>
          <w:tcPr>
            <w:tcW w:w="940" w:type="dxa"/>
            <w:tcBorders>
              <w:top w:val="double" w:color="auto" w:sz="6" w:space="0"/>
              <w:bottom w:val="single" w:color="auto" w:sz="6" w:space="0"/>
            </w:tcBorders>
            <w:noWrap w:val="0"/>
            <w:vAlign w:val="center"/>
          </w:tcPr>
          <w:p w14:paraId="7AFF4809">
            <w:pPr>
              <w:pStyle w:val="9"/>
              <w:keepNext/>
              <w:spacing w:after="0" w:line="440" w:lineRule="exact"/>
              <w:ind w:left="63" w:right="63"/>
              <w:rPr>
                <w:rFonts w:eastAsia="仿宋_GB2312"/>
                <w:color w:val="auto"/>
                <w:kern w:val="2"/>
                <w:sz w:val="30"/>
                <w:szCs w:val="30"/>
                <w:highlight w:val="none"/>
              </w:rPr>
            </w:pPr>
          </w:p>
        </w:tc>
        <w:tc>
          <w:tcPr>
            <w:tcW w:w="851" w:type="dxa"/>
            <w:tcBorders>
              <w:top w:val="double" w:color="auto" w:sz="6" w:space="0"/>
              <w:bottom w:val="single" w:color="auto" w:sz="6" w:space="0"/>
            </w:tcBorders>
            <w:noWrap w:val="0"/>
            <w:vAlign w:val="center"/>
          </w:tcPr>
          <w:p w14:paraId="75AD8647">
            <w:pPr>
              <w:pStyle w:val="9"/>
              <w:keepNext/>
              <w:spacing w:after="0" w:line="440" w:lineRule="exact"/>
              <w:ind w:left="63" w:right="63"/>
              <w:rPr>
                <w:rFonts w:eastAsia="仿宋_GB2312"/>
                <w:color w:val="auto"/>
                <w:kern w:val="2"/>
                <w:sz w:val="30"/>
                <w:szCs w:val="30"/>
                <w:highlight w:val="none"/>
              </w:rPr>
            </w:pPr>
          </w:p>
        </w:tc>
        <w:tc>
          <w:tcPr>
            <w:tcW w:w="1044" w:type="dxa"/>
            <w:tcBorders>
              <w:top w:val="double" w:color="auto" w:sz="6" w:space="0"/>
              <w:bottom w:val="single" w:color="auto" w:sz="6" w:space="0"/>
            </w:tcBorders>
            <w:noWrap w:val="0"/>
            <w:vAlign w:val="center"/>
          </w:tcPr>
          <w:p w14:paraId="008CC1FE">
            <w:pPr>
              <w:pStyle w:val="9"/>
              <w:keepNext/>
              <w:spacing w:after="0" w:line="440" w:lineRule="exact"/>
              <w:ind w:left="63" w:right="63"/>
              <w:rPr>
                <w:rFonts w:eastAsia="仿宋_GB2312"/>
                <w:color w:val="auto"/>
                <w:kern w:val="2"/>
                <w:sz w:val="30"/>
                <w:szCs w:val="30"/>
                <w:highlight w:val="none"/>
              </w:rPr>
            </w:pPr>
          </w:p>
        </w:tc>
        <w:tc>
          <w:tcPr>
            <w:tcW w:w="992" w:type="dxa"/>
            <w:tcBorders>
              <w:top w:val="double" w:color="auto" w:sz="6" w:space="0"/>
              <w:bottom w:val="single" w:color="auto" w:sz="6" w:space="0"/>
            </w:tcBorders>
            <w:noWrap w:val="0"/>
            <w:vAlign w:val="center"/>
          </w:tcPr>
          <w:p w14:paraId="43DEF609">
            <w:pPr>
              <w:pStyle w:val="9"/>
              <w:keepNext/>
              <w:spacing w:after="0" w:line="440" w:lineRule="exact"/>
              <w:ind w:left="63" w:right="63"/>
              <w:rPr>
                <w:rFonts w:eastAsia="仿宋_GB2312"/>
                <w:color w:val="auto"/>
                <w:kern w:val="2"/>
                <w:sz w:val="30"/>
                <w:szCs w:val="30"/>
                <w:highlight w:val="none"/>
              </w:rPr>
            </w:pPr>
          </w:p>
        </w:tc>
        <w:tc>
          <w:tcPr>
            <w:tcW w:w="851" w:type="dxa"/>
            <w:tcBorders>
              <w:top w:val="double" w:color="auto" w:sz="6" w:space="0"/>
              <w:bottom w:val="single" w:color="auto" w:sz="6" w:space="0"/>
            </w:tcBorders>
            <w:noWrap w:val="0"/>
            <w:vAlign w:val="center"/>
          </w:tcPr>
          <w:p w14:paraId="100A8B51">
            <w:pPr>
              <w:pStyle w:val="9"/>
              <w:keepNext/>
              <w:spacing w:after="0" w:line="440" w:lineRule="exact"/>
              <w:ind w:left="63" w:right="63"/>
              <w:rPr>
                <w:rFonts w:eastAsia="仿宋_GB2312"/>
                <w:color w:val="auto"/>
                <w:kern w:val="2"/>
                <w:sz w:val="30"/>
                <w:szCs w:val="30"/>
                <w:highlight w:val="none"/>
              </w:rPr>
            </w:pPr>
          </w:p>
        </w:tc>
        <w:tc>
          <w:tcPr>
            <w:tcW w:w="1487" w:type="dxa"/>
            <w:tcBorders>
              <w:top w:val="double" w:color="auto" w:sz="6" w:space="0"/>
              <w:bottom w:val="single" w:color="auto" w:sz="6" w:space="0"/>
            </w:tcBorders>
            <w:noWrap w:val="0"/>
            <w:vAlign w:val="center"/>
          </w:tcPr>
          <w:p w14:paraId="52072977">
            <w:pPr>
              <w:pStyle w:val="9"/>
              <w:keepNext/>
              <w:spacing w:after="0" w:line="440" w:lineRule="exact"/>
              <w:ind w:left="63" w:right="63"/>
              <w:rPr>
                <w:rFonts w:eastAsia="仿宋_GB2312"/>
                <w:color w:val="auto"/>
                <w:kern w:val="2"/>
                <w:sz w:val="30"/>
                <w:szCs w:val="30"/>
                <w:highlight w:val="none"/>
              </w:rPr>
            </w:pPr>
          </w:p>
        </w:tc>
        <w:tc>
          <w:tcPr>
            <w:tcW w:w="992" w:type="dxa"/>
            <w:tcBorders>
              <w:top w:val="double" w:color="auto" w:sz="6" w:space="0"/>
              <w:bottom w:val="single" w:color="auto" w:sz="6" w:space="0"/>
            </w:tcBorders>
            <w:noWrap w:val="0"/>
            <w:vAlign w:val="center"/>
          </w:tcPr>
          <w:p w14:paraId="76F1DBB7">
            <w:pPr>
              <w:pStyle w:val="9"/>
              <w:keepNext/>
              <w:spacing w:after="0" w:line="440" w:lineRule="exact"/>
              <w:ind w:left="63" w:right="63"/>
              <w:rPr>
                <w:rFonts w:eastAsia="仿宋_GB2312"/>
                <w:color w:val="auto"/>
                <w:kern w:val="2"/>
                <w:sz w:val="30"/>
                <w:szCs w:val="30"/>
                <w:highlight w:val="none"/>
              </w:rPr>
            </w:pPr>
          </w:p>
        </w:tc>
      </w:tr>
      <w:tr w14:paraId="252AB8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14:paraId="41DC0201">
            <w:pPr>
              <w:pStyle w:val="9"/>
              <w:keepNext/>
              <w:spacing w:after="0" w:line="440" w:lineRule="exact"/>
              <w:ind w:left="63" w:right="63"/>
              <w:rPr>
                <w:rFonts w:eastAsia="仿宋_GB2312"/>
                <w:color w:val="auto"/>
                <w:kern w:val="2"/>
                <w:sz w:val="30"/>
                <w:szCs w:val="30"/>
                <w:highlight w:val="none"/>
              </w:rPr>
            </w:pPr>
          </w:p>
        </w:tc>
        <w:tc>
          <w:tcPr>
            <w:tcW w:w="1276" w:type="dxa"/>
            <w:tcBorders>
              <w:top w:val="nil"/>
            </w:tcBorders>
            <w:noWrap w:val="0"/>
            <w:vAlign w:val="center"/>
          </w:tcPr>
          <w:p w14:paraId="6DDAA326">
            <w:pPr>
              <w:pStyle w:val="9"/>
              <w:keepNext/>
              <w:spacing w:after="0" w:line="440" w:lineRule="exact"/>
              <w:ind w:left="63" w:right="63"/>
              <w:rPr>
                <w:rFonts w:eastAsia="仿宋_GB2312"/>
                <w:color w:val="auto"/>
                <w:kern w:val="2"/>
                <w:sz w:val="30"/>
                <w:szCs w:val="30"/>
                <w:highlight w:val="none"/>
              </w:rPr>
            </w:pPr>
          </w:p>
        </w:tc>
        <w:tc>
          <w:tcPr>
            <w:tcW w:w="1418" w:type="dxa"/>
            <w:tcBorders>
              <w:top w:val="nil"/>
            </w:tcBorders>
            <w:noWrap w:val="0"/>
            <w:vAlign w:val="center"/>
          </w:tcPr>
          <w:p w14:paraId="4B53140B">
            <w:pPr>
              <w:pStyle w:val="9"/>
              <w:keepNext/>
              <w:spacing w:after="0" w:line="440" w:lineRule="exact"/>
              <w:ind w:left="63" w:right="63"/>
              <w:rPr>
                <w:rFonts w:eastAsia="仿宋_GB2312"/>
                <w:color w:val="auto"/>
                <w:kern w:val="2"/>
                <w:sz w:val="30"/>
                <w:szCs w:val="30"/>
                <w:highlight w:val="none"/>
              </w:rPr>
            </w:pPr>
          </w:p>
        </w:tc>
        <w:tc>
          <w:tcPr>
            <w:tcW w:w="940" w:type="dxa"/>
            <w:tcBorders>
              <w:top w:val="nil"/>
            </w:tcBorders>
            <w:noWrap w:val="0"/>
            <w:vAlign w:val="center"/>
          </w:tcPr>
          <w:p w14:paraId="35E7831E">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200C2B71">
            <w:pPr>
              <w:pStyle w:val="9"/>
              <w:keepNext/>
              <w:spacing w:after="0" w:line="440" w:lineRule="exact"/>
              <w:ind w:left="63" w:right="63"/>
              <w:rPr>
                <w:rFonts w:eastAsia="仿宋_GB2312"/>
                <w:color w:val="auto"/>
                <w:kern w:val="2"/>
                <w:sz w:val="30"/>
                <w:szCs w:val="30"/>
                <w:highlight w:val="none"/>
              </w:rPr>
            </w:pPr>
          </w:p>
        </w:tc>
        <w:tc>
          <w:tcPr>
            <w:tcW w:w="1044" w:type="dxa"/>
            <w:tcBorders>
              <w:top w:val="nil"/>
            </w:tcBorders>
            <w:noWrap w:val="0"/>
            <w:vAlign w:val="center"/>
          </w:tcPr>
          <w:p w14:paraId="704A1165">
            <w:pPr>
              <w:pStyle w:val="9"/>
              <w:keepNext/>
              <w:spacing w:after="0" w:line="440" w:lineRule="exact"/>
              <w:ind w:left="63" w:right="63"/>
              <w:rPr>
                <w:rFonts w:eastAsia="仿宋_GB2312"/>
                <w:color w:val="auto"/>
                <w:kern w:val="2"/>
                <w:sz w:val="30"/>
                <w:szCs w:val="30"/>
                <w:highlight w:val="none"/>
              </w:rPr>
            </w:pPr>
          </w:p>
        </w:tc>
        <w:tc>
          <w:tcPr>
            <w:tcW w:w="992" w:type="dxa"/>
            <w:tcBorders>
              <w:top w:val="nil"/>
            </w:tcBorders>
            <w:noWrap w:val="0"/>
            <w:vAlign w:val="center"/>
          </w:tcPr>
          <w:p w14:paraId="5FB7EF87">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2D45B306">
            <w:pPr>
              <w:pStyle w:val="9"/>
              <w:keepNext/>
              <w:spacing w:after="0" w:line="440" w:lineRule="exact"/>
              <w:ind w:left="63" w:right="63"/>
              <w:rPr>
                <w:rFonts w:eastAsia="仿宋_GB2312"/>
                <w:color w:val="auto"/>
                <w:kern w:val="2"/>
                <w:sz w:val="30"/>
                <w:szCs w:val="30"/>
                <w:highlight w:val="none"/>
              </w:rPr>
            </w:pPr>
          </w:p>
        </w:tc>
        <w:tc>
          <w:tcPr>
            <w:tcW w:w="1487" w:type="dxa"/>
            <w:tcBorders>
              <w:top w:val="nil"/>
            </w:tcBorders>
            <w:noWrap w:val="0"/>
            <w:vAlign w:val="center"/>
          </w:tcPr>
          <w:p w14:paraId="171981CC">
            <w:pPr>
              <w:pStyle w:val="9"/>
              <w:keepNext/>
              <w:spacing w:after="0" w:line="440" w:lineRule="exact"/>
              <w:ind w:left="63" w:right="63"/>
              <w:rPr>
                <w:rFonts w:eastAsia="仿宋_GB2312"/>
                <w:color w:val="auto"/>
                <w:kern w:val="2"/>
                <w:sz w:val="30"/>
                <w:szCs w:val="30"/>
                <w:highlight w:val="none"/>
              </w:rPr>
            </w:pPr>
          </w:p>
        </w:tc>
        <w:tc>
          <w:tcPr>
            <w:tcW w:w="992" w:type="dxa"/>
            <w:tcBorders>
              <w:top w:val="nil"/>
            </w:tcBorders>
            <w:noWrap w:val="0"/>
            <w:vAlign w:val="center"/>
          </w:tcPr>
          <w:p w14:paraId="074D463B">
            <w:pPr>
              <w:pStyle w:val="9"/>
              <w:keepNext/>
              <w:spacing w:after="0" w:line="440" w:lineRule="exact"/>
              <w:ind w:left="63" w:right="63"/>
              <w:rPr>
                <w:rFonts w:eastAsia="仿宋_GB2312"/>
                <w:color w:val="auto"/>
                <w:kern w:val="2"/>
                <w:sz w:val="30"/>
                <w:szCs w:val="30"/>
                <w:highlight w:val="none"/>
              </w:rPr>
            </w:pPr>
          </w:p>
        </w:tc>
      </w:tr>
      <w:tr w14:paraId="787BCC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D8B7258">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2C192DDB">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20989DAC">
            <w:pPr>
              <w:pStyle w:val="9"/>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3E8FE341">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4E699AB9">
            <w:pPr>
              <w:pStyle w:val="9"/>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37BE3FCD">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3A521DB2">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122B829A">
            <w:pPr>
              <w:pStyle w:val="9"/>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5B04D5F6">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7DAA0798">
            <w:pPr>
              <w:pStyle w:val="9"/>
              <w:keepNext/>
              <w:spacing w:after="0" w:line="440" w:lineRule="exact"/>
              <w:ind w:left="63" w:right="63"/>
              <w:rPr>
                <w:rFonts w:eastAsia="仿宋_GB2312"/>
                <w:color w:val="auto"/>
                <w:kern w:val="2"/>
                <w:sz w:val="30"/>
                <w:szCs w:val="30"/>
                <w:highlight w:val="none"/>
              </w:rPr>
            </w:pPr>
          </w:p>
        </w:tc>
      </w:tr>
      <w:tr w14:paraId="6D7872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62DB4BE">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63178A72">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27DDF58D">
            <w:pPr>
              <w:pStyle w:val="9"/>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360CF61C">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49BAB267">
            <w:pPr>
              <w:pStyle w:val="9"/>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54081D90">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1A121B40">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76D76BAB">
            <w:pPr>
              <w:pStyle w:val="9"/>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2AB19CBC">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11297C49">
            <w:pPr>
              <w:pStyle w:val="9"/>
              <w:keepNext/>
              <w:spacing w:after="0" w:line="440" w:lineRule="exact"/>
              <w:ind w:left="63" w:right="63"/>
              <w:rPr>
                <w:rFonts w:eastAsia="仿宋_GB2312"/>
                <w:color w:val="auto"/>
                <w:kern w:val="2"/>
                <w:sz w:val="30"/>
                <w:szCs w:val="30"/>
                <w:highlight w:val="none"/>
              </w:rPr>
            </w:pPr>
          </w:p>
        </w:tc>
      </w:tr>
      <w:tr w14:paraId="168577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C8808A1">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31BA90CE">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6A4755F2">
            <w:pPr>
              <w:pStyle w:val="9"/>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5DAF4590">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09EB5222">
            <w:pPr>
              <w:pStyle w:val="9"/>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261D353A">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20D35484">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667218A5">
            <w:pPr>
              <w:pStyle w:val="9"/>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4FA01F44">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518118EF">
            <w:pPr>
              <w:pStyle w:val="9"/>
              <w:keepNext/>
              <w:spacing w:after="0" w:line="440" w:lineRule="exact"/>
              <w:ind w:left="63" w:right="63"/>
              <w:rPr>
                <w:rFonts w:eastAsia="仿宋_GB2312"/>
                <w:color w:val="auto"/>
                <w:kern w:val="2"/>
                <w:sz w:val="30"/>
                <w:szCs w:val="30"/>
                <w:highlight w:val="none"/>
              </w:rPr>
            </w:pPr>
          </w:p>
        </w:tc>
      </w:tr>
      <w:tr w14:paraId="0F25A5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00892A0">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3B33349A">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458DA50C">
            <w:pPr>
              <w:pStyle w:val="9"/>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0A0E71BA">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1CFD39D7">
            <w:pPr>
              <w:pStyle w:val="9"/>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175ABA71">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5A3E92D3">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19DBA9EB">
            <w:pPr>
              <w:pStyle w:val="9"/>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38EF53B6">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7BDBFC80">
            <w:pPr>
              <w:pStyle w:val="9"/>
              <w:keepNext/>
              <w:spacing w:after="0" w:line="440" w:lineRule="exact"/>
              <w:ind w:left="63" w:right="63"/>
              <w:rPr>
                <w:rFonts w:eastAsia="仿宋_GB2312"/>
                <w:color w:val="auto"/>
                <w:kern w:val="2"/>
                <w:sz w:val="30"/>
                <w:szCs w:val="30"/>
                <w:highlight w:val="none"/>
              </w:rPr>
            </w:pPr>
          </w:p>
        </w:tc>
      </w:tr>
      <w:tr w14:paraId="0DE868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751F724">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3FA6ACB8">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0F1B4409">
            <w:pPr>
              <w:pStyle w:val="9"/>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24BF4B69">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054CF366">
            <w:pPr>
              <w:pStyle w:val="9"/>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652116BA">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052BD1F9">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17715358">
            <w:pPr>
              <w:pStyle w:val="9"/>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5F828040">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366A6C5B">
            <w:pPr>
              <w:pStyle w:val="9"/>
              <w:keepNext/>
              <w:spacing w:after="0" w:line="440" w:lineRule="exact"/>
              <w:ind w:left="63" w:right="63"/>
              <w:rPr>
                <w:rFonts w:eastAsia="仿宋_GB2312"/>
                <w:color w:val="auto"/>
                <w:kern w:val="2"/>
                <w:sz w:val="30"/>
                <w:szCs w:val="30"/>
                <w:highlight w:val="none"/>
              </w:rPr>
            </w:pPr>
          </w:p>
        </w:tc>
      </w:tr>
      <w:tr w14:paraId="11180A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3FF4A30">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16E7701D">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44114E07">
            <w:pPr>
              <w:pStyle w:val="9"/>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359E5B6F">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0589EF11">
            <w:pPr>
              <w:pStyle w:val="9"/>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20A2783B">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78C9524F">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2F7254FD">
            <w:pPr>
              <w:pStyle w:val="9"/>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55024FB8">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79FCDBCD">
            <w:pPr>
              <w:pStyle w:val="9"/>
              <w:keepNext/>
              <w:spacing w:after="0" w:line="440" w:lineRule="exact"/>
              <w:ind w:left="63" w:right="63"/>
              <w:rPr>
                <w:rFonts w:eastAsia="仿宋_GB2312"/>
                <w:color w:val="auto"/>
                <w:kern w:val="2"/>
                <w:sz w:val="30"/>
                <w:szCs w:val="30"/>
                <w:highlight w:val="none"/>
              </w:rPr>
            </w:pPr>
          </w:p>
        </w:tc>
      </w:tr>
      <w:tr w14:paraId="6CEEE9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C0CAD4A">
            <w:pPr>
              <w:jc w:val="center"/>
              <w:rPr>
                <w:rFonts w:eastAsia="仿宋_GB2312"/>
                <w:color w:val="auto"/>
                <w:sz w:val="30"/>
                <w:szCs w:val="30"/>
                <w:highlight w:val="none"/>
              </w:rPr>
            </w:pPr>
          </w:p>
        </w:tc>
        <w:tc>
          <w:tcPr>
            <w:tcW w:w="1276" w:type="dxa"/>
            <w:noWrap w:val="0"/>
            <w:vAlign w:val="center"/>
          </w:tcPr>
          <w:p w14:paraId="1DE7DBAF">
            <w:pPr>
              <w:jc w:val="center"/>
              <w:rPr>
                <w:rFonts w:eastAsia="仿宋_GB2312"/>
                <w:color w:val="auto"/>
                <w:sz w:val="30"/>
                <w:szCs w:val="30"/>
                <w:highlight w:val="none"/>
              </w:rPr>
            </w:pPr>
          </w:p>
        </w:tc>
        <w:tc>
          <w:tcPr>
            <w:tcW w:w="1418" w:type="dxa"/>
            <w:noWrap w:val="0"/>
            <w:vAlign w:val="center"/>
          </w:tcPr>
          <w:p w14:paraId="475F39EC">
            <w:pPr>
              <w:jc w:val="center"/>
              <w:rPr>
                <w:rFonts w:eastAsia="仿宋_GB2312"/>
                <w:color w:val="auto"/>
                <w:sz w:val="30"/>
                <w:szCs w:val="30"/>
                <w:highlight w:val="none"/>
              </w:rPr>
            </w:pPr>
          </w:p>
        </w:tc>
        <w:tc>
          <w:tcPr>
            <w:tcW w:w="940" w:type="dxa"/>
            <w:noWrap w:val="0"/>
            <w:vAlign w:val="center"/>
          </w:tcPr>
          <w:p w14:paraId="76709678">
            <w:pPr>
              <w:jc w:val="center"/>
              <w:rPr>
                <w:rFonts w:eastAsia="仿宋_GB2312"/>
                <w:color w:val="auto"/>
                <w:sz w:val="30"/>
                <w:szCs w:val="30"/>
                <w:highlight w:val="none"/>
              </w:rPr>
            </w:pPr>
          </w:p>
        </w:tc>
        <w:tc>
          <w:tcPr>
            <w:tcW w:w="851" w:type="dxa"/>
            <w:noWrap w:val="0"/>
            <w:vAlign w:val="center"/>
          </w:tcPr>
          <w:p w14:paraId="24ABCD72">
            <w:pPr>
              <w:jc w:val="center"/>
              <w:rPr>
                <w:rFonts w:eastAsia="仿宋_GB2312"/>
                <w:color w:val="auto"/>
                <w:sz w:val="30"/>
                <w:szCs w:val="30"/>
                <w:highlight w:val="none"/>
              </w:rPr>
            </w:pPr>
          </w:p>
        </w:tc>
        <w:tc>
          <w:tcPr>
            <w:tcW w:w="1044" w:type="dxa"/>
            <w:noWrap w:val="0"/>
            <w:vAlign w:val="center"/>
          </w:tcPr>
          <w:p w14:paraId="253BD26E">
            <w:pPr>
              <w:jc w:val="center"/>
              <w:rPr>
                <w:rFonts w:eastAsia="仿宋_GB2312"/>
                <w:color w:val="auto"/>
                <w:sz w:val="30"/>
                <w:szCs w:val="30"/>
                <w:highlight w:val="none"/>
              </w:rPr>
            </w:pPr>
          </w:p>
        </w:tc>
        <w:tc>
          <w:tcPr>
            <w:tcW w:w="992" w:type="dxa"/>
            <w:noWrap w:val="0"/>
            <w:vAlign w:val="center"/>
          </w:tcPr>
          <w:p w14:paraId="149CEA4C">
            <w:pPr>
              <w:jc w:val="center"/>
              <w:rPr>
                <w:rFonts w:eastAsia="仿宋_GB2312"/>
                <w:color w:val="auto"/>
                <w:sz w:val="30"/>
                <w:szCs w:val="30"/>
                <w:highlight w:val="none"/>
              </w:rPr>
            </w:pPr>
          </w:p>
        </w:tc>
        <w:tc>
          <w:tcPr>
            <w:tcW w:w="851" w:type="dxa"/>
            <w:noWrap w:val="0"/>
            <w:vAlign w:val="center"/>
          </w:tcPr>
          <w:p w14:paraId="050305BF">
            <w:pPr>
              <w:jc w:val="center"/>
              <w:rPr>
                <w:rFonts w:eastAsia="仿宋_GB2312"/>
                <w:color w:val="auto"/>
                <w:sz w:val="30"/>
                <w:szCs w:val="30"/>
                <w:highlight w:val="none"/>
              </w:rPr>
            </w:pPr>
          </w:p>
        </w:tc>
        <w:tc>
          <w:tcPr>
            <w:tcW w:w="1487" w:type="dxa"/>
            <w:noWrap w:val="0"/>
            <w:vAlign w:val="center"/>
          </w:tcPr>
          <w:p w14:paraId="1738608A">
            <w:pPr>
              <w:jc w:val="center"/>
              <w:rPr>
                <w:rFonts w:eastAsia="仿宋_GB2312"/>
                <w:color w:val="auto"/>
                <w:sz w:val="30"/>
                <w:szCs w:val="30"/>
                <w:highlight w:val="none"/>
              </w:rPr>
            </w:pPr>
          </w:p>
        </w:tc>
        <w:tc>
          <w:tcPr>
            <w:tcW w:w="992" w:type="dxa"/>
            <w:noWrap w:val="0"/>
            <w:vAlign w:val="center"/>
          </w:tcPr>
          <w:p w14:paraId="31056958">
            <w:pPr>
              <w:jc w:val="center"/>
              <w:rPr>
                <w:rFonts w:eastAsia="仿宋_GB2312"/>
                <w:color w:val="auto"/>
                <w:sz w:val="30"/>
                <w:szCs w:val="30"/>
                <w:highlight w:val="none"/>
              </w:rPr>
            </w:pPr>
          </w:p>
        </w:tc>
      </w:tr>
      <w:tr w14:paraId="4D827F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3E401A0">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730E5D85">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7F9D7220">
            <w:pPr>
              <w:pStyle w:val="9"/>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5DB52321">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422C6B99">
            <w:pPr>
              <w:pStyle w:val="9"/>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14374DF1">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2746E8F9">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3890222F">
            <w:pPr>
              <w:pStyle w:val="9"/>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03613940">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4B907261">
            <w:pPr>
              <w:pStyle w:val="9"/>
              <w:keepNext/>
              <w:spacing w:after="0" w:line="440" w:lineRule="exact"/>
              <w:ind w:left="63" w:right="63"/>
              <w:rPr>
                <w:rFonts w:eastAsia="仿宋_GB2312"/>
                <w:color w:val="auto"/>
                <w:kern w:val="2"/>
                <w:sz w:val="30"/>
                <w:szCs w:val="30"/>
                <w:highlight w:val="none"/>
              </w:rPr>
            </w:pPr>
          </w:p>
        </w:tc>
      </w:tr>
      <w:tr w14:paraId="13DCE7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74D7BD5">
            <w:pPr>
              <w:jc w:val="center"/>
              <w:rPr>
                <w:rFonts w:eastAsia="仿宋_GB2312"/>
                <w:color w:val="auto"/>
                <w:sz w:val="30"/>
                <w:szCs w:val="30"/>
                <w:highlight w:val="none"/>
              </w:rPr>
            </w:pPr>
          </w:p>
        </w:tc>
        <w:tc>
          <w:tcPr>
            <w:tcW w:w="1276" w:type="dxa"/>
            <w:noWrap w:val="0"/>
            <w:vAlign w:val="center"/>
          </w:tcPr>
          <w:p w14:paraId="463F8977">
            <w:pPr>
              <w:jc w:val="center"/>
              <w:rPr>
                <w:rFonts w:eastAsia="仿宋_GB2312"/>
                <w:color w:val="auto"/>
                <w:sz w:val="30"/>
                <w:szCs w:val="30"/>
                <w:highlight w:val="none"/>
              </w:rPr>
            </w:pPr>
          </w:p>
        </w:tc>
        <w:tc>
          <w:tcPr>
            <w:tcW w:w="1418" w:type="dxa"/>
            <w:noWrap w:val="0"/>
            <w:vAlign w:val="center"/>
          </w:tcPr>
          <w:p w14:paraId="5D950000">
            <w:pPr>
              <w:jc w:val="center"/>
              <w:rPr>
                <w:rFonts w:eastAsia="仿宋_GB2312"/>
                <w:color w:val="auto"/>
                <w:sz w:val="30"/>
                <w:szCs w:val="30"/>
                <w:highlight w:val="none"/>
              </w:rPr>
            </w:pPr>
          </w:p>
        </w:tc>
        <w:tc>
          <w:tcPr>
            <w:tcW w:w="940" w:type="dxa"/>
            <w:noWrap w:val="0"/>
            <w:vAlign w:val="center"/>
          </w:tcPr>
          <w:p w14:paraId="04931E17">
            <w:pPr>
              <w:jc w:val="center"/>
              <w:rPr>
                <w:rFonts w:eastAsia="仿宋_GB2312"/>
                <w:color w:val="auto"/>
                <w:sz w:val="30"/>
                <w:szCs w:val="30"/>
                <w:highlight w:val="none"/>
              </w:rPr>
            </w:pPr>
          </w:p>
        </w:tc>
        <w:tc>
          <w:tcPr>
            <w:tcW w:w="851" w:type="dxa"/>
            <w:noWrap w:val="0"/>
            <w:vAlign w:val="center"/>
          </w:tcPr>
          <w:p w14:paraId="70B699FA">
            <w:pPr>
              <w:jc w:val="center"/>
              <w:rPr>
                <w:rFonts w:eastAsia="仿宋_GB2312"/>
                <w:color w:val="auto"/>
                <w:sz w:val="30"/>
                <w:szCs w:val="30"/>
                <w:highlight w:val="none"/>
              </w:rPr>
            </w:pPr>
          </w:p>
        </w:tc>
        <w:tc>
          <w:tcPr>
            <w:tcW w:w="1044" w:type="dxa"/>
            <w:noWrap w:val="0"/>
            <w:vAlign w:val="center"/>
          </w:tcPr>
          <w:p w14:paraId="13E589C3">
            <w:pPr>
              <w:jc w:val="center"/>
              <w:rPr>
                <w:rFonts w:eastAsia="仿宋_GB2312"/>
                <w:color w:val="auto"/>
                <w:sz w:val="30"/>
                <w:szCs w:val="30"/>
                <w:highlight w:val="none"/>
              </w:rPr>
            </w:pPr>
          </w:p>
        </w:tc>
        <w:tc>
          <w:tcPr>
            <w:tcW w:w="992" w:type="dxa"/>
            <w:noWrap w:val="0"/>
            <w:vAlign w:val="center"/>
          </w:tcPr>
          <w:p w14:paraId="2DD148B2">
            <w:pPr>
              <w:jc w:val="center"/>
              <w:rPr>
                <w:rFonts w:eastAsia="仿宋_GB2312"/>
                <w:color w:val="auto"/>
                <w:sz w:val="30"/>
                <w:szCs w:val="30"/>
                <w:highlight w:val="none"/>
              </w:rPr>
            </w:pPr>
          </w:p>
        </w:tc>
        <w:tc>
          <w:tcPr>
            <w:tcW w:w="851" w:type="dxa"/>
            <w:noWrap w:val="0"/>
            <w:vAlign w:val="center"/>
          </w:tcPr>
          <w:p w14:paraId="5A054CF5">
            <w:pPr>
              <w:jc w:val="center"/>
              <w:rPr>
                <w:rFonts w:eastAsia="仿宋_GB2312"/>
                <w:color w:val="auto"/>
                <w:sz w:val="30"/>
                <w:szCs w:val="30"/>
                <w:highlight w:val="none"/>
              </w:rPr>
            </w:pPr>
          </w:p>
        </w:tc>
        <w:tc>
          <w:tcPr>
            <w:tcW w:w="1487" w:type="dxa"/>
            <w:noWrap w:val="0"/>
            <w:vAlign w:val="center"/>
          </w:tcPr>
          <w:p w14:paraId="05FE6218">
            <w:pPr>
              <w:jc w:val="center"/>
              <w:rPr>
                <w:rFonts w:eastAsia="仿宋_GB2312"/>
                <w:color w:val="auto"/>
                <w:sz w:val="30"/>
                <w:szCs w:val="30"/>
                <w:highlight w:val="none"/>
              </w:rPr>
            </w:pPr>
          </w:p>
        </w:tc>
        <w:tc>
          <w:tcPr>
            <w:tcW w:w="992" w:type="dxa"/>
            <w:noWrap w:val="0"/>
            <w:vAlign w:val="center"/>
          </w:tcPr>
          <w:p w14:paraId="3BDDEADB">
            <w:pPr>
              <w:jc w:val="center"/>
              <w:rPr>
                <w:rFonts w:eastAsia="仿宋_GB2312"/>
                <w:color w:val="auto"/>
                <w:sz w:val="30"/>
                <w:szCs w:val="30"/>
                <w:highlight w:val="none"/>
              </w:rPr>
            </w:pPr>
          </w:p>
        </w:tc>
      </w:tr>
      <w:tr w14:paraId="4D75C0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4010EA5">
            <w:pPr>
              <w:jc w:val="center"/>
              <w:rPr>
                <w:rFonts w:eastAsia="仿宋_GB2312"/>
                <w:color w:val="auto"/>
                <w:sz w:val="30"/>
                <w:szCs w:val="30"/>
                <w:highlight w:val="none"/>
              </w:rPr>
            </w:pPr>
          </w:p>
        </w:tc>
        <w:tc>
          <w:tcPr>
            <w:tcW w:w="1276" w:type="dxa"/>
            <w:noWrap w:val="0"/>
            <w:vAlign w:val="center"/>
          </w:tcPr>
          <w:p w14:paraId="0C5DB25A">
            <w:pPr>
              <w:jc w:val="center"/>
              <w:rPr>
                <w:rFonts w:eastAsia="仿宋_GB2312"/>
                <w:color w:val="auto"/>
                <w:sz w:val="30"/>
                <w:szCs w:val="30"/>
                <w:highlight w:val="none"/>
              </w:rPr>
            </w:pPr>
          </w:p>
        </w:tc>
        <w:tc>
          <w:tcPr>
            <w:tcW w:w="1418" w:type="dxa"/>
            <w:noWrap w:val="0"/>
            <w:vAlign w:val="center"/>
          </w:tcPr>
          <w:p w14:paraId="7D7657CA">
            <w:pPr>
              <w:jc w:val="center"/>
              <w:rPr>
                <w:rFonts w:eastAsia="仿宋_GB2312"/>
                <w:color w:val="auto"/>
                <w:sz w:val="30"/>
                <w:szCs w:val="30"/>
                <w:highlight w:val="none"/>
              </w:rPr>
            </w:pPr>
          </w:p>
        </w:tc>
        <w:tc>
          <w:tcPr>
            <w:tcW w:w="940" w:type="dxa"/>
            <w:noWrap w:val="0"/>
            <w:vAlign w:val="center"/>
          </w:tcPr>
          <w:p w14:paraId="1685594E">
            <w:pPr>
              <w:jc w:val="center"/>
              <w:rPr>
                <w:rFonts w:eastAsia="仿宋_GB2312"/>
                <w:color w:val="auto"/>
                <w:sz w:val="30"/>
                <w:szCs w:val="30"/>
                <w:highlight w:val="none"/>
              </w:rPr>
            </w:pPr>
          </w:p>
        </w:tc>
        <w:tc>
          <w:tcPr>
            <w:tcW w:w="851" w:type="dxa"/>
            <w:noWrap w:val="0"/>
            <w:vAlign w:val="center"/>
          </w:tcPr>
          <w:p w14:paraId="7576A45C">
            <w:pPr>
              <w:jc w:val="center"/>
              <w:rPr>
                <w:rFonts w:eastAsia="仿宋_GB2312"/>
                <w:color w:val="auto"/>
                <w:sz w:val="30"/>
                <w:szCs w:val="30"/>
                <w:highlight w:val="none"/>
              </w:rPr>
            </w:pPr>
          </w:p>
        </w:tc>
        <w:tc>
          <w:tcPr>
            <w:tcW w:w="1044" w:type="dxa"/>
            <w:noWrap w:val="0"/>
            <w:vAlign w:val="center"/>
          </w:tcPr>
          <w:p w14:paraId="5A61F6C7">
            <w:pPr>
              <w:jc w:val="center"/>
              <w:rPr>
                <w:rFonts w:eastAsia="仿宋_GB2312"/>
                <w:color w:val="auto"/>
                <w:sz w:val="30"/>
                <w:szCs w:val="30"/>
                <w:highlight w:val="none"/>
              </w:rPr>
            </w:pPr>
          </w:p>
        </w:tc>
        <w:tc>
          <w:tcPr>
            <w:tcW w:w="992" w:type="dxa"/>
            <w:noWrap w:val="0"/>
            <w:vAlign w:val="center"/>
          </w:tcPr>
          <w:p w14:paraId="0A4E8D39">
            <w:pPr>
              <w:jc w:val="center"/>
              <w:rPr>
                <w:rFonts w:eastAsia="仿宋_GB2312"/>
                <w:color w:val="auto"/>
                <w:sz w:val="30"/>
                <w:szCs w:val="30"/>
                <w:highlight w:val="none"/>
              </w:rPr>
            </w:pPr>
          </w:p>
        </w:tc>
        <w:tc>
          <w:tcPr>
            <w:tcW w:w="851" w:type="dxa"/>
            <w:noWrap w:val="0"/>
            <w:vAlign w:val="center"/>
          </w:tcPr>
          <w:p w14:paraId="4DB10843">
            <w:pPr>
              <w:jc w:val="center"/>
              <w:rPr>
                <w:rFonts w:eastAsia="仿宋_GB2312"/>
                <w:color w:val="auto"/>
                <w:sz w:val="30"/>
                <w:szCs w:val="30"/>
                <w:highlight w:val="none"/>
              </w:rPr>
            </w:pPr>
          </w:p>
        </w:tc>
        <w:tc>
          <w:tcPr>
            <w:tcW w:w="1487" w:type="dxa"/>
            <w:noWrap w:val="0"/>
            <w:vAlign w:val="center"/>
          </w:tcPr>
          <w:p w14:paraId="49F36D6B">
            <w:pPr>
              <w:jc w:val="center"/>
              <w:rPr>
                <w:rFonts w:eastAsia="仿宋_GB2312"/>
                <w:color w:val="auto"/>
                <w:sz w:val="30"/>
                <w:szCs w:val="30"/>
                <w:highlight w:val="none"/>
              </w:rPr>
            </w:pPr>
          </w:p>
        </w:tc>
        <w:tc>
          <w:tcPr>
            <w:tcW w:w="992" w:type="dxa"/>
            <w:noWrap w:val="0"/>
            <w:vAlign w:val="center"/>
          </w:tcPr>
          <w:p w14:paraId="17E63FF5">
            <w:pPr>
              <w:jc w:val="center"/>
              <w:rPr>
                <w:rFonts w:eastAsia="仿宋_GB2312"/>
                <w:color w:val="auto"/>
                <w:sz w:val="30"/>
                <w:szCs w:val="30"/>
                <w:highlight w:val="none"/>
              </w:rPr>
            </w:pPr>
          </w:p>
        </w:tc>
      </w:tr>
      <w:tr w14:paraId="7C6648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4D13D2D">
            <w:pPr>
              <w:jc w:val="center"/>
              <w:rPr>
                <w:rFonts w:eastAsia="仿宋_GB2312"/>
                <w:color w:val="auto"/>
                <w:sz w:val="30"/>
                <w:szCs w:val="30"/>
                <w:highlight w:val="none"/>
              </w:rPr>
            </w:pPr>
          </w:p>
        </w:tc>
        <w:tc>
          <w:tcPr>
            <w:tcW w:w="1276" w:type="dxa"/>
            <w:noWrap w:val="0"/>
            <w:vAlign w:val="center"/>
          </w:tcPr>
          <w:p w14:paraId="65596983">
            <w:pPr>
              <w:jc w:val="center"/>
              <w:rPr>
                <w:rFonts w:eastAsia="仿宋_GB2312"/>
                <w:color w:val="auto"/>
                <w:sz w:val="30"/>
                <w:szCs w:val="30"/>
                <w:highlight w:val="none"/>
              </w:rPr>
            </w:pPr>
          </w:p>
        </w:tc>
        <w:tc>
          <w:tcPr>
            <w:tcW w:w="1418" w:type="dxa"/>
            <w:noWrap w:val="0"/>
            <w:vAlign w:val="center"/>
          </w:tcPr>
          <w:p w14:paraId="2EB80812">
            <w:pPr>
              <w:jc w:val="center"/>
              <w:rPr>
                <w:rFonts w:eastAsia="仿宋_GB2312"/>
                <w:color w:val="auto"/>
                <w:sz w:val="30"/>
                <w:szCs w:val="30"/>
                <w:highlight w:val="none"/>
              </w:rPr>
            </w:pPr>
          </w:p>
        </w:tc>
        <w:tc>
          <w:tcPr>
            <w:tcW w:w="940" w:type="dxa"/>
            <w:noWrap w:val="0"/>
            <w:vAlign w:val="center"/>
          </w:tcPr>
          <w:p w14:paraId="6D3A791D">
            <w:pPr>
              <w:jc w:val="center"/>
              <w:rPr>
                <w:rFonts w:eastAsia="仿宋_GB2312"/>
                <w:color w:val="auto"/>
                <w:sz w:val="30"/>
                <w:szCs w:val="30"/>
                <w:highlight w:val="none"/>
              </w:rPr>
            </w:pPr>
          </w:p>
        </w:tc>
        <w:tc>
          <w:tcPr>
            <w:tcW w:w="851" w:type="dxa"/>
            <w:noWrap w:val="0"/>
            <w:vAlign w:val="center"/>
          </w:tcPr>
          <w:p w14:paraId="47A9766D">
            <w:pPr>
              <w:jc w:val="center"/>
              <w:rPr>
                <w:rFonts w:eastAsia="仿宋_GB2312"/>
                <w:color w:val="auto"/>
                <w:sz w:val="30"/>
                <w:szCs w:val="30"/>
                <w:highlight w:val="none"/>
              </w:rPr>
            </w:pPr>
          </w:p>
        </w:tc>
        <w:tc>
          <w:tcPr>
            <w:tcW w:w="1044" w:type="dxa"/>
            <w:noWrap w:val="0"/>
            <w:vAlign w:val="center"/>
          </w:tcPr>
          <w:p w14:paraId="7AAC2CF0">
            <w:pPr>
              <w:jc w:val="center"/>
              <w:rPr>
                <w:rFonts w:eastAsia="仿宋_GB2312"/>
                <w:color w:val="auto"/>
                <w:sz w:val="30"/>
                <w:szCs w:val="30"/>
                <w:highlight w:val="none"/>
              </w:rPr>
            </w:pPr>
          </w:p>
        </w:tc>
        <w:tc>
          <w:tcPr>
            <w:tcW w:w="992" w:type="dxa"/>
            <w:noWrap w:val="0"/>
            <w:vAlign w:val="center"/>
          </w:tcPr>
          <w:p w14:paraId="5259F3C4">
            <w:pPr>
              <w:jc w:val="center"/>
              <w:rPr>
                <w:rFonts w:eastAsia="仿宋_GB2312"/>
                <w:color w:val="auto"/>
                <w:sz w:val="30"/>
                <w:szCs w:val="30"/>
                <w:highlight w:val="none"/>
              </w:rPr>
            </w:pPr>
          </w:p>
        </w:tc>
        <w:tc>
          <w:tcPr>
            <w:tcW w:w="851" w:type="dxa"/>
            <w:noWrap w:val="0"/>
            <w:vAlign w:val="center"/>
          </w:tcPr>
          <w:p w14:paraId="76EBC461">
            <w:pPr>
              <w:jc w:val="center"/>
              <w:rPr>
                <w:rFonts w:eastAsia="仿宋_GB2312"/>
                <w:color w:val="auto"/>
                <w:sz w:val="30"/>
                <w:szCs w:val="30"/>
                <w:highlight w:val="none"/>
              </w:rPr>
            </w:pPr>
          </w:p>
        </w:tc>
        <w:tc>
          <w:tcPr>
            <w:tcW w:w="1487" w:type="dxa"/>
            <w:noWrap w:val="0"/>
            <w:vAlign w:val="center"/>
          </w:tcPr>
          <w:p w14:paraId="026732C6">
            <w:pPr>
              <w:jc w:val="center"/>
              <w:rPr>
                <w:rFonts w:eastAsia="仿宋_GB2312"/>
                <w:color w:val="auto"/>
                <w:sz w:val="30"/>
                <w:szCs w:val="30"/>
                <w:highlight w:val="none"/>
              </w:rPr>
            </w:pPr>
          </w:p>
        </w:tc>
        <w:tc>
          <w:tcPr>
            <w:tcW w:w="992" w:type="dxa"/>
            <w:noWrap w:val="0"/>
            <w:vAlign w:val="center"/>
          </w:tcPr>
          <w:p w14:paraId="6E7A2852">
            <w:pPr>
              <w:jc w:val="center"/>
              <w:rPr>
                <w:rFonts w:eastAsia="仿宋_GB2312"/>
                <w:color w:val="auto"/>
                <w:sz w:val="30"/>
                <w:szCs w:val="30"/>
                <w:highlight w:val="none"/>
              </w:rPr>
            </w:pPr>
          </w:p>
        </w:tc>
      </w:tr>
      <w:tr w14:paraId="4B89D4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9BD64B1">
            <w:pPr>
              <w:jc w:val="center"/>
              <w:rPr>
                <w:rFonts w:eastAsia="仿宋_GB2312"/>
                <w:color w:val="auto"/>
                <w:sz w:val="30"/>
                <w:szCs w:val="30"/>
                <w:highlight w:val="none"/>
              </w:rPr>
            </w:pPr>
          </w:p>
        </w:tc>
        <w:tc>
          <w:tcPr>
            <w:tcW w:w="1276" w:type="dxa"/>
            <w:noWrap w:val="0"/>
            <w:vAlign w:val="center"/>
          </w:tcPr>
          <w:p w14:paraId="0C766CB1">
            <w:pPr>
              <w:jc w:val="center"/>
              <w:rPr>
                <w:rFonts w:eastAsia="仿宋_GB2312"/>
                <w:color w:val="auto"/>
                <w:sz w:val="30"/>
                <w:szCs w:val="30"/>
                <w:highlight w:val="none"/>
              </w:rPr>
            </w:pPr>
          </w:p>
        </w:tc>
        <w:tc>
          <w:tcPr>
            <w:tcW w:w="1418" w:type="dxa"/>
            <w:noWrap w:val="0"/>
            <w:vAlign w:val="center"/>
          </w:tcPr>
          <w:p w14:paraId="3B967E12">
            <w:pPr>
              <w:jc w:val="center"/>
              <w:rPr>
                <w:rFonts w:eastAsia="仿宋_GB2312"/>
                <w:color w:val="auto"/>
                <w:sz w:val="30"/>
                <w:szCs w:val="30"/>
                <w:highlight w:val="none"/>
              </w:rPr>
            </w:pPr>
          </w:p>
        </w:tc>
        <w:tc>
          <w:tcPr>
            <w:tcW w:w="940" w:type="dxa"/>
            <w:noWrap w:val="0"/>
            <w:vAlign w:val="center"/>
          </w:tcPr>
          <w:p w14:paraId="1F5AA992">
            <w:pPr>
              <w:jc w:val="center"/>
              <w:rPr>
                <w:rFonts w:eastAsia="仿宋_GB2312"/>
                <w:color w:val="auto"/>
                <w:sz w:val="30"/>
                <w:szCs w:val="30"/>
                <w:highlight w:val="none"/>
              </w:rPr>
            </w:pPr>
          </w:p>
        </w:tc>
        <w:tc>
          <w:tcPr>
            <w:tcW w:w="851" w:type="dxa"/>
            <w:noWrap w:val="0"/>
            <w:vAlign w:val="center"/>
          </w:tcPr>
          <w:p w14:paraId="69DDEF3D">
            <w:pPr>
              <w:jc w:val="center"/>
              <w:rPr>
                <w:rFonts w:eastAsia="仿宋_GB2312"/>
                <w:color w:val="auto"/>
                <w:sz w:val="30"/>
                <w:szCs w:val="30"/>
                <w:highlight w:val="none"/>
              </w:rPr>
            </w:pPr>
          </w:p>
        </w:tc>
        <w:tc>
          <w:tcPr>
            <w:tcW w:w="1044" w:type="dxa"/>
            <w:noWrap w:val="0"/>
            <w:vAlign w:val="center"/>
          </w:tcPr>
          <w:p w14:paraId="4E6C531A">
            <w:pPr>
              <w:jc w:val="center"/>
              <w:rPr>
                <w:rFonts w:eastAsia="仿宋_GB2312"/>
                <w:color w:val="auto"/>
                <w:sz w:val="30"/>
                <w:szCs w:val="30"/>
                <w:highlight w:val="none"/>
              </w:rPr>
            </w:pPr>
          </w:p>
        </w:tc>
        <w:tc>
          <w:tcPr>
            <w:tcW w:w="992" w:type="dxa"/>
            <w:noWrap w:val="0"/>
            <w:vAlign w:val="center"/>
          </w:tcPr>
          <w:p w14:paraId="73D6E730">
            <w:pPr>
              <w:jc w:val="center"/>
              <w:rPr>
                <w:rFonts w:eastAsia="仿宋_GB2312"/>
                <w:color w:val="auto"/>
                <w:sz w:val="30"/>
                <w:szCs w:val="30"/>
                <w:highlight w:val="none"/>
              </w:rPr>
            </w:pPr>
          </w:p>
        </w:tc>
        <w:tc>
          <w:tcPr>
            <w:tcW w:w="851" w:type="dxa"/>
            <w:noWrap w:val="0"/>
            <w:vAlign w:val="center"/>
          </w:tcPr>
          <w:p w14:paraId="37E12F33">
            <w:pPr>
              <w:jc w:val="center"/>
              <w:rPr>
                <w:rFonts w:eastAsia="仿宋_GB2312"/>
                <w:color w:val="auto"/>
                <w:sz w:val="30"/>
                <w:szCs w:val="30"/>
                <w:highlight w:val="none"/>
              </w:rPr>
            </w:pPr>
          </w:p>
        </w:tc>
        <w:tc>
          <w:tcPr>
            <w:tcW w:w="1487" w:type="dxa"/>
            <w:noWrap w:val="0"/>
            <w:vAlign w:val="center"/>
          </w:tcPr>
          <w:p w14:paraId="306C9FEA">
            <w:pPr>
              <w:jc w:val="center"/>
              <w:rPr>
                <w:rFonts w:eastAsia="仿宋_GB2312"/>
                <w:color w:val="auto"/>
                <w:sz w:val="30"/>
                <w:szCs w:val="30"/>
                <w:highlight w:val="none"/>
              </w:rPr>
            </w:pPr>
          </w:p>
        </w:tc>
        <w:tc>
          <w:tcPr>
            <w:tcW w:w="992" w:type="dxa"/>
            <w:noWrap w:val="0"/>
            <w:vAlign w:val="center"/>
          </w:tcPr>
          <w:p w14:paraId="5D0D7606">
            <w:pPr>
              <w:jc w:val="center"/>
              <w:rPr>
                <w:rFonts w:eastAsia="仿宋_GB2312"/>
                <w:color w:val="auto"/>
                <w:sz w:val="30"/>
                <w:szCs w:val="30"/>
                <w:highlight w:val="none"/>
              </w:rPr>
            </w:pPr>
          </w:p>
        </w:tc>
      </w:tr>
      <w:tr w14:paraId="023D55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7712F6F">
            <w:pPr>
              <w:jc w:val="center"/>
              <w:rPr>
                <w:rFonts w:eastAsia="仿宋_GB2312"/>
                <w:color w:val="auto"/>
                <w:sz w:val="30"/>
                <w:szCs w:val="30"/>
                <w:highlight w:val="none"/>
              </w:rPr>
            </w:pPr>
          </w:p>
        </w:tc>
        <w:tc>
          <w:tcPr>
            <w:tcW w:w="1276" w:type="dxa"/>
            <w:noWrap w:val="0"/>
            <w:vAlign w:val="center"/>
          </w:tcPr>
          <w:p w14:paraId="5D778839">
            <w:pPr>
              <w:jc w:val="center"/>
              <w:rPr>
                <w:rFonts w:eastAsia="仿宋_GB2312"/>
                <w:color w:val="auto"/>
                <w:sz w:val="30"/>
                <w:szCs w:val="30"/>
                <w:highlight w:val="none"/>
              </w:rPr>
            </w:pPr>
          </w:p>
        </w:tc>
        <w:tc>
          <w:tcPr>
            <w:tcW w:w="1418" w:type="dxa"/>
            <w:noWrap w:val="0"/>
            <w:vAlign w:val="center"/>
          </w:tcPr>
          <w:p w14:paraId="78DD72CC">
            <w:pPr>
              <w:jc w:val="center"/>
              <w:rPr>
                <w:rFonts w:eastAsia="仿宋_GB2312"/>
                <w:color w:val="auto"/>
                <w:sz w:val="30"/>
                <w:szCs w:val="30"/>
                <w:highlight w:val="none"/>
              </w:rPr>
            </w:pPr>
          </w:p>
        </w:tc>
        <w:tc>
          <w:tcPr>
            <w:tcW w:w="940" w:type="dxa"/>
            <w:noWrap w:val="0"/>
            <w:vAlign w:val="center"/>
          </w:tcPr>
          <w:p w14:paraId="3B3A4673">
            <w:pPr>
              <w:jc w:val="center"/>
              <w:rPr>
                <w:rFonts w:eastAsia="仿宋_GB2312"/>
                <w:color w:val="auto"/>
                <w:sz w:val="30"/>
                <w:szCs w:val="30"/>
                <w:highlight w:val="none"/>
              </w:rPr>
            </w:pPr>
          </w:p>
        </w:tc>
        <w:tc>
          <w:tcPr>
            <w:tcW w:w="851" w:type="dxa"/>
            <w:noWrap w:val="0"/>
            <w:vAlign w:val="center"/>
          </w:tcPr>
          <w:p w14:paraId="59240470">
            <w:pPr>
              <w:jc w:val="center"/>
              <w:rPr>
                <w:rFonts w:eastAsia="仿宋_GB2312"/>
                <w:color w:val="auto"/>
                <w:sz w:val="30"/>
                <w:szCs w:val="30"/>
                <w:highlight w:val="none"/>
              </w:rPr>
            </w:pPr>
          </w:p>
        </w:tc>
        <w:tc>
          <w:tcPr>
            <w:tcW w:w="1044" w:type="dxa"/>
            <w:noWrap w:val="0"/>
            <w:vAlign w:val="center"/>
          </w:tcPr>
          <w:p w14:paraId="7ED222EC">
            <w:pPr>
              <w:jc w:val="center"/>
              <w:rPr>
                <w:rFonts w:eastAsia="仿宋_GB2312"/>
                <w:color w:val="auto"/>
                <w:sz w:val="30"/>
                <w:szCs w:val="30"/>
                <w:highlight w:val="none"/>
              </w:rPr>
            </w:pPr>
          </w:p>
        </w:tc>
        <w:tc>
          <w:tcPr>
            <w:tcW w:w="992" w:type="dxa"/>
            <w:noWrap w:val="0"/>
            <w:vAlign w:val="center"/>
          </w:tcPr>
          <w:p w14:paraId="422D93B5">
            <w:pPr>
              <w:jc w:val="center"/>
              <w:rPr>
                <w:rFonts w:eastAsia="仿宋_GB2312"/>
                <w:color w:val="auto"/>
                <w:sz w:val="30"/>
                <w:szCs w:val="30"/>
                <w:highlight w:val="none"/>
              </w:rPr>
            </w:pPr>
          </w:p>
        </w:tc>
        <w:tc>
          <w:tcPr>
            <w:tcW w:w="851" w:type="dxa"/>
            <w:noWrap w:val="0"/>
            <w:vAlign w:val="center"/>
          </w:tcPr>
          <w:p w14:paraId="58336B02">
            <w:pPr>
              <w:jc w:val="center"/>
              <w:rPr>
                <w:rFonts w:eastAsia="仿宋_GB2312"/>
                <w:color w:val="auto"/>
                <w:sz w:val="30"/>
                <w:szCs w:val="30"/>
                <w:highlight w:val="none"/>
              </w:rPr>
            </w:pPr>
          </w:p>
        </w:tc>
        <w:tc>
          <w:tcPr>
            <w:tcW w:w="1487" w:type="dxa"/>
            <w:noWrap w:val="0"/>
            <w:vAlign w:val="center"/>
          </w:tcPr>
          <w:p w14:paraId="714E0474">
            <w:pPr>
              <w:jc w:val="center"/>
              <w:rPr>
                <w:rFonts w:eastAsia="仿宋_GB2312"/>
                <w:color w:val="auto"/>
                <w:sz w:val="30"/>
                <w:szCs w:val="30"/>
                <w:highlight w:val="none"/>
              </w:rPr>
            </w:pPr>
          </w:p>
        </w:tc>
        <w:tc>
          <w:tcPr>
            <w:tcW w:w="992" w:type="dxa"/>
            <w:noWrap w:val="0"/>
            <w:vAlign w:val="center"/>
          </w:tcPr>
          <w:p w14:paraId="351FF78A">
            <w:pPr>
              <w:jc w:val="center"/>
              <w:rPr>
                <w:rFonts w:eastAsia="仿宋_GB2312"/>
                <w:color w:val="auto"/>
                <w:sz w:val="30"/>
                <w:szCs w:val="30"/>
                <w:highlight w:val="none"/>
              </w:rPr>
            </w:pPr>
          </w:p>
        </w:tc>
      </w:tr>
      <w:tr w14:paraId="717591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2E5D2EC">
            <w:pPr>
              <w:jc w:val="center"/>
              <w:rPr>
                <w:rFonts w:eastAsia="仿宋_GB2312"/>
                <w:color w:val="auto"/>
                <w:sz w:val="30"/>
                <w:szCs w:val="30"/>
                <w:highlight w:val="none"/>
              </w:rPr>
            </w:pPr>
          </w:p>
        </w:tc>
        <w:tc>
          <w:tcPr>
            <w:tcW w:w="1276" w:type="dxa"/>
            <w:noWrap w:val="0"/>
            <w:vAlign w:val="center"/>
          </w:tcPr>
          <w:p w14:paraId="3128B887">
            <w:pPr>
              <w:jc w:val="center"/>
              <w:rPr>
                <w:rFonts w:eastAsia="仿宋_GB2312"/>
                <w:color w:val="auto"/>
                <w:sz w:val="30"/>
                <w:szCs w:val="30"/>
                <w:highlight w:val="none"/>
              </w:rPr>
            </w:pPr>
          </w:p>
        </w:tc>
        <w:tc>
          <w:tcPr>
            <w:tcW w:w="1418" w:type="dxa"/>
            <w:noWrap w:val="0"/>
            <w:vAlign w:val="center"/>
          </w:tcPr>
          <w:p w14:paraId="28135335">
            <w:pPr>
              <w:jc w:val="center"/>
              <w:rPr>
                <w:rFonts w:eastAsia="仿宋_GB2312"/>
                <w:color w:val="auto"/>
                <w:sz w:val="30"/>
                <w:szCs w:val="30"/>
                <w:highlight w:val="none"/>
              </w:rPr>
            </w:pPr>
          </w:p>
        </w:tc>
        <w:tc>
          <w:tcPr>
            <w:tcW w:w="940" w:type="dxa"/>
            <w:noWrap w:val="0"/>
            <w:vAlign w:val="center"/>
          </w:tcPr>
          <w:p w14:paraId="4EBC695E">
            <w:pPr>
              <w:jc w:val="center"/>
              <w:rPr>
                <w:rFonts w:eastAsia="仿宋_GB2312"/>
                <w:color w:val="auto"/>
                <w:sz w:val="30"/>
                <w:szCs w:val="30"/>
                <w:highlight w:val="none"/>
              </w:rPr>
            </w:pPr>
          </w:p>
        </w:tc>
        <w:tc>
          <w:tcPr>
            <w:tcW w:w="851" w:type="dxa"/>
            <w:noWrap w:val="0"/>
            <w:vAlign w:val="center"/>
          </w:tcPr>
          <w:p w14:paraId="7A631F40">
            <w:pPr>
              <w:jc w:val="center"/>
              <w:rPr>
                <w:rFonts w:eastAsia="仿宋_GB2312"/>
                <w:color w:val="auto"/>
                <w:sz w:val="30"/>
                <w:szCs w:val="30"/>
                <w:highlight w:val="none"/>
              </w:rPr>
            </w:pPr>
          </w:p>
        </w:tc>
        <w:tc>
          <w:tcPr>
            <w:tcW w:w="1044" w:type="dxa"/>
            <w:noWrap w:val="0"/>
            <w:vAlign w:val="center"/>
          </w:tcPr>
          <w:p w14:paraId="71EE8437">
            <w:pPr>
              <w:jc w:val="center"/>
              <w:rPr>
                <w:rFonts w:eastAsia="仿宋_GB2312"/>
                <w:color w:val="auto"/>
                <w:sz w:val="30"/>
                <w:szCs w:val="30"/>
                <w:highlight w:val="none"/>
              </w:rPr>
            </w:pPr>
          </w:p>
        </w:tc>
        <w:tc>
          <w:tcPr>
            <w:tcW w:w="992" w:type="dxa"/>
            <w:noWrap w:val="0"/>
            <w:vAlign w:val="center"/>
          </w:tcPr>
          <w:p w14:paraId="0AB0FF08">
            <w:pPr>
              <w:jc w:val="center"/>
              <w:rPr>
                <w:rFonts w:eastAsia="仿宋_GB2312"/>
                <w:color w:val="auto"/>
                <w:sz w:val="30"/>
                <w:szCs w:val="30"/>
                <w:highlight w:val="none"/>
              </w:rPr>
            </w:pPr>
          </w:p>
        </w:tc>
        <w:tc>
          <w:tcPr>
            <w:tcW w:w="851" w:type="dxa"/>
            <w:noWrap w:val="0"/>
            <w:vAlign w:val="center"/>
          </w:tcPr>
          <w:p w14:paraId="1E779262">
            <w:pPr>
              <w:jc w:val="center"/>
              <w:rPr>
                <w:rFonts w:eastAsia="仿宋_GB2312"/>
                <w:color w:val="auto"/>
                <w:sz w:val="30"/>
                <w:szCs w:val="30"/>
                <w:highlight w:val="none"/>
              </w:rPr>
            </w:pPr>
          </w:p>
        </w:tc>
        <w:tc>
          <w:tcPr>
            <w:tcW w:w="1487" w:type="dxa"/>
            <w:noWrap w:val="0"/>
            <w:vAlign w:val="center"/>
          </w:tcPr>
          <w:p w14:paraId="0662A402">
            <w:pPr>
              <w:jc w:val="center"/>
              <w:rPr>
                <w:rFonts w:eastAsia="仿宋_GB2312"/>
                <w:color w:val="auto"/>
                <w:sz w:val="30"/>
                <w:szCs w:val="30"/>
                <w:highlight w:val="none"/>
              </w:rPr>
            </w:pPr>
          </w:p>
        </w:tc>
        <w:tc>
          <w:tcPr>
            <w:tcW w:w="992" w:type="dxa"/>
            <w:noWrap w:val="0"/>
            <w:vAlign w:val="center"/>
          </w:tcPr>
          <w:p w14:paraId="6ED91A04">
            <w:pPr>
              <w:jc w:val="center"/>
              <w:rPr>
                <w:rFonts w:eastAsia="仿宋_GB2312"/>
                <w:color w:val="auto"/>
                <w:sz w:val="30"/>
                <w:szCs w:val="30"/>
                <w:highlight w:val="none"/>
              </w:rPr>
            </w:pPr>
          </w:p>
        </w:tc>
      </w:tr>
      <w:tr w14:paraId="1C84F3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24292A4">
            <w:pPr>
              <w:jc w:val="center"/>
              <w:rPr>
                <w:rFonts w:eastAsia="仿宋_GB2312"/>
                <w:color w:val="auto"/>
                <w:sz w:val="30"/>
                <w:szCs w:val="30"/>
                <w:highlight w:val="none"/>
              </w:rPr>
            </w:pPr>
          </w:p>
        </w:tc>
        <w:tc>
          <w:tcPr>
            <w:tcW w:w="1276" w:type="dxa"/>
            <w:noWrap w:val="0"/>
            <w:vAlign w:val="center"/>
          </w:tcPr>
          <w:p w14:paraId="3E9A6866">
            <w:pPr>
              <w:jc w:val="center"/>
              <w:rPr>
                <w:rFonts w:eastAsia="仿宋_GB2312"/>
                <w:color w:val="auto"/>
                <w:sz w:val="30"/>
                <w:szCs w:val="30"/>
                <w:highlight w:val="none"/>
              </w:rPr>
            </w:pPr>
          </w:p>
        </w:tc>
        <w:tc>
          <w:tcPr>
            <w:tcW w:w="1418" w:type="dxa"/>
            <w:noWrap w:val="0"/>
            <w:vAlign w:val="center"/>
          </w:tcPr>
          <w:p w14:paraId="1F8CA02B">
            <w:pPr>
              <w:jc w:val="center"/>
              <w:rPr>
                <w:rFonts w:eastAsia="仿宋_GB2312"/>
                <w:color w:val="auto"/>
                <w:sz w:val="30"/>
                <w:szCs w:val="30"/>
                <w:highlight w:val="none"/>
              </w:rPr>
            </w:pPr>
          </w:p>
        </w:tc>
        <w:tc>
          <w:tcPr>
            <w:tcW w:w="940" w:type="dxa"/>
            <w:noWrap w:val="0"/>
            <w:vAlign w:val="center"/>
          </w:tcPr>
          <w:p w14:paraId="369B9D61">
            <w:pPr>
              <w:jc w:val="center"/>
              <w:rPr>
                <w:rFonts w:eastAsia="仿宋_GB2312"/>
                <w:color w:val="auto"/>
                <w:sz w:val="30"/>
                <w:szCs w:val="30"/>
                <w:highlight w:val="none"/>
              </w:rPr>
            </w:pPr>
          </w:p>
        </w:tc>
        <w:tc>
          <w:tcPr>
            <w:tcW w:w="851" w:type="dxa"/>
            <w:noWrap w:val="0"/>
            <w:vAlign w:val="center"/>
          </w:tcPr>
          <w:p w14:paraId="1D4241A4">
            <w:pPr>
              <w:jc w:val="center"/>
              <w:rPr>
                <w:rFonts w:eastAsia="仿宋_GB2312"/>
                <w:color w:val="auto"/>
                <w:sz w:val="30"/>
                <w:szCs w:val="30"/>
                <w:highlight w:val="none"/>
              </w:rPr>
            </w:pPr>
          </w:p>
        </w:tc>
        <w:tc>
          <w:tcPr>
            <w:tcW w:w="1044" w:type="dxa"/>
            <w:noWrap w:val="0"/>
            <w:vAlign w:val="center"/>
          </w:tcPr>
          <w:p w14:paraId="0C2E272E">
            <w:pPr>
              <w:jc w:val="center"/>
              <w:rPr>
                <w:rFonts w:eastAsia="仿宋_GB2312"/>
                <w:color w:val="auto"/>
                <w:sz w:val="30"/>
                <w:szCs w:val="30"/>
                <w:highlight w:val="none"/>
              </w:rPr>
            </w:pPr>
          </w:p>
        </w:tc>
        <w:tc>
          <w:tcPr>
            <w:tcW w:w="992" w:type="dxa"/>
            <w:noWrap w:val="0"/>
            <w:vAlign w:val="center"/>
          </w:tcPr>
          <w:p w14:paraId="16636A8B">
            <w:pPr>
              <w:jc w:val="center"/>
              <w:rPr>
                <w:rFonts w:eastAsia="仿宋_GB2312"/>
                <w:color w:val="auto"/>
                <w:sz w:val="30"/>
                <w:szCs w:val="30"/>
                <w:highlight w:val="none"/>
              </w:rPr>
            </w:pPr>
          </w:p>
        </w:tc>
        <w:tc>
          <w:tcPr>
            <w:tcW w:w="851" w:type="dxa"/>
            <w:noWrap w:val="0"/>
            <w:vAlign w:val="center"/>
          </w:tcPr>
          <w:p w14:paraId="6E9732DE">
            <w:pPr>
              <w:jc w:val="center"/>
              <w:rPr>
                <w:rFonts w:eastAsia="仿宋_GB2312"/>
                <w:color w:val="auto"/>
                <w:sz w:val="30"/>
                <w:szCs w:val="30"/>
                <w:highlight w:val="none"/>
              </w:rPr>
            </w:pPr>
          </w:p>
        </w:tc>
        <w:tc>
          <w:tcPr>
            <w:tcW w:w="1487" w:type="dxa"/>
            <w:noWrap w:val="0"/>
            <w:vAlign w:val="center"/>
          </w:tcPr>
          <w:p w14:paraId="2D4CF2FE">
            <w:pPr>
              <w:jc w:val="center"/>
              <w:rPr>
                <w:rFonts w:eastAsia="仿宋_GB2312"/>
                <w:color w:val="auto"/>
                <w:sz w:val="30"/>
                <w:szCs w:val="30"/>
                <w:highlight w:val="none"/>
              </w:rPr>
            </w:pPr>
          </w:p>
        </w:tc>
        <w:tc>
          <w:tcPr>
            <w:tcW w:w="992" w:type="dxa"/>
            <w:noWrap w:val="0"/>
            <w:vAlign w:val="center"/>
          </w:tcPr>
          <w:p w14:paraId="5FC258D1">
            <w:pPr>
              <w:jc w:val="center"/>
              <w:rPr>
                <w:rFonts w:eastAsia="仿宋_GB2312"/>
                <w:color w:val="auto"/>
                <w:sz w:val="30"/>
                <w:szCs w:val="30"/>
                <w:highlight w:val="none"/>
              </w:rPr>
            </w:pPr>
          </w:p>
        </w:tc>
      </w:tr>
      <w:tr w14:paraId="0E80CE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7E577BE">
            <w:pPr>
              <w:jc w:val="center"/>
              <w:rPr>
                <w:rFonts w:eastAsia="仿宋_GB2312"/>
                <w:color w:val="auto"/>
                <w:sz w:val="30"/>
                <w:szCs w:val="30"/>
                <w:highlight w:val="none"/>
              </w:rPr>
            </w:pPr>
          </w:p>
        </w:tc>
        <w:tc>
          <w:tcPr>
            <w:tcW w:w="1276" w:type="dxa"/>
            <w:noWrap w:val="0"/>
            <w:vAlign w:val="center"/>
          </w:tcPr>
          <w:p w14:paraId="271B5335">
            <w:pPr>
              <w:jc w:val="center"/>
              <w:rPr>
                <w:rFonts w:eastAsia="仿宋_GB2312"/>
                <w:color w:val="auto"/>
                <w:sz w:val="30"/>
                <w:szCs w:val="30"/>
                <w:highlight w:val="none"/>
              </w:rPr>
            </w:pPr>
          </w:p>
        </w:tc>
        <w:tc>
          <w:tcPr>
            <w:tcW w:w="1418" w:type="dxa"/>
            <w:noWrap w:val="0"/>
            <w:vAlign w:val="center"/>
          </w:tcPr>
          <w:p w14:paraId="7F5DF86C">
            <w:pPr>
              <w:jc w:val="center"/>
              <w:rPr>
                <w:rFonts w:eastAsia="仿宋_GB2312"/>
                <w:color w:val="auto"/>
                <w:sz w:val="30"/>
                <w:szCs w:val="30"/>
                <w:highlight w:val="none"/>
              </w:rPr>
            </w:pPr>
          </w:p>
        </w:tc>
        <w:tc>
          <w:tcPr>
            <w:tcW w:w="940" w:type="dxa"/>
            <w:noWrap w:val="0"/>
            <w:vAlign w:val="center"/>
          </w:tcPr>
          <w:p w14:paraId="541B8716">
            <w:pPr>
              <w:jc w:val="center"/>
              <w:rPr>
                <w:rFonts w:eastAsia="仿宋_GB2312"/>
                <w:color w:val="auto"/>
                <w:sz w:val="30"/>
                <w:szCs w:val="30"/>
                <w:highlight w:val="none"/>
              </w:rPr>
            </w:pPr>
          </w:p>
        </w:tc>
        <w:tc>
          <w:tcPr>
            <w:tcW w:w="851" w:type="dxa"/>
            <w:noWrap w:val="0"/>
            <w:vAlign w:val="center"/>
          </w:tcPr>
          <w:p w14:paraId="7567D9D5">
            <w:pPr>
              <w:jc w:val="center"/>
              <w:rPr>
                <w:rFonts w:eastAsia="仿宋_GB2312"/>
                <w:color w:val="auto"/>
                <w:sz w:val="30"/>
                <w:szCs w:val="30"/>
                <w:highlight w:val="none"/>
              </w:rPr>
            </w:pPr>
          </w:p>
        </w:tc>
        <w:tc>
          <w:tcPr>
            <w:tcW w:w="1044" w:type="dxa"/>
            <w:noWrap w:val="0"/>
            <w:vAlign w:val="center"/>
          </w:tcPr>
          <w:p w14:paraId="04A0C627">
            <w:pPr>
              <w:jc w:val="center"/>
              <w:rPr>
                <w:rFonts w:eastAsia="仿宋_GB2312"/>
                <w:color w:val="auto"/>
                <w:sz w:val="30"/>
                <w:szCs w:val="30"/>
                <w:highlight w:val="none"/>
              </w:rPr>
            </w:pPr>
          </w:p>
        </w:tc>
        <w:tc>
          <w:tcPr>
            <w:tcW w:w="992" w:type="dxa"/>
            <w:noWrap w:val="0"/>
            <w:vAlign w:val="center"/>
          </w:tcPr>
          <w:p w14:paraId="5DAE21C4">
            <w:pPr>
              <w:jc w:val="center"/>
              <w:rPr>
                <w:rFonts w:eastAsia="仿宋_GB2312"/>
                <w:color w:val="auto"/>
                <w:sz w:val="30"/>
                <w:szCs w:val="30"/>
                <w:highlight w:val="none"/>
              </w:rPr>
            </w:pPr>
          </w:p>
        </w:tc>
        <w:tc>
          <w:tcPr>
            <w:tcW w:w="851" w:type="dxa"/>
            <w:noWrap w:val="0"/>
            <w:vAlign w:val="center"/>
          </w:tcPr>
          <w:p w14:paraId="40F8EA5D">
            <w:pPr>
              <w:jc w:val="center"/>
              <w:rPr>
                <w:rFonts w:eastAsia="仿宋_GB2312"/>
                <w:color w:val="auto"/>
                <w:sz w:val="30"/>
                <w:szCs w:val="30"/>
                <w:highlight w:val="none"/>
              </w:rPr>
            </w:pPr>
          </w:p>
        </w:tc>
        <w:tc>
          <w:tcPr>
            <w:tcW w:w="1487" w:type="dxa"/>
            <w:noWrap w:val="0"/>
            <w:vAlign w:val="center"/>
          </w:tcPr>
          <w:p w14:paraId="4C66BE7A">
            <w:pPr>
              <w:jc w:val="center"/>
              <w:rPr>
                <w:rFonts w:eastAsia="仿宋_GB2312"/>
                <w:color w:val="auto"/>
                <w:sz w:val="30"/>
                <w:szCs w:val="30"/>
                <w:highlight w:val="none"/>
              </w:rPr>
            </w:pPr>
          </w:p>
        </w:tc>
        <w:tc>
          <w:tcPr>
            <w:tcW w:w="992" w:type="dxa"/>
            <w:noWrap w:val="0"/>
            <w:vAlign w:val="center"/>
          </w:tcPr>
          <w:p w14:paraId="6D996713">
            <w:pPr>
              <w:jc w:val="center"/>
              <w:rPr>
                <w:rFonts w:eastAsia="仿宋_GB2312"/>
                <w:color w:val="auto"/>
                <w:sz w:val="30"/>
                <w:szCs w:val="30"/>
                <w:highlight w:val="none"/>
              </w:rPr>
            </w:pPr>
          </w:p>
        </w:tc>
      </w:tr>
    </w:tbl>
    <w:p w14:paraId="5231FA6F">
      <w:pPr>
        <w:spacing w:line="440" w:lineRule="exact"/>
        <w:rPr>
          <w:rFonts w:eastAsia="仿宋_GB2312"/>
          <w:color w:val="auto"/>
          <w:sz w:val="30"/>
          <w:szCs w:val="30"/>
          <w:highlight w:val="none"/>
        </w:rPr>
      </w:pPr>
    </w:p>
    <w:p w14:paraId="25E50AAE">
      <w:pPr>
        <w:bidi w:val="0"/>
        <w:rPr>
          <w:rFonts w:hint="eastAsia" w:ascii="仿宋" w:hAnsi="仿宋" w:eastAsia="仿宋" w:cs="仿宋"/>
          <w:color w:val="auto"/>
          <w:sz w:val="28"/>
          <w:szCs w:val="28"/>
          <w:highlight w:val="none"/>
        </w:rPr>
      </w:pPr>
    </w:p>
    <w:p w14:paraId="5C7330B9">
      <w:pPr>
        <w:bidi w:val="0"/>
        <w:jc w:val="both"/>
        <w:rPr>
          <w:rFonts w:hint="eastAsia" w:ascii="仿宋" w:hAnsi="仿宋" w:eastAsia="仿宋" w:cs="仿宋"/>
          <w:color w:val="auto"/>
          <w:sz w:val="30"/>
          <w:szCs w:val="30"/>
          <w:highlight w:val="none"/>
        </w:rPr>
      </w:pPr>
      <w:r>
        <w:rPr>
          <w:rFonts w:hint="eastAsia" w:ascii="仿宋" w:hAnsi="仿宋" w:eastAsia="仿宋" w:cs="仿宋"/>
          <w:color w:val="auto"/>
          <w:sz w:val="28"/>
          <w:szCs w:val="28"/>
          <w:highlight w:val="none"/>
        </w:rPr>
        <w:t>附</w:t>
      </w:r>
      <w:bookmarkStart w:id="1541" w:name="_Toc296503226"/>
      <w:bookmarkStart w:id="1542" w:name="_Toc296891266"/>
      <w:bookmarkStart w:id="1543" w:name="_Toc296944565"/>
      <w:bookmarkStart w:id="1544" w:name="_Toc296891054"/>
      <w:bookmarkStart w:id="1545" w:name="_Toc296346727"/>
      <w:bookmarkStart w:id="1546" w:name="_Toc267261693"/>
      <w:bookmarkStart w:id="1547" w:name="_Toc296347225"/>
      <w:r>
        <w:rPr>
          <w:rFonts w:hint="eastAsia" w:ascii="仿宋" w:hAnsi="仿宋" w:eastAsia="仿宋" w:cs="仿宋"/>
          <w:color w:val="auto"/>
          <w:sz w:val="28"/>
          <w:szCs w:val="28"/>
          <w:highlight w:val="none"/>
        </w:rPr>
        <w:t>件3：</w:t>
      </w:r>
      <w:bookmarkEnd w:id="1541"/>
      <w:bookmarkEnd w:id="1542"/>
      <w:bookmarkEnd w:id="1543"/>
      <w:bookmarkEnd w:id="1544"/>
      <w:bookmarkEnd w:id="1545"/>
      <w:bookmarkEnd w:id="1546"/>
      <w:bookmarkEnd w:id="1547"/>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30"/>
          <w:szCs w:val="30"/>
          <w:highlight w:val="none"/>
        </w:rPr>
        <w:t>工程质量保修书</w:t>
      </w:r>
    </w:p>
    <w:p w14:paraId="2DC799B6">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发包人（全称）：</w:t>
      </w:r>
      <w:r>
        <w:rPr>
          <w:rFonts w:hint="eastAsia" w:ascii="仿宋" w:hAnsi="仿宋" w:eastAsia="仿宋" w:cs="仿宋"/>
          <w:color w:val="auto"/>
          <w:sz w:val="24"/>
          <w:szCs w:val="24"/>
          <w:highlight w:val="none"/>
          <w:u w:val="single"/>
          <w:lang w:eastAsia="zh-CN"/>
        </w:rPr>
        <w:t>驻马店市中医院</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0D1A2C69">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 </w:t>
      </w:r>
    </w:p>
    <w:p w14:paraId="31AA7BF8">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发包人和承包人根据《中华人民共和国建筑法》和《建设工程质量管理条例》，经协商一致就</w:t>
      </w:r>
      <w:r>
        <w:rPr>
          <w:rFonts w:hint="eastAsia" w:ascii="仿宋" w:hAnsi="仿宋" w:eastAsia="仿宋" w:cs="仿宋"/>
          <w:color w:val="auto"/>
          <w:sz w:val="24"/>
          <w:szCs w:val="24"/>
          <w:highlight w:val="none"/>
          <w:u w:val="single"/>
          <w:lang w:eastAsia="zh-CN"/>
        </w:rPr>
        <w:t>驻马店市中医院病房改造及能力提升项目</w:t>
      </w:r>
      <w:r>
        <w:rPr>
          <w:rFonts w:hint="eastAsia" w:ascii="仿宋" w:hAnsi="仿宋" w:eastAsia="仿宋" w:cs="仿宋"/>
          <w:color w:val="auto"/>
          <w:sz w:val="24"/>
          <w:szCs w:val="24"/>
          <w:highlight w:val="none"/>
        </w:rPr>
        <w:t>（工程全称）签订工程质量保修书。</w:t>
      </w:r>
    </w:p>
    <w:p w14:paraId="3A7D90A3">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bookmarkStart w:id="1548" w:name="_Toc6714"/>
      <w:r>
        <w:rPr>
          <w:rFonts w:hint="eastAsia" w:ascii="仿宋" w:hAnsi="仿宋" w:eastAsia="仿宋" w:cs="仿宋"/>
          <w:b/>
          <w:bCs/>
          <w:color w:val="auto"/>
          <w:sz w:val="24"/>
          <w:szCs w:val="24"/>
          <w:highlight w:val="none"/>
        </w:rPr>
        <w:t>一、工程质量保修范围和内容</w:t>
      </w:r>
      <w:bookmarkEnd w:id="1548"/>
    </w:p>
    <w:p w14:paraId="413B3D2D">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承包人在质量保修期内，按照有关法律规定和合同约定，承担工程质量保修责任。</w:t>
      </w:r>
    </w:p>
    <w:p w14:paraId="050AAA14">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EE76703">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执行国家的工程质量保修规定和承包人投标文件中所承诺内容，招标文件及合同所要求的内容。</w:t>
      </w:r>
    </w:p>
    <w:p w14:paraId="0CA6DD6E">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b/>
          <w:bCs/>
          <w:color w:val="auto"/>
          <w:sz w:val="24"/>
          <w:szCs w:val="24"/>
          <w:highlight w:val="none"/>
        </w:rPr>
      </w:pPr>
      <w:bookmarkStart w:id="1549" w:name="_Toc28390"/>
      <w:r>
        <w:rPr>
          <w:rFonts w:hint="eastAsia" w:ascii="仿宋" w:hAnsi="仿宋" w:eastAsia="仿宋" w:cs="仿宋"/>
          <w:b/>
          <w:bCs/>
          <w:color w:val="auto"/>
          <w:sz w:val="24"/>
          <w:szCs w:val="24"/>
          <w:highlight w:val="none"/>
        </w:rPr>
        <w:t>二、质量保修期</w:t>
      </w:r>
      <w:bookmarkEnd w:id="1549"/>
    </w:p>
    <w:p w14:paraId="2E91BBB2">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根据《建设工程质量管理条例》及有关规定，工程的质量保修期如下：</w:t>
      </w:r>
    </w:p>
    <w:p w14:paraId="37406485">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地基基础工程和主体结构工程为设计文件规定的工程合理使用年限 ；</w:t>
      </w:r>
    </w:p>
    <w:p w14:paraId="1581BCB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屋面防水工程、有防水要求的卫生间、房间和外墙面的防渗为</w:t>
      </w:r>
      <w:r>
        <w:rPr>
          <w:rFonts w:hint="eastAsia" w:ascii="仿宋" w:hAnsi="仿宋" w:eastAsia="仿宋" w:cs="仿宋"/>
          <w:color w:val="auto"/>
          <w:sz w:val="24"/>
          <w:szCs w:val="24"/>
          <w:highlight w:val="none"/>
          <w:u w:val="single"/>
        </w:rPr>
        <w:t>5</w:t>
      </w:r>
      <w:r>
        <w:rPr>
          <w:rFonts w:hint="eastAsia" w:ascii="仿宋" w:hAnsi="仿宋" w:eastAsia="仿宋" w:cs="仿宋"/>
          <w:color w:val="auto"/>
          <w:sz w:val="24"/>
          <w:szCs w:val="24"/>
          <w:highlight w:val="none"/>
        </w:rPr>
        <w:t>年；</w:t>
      </w:r>
    </w:p>
    <w:p w14:paraId="5282FE3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3．装修工程为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年；</w:t>
      </w:r>
    </w:p>
    <w:p w14:paraId="163F635F">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4．电气管线、给排水管道、设备安装工程为</w:t>
      </w:r>
      <w:r>
        <w:rPr>
          <w:rFonts w:hint="eastAsia" w:ascii="仿宋" w:hAnsi="仿宋" w:eastAsia="仿宋" w:cs="仿宋"/>
          <w:color w:val="auto"/>
          <w:sz w:val="24"/>
          <w:szCs w:val="24"/>
          <w:highlight w:val="none"/>
          <w:u w:val="single"/>
        </w:rPr>
        <w:t xml:space="preserve">2 </w:t>
      </w:r>
      <w:r>
        <w:rPr>
          <w:rFonts w:hint="eastAsia" w:ascii="仿宋" w:hAnsi="仿宋" w:eastAsia="仿宋" w:cs="仿宋"/>
          <w:color w:val="auto"/>
          <w:sz w:val="24"/>
          <w:szCs w:val="24"/>
          <w:highlight w:val="none"/>
        </w:rPr>
        <w:t>年；</w:t>
      </w:r>
    </w:p>
    <w:p w14:paraId="70412320">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5．供热与供冷系统为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个采暖期、供冷期；</w:t>
      </w:r>
    </w:p>
    <w:p w14:paraId="7CE278A8">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6．住宅小区内的给排水设施、道路等配套工程为</w:t>
      </w:r>
      <w:r>
        <w:rPr>
          <w:rFonts w:hint="eastAsia" w:ascii="仿宋" w:hAnsi="仿宋" w:eastAsia="仿宋" w:cs="仿宋"/>
          <w:color w:val="auto"/>
          <w:sz w:val="24"/>
          <w:szCs w:val="24"/>
          <w:highlight w:val="none"/>
          <w:u w:val="single"/>
        </w:rPr>
        <w:t xml:space="preserve"> 2</w:t>
      </w:r>
      <w:r>
        <w:rPr>
          <w:rFonts w:hint="eastAsia" w:ascii="仿宋" w:hAnsi="仿宋" w:eastAsia="仿宋" w:cs="仿宋"/>
          <w:color w:val="auto"/>
          <w:sz w:val="24"/>
          <w:szCs w:val="24"/>
          <w:highlight w:val="none"/>
        </w:rPr>
        <w:t>年；</w:t>
      </w:r>
    </w:p>
    <w:p w14:paraId="39C9FDF1">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7．其他项目保修期限约定如下：</w:t>
      </w:r>
      <w:r>
        <w:rPr>
          <w:rFonts w:hint="eastAsia" w:ascii="仿宋" w:hAnsi="仿宋" w:eastAsia="仿宋" w:cs="仿宋"/>
          <w:color w:val="auto"/>
          <w:sz w:val="24"/>
          <w:szCs w:val="24"/>
          <w:highlight w:val="none"/>
          <w:u w:val="single"/>
        </w:rPr>
        <w:t>根据具体情况双方另行协商，签订补 充说明，该说明与工程质量保修书具有同等法律效力。</w:t>
      </w:r>
    </w:p>
    <w:p w14:paraId="4FCD48F8">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质量保修期自工程竣工验收合格之日起计算。</w:t>
      </w:r>
    </w:p>
    <w:p w14:paraId="6C759B4D">
      <w:pPr>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eastAsia" w:ascii="仿宋" w:hAnsi="仿宋" w:eastAsia="仿宋" w:cs="仿宋"/>
          <w:b/>
          <w:bCs/>
          <w:color w:val="auto"/>
          <w:sz w:val="24"/>
          <w:szCs w:val="24"/>
          <w:highlight w:val="none"/>
        </w:rPr>
      </w:pPr>
      <w:bookmarkStart w:id="1550" w:name="_Toc3556"/>
      <w:r>
        <w:rPr>
          <w:rFonts w:hint="eastAsia" w:ascii="仿宋" w:hAnsi="仿宋" w:eastAsia="仿宋" w:cs="仿宋"/>
          <w:b/>
          <w:bCs/>
          <w:color w:val="auto"/>
          <w:sz w:val="24"/>
          <w:szCs w:val="24"/>
          <w:highlight w:val="none"/>
        </w:rPr>
        <w:t>三、缺陷责任期</w:t>
      </w:r>
      <w:bookmarkEnd w:id="1550"/>
    </w:p>
    <w:p w14:paraId="72EDE9C9">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工程缺陷责任期为</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个月，缺陷责任期自工程通过竣工验收之日起计算。单位工程先于全部工程进行验收，单位工程缺陷责任期自单位工程验收合格之日起算。缺陷责任期终止后，发包人应退还剩余的质量保证金。</w:t>
      </w:r>
    </w:p>
    <w:p w14:paraId="0C2FA822">
      <w:pPr>
        <w:keepNext w:val="0"/>
        <w:keepLines w:val="0"/>
        <w:pageBreakBefore w:val="0"/>
        <w:widowControl w:val="0"/>
        <w:kinsoku/>
        <w:wordWrap/>
        <w:overflowPunct/>
        <w:topLinePunct w:val="0"/>
        <w:autoSpaceDE/>
        <w:autoSpaceDN/>
        <w:bidi w:val="0"/>
        <w:adjustRightInd/>
        <w:snapToGrid/>
        <w:spacing w:line="480" w:lineRule="exact"/>
        <w:ind w:firstLine="241" w:firstLineChars="100"/>
        <w:textAlignment w:val="auto"/>
        <w:rPr>
          <w:rFonts w:hint="eastAsia" w:ascii="仿宋" w:hAnsi="仿宋" w:eastAsia="仿宋" w:cs="仿宋"/>
          <w:color w:val="auto"/>
          <w:sz w:val="24"/>
          <w:szCs w:val="24"/>
          <w:highlight w:val="none"/>
        </w:rPr>
      </w:pPr>
      <w:bookmarkStart w:id="1551" w:name="_Toc13015"/>
      <w:r>
        <w:rPr>
          <w:rFonts w:hint="eastAsia" w:ascii="仿宋" w:hAnsi="仿宋" w:eastAsia="仿宋" w:cs="仿宋"/>
          <w:b/>
          <w:bCs/>
          <w:color w:val="auto"/>
          <w:sz w:val="24"/>
          <w:szCs w:val="24"/>
          <w:highlight w:val="none"/>
        </w:rPr>
        <w:t>四、质量保修责任</w:t>
      </w:r>
      <w:bookmarkEnd w:id="1551"/>
    </w:p>
    <w:p w14:paraId="4A442962">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1．属于保修范围、内容的项目，承包人应当在接到保修通知之日起7天内派人保修。承包人不在约定期限内派人保修的，发包人可以委托他人修理。</w:t>
      </w:r>
    </w:p>
    <w:p w14:paraId="11AB4B62">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2．发生紧急事故需抢修的，承包人在接到事故通知后，应当立即到达事故现场抢修。</w:t>
      </w:r>
    </w:p>
    <w:p w14:paraId="690D4085">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BF2B704">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4．质量保修完成后，由发包人组织验收。</w:t>
      </w:r>
    </w:p>
    <w:p w14:paraId="689B2ECF">
      <w:pPr>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eastAsia" w:ascii="仿宋" w:hAnsi="仿宋" w:eastAsia="仿宋" w:cs="仿宋"/>
          <w:color w:val="auto"/>
          <w:sz w:val="24"/>
          <w:szCs w:val="24"/>
          <w:highlight w:val="none"/>
        </w:rPr>
      </w:pPr>
      <w:bookmarkStart w:id="1552" w:name="_Toc29547"/>
      <w:r>
        <w:rPr>
          <w:rFonts w:hint="eastAsia" w:ascii="仿宋" w:hAnsi="仿宋" w:eastAsia="仿宋" w:cs="仿宋"/>
          <w:b/>
          <w:bCs/>
          <w:color w:val="auto"/>
          <w:sz w:val="24"/>
          <w:szCs w:val="24"/>
          <w:highlight w:val="none"/>
        </w:rPr>
        <w:t>五、保修费用</w:t>
      </w:r>
      <w:bookmarkEnd w:id="1552"/>
    </w:p>
    <w:p w14:paraId="0F02B384">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保修费用由造成质量缺陷的责任方承担。</w:t>
      </w:r>
    </w:p>
    <w:p w14:paraId="2FA1B9DD">
      <w:pPr>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六、双方约定的其他工程质量保修事项</w:t>
      </w:r>
    </w:p>
    <w:p w14:paraId="231A0DA2">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根据《建设工程质量管理条例》规定，建设工程在保修范国和保修期限内发生质量问题的，施工单位应当履行保修义务，并对造成的损失承担赔偿责任。由于施工质量发生的保修责任和赔偿责任包括但不限于如下内 容 ：</w:t>
      </w:r>
    </w:p>
    <w:p w14:paraId="39ED8CFC">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(1)因保修施工发生的直接费用和间接费用；</w:t>
      </w:r>
    </w:p>
    <w:p w14:paraId="6F5D84ED">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(2)因实施保修工程而对其他专业工程的拆改费用；</w:t>
      </w:r>
    </w:p>
    <w:p w14:paraId="1773D328">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(3)因实施保修工程(含质量事故发生后的所有时间)而产生的其他专业工程误工费用；</w:t>
      </w:r>
    </w:p>
    <w:p w14:paraId="6C458B2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(4)因建筑产品质量瑕疵发生的人身伤害赔偿；</w:t>
      </w:r>
    </w:p>
    <w:p w14:paraId="788DDD95">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(5)业主提出的精神损失，并得到审批机关支持的赔偿；</w:t>
      </w:r>
    </w:p>
    <w:p w14:paraId="4E382CCF">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(6)其他由于施工质量引起的赔偿和损失。</w:t>
      </w:r>
    </w:p>
    <w:p w14:paraId="4B49EF2E">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工程质量保修书由发包人、承包人在工程竣工验收前共同签署，作为施工合同附件，其有效期限至保修期满。</w:t>
      </w:r>
    </w:p>
    <w:p w14:paraId="22DEA81E">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发包人(公章)：</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 xml:space="preserve"> 承包人(公章)：</w:t>
      </w:r>
      <w:r>
        <w:rPr>
          <w:rFonts w:hint="eastAsia" w:ascii="仿宋" w:hAnsi="仿宋" w:eastAsia="仿宋" w:cs="仿宋"/>
          <w:color w:val="auto"/>
          <w:sz w:val="24"/>
          <w:szCs w:val="24"/>
          <w:highlight w:val="none"/>
          <w:u w:val="single"/>
        </w:rPr>
        <w:t xml:space="preserve">           </w:t>
      </w:r>
    </w:p>
    <w:p w14:paraId="60ED359A">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地  址：</w:t>
      </w:r>
      <w:r>
        <w:rPr>
          <w:rFonts w:hint="eastAsia" w:ascii="仿宋" w:hAnsi="仿宋" w:eastAsia="仿宋" w:cs="仿宋"/>
          <w:color w:val="auto"/>
          <w:sz w:val="24"/>
          <w:szCs w:val="24"/>
          <w:highlight w:val="none"/>
          <w:u w:val="single"/>
        </w:rPr>
        <w:t xml:space="preserve">       </w:t>
      </w:r>
    </w:p>
    <w:p w14:paraId="6BCDF634">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法定代表人(签字)：</w:t>
      </w:r>
      <w:r>
        <w:rPr>
          <w:rFonts w:hint="eastAsia" w:ascii="仿宋" w:hAnsi="仿宋" w:eastAsia="仿宋" w:cs="仿宋"/>
          <w:color w:val="auto"/>
          <w:sz w:val="24"/>
          <w:szCs w:val="24"/>
          <w:highlight w:val="none"/>
          <w:u w:val="single"/>
        </w:rPr>
        <w:t xml:space="preserve">       </w:t>
      </w:r>
    </w:p>
    <w:p w14:paraId="2651C53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委托代理人(签字)：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委托代理人(签字)：</w:t>
      </w:r>
      <w:r>
        <w:rPr>
          <w:rFonts w:hint="eastAsia" w:ascii="仿宋" w:hAnsi="仿宋" w:eastAsia="仿宋" w:cs="仿宋"/>
          <w:color w:val="auto"/>
          <w:sz w:val="24"/>
          <w:szCs w:val="24"/>
          <w:highlight w:val="none"/>
          <w:u w:val="single"/>
        </w:rPr>
        <w:t xml:space="preserve">       </w:t>
      </w:r>
    </w:p>
    <w:p w14:paraId="6C1934B5">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电  话：</w:t>
      </w:r>
      <w:r>
        <w:rPr>
          <w:rFonts w:hint="eastAsia" w:ascii="仿宋" w:hAnsi="仿宋" w:eastAsia="仿宋" w:cs="仿宋"/>
          <w:color w:val="auto"/>
          <w:sz w:val="24"/>
          <w:szCs w:val="24"/>
          <w:highlight w:val="none"/>
          <w:u w:val="single"/>
        </w:rPr>
        <w:t xml:space="preserve">     </w:t>
      </w:r>
    </w:p>
    <w:p w14:paraId="0E775B03">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传  真：</w:t>
      </w:r>
      <w:r>
        <w:rPr>
          <w:rFonts w:hint="eastAsia" w:ascii="仿宋" w:hAnsi="仿宋" w:eastAsia="仿宋" w:cs="仿宋"/>
          <w:color w:val="auto"/>
          <w:sz w:val="24"/>
          <w:szCs w:val="24"/>
          <w:highlight w:val="none"/>
          <w:u w:val="single"/>
        </w:rPr>
        <w:t xml:space="preserve">     </w:t>
      </w:r>
    </w:p>
    <w:p w14:paraId="36666B7C">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开户银行：</w:t>
      </w:r>
      <w:r>
        <w:rPr>
          <w:rFonts w:hint="eastAsia" w:ascii="仿宋" w:hAnsi="仿宋" w:eastAsia="仿宋" w:cs="仿宋"/>
          <w:color w:val="auto"/>
          <w:sz w:val="24"/>
          <w:szCs w:val="24"/>
          <w:highlight w:val="none"/>
          <w:u w:val="single"/>
        </w:rPr>
        <w:t xml:space="preserve">   </w:t>
      </w:r>
    </w:p>
    <w:p w14:paraId="35F124EB">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  号：</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账  号：</w:t>
      </w:r>
      <w:r>
        <w:rPr>
          <w:rFonts w:hint="eastAsia" w:ascii="仿宋" w:hAnsi="仿宋" w:eastAsia="仿宋" w:cs="仿宋"/>
          <w:color w:val="auto"/>
          <w:sz w:val="24"/>
          <w:szCs w:val="24"/>
          <w:highlight w:val="none"/>
          <w:u w:val="single"/>
        </w:rPr>
        <w:t xml:space="preserve">     </w:t>
      </w:r>
    </w:p>
    <w:p w14:paraId="50254D70">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eastAsia="黑体"/>
          <w:color w:val="auto"/>
          <w:sz w:val="30"/>
          <w:szCs w:val="30"/>
          <w:highlight w:val="non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邮政编码：</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rPr>
        <w:br w:type="page"/>
      </w:r>
      <w:r>
        <w:rPr>
          <w:rFonts w:hint="eastAsia" w:ascii="仿宋" w:hAnsi="仿宋" w:eastAsia="仿宋" w:cs="仿宋"/>
          <w:color w:val="auto"/>
          <w:sz w:val="30"/>
          <w:szCs w:val="30"/>
          <w:highlight w:val="none"/>
          <w:u w:val="none"/>
          <w:lang w:val="en-US" w:eastAsia="zh-CN"/>
        </w:rPr>
        <w:t>附件4：</w:t>
      </w:r>
    </w:p>
    <w:p w14:paraId="4153D344">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主要建设工程文件目录</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7F1AD9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784D364D">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文件名称</w:t>
            </w:r>
          </w:p>
        </w:tc>
        <w:tc>
          <w:tcPr>
            <w:tcW w:w="1276" w:type="dxa"/>
            <w:tcBorders>
              <w:top w:val="single" w:color="auto" w:sz="12" w:space="0"/>
              <w:bottom w:val="double" w:color="auto" w:sz="6" w:space="0"/>
            </w:tcBorders>
            <w:noWrap w:val="0"/>
            <w:vAlign w:val="center"/>
          </w:tcPr>
          <w:p w14:paraId="623FC25B">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套数</w:t>
            </w:r>
          </w:p>
        </w:tc>
        <w:tc>
          <w:tcPr>
            <w:tcW w:w="1450" w:type="dxa"/>
            <w:tcBorders>
              <w:top w:val="single" w:color="auto" w:sz="12" w:space="0"/>
              <w:bottom w:val="double" w:color="auto" w:sz="6" w:space="0"/>
            </w:tcBorders>
            <w:noWrap w:val="0"/>
            <w:vAlign w:val="center"/>
          </w:tcPr>
          <w:p w14:paraId="7B491195">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费用（元）</w:t>
            </w:r>
          </w:p>
        </w:tc>
        <w:tc>
          <w:tcPr>
            <w:tcW w:w="1243" w:type="dxa"/>
            <w:tcBorders>
              <w:top w:val="single" w:color="auto" w:sz="12" w:space="0"/>
              <w:bottom w:val="double" w:color="auto" w:sz="6" w:space="0"/>
            </w:tcBorders>
            <w:noWrap w:val="0"/>
            <w:vAlign w:val="center"/>
          </w:tcPr>
          <w:p w14:paraId="14D0ABA7">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质量</w:t>
            </w:r>
          </w:p>
        </w:tc>
        <w:tc>
          <w:tcPr>
            <w:tcW w:w="1450" w:type="dxa"/>
            <w:tcBorders>
              <w:top w:val="single" w:color="auto" w:sz="12" w:space="0"/>
              <w:bottom w:val="double" w:color="auto" w:sz="6" w:space="0"/>
            </w:tcBorders>
            <w:noWrap w:val="0"/>
            <w:vAlign w:val="top"/>
          </w:tcPr>
          <w:p w14:paraId="4B1BC8C9">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移交时间</w:t>
            </w:r>
          </w:p>
        </w:tc>
        <w:tc>
          <w:tcPr>
            <w:tcW w:w="1667" w:type="dxa"/>
            <w:tcBorders>
              <w:top w:val="single" w:color="auto" w:sz="12" w:space="0"/>
              <w:bottom w:val="double" w:color="auto" w:sz="6" w:space="0"/>
            </w:tcBorders>
            <w:noWrap w:val="0"/>
            <w:vAlign w:val="top"/>
          </w:tcPr>
          <w:p w14:paraId="48345235">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责任人</w:t>
            </w:r>
          </w:p>
        </w:tc>
      </w:tr>
      <w:tr w14:paraId="23B6AA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422B662C">
            <w:pPr>
              <w:pStyle w:val="9"/>
              <w:keepNext/>
              <w:spacing w:after="0" w:line="440" w:lineRule="exact"/>
              <w:ind w:left="63" w:right="63"/>
              <w:rPr>
                <w:rFonts w:eastAsia="仿宋_GB2312"/>
                <w:color w:val="auto"/>
                <w:kern w:val="2"/>
                <w:sz w:val="30"/>
                <w:szCs w:val="30"/>
                <w:highlight w:val="none"/>
              </w:rPr>
            </w:pPr>
          </w:p>
        </w:tc>
        <w:tc>
          <w:tcPr>
            <w:tcW w:w="1276" w:type="dxa"/>
            <w:tcBorders>
              <w:top w:val="double" w:color="auto" w:sz="6" w:space="0"/>
              <w:bottom w:val="single" w:color="auto" w:sz="6" w:space="0"/>
            </w:tcBorders>
            <w:noWrap w:val="0"/>
            <w:vAlign w:val="center"/>
          </w:tcPr>
          <w:p w14:paraId="614B6977">
            <w:pPr>
              <w:pStyle w:val="9"/>
              <w:keepNext/>
              <w:spacing w:after="0" w:line="440" w:lineRule="exact"/>
              <w:ind w:left="63" w:right="63"/>
              <w:rPr>
                <w:rFonts w:eastAsia="仿宋_GB2312"/>
                <w:color w:val="auto"/>
                <w:kern w:val="2"/>
                <w:sz w:val="30"/>
                <w:szCs w:val="30"/>
                <w:highlight w:val="none"/>
              </w:rPr>
            </w:pPr>
          </w:p>
        </w:tc>
        <w:tc>
          <w:tcPr>
            <w:tcW w:w="1450" w:type="dxa"/>
            <w:tcBorders>
              <w:top w:val="double" w:color="auto" w:sz="6" w:space="0"/>
              <w:bottom w:val="single" w:color="auto" w:sz="6" w:space="0"/>
            </w:tcBorders>
            <w:noWrap w:val="0"/>
            <w:vAlign w:val="center"/>
          </w:tcPr>
          <w:p w14:paraId="36D2DB58">
            <w:pPr>
              <w:pStyle w:val="9"/>
              <w:keepNext/>
              <w:spacing w:after="0" w:line="440" w:lineRule="exact"/>
              <w:ind w:left="63" w:right="63"/>
              <w:rPr>
                <w:rFonts w:eastAsia="仿宋_GB2312"/>
                <w:color w:val="auto"/>
                <w:kern w:val="2"/>
                <w:sz w:val="30"/>
                <w:szCs w:val="30"/>
                <w:highlight w:val="none"/>
              </w:rPr>
            </w:pPr>
          </w:p>
        </w:tc>
        <w:tc>
          <w:tcPr>
            <w:tcW w:w="1243" w:type="dxa"/>
            <w:tcBorders>
              <w:top w:val="double" w:color="auto" w:sz="6" w:space="0"/>
              <w:bottom w:val="single" w:color="auto" w:sz="6" w:space="0"/>
            </w:tcBorders>
            <w:noWrap w:val="0"/>
            <w:vAlign w:val="center"/>
          </w:tcPr>
          <w:p w14:paraId="15FF99D8">
            <w:pPr>
              <w:pStyle w:val="9"/>
              <w:keepNext/>
              <w:spacing w:after="0" w:line="440" w:lineRule="exact"/>
              <w:ind w:left="63" w:right="63"/>
              <w:rPr>
                <w:rFonts w:eastAsia="仿宋_GB2312"/>
                <w:color w:val="auto"/>
                <w:kern w:val="2"/>
                <w:sz w:val="30"/>
                <w:szCs w:val="30"/>
                <w:highlight w:val="none"/>
              </w:rPr>
            </w:pPr>
          </w:p>
        </w:tc>
        <w:tc>
          <w:tcPr>
            <w:tcW w:w="1450" w:type="dxa"/>
            <w:tcBorders>
              <w:top w:val="double" w:color="auto" w:sz="6" w:space="0"/>
              <w:bottom w:val="single" w:color="auto" w:sz="6" w:space="0"/>
            </w:tcBorders>
            <w:noWrap w:val="0"/>
            <w:vAlign w:val="center"/>
          </w:tcPr>
          <w:p w14:paraId="603E7865">
            <w:pPr>
              <w:pStyle w:val="9"/>
              <w:keepNext/>
              <w:spacing w:after="0" w:line="440" w:lineRule="exact"/>
              <w:ind w:left="63" w:right="63"/>
              <w:rPr>
                <w:rFonts w:eastAsia="仿宋_GB2312"/>
                <w:color w:val="auto"/>
                <w:kern w:val="2"/>
                <w:sz w:val="30"/>
                <w:szCs w:val="30"/>
                <w:highlight w:val="none"/>
              </w:rPr>
            </w:pPr>
          </w:p>
        </w:tc>
        <w:tc>
          <w:tcPr>
            <w:tcW w:w="1667" w:type="dxa"/>
            <w:tcBorders>
              <w:top w:val="double" w:color="auto" w:sz="6" w:space="0"/>
              <w:bottom w:val="single" w:color="auto" w:sz="6" w:space="0"/>
            </w:tcBorders>
            <w:noWrap w:val="0"/>
            <w:vAlign w:val="center"/>
          </w:tcPr>
          <w:p w14:paraId="28C7D947">
            <w:pPr>
              <w:pStyle w:val="9"/>
              <w:keepNext/>
              <w:spacing w:after="0" w:line="440" w:lineRule="exact"/>
              <w:ind w:left="63" w:right="63"/>
              <w:rPr>
                <w:rFonts w:eastAsia="仿宋_GB2312"/>
                <w:color w:val="auto"/>
                <w:kern w:val="2"/>
                <w:sz w:val="30"/>
                <w:szCs w:val="30"/>
                <w:highlight w:val="none"/>
              </w:rPr>
            </w:pPr>
          </w:p>
        </w:tc>
      </w:tr>
      <w:tr w14:paraId="38BBDE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522FEE0E">
            <w:pPr>
              <w:pStyle w:val="9"/>
              <w:keepNext/>
              <w:spacing w:after="0" w:line="440" w:lineRule="exact"/>
              <w:ind w:left="63" w:right="63"/>
              <w:rPr>
                <w:rFonts w:eastAsia="仿宋_GB2312"/>
                <w:color w:val="auto"/>
                <w:kern w:val="2"/>
                <w:sz w:val="30"/>
                <w:szCs w:val="30"/>
                <w:highlight w:val="none"/>
              </w:rPr>
            </w:pPr>
          </w:p>
        </w:tc>
        <w:tc>
          <w:tcPr>
            <w:tcW w:w="1276" w:type="dxa"/>
            <w:tcBorders>
              <w:top w:val="nil"/>
            </w:tcBorders>
            <w:noWrap w:val="0"/>
            <w:vAlign w:val="center"/>
          </w:tcPr>
          <w:p w14:paraId="425F7519">
            <w:pPr>
              <w:pStyle w:val="9"/>
              <w:keepNext/>
              <w:spacing w:after="0" w:line="440" w:lineRule="exact"/>
              <w:ind w:left="63" w:right="63"/>
              <w:rPr>
                <w:rFonts w:eastAsia="仿宋_GB2312"/>
                <w:color w:val="auto"/>
                <w:kern w:val="2"/>
                <w:sz w:val="30"/>
                <w:szCs w:val="30"/>
                <w:highlight w:val="none"/>
              </w:rPr>
            </w:pPr>
          </w:p>
        </w:tc>
        <w:tc>
          <w:tcPr>
            <w:tcW w:w="1450" w:type="dxa"/>
            <w:tcBorders>
              <w:top w:val="nil"/>
            </w:tcBorders>
            <w:noWrap w:val="0"/>
            <w:vAlign w:val="center"/>
          </w:tcPr>
          <w:p w14:paraId="7C705005">
            <w:pPr>
              <w:pStyle w:val="9"/>
              <w:keepNext/>
              <w:spacing w:after="0" w:line="440" w:lineRule="exact"/>
              <w:ind w:left="63" w:right="63"/>
              <w:rPr>
                <w:rFonts w:eastAsia="仿宋_GB2312"/>
                <w:color w:val="auto"/>
                <w:kern w:val="2"/>
                <w:sz w:val="30"/>
                <w:szCs w:val="30"/>
                <w:highlight w:val="none"/>
              </w:rPr>
            </w:pPr>
          </w:p>
        </w:tc>
        <w:tc>
          <w:tcPr>
            <w:tcW w:w="1243" w:type="dxa"/>
            <w:tcBorders>
              <w:top w:val="nil"/>
            </w:tcBorders>
            <w:noWrap w:val="0"/>
            <w:vAlign w:val="center"/>
          </w:tcPr>
          <w:p w14:paraId="00741733">
            <w:pPr>
              <w:pStyle w:val="9"/>
              <w:keepNext/>
              <w:spacing w:after="0" w:line="440" w:lineRule="exact"/>
              <w:ind w:left="63" w:right="63"/>
              <w:rPr>
                <w:rFonts w:eastAsia="仿宋_GB2312"/>
                <w:color w:val="auto"/>
                <w:kern w:val="2"/>
                <w:sz w:val="30"/>
                <w:szCs w:val="30"/>
                <w:highlight w:val="none"/>
              </w:rPr>
            </w:pPr>
          </w:p>
        </w:tc>
        <w:tc>
          <w:tcPr>
            <w:tcW w:w="1450" w:type="dxa"/>
            <w:tcBorders>
              <w:top w:val="nil"/>
            </w:tcBorders>
            <w:noWrap w:val="0"/>
            <w:vAlign w:val="center"/>
          </w:tcPr>
          <w:p w14:paraId="69ECA4EF">
            <w:pPr>
              <w:pStyle w:val="9"/>
              <w:keepNext/>
              <w:spacing w:after="0" w:line="440" w:lineRule="exact"/>
              <w:ind w:left="63" w:right="63"/>
              <w:rPr>
                <w:rFonts w:eastAsia="仿宋_GB2312"/>
                <w:color w:val="auto"/>
                <w:kern w:val="2"/>
                <w:sz w:val="30"/>
                <w:szCs w:val="30"/>
                <w:highlight w:val="none"/>
              </w:rPr>
            </w:pPr>
          </w:p>
        </w:tc>
        <w:tc>
          <w:tcPr>
            <w:tcW w:w="1667" w:type="dxa"/>
            <w:tcBorders>
              <w:top w:val="nil"/>
            </w:tcBorders>
            <w:noWrap w:val="0"/>
            <w:vAlign w:val="center"/>
          </w:tcPr>
          <w:p w14:paraId="7EEE8665">
            <w:pPr>
              <w:pStyle w:val="9"/>
              <w:keepNext/>
              <w:spacing w:after="0" w:line="440" w:lineRule="exact"/>
              <w:ind w:left="63" w:right="63"/>
              <w:rPr>
                <w:rFonts w:eastAsia="仿宋_GB2312"/>
                <w:color w:val="auto"/>
                <w:kern w:val="2"/>
                <w:sz w:val="30"/>
                <w:szCs w:val="30"/>
                <w:highlight w:val="none"/>
              </w:rPr>
            </w:pPr>
          </w:p>
        </w:tc>
      </w:tr>
      <w:tr w14:paraId="0325F5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B0F007E">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741A70F4">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404BFEBE">
            <w:pPr>
              <w:pStyle w:val="9"/>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2E4C4777">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53E2D404">
            <w:pPr>
              <w:pStyle w:val="9"/>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3226A693">
            <w:pPr>
              <w:pStyle w:val="9"/>
              <w:keepNext/>
              <w:spacing w:after="0" w:line="440" w:lineRule="exact"/>
              <w:ind w:left="63" w:right="63"/>
              <w:rPr>
                <w:rFonts w:eastAsia="仿宋_GB2312"/>
                <w:color w:val="auto"/>
                <w:kern w:val="2"/>
                <w:sz w:val="30"/>
                <w:szCs w:val="30"/>
                <w:highlight w:val="none"/>
              </w:rPr>
            </w:pPr>
          </w:p>
        </w:tc>
      </w:tr>
      <w:tr w14:paraId="63F619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8A2A945">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434ABDB2">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7A8AC0FA">
            <w:pPr>
              <w:pStyle w:val="9"/>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41F865F2">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599721FE">
            <w:pPr>
              <w:pStyle w:val="9"/>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3BB65931">
            <w:pPr>
              <w:pStyle w:val="9"/>
              <w:keepNext/>
              <w:spacing w:after="0" w:line="440" w:lineRule="exact"/>
              <w:ind w:left="63" w:right="63"/>
              <w:rPr>
                <w:rFonts w:eastAsia="仿宋_GB2312"/>
                <w:color w:val="auto"/>
                <w:kern w:val="2"/>
                <w:sz w:val="30"/>
                <w:szCs w:val="30"/>
                <w:highlight w:val="none"/>
              </w:rPr>
            </w:pPr>
          </w:p>
        </w:tc>
      </w:tr>
      <w:tr w14:paraId="4EEA8F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F6354D3">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042C6ACC">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5D9FD4DC">
            <w:pPr>
              <w:pStyle w:val="9"/>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33EF6391">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51F4B877">
            <w:pPr>
              <w:pStyle w:val="9"/>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2FA8218E">
            <w:pPr>
              <w:pStyle w:val="9"/>
              <w:keepNext/>
              <w:spacing w:after="0" w:line="440" w:lineRule="exact"/>
              <w:ind w:left="63" w:right="63"/>
              <w:rPr>
                <w:rFonts w:eastAsia="仿宋_GB2312"/>
                <w:color w:val="auto"/>
                <w:kern w:val="2"/>
                <w:sz w:val="30"/>
                <w:szCs w:val="30"/>
                <w:highlight w:val="none"/>
              </w:rPr>
            </w:pPr>
          </w:p>
        </w:tc>
      </w:tr>
      <w:tr w14:paraId="6A5E09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E28B12C">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1198BB2F">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79D50F11">
            <w:pPr>
              <w:pStyle w:val="9"/>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7E45C631">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21144664">
            <w:pPr>
              <w:pStyle w:val="9"/>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7D152849">
            <w:pPr>
              <w:pStyle w:val="9"/>
              <w:keepNext/>
              <w:spacing w:after="0" w:line="440" w:lineRule="exact"/>
              <w:ind w:left="63" w:right="63"/>
              <w:rPr>
                <w:rFonts w:eastAsia="仿宋_GB2312"/>
                <w:color w:val="auto"/>
                <w:kern w:val="2"/>
                <w:sz w:val="30"/>
                <w:szCs w:val="30"/>
                <w:highlight w:val="none"/>
              </w:rPr>
            </w:pPr>
          </w:p>
        </w:tc>
      </w:tr>
      <w:tr w14:paraId="13B00E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C8E5379">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06278360">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123D31F7">
            <w:pPr>
              <w:pStyle w:val="9"/>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5FB35686">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153DEA9A">
            <w:pPr>
              <w:pStyle w:val="9"/>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1DF11E3B">
            <w:pPr>
              <w:pStyle w:val="9"/>
              <w:keepNext/>
              <w:spacing w:after="0" w:line="440" w:lineRule="exact"/>
              <w:ind w:left="63" w:right="63"/>
              <w:rPr>
                <w:rFonts w:eastAsia="仿宋_GB2312"/>
                <w:color w:val="auto"/>
                <w:kern w:val="2"/>
                <w:sz w:val="30"/>
                <w:szCs w:val="30"/>
                <w:highlight w:val="none"/>
              </w:rPr>
            </w:pPr>
          </w:p>
        </w:tc>
      </w:tr>
      <w:tr w14:paraId="55E7B9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611A0E7">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20472971">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51D12712">
            <w:pPr>
              <w:pStyle w:val="9"/>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69469883">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1C2200F4">
            <w:pPr>
              <w:pStyle w:val="9"/>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24603ADA">
            <w:pPr>
              <w:pStyle w:val="9"/>
              <w:keepNext/>
              <w:spacing w:after="0" w:line="440" w:lineRule="exact"/>
              <w:ind w:left="63" w:right="63"/>
              <w:rPr>
                <w:rFonts w:eastAsia="仿宋_GB2312"/>
                <w:color w:val="auto"/>
                <w:kern w:val="2"/>
                <w:sz w:val="30"/>
                <w:szCs w:val="30"/>
                <w:highlight w:val="none"/>
              </w:rPr>
            </w:pPr>
          </w:p>
        </w:tc>
      </w:tr>
      <w:tr w14:paraId="4A353A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CA6BAA7">
            <w:pPr>
              <w:rPr>
                <w:rFonts w:eastAsia="仿宋_GB2312"/>
                <w:color w:val="auto"/>
                <w:sz w:val="30"/>
                <w:szCs w:val="30"/>
                <w:highlight w:val="none"/>
              </w:rPr>
            </w:pPr>
          </w:p>
        </w:tc>
        <w:tc>
          <w:tcPr>
            <w:tcW w:w="1276" w:type="dxa"/>
            <w:noWrap w:val="0"/>
            <w:vAlign w:val="top"/>
          </w:tcPr>
          <w:p w14:paraId="7E0441B5">
            <w:pPr>
              <w:rPr>
                <w:rFonts w:eastAsia="仿宋_GB2312"/>
                <w:color w:val="auto"/>
                <w:sz w:val="30"/>
                <w:szCs w:val="30"/>
                <w:highlight w:val="none"/>
              </w:rPr>
            </w:pPr>
          </w:p>
        </w:tc>
        <w:tc>
          <w:tcPr>
            <w:tcW w:w="1450" w:type="dxa"/>
            <w:noWrap w:val="0"/>
            <w:vAlign w:val="top"/>
          </w:tcPr>
          <w:p w14:paraId="0AA95217">
            <w:pPr>
              <w:rPr>
                <w:rFonts w:eastAsia="仿宋_GB2312"/>
                <w:color w:val="auto"/>
                <w:sz w:val="30"/>
                <w:szCs w:val="30"/>
                <w:highlight w:val="none"/>
              </w:rPr>
            </w:pPr>
          </w:p>
        </w:tc>
        <w:tc>
          <w:tcPr>
            <w:tcW w:w="1243" w:type="dxa"/>
            <w:noWrap w:val="0"/>
            <w:vAlign w:val="top"/>
          </w:tcPr>
          <w:p w14:paraId="3BB864E2">
            <w:pPr>
              <w:rPr>
                <w:rFonts w:eastAsia="仿宋_GB2312"/>
                <w:color w:val="auto"/>
                <w:sz w:val="30"/>
                <w:szCs w:val="30"/>
                <w:highlight w:val="none"/>
              </w:rPr>
            </w:pPr>
          </w:p>
        </w:tc>
        <w:tc>
          <w:tcPr>
            <w:tcW w:w="1450" w:type="dxa"/>
            <w:noWrap w:val="0"/>
            <w:vAlign w:val="top"/>
          </w:tcPr>
          <w:p w14:paraId="537A2921">
            <w:pPr>
              <w:rPr>
                <w:rFonts w:eastAsia="仿宋_GB2312"/>
                <w:color w:val="auto"/>
                <w:sz w:val="30"/>
                <w:szCs w:val="30"/>
                <w:highlight w:val="none"/>
              </w:rPr>
            </w:pPr>
          </w:p>
        </w:tc>
        <w:tc>
          <w:tcPr>
            <w:tcW w:w="1667" w:type="dxa"/>
            <w:noWrap w:val="0"/>
            <w:vAlign w:val="top"/>
          </w:tcPr>
          <w:p w14:paraId="33C7104A">
            <w:pPr>
              <w:rPr>
                <w:rFonts w:eastAsia="仿宋_GB2312"/>
                <w:color w:val="auto"/>
                <w:sz w:val="30"/>
                <w:szCs w:val="30"/>
                <w:highlight w:val="none"/>
              </w:rPr>
            </w:pPr>
          </w:p>
        </w:tc>
      </w:tr>
      <w:tr w14:paraId="66C38B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9D31A02">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23B6ACC7">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4D188D54">
            <w:pPr>
              <w:pStyle w:val="9"/>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1C8B8EB6">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400FC509">
            <w:pPr>
              <w:pStyle w:val="9"/>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5B7D4681">
            <w:pPr>
              <w:pStyle w:val="9"/>
              <w:keepNext/>
              <w:spacing w:after="0" w:line="440" w:lineRule="exact"/>
              <w:ind w:left="63" w:right="63"/>
              <w:rPr>
                <w:rFonts w:eastAsia="仿宋_GB2312"/>
                <w:color w:val="auto"/>
                <w:kern w:val="2"/>
                <w:sz w:val="30"/>
                <w:szCs w:val="30"/>
                <w:highlight w:val="none"/>
              </w:rPr>
            </w:pPr>
          </w:p>
        </w:tc>
      </w:tr>
      <w:tr w14:paraId="7495B1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E6BF05D">
            <w:pPr>
              <w:rPr>
                <w:rFonts w:eastAsia="仿宋_GB2312"/>
                <w:color w:val="auto"/>
                <w:sz w:val="30"/>
                <w:szCs w:val="30"/>
                <w:highlight w:val="none"/>
              </w:rPr>
            </w:pPr>
          </w:p>
        </w:tc>
        <w:tc>
          <w:tcPr>
            <w:tcW w:w="1276" w:type="dxa"/>
            <w:noWrap w:val="0"/>
            <w:vAlign w:val="top"/>
          </w:tcPr>
          <w:p w14:paraId="0EAC6CAA">
            <w:pPr>
              <w:rPr>
                <w:rFonts w:eastAsia="仿宋_GB2312"/>
                <w:color w:val="auto"/>
                <w:sz w:val="30"/>
                <w:szCs w:val="30"/>
                <w:highlight w:val="none"/>
              </w:rPr>
            </w:pPr>
          </w:p>
        </w:tc>
        <w:tc>
          <w:tcPr>
            <w:tcW w:w="1450" w:type="dxa"/>
            <w:noWrap w:val="0"/>
            <w:vAlign w:val="top"/>
          </w:tcPr>
          <w:p w14:paraId="12C04D65">
            <w:pPr>
              <w:rPr>
                <w:rFonts w:eastAsia="仿宋_GB2312"/>
                <w:color w:val="auto"/>
                <w:sz w:val="30"/>
                <w:szCs w:val="30"/>
                <w:highlight w:val="none"/>
              </w:rPr>
            </w:pPr>
          </w:p>
        </w:tc>
        <w:tc>
          <w:tcPr>
            <w:tcW w:w="1243" w:type="dxa"/>
            <w:noWrap w:val="0"/>
            <w:vAlign w:val="top"/>
          </w:tcPr>
          <w:p w14:paraId="37BAC042">
            <w:pPr>
              <w:rPr>
                <w:rFonts w:eastAsia="仿宋_GB2312"/>
                <w:color w:val="auto"/>
                <w:sz w:val="30"/>
                <w:szCs w:val="30"/>
                <w:highlight w:val="none"/>
              </w:rPr>
            </w:pPr>
          </w:p>
        </w:tc>
        <w:tc>
          <w:tcPr>
            <w:tcW w:w="1450" w:type="dxa"/>
            <w:noWrap w:val="0"/>
            <w:vAlign w:val="top"/>
          </w:tcPr>
          <w:p w14:paraId="77A75285">
            <w:pPr>
              <w:rPr>
                <w:rFonts w:eastAsia="仿宋_GB2312"/>
                <w:color w:val="auto"/>
                <w:sz w:val="30"/>
                <w:szCs w:val="30"/>
                <w:highlight w:val="none"/>
              </w:rPr>
            </w:pPr>
          </w:p>
        </w:tc>
        <w:tc>
          <w:tcPr>
            <w:tcW w:w="1667" w:type="dxa"/>
            <w:noWrap w:val="0"/>
            <w:vAlign w:val="top"/>
          </w:tcPr>
          <w:p w14:paraId="74FC1A11">
            <w:pPr>
              <w:rPr>
                <w:rFonts w:eastAsia="仿宋_GB2312"/>
                <w:color w:val="auto"/>
                <w:sz w:val="30"/>
                <w:szCs w:val="30"/>
                <w:highlight w:val="none"/>
              </w:rPr>
            </w:pPr>
          </w:p>
        </w:tc>
      </w:tr>
      <w:tr w14:paraId="3272B0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0EC2C90">
            <w:pPr>
              <w:rPr>
                <w:rFonts w:eastAsia="仿宋_GB2312"/>
                <w:color w:val="auto"/>
                <w:sz w:val="30"/>
                <w:szCs w:val="30"/>
                <w:highlight w:val="none"/>
              </w:rPr>
            </w:pPr>
          </w:p>
        </w:tc>
        <w:tc>
          <w:tcPr>
            <w:tcW w:w="1276" w:type="dxa"/>
            <w:noWrap w:val="0"/>
            <w:vAlign w:val="top"/>
          </w:tcPr>
          <w:p w14:paraId="739992C9">
            <w:pPr>
              <w:rPr>
                <w:rFonts w:eastAsia="仿宋_GB2312"/>
                <w:color w:val="auto"/>
                <w:sz w:val="30"/>
                <w:szCs w:val="30"/>
                <w:highlight w:val="none"/>
              </w:rPr>
            </w:pPr>
          </w:p>
        </w:tc>
        <w:tc>
          <w:tcPr>
            <w:tcW w:w="1450" w:type="dxa"/>
            <w:noWrap w:val="0"/>
            <w:vAlign w:val="top"/>
          </w:tcPr>
          <w:p w14:paraId="1FE7D7F3">
            <w:pPr>
              <w:rPr>
                <w:rFonts w:eastAsia="仿宋_GB2312"/>
                <w:color w:val="auto"/>
                <w:sz w:val="30"/>
                <w:szCs w:val="30"/>
                <w:highlight w:val="none"/>
              </w:rPr>
            </w:pPr>
          </w:p>
        </w:tc>
        <w:tc>
          <w:tcPr>
            <w:tcW w:w="1243" w:type="dxa"/>
            <w:noWrap w:val="0"/>
            <w:vAlign w:val="top"/>
          </w:tcPr>
          <w:p w14:paraId="4D91D1EA">
            <w:pPr>
              <w:rPr>
                <w:rFonts w:eastAsia="仿宋_GB2312"/>
                <w:color w:val="auto"/>
                <w:sz w:val="30"/>
                <w:szCs w:val="30"/>
                <w:highlight w:val="none"/>
              </w:rPr>
            </w:pPr>
          </w:p>
        </w:tc>
        <w:tc>
          <w:tcPr>
            <w:tcW w:w="1450" w:type="dxa"/>
            <w:noWrap w:val="0"/>
            <w:vAlign w:val="top"/>
          </w:tcPr>
          <w:p w14:paraId="3EA6DB29">
            <w:pPr>
              <w:rPr>
                <w:rFonts w:eastAsia="仿宋_GB2312"/>
                <w:color w:val="auto"/>
                <w:sz w:val="30"/>
                <w:szCs w:val="30"/>
                <w:highlight w:val="none"/>
              </w:rPr>
            </w:pPr>
          </w:p>
        </w:tc>
        <w:tc>
          <w:tcPr>
            <w:tcW w:w="1667" w:type="dxa"/>
            <w:noWrap w:val="0"/>
            <w:vAlign w:val="top"/>
          </w:tcPr>
          <w:p w14:paraId="1ECFF79E">
            <w:pPr>
              <w:rPr>
                <w:rFonts w:eastAsia="仿宋_GB2312"/>
                <w:color w:val="auto"/>
                <w:sz w:val="30"/>
                <w:szCs w:val="30"/>
                <w:highlight w:val="none"/>
              </w:rPr>
            </w:pPr>
          </w:p>
        </w:tc>
      </w:tr>
      <w:tr w14:paraId="5C2B11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3432E59">
            <w:pPr>
              <w:rPr>
                <w:rFonts w:eastAsia="仿宋_GB2312"/>
                <w:color w:val="auto"/>
                <w:sz w:val="30"/>
                <w:szCs w:val="30"/>
                <w:highlight w:val="none"/>
              </w:rPr>
            </w:pPr>
          </w:p>
        </w:tc>
        <w:tc>
          <w:tcPr>
            <w:tcW w:w="1276" w:type="dxa"/>
            <w:noWrap w:val="0"/>
            <w:vAlign w:val="top"/>
          </w:tcPr>
          <w:p w14:paraId="22E3F5AA">
            <w:pPr>
              <w:rPr>
                <w:rFonts w:eastAsia="仿宋_GB2312"/>
                <w:color w:val="auto"/>
                <w:sz w:val="30"/>
                <w:szCs w:val="30"/>
                <w:highlight w:val="none"/>
              </w:rPr>
            </w:pPr>
          </w:p>
        </w:tc>
        <w:tc>
          <w:tcPr>
            <w:tcW w:w="1450" w:type="dxa"/>
            <w:noWrap w:val="0"/>
            <w:vAlign w:val="top"/>
          </w:tcPr>
          <w:p w14:paraId="1356789D">
            <w:pPr>
              <w:rPr>
                <w:rFonts w:eastAsia="仿宋_GB2312"/>
                <w:color w:val="auto"/>
                <w:sz w:val="30"/>
                <w:szCs w:val="30"/>
                <w:highlight w:val="none"/>
              </w:rPr>
            </w:pPr>
          </w:p>
        </w:tc>
        <w:tc>
          <w:tcPr>
            <w:tcW w:w="1243" w:type="dxa"/>
            <w:noWrap w:val="0"/>
            <w:vAlign w:val="top"/>
          </w:tcPr>
          <w:p w14:paraId="2E06ADDC">
            <w:pPr>
              <w:rPr>
                <w:rFonts w:eastAsia="仿宋_GB2312"/>
                <w:color w:val="auto"/>
                <w:sz w:val="30"/>
                <w:szCs w:val="30"/>
                <w:highlight w:val="none"/>
              </w:rPr>
            </w:pPr>
          </w:p>
        </w:tc>
        <w:tc>
          <w:tcPr>
            <w:tcW w:w="1450" w:type="dxa"/>
            <w:noWrap w:val="0"/>
            <w:vAlign w:val="top"/>
          </w:tcPr>
          <w:p w14:paraId="5379E9B8">
            <w:pPr>
              <w:rPr>
                <w:rFonts w:eastAsia="仿宋_GB2312"/>
                <w:color w:val="auto"/>
                <w:sz w:val="30"/>
                <w:szCs w:val="30"/>
                <w:highlight w:val="none"/>
              </w:rPr>
            </w:pPr>
          </w:p>
        </w:tc>
        <w:tc>
          <w:tcPr>
            <w:tcW w:w="1667" w:type="dxa"/>
            <w:noWrap w:val="0"/>
            <w:vAlign w:val="top"/>
          </w:tcPr>
          <w:p w14:paraId="7E6B8F8F">
            <w:pPr>
              <w:rPr>
                <w:rFonts w:eastAsia="仿宋_GB2312"/>
                <w:color w:val="auto"/>
                <w:sz w:val="30"/>
                <w:szCs w:val="30"/>
                <w:highlight w:val="none"/>
              </w:rPr>
            </w:pPr>
          </w:p>
        </w:tc>
      </w:tr>
      <w:tr w14:paraId="26AE49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34E06203">
            <w:pPr>
              <w:rPr>
                <w:rFonts w:eastAsia="仿宋_GB2312"/>
                <w:color w:val="auto"/>
                <w:sz w:val="30"/>
                <w:szCs w:val="30"/>
                <w:highlight w:val="none"/>
              </w:rPr>
            </w:pPr>
          </w:p>
        </w:tc>
        <w:tc>
          <w:tcPr>
            <w:tcW w:w="1276" w:type="dxa"/>
            <w:noWrap w:val="0"/>
            <w:vAlign w:val="top"/>
          </w:tcPr>
          <w:p w14:paraId="2DC37B17">
            <w:pPr>
              <w:rPr>
                <w:rFonts w:eastAsia="仿宋_GB2312"/>
                <w:color w:val="auto"/>
                <w:sz w:val="30"/>
                <w:szCs w:val="30"/>
                <w:highlight w:val="none"/>
              </w:rPr>
            </w:pPr>
          </w:p>
        </w:tc>
        <w:tc>
          <w:tcPr>
            <w:tcW w:w="1450" w:type="dxa"/>
            <w:noWrap w:val="0"/>
            <w:vAlign w:val="top"/>
          </w:tcPr>
          <w:p w14:paraId="31F51E72">
            <w:pPr>
              <w:rPr>
                <w:rFonts w:eastAsia="仿宋_GB2312"/>
                <w:color w:val="auto"/>
                <w:sz w:val="30"/>
                <w:szCs w:val="30"/>
                <w:highlight w:val="none"/>
              </w:rPr>
            </w:pPr>
          </w:p>
        </w:tc>
        <w:tc>
          <w:tcPr>
            <w:tcW w:w="1243" w:type="dxa"/>
            <w:noWrap w:val="0"/>
            <w:vAlign w:val="top"/>
          </w:tcPr>
          <w:p w14:paraId="33AF6D54">
            <w:pPr>
              <w:rPr>
                <w:rFonts w:eastAsia="仿宋_GB2312"/>
                <w:color w:val="auto"/>
                <w:sz w:val="30"/>
                <w:szCs w:val="30"/>
                <w:highlight w:val="none"/>
              </w:rPr>
            </w:pPr>
          </w:p>
        </w:tc>
        <w:tc>
          <w:tcPr>
            <w:tcW w:w="1450" w:type="dxa"/>
            <w:noWrap w:val="0"/>
            <w:vAlign w:val="top"/>
          </w:tcPr>
          <w:p w14:paraId="643009E9">
            <w:pPr>
              <w:rPr>
                <w:rFonts w:eastAsia="仿宋_GB2312"/>
                <w:color w:val="auto"/>
                <w:sz w:val="30"/>
                <w:szCs w:val="30"/>
                <w:highlight w:val="none"/>
              </w:rPr>
            </w:pPr>
          </w:p>
        </w:tc>
        <w:tc>
          <w:tcPr>
            <w:tcW w:w="1667" w:type="dxa"/>
            <w:noWrap w:val="0"/>
            <w:vAlign w:val="top"/>
          </w:tcPr>
          <w:p w14:paraId="703E8DD4">
            <w:pPr>
              <w:rPr>
                <w:rFonts w:eastAsia="仿宋_GB2312"/>
                <w:color w:val="auto"/>
                <w:sz w:val="30"/>
                <w:szCs w:val="30"/>
                <w:highlight w:val="none"/>
              </w:rPr>
            </w:pPr>
          </w:p>
        </w:tc>
      </w:tr>
      <w:tr w14:paraId="28A7CA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48DB5A5">
            <w:pPr>
              <w:rPr>
                <w:rFonts w:eastAsia="仿宋_GB2312"/>
                <w:color w:val="auto"/>
                <w:sz w:val="30"/>
                <w:szCs w:val="30"/>
                <w:highlight w:val="none"/>
              </w:rPr>
            </w:pPr>
          </w:p>
        </w:tc>
        <w:tc>
          <w:tcPr>
            <w:tcW w:w="1276" w:type="dxa"/>
            <w:noWrap w:val="0"/>
            <w:vAlign w:val="top"/>
          </w:tcPr>
          <w:p w14:paraId="709D2710">
            <w:pPr>
              <w:rPr>
                <w:rFonts w:eastAsia="仿宋_GB2312"/>
                <w:color w:val="auto"/>
                <w:sz w:val="30"/>
                <w:szCs w:val="30"/>
                <w:highlight w:val="none"/>
              </w:rPr>
            </w:pPr>
          </w:p>
        </w:tc>
        <w:tc>
          <w:tcPr>
            <w:tcW w:w="1450" w:type="dxa"/>
            <w:noWrap w:val="0"/>
            <w:vAlign w:val="top"/>
          </w:tcPr>
          <w:p w14:paraId="34AADAFF">
            <w:pPr>
              <w:rPr>
                <w:rFonts w:eastAsia="仿宋_GB2312"/>
                <w:color w:val="auto"/>
                <w:sz w:val="30"/>
                <w:szCs w:val="30"/>
                <w:highlight w:val="none"/>
              </w:rPr>
            </w:pPr>
          </w:p>
        </w:tc>
        <w:tc>
          <w:tcPr>
            <w:tcW w:w="1243" w:type="dxa"/>
            <w:noWrap w:val="0"/>
            <w:vAlign w:val="top"/>
          </w:tcPr>
          <w:p w14:paraId="12772E96">
            <w:pPr>
              <w:rPr>
                <w:rFonts w:eastAsia="仿宋_GB2312"/>
                <w:color w:val="auto"/>
                <w:sz w:val="30"/>
                <w:szCs w:val="30"/>
                <w:highlight w:val="none"/>
              </w:rPr>
            </w:pPr>
          </w:p>
        </w:tc>
        <w:tc>
          <w:tcPr>
            <w:tcW w:w="1450" w:type="dxa"/>
            <w:noWrap w:val="0"/>
            <w:vAlign w:val="top"/>
          </w:tcPr>
          <w:p w14:paraId="017851A6">
            <w:pPr>
              <w:rPr>
                <w:rFonts w:eastAsia="仿宋_GB2312"/>
                <w:color w:val="auto"/>
                <w:sz w:val="30"/>
                <w:szCs w:val="30"/>
                <w:highlight w:val="none"/>
              </w:rPr>
            </w:pPr>
          </w:p>
        </w:tc>
        <w:tc>
          <w:tcPr>
            <w:tcW w:w="1667" w:type="dxa"/>
            <w:noWrap w:val="0"/>
            <w:vAlign w:val="top"/>
          </w:tcPr>
          <w:p w14:paraId="1E52B1F6">
            <w:pPr>
              <w:rPr>
                <w:rFonts w:eastAsia="仿宋_GB2312"/>
                <w:color w:val="auto"/>
                <w:sz w:val="30"/>
                <w:szCs w:val="30"/>
                <w:highlight w:val="none"/>
              </w:rPr>
            </w:pPr>
          </w:p>
        </w:tc>
      </w:tr>
      <w:tr w14:paraId="4F3FA4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0F0746F">
            <w:pPr>
              <w:rPr>
                <w:rFonts w:eastAsia="仿宋_GB2312"/>
                <w:color w:val="auto"/>
                <w:sz w:val="30"/>
                <w:szCs w:val="30"/>
                <w:highlight w:val="none"/>
              </w:rPr>
            </w:pPr>
          </w:p>
        </w:tc>
        <w:tc>
          <w:tcPr>
            <w:tcW w:w="1276" w:type="dxa"/>
            <w:noWrap w:val="0"/>
            <w:vAlign w:val="top"/>
          </w:tcPr>
          <w:p w14:paraId="3FA25BAB">
            <w:pPr>
              <w:rPr>
                <w:rFonts w:eastAsia="仿宋_GB2312"/>
                <w:color w:val="auto"/>
                <w:sz w:val="30"/>
                <w:szCs w:val="30"/>
                <w:highlight w:val="none"/>
              </w:rPr>
            </w:pPr>
          </w:p>
        </w:tc>
        <w:tc>
          <w:tcPr>
            <w:tcW w:w="1450" w:type="dxa"/>
            <w:noWrap w:val="0"/>
            <w:vAlign w:val="top"/>
          </w:tcPr>
          <w:p w14:paraId="46B4B866">
            <w:pPr>
              <w:rPr>
                <w:rFonts w:eastAsia="仿宋_GB2312"/>
                <w:color w:val="auto"/>
                <w:sz w:val="30"/>
                <w:szCs w:val="30"/>
                <w:highlight w:val="none"/>
              </w:rPr>
            </w:pPr>
          </w:p>
        </w:tc>
        <w:tc>
          <w:tcPr>
            <w:tcW w:w="1243" w:type="dxa"/>
            <w:noWrap w:val="0"/>
            <w:vAlign w:val="top"/>
          </w:tcPr>
          <w:p w14:paraId="67C99E70">
            <w:pPr>
              <w:rPr>
                <w:rFonts w:eastAsia="仿宋_GB2312"/>
                <w:color w:val="auto"/>
                <w:sz w:val="30"/>
                <w:szCs w:val="30"/>
                <w:highlight w:val="none"/>
              </w:rPr>
            </w:pPr>
          </w:p>
        </w:tc>
        <w:tc>
          <w:tcPr>
            <w:tcW w:w="1450" w:type="dxa"/>
            <w:noWrap w:val="0"/>
            <w:vAlign w:val="top"/>
          </w:tcPr>
          <w:p w14:paraId="5B98233A">
            <w:pPr>
              <w:rPr>
                <w:rFonts w:eastAsia="仿宋_GB2312"/>
                <w:color w:val="auto"/>
                <w:sz w:val="30"/>
                <w:szCs w:val="30"/>
                <w:highlight w:val="none"/>
              </w:rPr>
            </w:pPr>
          </w:p>
        </w:tc>
        <w:tc>
          <w:tcPr>
            <w:tcW w:w="1667" w:type="dxa"/>
            <w:noWrap w:val="0"/>
            <w:vAlign w:val="top"/>
          </w:tcPr>
          <w:p w14:paraId="4E8E44D7">
            <w:pPr>
              <w:rPr>
                <w:rFonts w:eastAsia="仿宋_GB2312"/>
                <w:color w:val="auto"/>
                <w:sz w:val="30"/>
                <w:szCs w:val="30"/>
                <w:highlight w:val="none"/>
              </w:rPr>
            </w:pPr>
          </w:p>
        </w:tc>
      </w:tr>
      <w:tr w14:paraId="7AC055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AD859A9">
            <w:pPr>
              <w:rPr>
                <w:rFonts w:eastAsia="仿宋_GB2312"/>
                <w:color w:val="auto"/>
                <w:sz w:val="30"/>
                <w:szCs w:val="30"/>
                <w:highlight w:val="none"/>
              </w:rPr>
            </w:pPr>
          </w:p>
        </w:tc>
        <w:tc>
          <w:tcPr>
            <w:tcW w:w="1276" w:type="dxa"/>
            <w:noWrap w:val="0"/>
            <w:vAlign w:val="top"/>
          </w:tcPr>
          <w:p w14:paraId="5E0DDC89">
            <w:pPr>
              <w:rPr>
                <w:rFonts w:eastAsia="仿宋_GB2312"/>
                <w:color w:val="auto"/>
                <w:sz w:val="30"/>
                <w:szCs w:val="30"/>
                <w:highlight w:val="none"/>
              </w:rPr>
            </w:pPr>
          </w:p>
        </w:tc>
        <w:tc>
          <w:tcPr>
            <w:tcW w:w="1450" w:type="dxa"/>
            <w:noWrap w:val="0"/>
            <w:vAlign w:val="top"/>
          </w:tcPr>
          <w:p w14:paraId="41CB8E7C">
            <w:pPr>
              <w:rPr>
                <w:rFonts w:eastAsia="仿宋_GB2312"/>
                <w:color w:val="auto"/>
                <w:sz w:val="30"/>
                <w:szCs w:val="30"/>
                <w:highlight w:val="none"/>
              </w:rPr>
            </w:pPr>
          </w:p>
        </w:tc>
        <w:tc>
          <w:tcPr>
            <w:tcW w:w="1243" w:type="dxa"/>
            <w:noWrap w:val="0"/>
            <w:vAlign w:val="top"/>
          </w:tcPr>
          <w:p w14:paraId="6124B725">
            <w:pPr>
              <w:rPr>
                <w:rFonts w:eastAsia="仿宋_GB2312"/>
                <w:color w:val="auto"/>
                <w:sz w:val="30"/>
                <w:szCs w:val="30"/>
                <w:highlight w:val="none"/>
              </w:rPr>
            </w:pPr>
          </w:p>
        </w:tc>
        <w:tc>
          <w:tcPr>
            <w:tcW w:w="1450" w:type="dxa"/>
            <w:noWrap w:val="0"/>
            <w:vAlign w:val="top"/>
          </w:tcPr>
          <w:p w14:paraId="353091AD">
            <w:pPr>
              <w:rPr>
                <w:rFonts w:eastAsia="仿宋_GB2312"/>
                <w:color w:val="auto"/>
                <w:sz w:val="30"/>
                <w:szCs w:val="30"/>
                <w:highlight w:val="none"/>
              </w:rPr>
            </w:pPr>
          </w:p>
        </w:tc>
        <w:tc>
          <w:tcPr>
            <w:tcW w:w="1667" w:type="dxa"/>
            <w:noWrap w:val="0"/>
            <w:vAlign w:val="top"/>
          </w:tcPr>
          <w:p w14:paraId="0D2EBF95">
            <w:pPr>
              <w:rPr>
                <w:rFonts w:eastAsia="仿宋_GB2312"/>
                <w:color w:val="auto"/>
                <w:sz w:val="30"/>
                <w:szCs w:val="30"/>
                <w:highlight w:val="none"/>
              </w:rPr>
            </w:pPr>
          </w:p>
        </w:tc>
      </w:tr>
      <w:tr w14:paraId="2CAB6A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92D7D48">
            <w:pPr>
              <w:rPr>
                <w:rFonts w:eastAsia="仿宋_GB2312"/>
                <w:color w:val="auto"/>
                <w:sz w:val="30"/>
                <w:szCs w:val="30"/>
                <w:highlight w:val="none"/>
              </w:rPr>
            </w:pPr>
          </w:p>
        </w:tc>
        <w:tc>
          <w:tcPr>
            <w:tcW w:w="1276" w:type="dxa"/>
            <w:noWrap w:val="0"/>
            <w:vAlign w:val="top"/>
          </w:tcPr>
          <w:p w14:paraId="7E495FD3">
            <w:pPr>
              <w:rPr>
                <w:rFonts w:eastAsia="仿宋_GB2312"/>
                <w:color w:val="auto"/>
                <w:sz w:val="30"/>
                <w:szCs w:val="30"/>
                <w:highlight w:val="none"/>
              </w:rPr>
            </w:pPr>
          </w:p>
        </w:tc>
        <w:tc>
          <w:tcPr>
            <w:tcW w:w="1450" w:type="dxa"/>
            <w:noWrap w:val="0"/>
            <w:vAlign w:val="top"/>
          </w:tcPr>
          <w:p w14:paraId="0DFFAE0C">
            <w:pPr>
              <w:rPr>
                <w:rFonts w:eastAsia="仿宋_GB2312"/>
                <w:color w:val="auto"/>
                <w:sz w:val="30"/>
                <w:szCs w:val="30"/>
                <w:highlight w:val="none"/>
              </w:rPr>
            </w:pPr>
          </w:p>
        </w:tc>
        <w:tc>
          <w:tcPr>
            <w:tcW w:w="1243" w:type="dxa"/>
            <w:noWrap w:val="0"/>
            <w:vAlign w:val="top"/>
          </w:tcPr>
          <w:p w14:paraId="694BB64A">
            <w:pPr>
              <w:rPr>
                <w:rFonts w:eastAsia="仿宋_GB2312"/>
                <w:color w:val="auto"/>
                <w:sz w:val="30"/>
                <w:szCs w:val="30"/>
                <w:highlight w:val="none"/>
              </w:rPr>
            </w:pPr>
          </w:p>
        </w:tc>
        <w:tc>
          <w:tcPr>
            <w:tcW w:w="1450" w:type="dxa"/>
            <w:noWrap w:val="0"/>
            <w:vAlign w:val="top"/>
          </w:tcPr>
          <w:p w14:paraId="524E9E82">
            <w:pPr>
              <w:rPr>
                <w:rFonts w:eastAsia="仿宋_GB2312"/>
                <w:color w:val="auto"/>
                <w:sz w:val="30"/>
                <w:szCs w:val="30"/>
                <w:highlight w:val="none"/>
              </w:rPr>
            </w:pPr>
          </w:p>
        </w:tc>
        <w:tc>
          <w:tcPr>
            <w:tcW w:w="1667" w:type="dxa"/>
            <w:noWrap w:val="0"/>
            <w:vAlign w:val="top"/>
          </w:tcPr>
          <w:p w14:paraId="16615FAF">
            <w:pPr>
              <w:rPr>
                <w:rFonts w:eastAsia="仿宋_GB2312"/>
                <w:color w:val="auto"/>
                <w:sz w:val="30"/>
                <w:szCs w:val="30"/>
                <w:highlight w:val="none"/>
              </w:rPr>
            </w:pPr>
          </w:p>
        </w:tc>
      </w:tr>
      <w:tr w14:paraId="378E97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0FDB8FA">
            <w:pPr>
              <w:rPr>
                <w:rFonts w:eastAsia="仿宋_GB2312"/>
                <w:color w:val="auto"/>
                <w:sz w:val="30"/>
                <w:szCs w:val="30"/>
                <w:highlight w:val="none"/>
              </w:rPr>
            </w:pPr>
          </w:p>
        </w:tc>
        <w:tc>
          <w:tcPr>
            <w:tcW w:w="1276" w:type="dxa"/>
            <w:noWrap w:val="0"/>
            <w:vAlign w:val="top"/>
          </w:tcPr>
          <w:p w14:paraId="6614FE38">
            <w:pPr>
              <w:rPr>
                <w:rFonts w:eastAsia="仿宋_GB2312"/>
                <w:color w:val="auto"/>
                <w:sz w:val="30"/>
                <w:szCs w:val="30"/>
                <w:highlight w:val="none"/>
              </w:rPr>
            </w:pPr>
          </w:p>
        </w:tc>
        <w:tc>
          <w:tcPr>
            <w:tcW w:w="1450" w:type="dxa"/>
            <w:noWrap w:val="0"/>
            <w:vAlign w:val="top"/>
          </w:tcPr>
          <w:p w14:paraId="691831AF">
            <w:pPr>
              <w:rPr>
                <w:rFonts w:eastAsia="仿宋_GB2312"/>
                <w:color w:val="auto"/>
                <w:sz w:val="30"/>
                <w:szCs w:val="30"/>
                <w:highlight w:val="none"/>
              </w:rPr>
            </w:pPr>
          </w:p>
        </w:tc>
        <w:tc>
          <w:tcPr>
            <w:tcW w:w="1243" w:type="dxa"/>
            <w:noWrap w:val="0"/>
            <w:vAlign w:val="top"/>
          </w:tcPr>
          <w:p w14:paraId="010C8DE9">
            <w:pPr>
              <w:rPr>
                <w:rFonts w:eastAsia="仿宋_GB2312"/>
                <w:color w:val="auto"/>
                <w:sz w:val="30"/>
                <w:szCs w:val="30"/>
                <w:highlight w:val="none"/>
              </w:rPr>
            </w:pPr>
          </w:p>
        </w:tc>
        <w:tc>
          <w:tcPr>
            <w:tcW w:w="1450" w:type="dxa"/>
            <w:noWrap w:val="0"/>
            <w:vAlign w:val="top"/>
          </w:tcPr>
          <w:p w14:paraId="3D2BA90C">
            <w:pPr>
              <w:rPr>
                <w:rFonts w:eastAsia="仿宋_GB2312"/>
                <w:color w:val="auto"/>
                <w:sz w:val="30"/>
                <w:szCs w:val="30"/>
                <w:highlight w:val="none"/>
              </w:rPr>
            </w:pPr>
          </w:p>
        </w:tc>
        <w:tc>
          <w:tcPr>
            <w:tcW w:w="1667" w:type="dxa"/>
            <w:noWrap w:val="0"/>
            <w:vAlign w:val="top"/>
          </w:tcPr>
          <w:p w14:paraId="7D10E1B8">
            <w:pPr>
              <w:rPr>
                <w:rFonts w:eastAsia="仿宋_GB2312"/>
                <w:color w:val="auto"/>
                <w:sz w:val="30"/>
                <w:szCs w:val="30"/>
                <w:highlight w:val="none"/>
              </w:rPr>
            </w:pPr>
          </w:p>
        </w:tc>
      </w:tr>
    </w:tbl>
    <w:p w14:paraId="30F01473">
      <w:pPr>
        <w:bidi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r>
        <w:rPr>
          <w:rFonts w:hint="eastAsia" w:ascii="仿宋" w:hAnsi="仿宋" w:eastAsia="仿宋" w:cs="仿宋"/>
          <w:color w:val="auto"/>
          <w:sz w:val="28"/>
          <w:szCs w:val="28"/>
          <w:highlight w:val="none"/>
          <w:lang w:val="en-US" w:eastAsia="zh-CN"/>
        </w:rPr>
        <w:t>附</w:t>
      </w:r>
      <w:bookmarkStart w:id="1553" w:name="_Toc267261698"/>
      <w:bookmarkStart w:id="1554" w:name="_Toc296346728"/>
      <w:bookmarkStart w:id="1555" w:name="_Toc296891267"/>
      <w:bookmarkStart w:id="1556" w:name="_Toc296347226"/>
      <w:bookmarkStart w:id="1557" w:name="_Toc296944566"/>
      <w:bookmarkStart w:id="1558" w:name="_Toc296891055"/>
      <w:bookmarkStart w:id="1559" w:name="_Toc296503227"/>
      <w:r>
        <w:rPr>
          <w:rFonts w:hint="eastAsia" w:ascii="仿宋" w:hAnsi="仿宋" w:eastAsia="仿宋" w:cs="仿宋"/>
          <w:color w:val="auto"/>
          <w:sz w:val="28"/>
          <w:szCs w:val="28"/>
          <w:highlight w:val="none"/>
          <w:lang w:val="en-US" w:eastAsia="zh-CN"/>
        </w:rPr>
        <w:t>件5：</w:t>
      </w:r>
    </w:p>
    <w:bookmarkEnd w:id="1553"/>
    <w:bookmarkEnd w:id="1554"/>
    <w:bookmarkEnd w:id="1555"/>
    <w:bookmarkEnd w:id="1556"/>
    <w:bookmarkEnd w:id="1557"/>
    <w:bookmarkEnd w:id="1558"/>
    <w:bookmarkEnd w:id="1559"/>
    <w:p w14:paraId="2D6E4389">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承包人用于本工程施工的机械设备表</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1A62BB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162" w:type="dxa"/>
            <w:tcBorders>
              <w:top w:val="single" w:color="auto" w:sz="12" w:space="0"/>
              <w:bottom w:val="double" w:color="auto" w:sz="6" w:space="0"/>
            </w:tcBorders>
            <w:noWrap w:val="0"/>
            <w:vAlign w:val="center"/>
          </w:tcPr>
          <w:p w14:paraId="5894365A">
            <w:pPr>
              <w:pStyle w:val="9"/>
              <w:keepNext/>
              <w:spacing w:after="0" w:line="440" w:lineRule="exact"/>
              <w:ind w:left="63" w:right="63"/>
              <w:rPr>
                <w:rFonts w:eastAsia="仿宋_GB2312"/>
                <w:color w:val="auto"/>
                <w:kern w:val="2"/>
                <w:sz w:val="24"/>
                <w:szCs w:val="24"/>
                <w:highlight w:val="none"/>
              </w:rPr>
            </w:pPr>
            <w:r>
              <w:rPr>
                <w:rFonts w:eastAsia="仿宋_GB2312"/>
                <w:color w:val="auto"/>
                <w:kern w:val="2"/>
                <w:sz w:val="24"/>
                <w:szCs w:val="24"/>
                <w:highlight w:val="none"/>
              </w:rPr>
              <w:t>序号</w:t>
            </w:r>
          </w:p>
        </w:tc>
        <w:tc>
          <w:tcPr>
            <w:tcW w:w="1418" w:type="dxa"/>
            <w:tcBorders>
              <w:top w:val="single" w:color="auto" w:sz="12" w:space="0"/>
              <w:bottom w:val="double" w:color="auto" w:sz="6" w:space="0"/>
            </w:tcBorders>
            <w:noWrap w:val="0"/>
            <w:vAlign w:val="center"/>
          </w:tcPr>
          <w:p w14:paraId="7094F6F9">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机械或设备名称</w:t>
            </w:r>
          </w:p>
        </w:tc>
        <w:tc>
          <w:tcPr>
            <w:tcW w:w="850" w:type="dxa"/>
            <w:tcBorders>
              <w:top w:val="single" w:color="auto" w:sz="12" w:space="0"/>
              <w:bottom w:val="double" w:color="auto" w:sz="6" w:space="0"/>
            </w:tcBorders>
            <w:noWrap w:val="0"/>
            <w:vAlign w:val="center"/>
          </w:tcPr>
          <w:p w14:paraId="40C65CDF">
            <w:pPr>
              <w:pStyle w:val="9"/>
              <w:keepNext/>
              <w:spacing w:after="0" w:line="440" w:lineRule="exact"/>
              <w:ind w:left="63" w:right="63"/>
              <w:rPr>
                <w:rFonts w:eastAsia="仿宋_GB2312"/>
                <w:color w:val="auto"/>
                <w:kern w:val="2"/>
                <w:sz w:val="24"/>
                <w:szCs w:val="24"/>
                <w:highlight w:val="none"/>
              </w:rPr>
            </w:pPr>
            <w:r>
              <w:rPr>
                <w:rFonts w:eastAsia="仿宋_GB2312"/>
                <w:color w:val="auto"/>
                <w:kern w:val="2"/>
                <w:sz w:val="24"/>
                <w:szCs w:val="24"/>
                <w:highlight w:val="none"/>
              </w:rPr>
              <w:t>规格型号</w:t>
            </w:r>
          </w:p>
        </w:tc>
        <w:tc>
          <w:tcPr>
            <w:tcW w:w="1058" w:type="dxa"/>
            <w:tcBorders>
              <w:top w:val="single" w:color="auto" w:sz="12" w:space="0"/>
              <w:bottom w:val="double" w:color="auto" w:sz="6" w:space="0"/>
            </w:tcBorders>
            <w:noWrap w:val="0"/>
            <w:vAlign w:val="center"/>
          </w:tcPr>
          <w:p w14:paraId="38454CBD">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数量</w:t>
            </w:r>
          </w:p>
        </w:tc>
        <w:tc>
          <w:tcPr>
            <w:tcW w:w="880" w:type="dxa"/>
            <w:tcBorders>
              <w:top w:val="single" w:color="auto" w:sz="12" w:space="0"/>
              <w:bottom w:val="double" w:color="auto" w:sz="6" w:space="0"/>
            </w:tcBorders>
            <w:noWrap w:val="0"/>
            <w:vAlign w:val="center"/>
          </w:tcPr>
          <w:p w14:paraId="373B3EBA">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产地</w:t>
            </w:r>
          </w:p>
        </w:tc>
        <w:tc>
          <w:tcPr>
            <w:tcW w:w="1020" w:type="dxa"/>
            <w:tcBorders>
              <w:top w:val="single" w:color="auto" w:sz="12" w:space="0"/>
              <w:bottom w:val="double" w:color="auto" w:sz="6" w:space="0"/>
            </w:tcBorders>
            <w:noWrap w:val="0"/>
            <w:vAlign w:val="center"/>
          </w:tcPr>
          <w:p w14:paraId="136266CA">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制造</w:t>
            </w:r>
          </w:p>
          <w:p w14:paraId="66ABD6B0">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年份</w:t>
            </w:r>
          </w:p>
        </w:tc>
        <w:tc>
          <w:tcPr>
            <w:tcW w:w="1480" w:type="dxa"/>
            <w:tcBorders>
              <w:top w:val="single" w:color="auto" w:sz="12" w:space="0"/>
              <w:bottom w:val="double" w:color="auto" w:sz="6" w:space="0"/>
            </w:tcBorders>
            <w:noWrap w:val="0"/>
            <w:vAlign w:val="center"/>
          </w:tcPr>
          <w:p w14:paraId="085EF5EB">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额定功率</w:t>
            </w:r>
            <w:r>
              <w:rPr>
                <w:rFonts w:hint="eastAsia" w:ascii="仿宋" w:hAnsi="仿宋" w:eastAsia="仿宋" w:cs="仿宋"/>
                <w:color w:val="auto"/>
                <w:kern w:val="2"/>
                <w:sz w:val="24"/>
                <w:szCs w:val="24"/>
                <w:highlight w:val="none"/>
              </w:rPr>
              <w:t>(kW)</w:t>
            </w:r>
          </w:p>
        </w:tc>
        <w:tc>
          <w:tcPr>
            <w:tcW w:w="1020" w:type="dxa"/>
            <w:tcBorders>
              <w:top w:val="single" w:color="auto" w:sz="12" w:space="0"/>
              <w:bottom w:val="double" w:color="auto" w:sz="6" w:space="0"/>
            </w:tcBorders>
            <w:noWrap w:val="0"/>
            <w:vAlign w:val="center"/>
          </w:tcPr>
          <w:p w14:paraId="63763478">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生产</w:t>
            </w:r>
          </w:p>
          <w:p w14:paraId="481285F4">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能力</w:t>
            </w:r>
          </w:p>
        </w:tc>
        <w:tc>
          <w:tcPr>
            <w:tcW w:w="921" w:type="dxa"/>
            <w:tcBorders>
              <w:top w:val="single" w:color="auto" w:sz="12" w:space="0"/>
              <w:bottom w:val="double" w:color="auto" w:sz="6" w:space="0"/>
            </w:tcBorders>
            <w:noWrap w:val="0"/>
            <w:vAlign w:val="center"/>
          </w:tcPr>
          <w:p w14:paraId="7B202536">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备注</w:t>
            </w:r>
          </w:p>
        </w:tc>
      </w:tr>
      <w:tr w14:paraId="5E51FB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noWrap w:val="0"/>
            <w:vAlign w:val="center"/>
          </w:tcPr>
          <w:p w14:paraId="5912D2A9">
            <w:pPr>
              <w:pStyle w:val="9"/>
              <w:keepNext/>
              <w:spacing w:after="0" w:line="440" w:lineRule="exact"/>
              <w:ind w:left="63" w:right="63"/>
              <w:rPr>
                <w:rFonts w:eastAsia="仿宋_GB2312"/>
                <w:color w:val="auto"/>
                <w:kern w:val="2"/>
                <w:sz w:val="30"/>
                <w:szCs w:val="30"/>
                <w:highlight w:val="none"/>
              </w:rPr>
            </w:pPr>
          </w:p>
        </w:tc>
        <w:tc>
          <w:tcPr>
            <w:tcW w:w="1418" w:type="dxa"/>
            <w:tcBorders>
              <w:top w:val="double" w:color="auto" w:sz="6" w:space="0"/>
              <w:bottom w:val="single" w:color="auto" w:sz="6" w:space="0"/>
            </w:tcBorders>
            <w:noWrap w:val="0"/>
            <w:vAlign w:val="center"/>
          </w:tcPr>
          <w:p w14:paraId="3A1D6B91">
            <w:pPr>
              <w:pStyle w:val="9"/>
              <w:keepNext/>
              <w:spacing w:after="0" w:line="440" w:lineRule="exact"/>
              <w:ind w:left="63" w:right="63"/>
              <w:rPr>
                <w:rFonts w:eastAsia="仿宋_GB2312"/>
                <w:color w:val="auto"/>
                <w:kern w:val="2"/>
                <w:sz w:val="30"/>
                <w:szCs w:val="30"/>
                <w:highlight w:val="none"/>
              </w:rPr>
            </w:pPr>
          </w:p>
        </w:tc>
        <w:tc>
          <w:tcPr>
            <w:tcW w:w="850" w:type="dxa"/>
            <w:tcBorders>
              <w:top w:val="double" w:color="auto" w:sz="6" w:space="0"/>
              <w:bottom w:val="single" w:color="auto" w:sz="6" w:space="0"/>
            </w:tcBorders>
            <w:noWrap w:val="0"/>
            <w:vAlign w:val="center"/>
          </w:tcPr>
          <w:p w14:paraId="14F44213">
            <w:pPr>
              <w:pStyle w:val="9"/>
              <w:keepNext/>
              <w:spacing w:after="0" w:line="440" w:lineRule="exact"/>
              <w:ind w:left="63" w:right="63"/>
              <w:rPr>
                <w:rFonts w:eastAsia="仿宋_GB2312"/>
                <w:color w:val="auto"/>
                <w:kern w:val="2"/>
                <w:sz w:val="30"/>
                <w:szCs w:val="30"/>
                <w:highlight w:val="none"/>
              </w:rPr>
            </w:pPr>
          </w:p>
        </w:tc>
        <w:tc>
          <w:tcPr>
            <w:tcW w:w="1058" w:type="dxa"/>
            <w:tcBorders>
              <w:top w:val="double" w:color="auto" w:sz="6" w:space="0"/>
              <w:bottom w:val="single" w:color="auto" w:sz="6" w:space="0"/>
            </w:tcBorders>
            <w:noWrap w:val="0"/>
            <w:vAlign w:val="center"/>
          </w:tcPr>
          <w:p w14:paraId="6273E718">
            <w:pPr>
              <w:pStyle w:val="9"/>
              <w:keepNext/>
              <w:spacing w:after="0" w:line="440" w:lineRule="exact"/>
              <w:ind w:left="63" w:right="63"/>
              <w:rPr>
                <w:rFonts w:eastAsia="仿宋_GB2312"/>
                <w:color w:val="auto"/>
                <w:kern w:val="2"/>
                <w:sz w:val="30"/>
                <w:szCs w:val="30"/>
                <w:highlight w:val="none"/>
              </w:rPr>
            </w:pPr>
          </w:p>
        </w:tc>
        <w:tc>
          <w:tcPr>
            <w:tcW w:w="880" w:type="dxa"/>
            <w:tcBorders>
              <w:top w:val="double" w:color="auto" w:sz="6" w:space="0"/>
              <w:bottom w:val="single" w:color="auto" w:sz="6" w:space="0"/>
            </w:tcBorders>
            <w:noWrap w:val="0"/>
            <w:vAlign w:val="center"/>
          </w:tcPr>
          <w:p w14:paraId="5CE71B15">
            <w:pPr>
              <w:pStyle w:val="9"/>
              <w:keepNext/>
              <w:spacing w:after="0" w:line="440" w:lineRule="exact"/>
              <w:ind w:left="63" w:right="63"/>
              <w:rPr>
                <w:rFonts w:eastAsia="仿宋_GB2312"/>
                <w:color w:val="auto"/>
                <w:kern w:val="2"/>
                <w:sz w:val="30"/>
                <w:szCs w:val="30"/>
                <w:highlight w:val="none"/>
              </w:rPr>
            </w:pPr>
          </w:p>
        </w:tc>
        <w:tc>
          <w:tcPr>
            <w:tcW w:w="1020" w:type="dxa"/>
            <w:tcBorders>
              <w:top w:val="double" w:color="auto" w:sz="6" w:space="0"/>
              <w:bottom w:val="single" w:color="auto" w:sz="6" w:space="0"/>
            </w:tcBorders>
            <w:noWrap w:val="0"/>
            <w:vAlign w:val="center"/>
          </w:tcPr>
          <w:p w14:paraId="570A509D">
            <w:pPr>
              <w:pStyle w:val="9"/>
              <w:keepNext/>
              <w:spacing w:after="0" w:line="440" w:lineRule="exact"/>
              <w:ind w:left="63" w:right="63"/>
              <w:rPr>
                <w:rFonts w:eastAsia="仿宋_GB2312"/>
                <w:color w:val="auto"/>
                <w:kern w:val="2"/>
                <w:sz w:val="30"/>
                <w:szCs w:val="30"/>
                <w:highlight w:val="none"/>
              </w:rPr>
            </w:pPr>
          </w:p>
        </w:tc>
        <w:tc>
          <w:tcPr>
            <w:tcW w:w="1480" w:type="dxa"/>
            <w:tcBorders>
              <w:top w:val="double" w:color="auto" w:sz="6" w:space="0"/>
              <w:bottom w:val="single" w:color="auto" w:sz="6" w:space="0"/>
            </w:tcBorders>
            <w:noWrap w:val="0"/>
            <w:vAlign w:val="center"/>
          </w:tcPr>
          <w:p w14:paraId="45193C12">
            <w:pPr>
              <w:pStyle w:val="9"/>
              <w:keepNext/>
              <w:spacing w:after="0" w:line="440" w:lineRule="exact"/>
              <w:ind w:left="63" w:right="63"/>
              <w:rPr>
                <w:rFonts w:eastAsia="仿宋_GB2312"/>
                <w:color w:val="auto"/>
                <w:kern w:val="2"/>
                <w:sz w:val="30"/>
                <w:szCs w:val="30"/>
                <w:highlight w:val="none"/>
              </w:rPr>
            </w:pPr>
          </w:p>
        </w:tc>
        <w:tc>
          <w:tcPr>
            <w:tcW w:w="1020" w:type="dxa"/>
            <w:tcBorders>
              <w:top w:val="double" w:color="auto" w:sz="6" w:space="0"/>
              <w:bottom w:val="single" w:color="auto" w:sz="6" w:space="0"/>
            </w:tcBorders>
            <w:noWrap w:val="0"/>
            <w:vAlign w:val="center"/>
          </w:tcPr>
          <w:p w14:paraId="34CF34D3">
            <w:pPr>
              <w:pStyle w:val="9"/>
              <w:keepNext/>
              <w:spacing w:after="0" w:line="440" w:lineRule="exact"/>
              <w:ind w:left="63" w:right="63"/>
              <w:rPr>
                <w:rFonts w:eastAsia="仿宋_GB2312"/>
                <w:color w:val="auto"/>
                <w:kern w:val="2"/>
                <w:sz w:val="30"/>
                <w:szCs w:val="30"/>
                <w:highlight w:val="none"/>
              </w:rPr>
            </w:pPr>
          </w:p>
        </w:tc>
        <w:tc>
          <w:tcPr>
            <w:tcW w:w="921" w:type="dxa"/>
            <w:tcBorders>
              <w:top w:val="double" w:color="auto" w:sz="6" w:space="0"/>
              <w:bottom w:val="single" w:color="auto" w:sz="6" w:space="0"/>
            </w:tcBorders>
            <w:noWrap w:val="0"/>
            <w:vAlign w:val="center"/>
          </w:tcPr>
          <w:p w14:paraId="7B3C4DDD">
            <w:pPr>
              <w:pStyle w:val="9"/>
              <w:keepNext/>
              <w:spacing w:after="0" w:line="440" w:lineRule="exact"/>
              <w:ind w:left="63" w:right="63"/>
              <w:rPr>
                <w:rFonts w:eastAsia="仿宋_GB2312"/>
                <w:color w:val="auto"/>
                <w:kern w:val="2"/>
                <w:sz w:val="30"/>
                <w:szCs w:val="30"/>
                <w:highlight w:val="none"/>
              </w:rPr>
            </w:pPr>
          </w:p>
        </w:tc>
      </w:tr>
      <w:tr w14:paraId="68DF96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noWrap w:val="0"/>
            <w:vAlign w:val="center"/>
          </w:tcPr>
          <w:p w14:paraId="41502570">
            <w:pPr>
              <w:pStyle w:val="9"/>
              <w:keepNext/>
              <w:spacing w:after="0" w:line="440" w:lineRule="exact"/>
              <w:ind w:left="63" w:right="63"/>
              <w:rPr>
                <w:rFonts w:eastAsia="仿宋_GB2312"/>
                <w:color w:val="auto"/>
                <w:kern w:val="2"/>
                <w:sz w:val="30"/>
                <w:szCs w:val="30"/>
                <w:highlight w:val="none"/>
              </w:rPr>
            </w:pPr>
          </w:p>
        </w:tc>
        <w:tc>
          <w:tcPr>
            <w:tcW w:w="1418" w:type="dxa"/>
            <w:tcBorders>
              <w:top w:val="nil"/>
            </w:tcBorders>
            <w:noWrap w:val="0"/>
            <w:vAlign w:val="center"/>
          </w:tcPr>
          <w:p w14:paraId="4CB19990">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221E3803">
            <w:pPr>
              <w:pStyle w:val="9"/>
              <w:keepNext/>
              <w:spacing w:after="0" w:line="440" w:lineRule="exact"/>
              <w:ind w:left="63" w:right="63"/>
              <w:rPr>
                <w:rFonts w:eastAsia="仿宋_GB2312"/>
                <w:color w:val="auto"/>
                <w:kern w:val="2"/>
                <w:sz w:val="30"/>
                <w:szCs w:val="30"/>
                <w:highlight w:val="none"/>
              </w:rPr>
            </w:pPr>
          </w:p>
        </w:tc>
        <w:tc>
          <w:tcPr>
            <w:tcW w:w="1058" w:type="dxa"/>
            <w:tcBorders>
              <w:top w:val="nil"/>
            </w:tcBorders>
            <w:noWrap w:val="0"/>
            <w:vAlign w:val="center"/>
          </w:tcPr>
          <w:p w14:paraId="3161F505">
            <w:pPr>
              <w:pStyle w:val="9"/>
              <w:keepNext/>
              <w:spacing w:after="0" w:line="440" w:lineRule="exact"/>
              <w:ind w:left="63" w:right="63"/>
              <w:rPr>
                <w:rFonts w:eastAsia="仿宋_GB2312"/>
                <w:color w:val="auto"/>
                <w:kern w:val="2"/>
                <w:sz w:val="30"/>
                <w:szCs w:val="30"/>
                <w:highlight w:val="none"/>
              </w:rPr>
            </w:pPr>
          </w:p>
        </w:tc>
        <w:tc>
          <w:tcPr>
            <w:tcW w:w="880" w:type="dxa"/>
            <w:tcBorders>
              <w:top w:val="nil"/>
            </w:tcBorders>
            <w:noWrap w:val="0"/>
            <w:vAlign w:val="center"/>
          </w:tcPr>
          <w:p w14:paraId="052D8943">
            <w:pPr>
              <w:pStyle w:val="9"/>
              <w:keepNext/>
              <w:spacing w:after="0" w:line="440" w:lineRule="exact"/>
              <w:ind w:left="63" w:right="63"/>
              <w:rPr>
                <w:rFonts w:eastAsia="仿宋_GB2312"/>
                <w:color w:val="auto"/>
                <w:kern w:val="2"/>
                <w:sz w:val="30"/>
                <w:szCs w:val="30"/>
                <w:highlight w:val="none"/>
              </w:rPr>
            </w:pPr>
          </w:p>
        </w:tc>
        <w:tc>
          <w:tcPr>
            <w:tcW w:w="1020" w:type="dxa"/>
            <w:tcBorders>
              <w:top w:val="nil"/>
            </w:tcBorders>
            <w:noWrap w:val="0"/>
            <w:vAlign w:val="center"/>
          </w:tcPr>
          <w:p w14:paraId="5FB21C48">
            <w:pPr>
              <w:pStyle w:val="9"/>
              <w:keepNext/>
              <w:spacing w:after="0" w:line="440" w:lineRule="exact"/>
              <w:ind w:left="63" w:right="63"/>
              <w:rPr>
                <w:rFonts w:eastAsia="仿宋_GB2312"/>
                <w:color w:val="auto"/>
                <w:kern w:val="2"/>
                <w:sz w:val="30"/>
                <w:szCs w:val="30"/>
                <w:highlight w:val="none"/>
              </w:rPr>
            </w:pPr>
          </w:p>
        </w:tc>
        <w:tc>
          <w:tcPr>
            <w:tcW w:w="1480" w:type="dxa"/>
            <w:tcBorders>
              <w:top w:val="nil"/>
            </w:tcBorders>
            <w:noWrap w:val="0"/>
            <w:vAlign w:val="center"/>
          </w:tcPr>
          <w:p w14:paraId="08E2E098">
            <w:pPr>
              <w:pStyle w:val="9"/>
              <w:keepNext/>
              <w:spacing w:after="0" w:line="440" w:lineRule="exact"/>
              <w:ind w:left="63" w:right="63"/>
              <w:rPr>
                <w:rFonts w:eastAsia="仿宋_GB2312"/>
                <w:color w:val="auto"/>
                <w:kern w:val="2"/>
                <w:sz w:val="30"/>
                <w:szCs w:val="30"/>
                <w:highlight w:val="none"/>
              </w:rPr>
            </w:pPr>
          </w:p>
        </w:tc>
        <w:tc>
          <w:tcPr>
            <w:tcW w:w="1020" w:type="dxa"/>
            <w:tcBorders>
              <w:top w:val="nil"/>
            </w:tcBorders>
            <w:noWrap w:val="0"/>
            <w:vAlign w:val="center"/>
          </w:tcPr>
          <w:p w14:paraId="1FBAAA19">
            <w:pPr>
              <w:pStyle w:val="9"/>
              <w:keepNext/>
              <w:spacing w:after="0" w:line="440" w:lineRule="exact"/>
              <w:ind w:left="63" w:right="63"/>
              <w:rPr>
                <w:rFonts w:eastAsia="仿宋_GB2312"/>
                <w:color w:val="auto"/>
                <w:kern w:val="2"/>
                <w:sz w:val="30"/>
                <w:szCs w:val="30"/>
                <w:highlight w:val="none"/>
              </w:rPr>
            </w:pPr>
          </w:p>
        </w:tc>
        <w:tc>
          <w:tcPr>
            <w:tcW w:w="921" w:type="dxa"/>
            <w:tcBorders>
              <w:top w:val="nil"/>
            </w:tcBorders>
            <w:noWrap w:val="0"/>
            <w:vAlign w:val="center"/>
          </w:tcPr>
          <w:p w14:paraId="036E2297">
            <w:pPr>
              <w:pStyle w:val="9"/>
              <w:keepNext/>
              <w:spacing w:after="0" w:line="440" w:lineRule="exact"/>
              <w:ind w:left="63" w:right="63"/>
              <w:rPr>
                <w:rFonts w:eastAsia="仿宋_GB2312"/>
                <w:color w:val="auto"/>
                <w:kern w:val="2"/>
                <w:sz w:val="30"/>
                <w:szCs w:val="30"/>
                <w:highlight w:val="none"/>
              </w:rPr>
            </w:pPr>
          </w:p>
        </w:tc>
      </w:tr>
      <w:tr w14:paraId="6E7D02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417071A">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285D1FA1">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069B095E">
            <w:pPr>
              <w:pStyle w:val="9"/>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599EFF55">
            <w:pPr>
              <w:pStyle w:val="9"/>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40F88FB8">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228C8472">
            <w:pPr>
              <w:pStyle w:val="9"/>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0D252C77">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7571F6F7">
            <w:pPr>
              <w:pStyle w:val="9"/>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44DFC163">
            <w:pPr>
              <w:pStyle w:val="9"/>
              <w:keepNext/>
              <w:spacing w:after="0" w:line="440" w:lineRule="exact"/>
              <w:ind w:left="63" w:right="63"/>
              <w:rPr>
                <w:rFonts w:eastAsia="仿宋_GB2312"/>
                <w:color w:val="auto"/>
                <w:kern w:val="2"/>
                <w:sz w:val="30"/>
                <w:szCs w:val="30"/>
                <w:highlight w:val="none"/>
              </w:rPr>
            </w:pPr>
          </w:p>
        </w:tc>
      </w:tr>
      <w:tr w14:paraId="21EC6B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249A767">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06618A35">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14F0DD57">
            <w:pPr>
              <w:pStyle w:val="9"/>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42E6C099">
            <w:pPr>
              <w:pStyle w:val="9"/>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1FBB9267">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089AA075">
            <w:pPr>
              <w:pStyle w:val="9"/>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6D1A5E85">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6B06AA74">
            <w:pPr>
              <w:pStyle w:val="9"/>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727FFFE7">
            <w:pPr>
              <w:pStyle w:val="9"/>
              <w:keepNext/>
              <w:spacing w:after="0" w:line="440" w:lineRule="exact"/>
              <w:ind w:left="63" w:right="63"/>
              <w:rPr>
                <w:rFonts w:eastAsia="仿宋_GB2312"/>
                <w:color w:val="auto"/>
                <w:kern w:val="2"/>
                <w:sz w:val="30"/>
                <w:szCs w:val="30"/>
                <w:highlight w:val="none"/>
              </w:rPr>
            </w:pPr>
          </w:p>
        </w:tc>
      </w:tr>
      <w:tr w14:paraId="1A233C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B7A1EC4">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4E4074E9">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3576F2DE">
            <w:pPr>
              <w:pStyle w:val="9"/>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6E980F29">
            <w:pPr>
              <w:pStyle w:val="9"/>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1B9CD2D5">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0BBD7F2E">
            <w:pPr>
              <w:pStyle w:val="9"/>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4E36816D">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318E56C4">
            <w:pPr>
              <w:pStyle w:val="9"/>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087365FC">
            <w:pPr>
              <w:pStyle w:val="9"/>
              <w:keepNext/>
              <w:spacing w:after="0" w:line="440" w:lineRule="exact"/>
              <w:ind w:left="63" w:right="63"/>
              <w:rPr>
                <w:rFonts w:eastAsia="仿宋_GB2312"/>
                <w:color w:val="auto"/>
                <w:kern w:val="2"/>
                <w:sz w:val="30"/>
                <w:szCs w:val="30"/>
                <w:highlight w:val="none"/>
              </w:rPr>
            </w:pPr>
          </w:p>
        </w:tc>
      </w:tr>
      <w:tr w14:paraId="6C72B0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5C614993">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7D37BDD8">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0B10FC27">
            <w:pPr>
              <w:pStyle w:val="9"/>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75DC5CEE">
            <w:pPr>
              <w:pStyle w:val="9"/>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17E89C37">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1EC1D99A">
            <w:pPr>
              <w:pStyle w:val="9"/>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45EC9AC3">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714F9EA6">
            <w:pPr>
              <w:pStyle w:val="9"/>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7696AA6B">
            <w:pPr>
              <w:pStyle w:val="9"/>
              <w:keepNext/>
              <w:spacing w:after="0" w:line="440" w:lineRule="exact"/>
              <w:ind w:left="63" w:right="63"/>
              <w:rPr>
                <w:rFonts w:eastAsia="仿宋_GB2312"/>
                <w:color w:val="auto"/>
                <w:kern w:val="2"/>
                <w:sz w:val="30"/>
                <w:szCs w:val="30"/>
                <w:highlight w:val="none"/>
              </w:rPr>
            </w:pPr>
          </w:p>
        </w:tc>
      </w:tr>
      <w:tr w14:paraId="64669A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A78BC38">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27DB5E3B">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06F4D68F">
            <w:pPr>
              <w:pStyle w:val="9"/>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15534FBA">
            <w:pPr>
              <w:pStyle w:val="9"/>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31D8F2A2">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2D8D69CC">
            <w:pPr>
              <w:pStyle w:val="9"/>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7431F44E">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3B642D1F">
            <w:pPr>
              <w:pStyle w:val="9"/>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3542D366">
            <w:pPr>
              <w:pStyle w:val="9"/>
              <w:keepNext/>
              <w:spacing w:after="0" w:line="440" w:lineRule="exact"/>
              <w:ind w:left="63" w:right="63"/>
              <w:rPr>
                <w:rFonts w:eastAsia="仿宋_GB2312"/>
                <w:color w:val="auto"/>
                <w:kern w:val="2"/>
                <w:sz w:val="30"/>
                <w:szCs w:val="30"/>
                <w:highlight w:val="none"/>
              </w:rPr>
            </w:pPr>
          </w:p>
        </w:tc>
      </w:tr>
      <w:tr w14:paraId="223305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FBCCED9">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711718A0">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32DBD7C2">
            <w:pPr>
              <w:pStyle w:val="9"/>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2BA1F3CD">
            <w:pPr>
              <w:pStyle w:val="9"/>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5A037284">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60A3D948">
            <w:pPr>
              <w:pStyle w:val="9"/>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4DD76B40">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4DCCB926">
            <w:pPr>
              <w:pStyle w:val="9"/>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2E78ECEE">
            <w:pPr>
              <w:pStyle w:val="9"/>
              <w:keepNext/>
              <w:spacing w:after="0" w:line="440" w:lineRule="exact"/>
              <w:ind w:left="63" w:right="63"/>
              <w:rPr>
                <w:rFonts w:eastAsia="仿宋_GB2312"/>
                <w:color w:val="auto"/>
                <w:kern w:val="2"/>
                <w:sz w:val="30"/>
                <w:szCs w:val="30"/>
                <w:highlight w:val="none"/>
              </w:rPr>
            </w:pPr>
          </w:p>
        </w:tc>
      </w:tr>
      <w:tr w14:paraId="67FC6A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76927124">
            <w:pPr>
              <w:rPr>
                <w:rFonts w:eastAsia="仿宋_GB2312"/>
                <w:color w:val="auto"/>
                <w:sz w:val="30"/>
                <w:szCs w:val="30"/>
                <w:highlight w:val="none"/>
              </w:rPr>
            </w:pPr>
          </w:p>
        </w:tc>
        <w:tc>
          <w:tcPr>
            <w:tcW w:w="1418" w:type="dxa"/>
            <w:noWrap w:val="0"/>
            <w:vAlign w:val="top"/>
          </w:tcPr>
          <w:p w14:paraId="3B1E3B6E">
            <w:pPr>
              <w:rPr>
                <w:rFonts w:eastAsia="仿宋_GB2312"/>
                <w:color w:val="auto"/>
                <w:sz w:val="30"/>
                <w:szCs w:val="30"/>
                <w:highlight w:val="none"/>
              </w:rPr>
            </w:pPr>
          </w:p>
        </w:tc>
        <w:tc>
          <w:tcPr>
            <w:tcW w:w="850" w:type="dxa"/>
            <w:noWrap w:val="0"/>
            <w:vAlign w:val="top"/>
          </w:tcPr>
          <w:p w14:paraId="6DA7C6BA">
            <w:pPr>
              <w:rPr>
                <w:rFonts w:eastAsia="仿宋_GB2312"/>
                <w:color w:val="auto"/>
                <w:sz w:val="30"/>
                <w:szCs w:val="30"/>
                <w:highlight w:val="none"/>
              </w:rPr>
            </w:pPr>
          </w:p>
        </w:tc>
        <w:tc>
          <w:tcPr>
            <w:tcW w:w="1058" w:type="dxa"/>
            <w:noWrap w:val="0"/>
            <w:vAlign w:val="top"/>
          </w:tcPr>
          <w:p w14:paraId="64E84BE9">
            <w:pPr>
              <w:rPr>
                <w:rFonts w:eastAsia="仿宋_GB2312"/>
                <w:color w:val="auto"/>
                <w:sz w:val="30"/>
                <w:szCs w:val="30"/>
                <w:highlight w:val="none"/>
              </w:rPr>
            </w:pPr>
          </w:p>
        </w:tc>
        <w:tc>
          <w:tcPr>
            <w:tcW w:w="880" w:type="dxa"/>
            <w:noWrap w:val="0"/>
            <w:vAlign w:val="top"/>
          </w:tcPr>
          <w:p w14:paraId="13A2F3A9">
            <w:pPr>
              <w:rPr>
                <w:rFonts w:eastAsia="仿宋_GB2312"/>
                <w:color w:val="auto"/>
                <w:sz w:val="30"/>
                <w:szCs w:val="30"/>
                <w:highlight w:val="none"/>
              </w:rPr>
            </w:pPr>
          </w:p>
        </w:tc>
        <w:tc>
          <w:tcPr>
            <w:tcW w:w="1020" w:type="dxa"/>
            <w:noWrap w:val="0"/>
            <w:vAlign w:val="top"/>
          </w:tcPr>
          <w:p w14:paraId="07921915">
            <w:pPr>
              <w:rPr>
                <w:rFonts w:eastAsia="仿宋_GB2312"/>
                <w:color w:val="auto"/>
                <w:sz w:val="30"/>
                <w:szCs w:val="30"/>
                <w:highlight w:val="none"/>
              </w:rPr>
            </w:pPr>
          </w:p>
        </w:tc>
        <w:tc>
          <w:tcPr>
            <w:tcW w:w="1480" w:type="dxa"/>
            <w:noWrap w:val="0"/>
            <w:vAlign w:val="top"/>
          </w:tcPr>
          <w:p w14:paraId="259FACB3">
            <w:pPr>
              <w:rPr>
                <w:rFonts w:eastAsia="仿宋_GB2312"/>
                <w:color w:val="auto"/>
                <w:sz w:val="30"/>
                <w:szCs w:val="30"/>
                <w:highlight w:val="none"/>
              </w:rPr>
            </w:pPr>
          </w:p>
        </w:tc>
        <w:tc>
          <w:tcPr>
            <w:tcW w:w="1020" w:type="dxa"/>
            <w:noWrap w:val="0"/>
            <w:vAlign w:val="top"/>
          </w:tcPr>
          <w:p w14:paraId="319BB464">
            <w:pPr>
              <w:rPr>
                <w:rFonts w:eastAsia="仿宋_GB2312"/>
                <w:color w:val="auto"/>
                <w:sz w:val="30"/>
                <w:szCs w:val="30"/>
                <w:highlight w:val="none"/>
              </w:rPr>
            </w:pPr>
          </w:p>
        </w:tc>
        <w:tc>
          <w:tcPr>
            <w:tcW w:w="921" w:type="dxa"/>
            <w:noWrap w:val="0"/>
            <w:vAlign w:val="top"/>
          </w:tcPr>
          <w:p w14:paraId="6D50F40F">
            <w:pPr>
              <w:rPr>
                <w:rFonts w:eastAsia="仿宋_GB2312"/>
                <w:color w:val="auto"/>
                <w:sz w:val="30"/>
                <w:szCs w:val="30"/>
                <w:highlight w:val="none"/>
              </w:rPr>
            </w:pPr>
          </w:p>
        </w:tc>
      </w:tr>
      <w:tr w14:paraId="2F8799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4266C3A">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7F3BA45B">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16027E07">
            <w:pPr>
              <w:pStyle w:val="9"/>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492BDC7D">
            <w:pPr>
              <w:pStyle w:val="9"/>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110EAD0D">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6A5D52C7">
            <w:pPr>
              <w:pStyle w:val="9"/>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143FDEC7">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619ABD70">
            <w:pPr>
              <w:pStyle w:val="9"/>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0434D263">
            <w:pPr>
              <w:pStyle w:val="9"/>
              <w:keepNext/>
              <w:spacing w:after="0" w:line="440" w:lineRule="exact"/>
              <w:ind w:left="63" w:right="63"/>
              <w:rPr>
                <w:rFonts w:eastAsia="仿宋_GB2312"/>
                <w:color w:val="auto"/>
                <w:kern w:val="2"/>
                <w:sz w:val="30"/>
                <w:szCs w:val="30"/>
                <w:highlight w:val="none"/>
              </w:rPr>
            </w:pPr>
          </w:p>
        </w:tc>
      </w:tr>
      <w:tr w14:paraId="684020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E707F28">
            <w:pPr>
              <w:rPr>
                <w:rFonts w:eastAsia="仿宋_GB2312"/>
                <w:color w:val="auto"/>
                <w:sz w:val="30"/>
                <w:szCs w:val="30"/>
                <w:highlight w:val="none"/>
              </w:rPr>
            </w:pPr>
          </w:p>
        </w:tc>
        <w:tc>
          <w:tcPr>
            <w:tcW w:w="1418" w:type="dxa"/>
            <w:noWrap w:val="0"/>
            <w:vAlign w:val="top"/>
          </w:tcPr>
          <w:p w14:paraId="37FAE6E7">
            <w:pPr>
              <w:rPr>
                <w:rFonts w:eastAsia="仿宋_GB2312"/>
                <w:color w:val="auto"/>
                <w:sz w:val="30"/>
                <w:szCs w:val="30"/>
                <w:highlight w:val="none"/>
              </w:rPr>
            </w:pPr>
          </w:p>
        </w:tc>
        <w:tc>
          <w:tcPr>
            <w:tcW w:w="850" w:type="dxa"/>
            <w:noWrap w:val="0"/>
            <w:vAlign w:val="top"/>
          </w:tcPr>
          <w:p w14:paraId="42B5D51A">
            <w:pPr>
              <w:rPr>
                <w:rFonts w:eastAsia="仿宋_GB2312"/>
                <w:color w:val="auto"/>
                <w:sz w:val="30"/>
                <w:szCs w:val="30"/>
                <w:highlight w:val="none"/>
              </w:rPr>
            </w:pPr>
          </w:p>
        </w:tc>
        <w:tc>
          <w:tcPr>
            <w:tcW w:w="1058" w:type="dxa"/>
            <w:noWrap w:val="0"/>
            <w:vAlign w:val="top"/>
          </w:tcPr>
          <w:p w14:paraId="55D35B66">
            <w:pPr>
              <w:rPr>
                <w:rFonts w:eastAsia="仿宋_GB2312"/>
                <w:color w:val="auto"/>
                <w:sz w:val="30"/>
                <w:szCs w:val="30"/>
                <w:highlight w:val="none"/>
              </w:rPr>
            </w:pPr>
          </w:p>
        </w:tc>
        <w:tc>
          <w:tcPr>
            <w:tcW w:w="880" w:type="dxa"/>
            <w:noWrap w:val="0"/>
            <w:vAlign w:val="top"/>
          </w:tcPr>
          <w:p w14:paraId="1C0ED899">
            <w:pPr>
              <w:rPr>
                <w:rFonts w:eastAsia="仿宋_GB2312"/>
                <w:color w:val="auto"/>
                <w:sz w:val="30"/>
                <w:szCs w:val="30"/>
                <w:highlight w:val="none"/>
              </w:rPr>
            </w:pPr>
          </w:p>
        </w:tc>
        <w:tc>
          <w:tcPr>
            <w:tcW w:w="1020" w:type="dxa"/>
            <w:noWrap w:val="0"/>
            <w:vAlign w:val="top"/>
          </w:tcPr>
          <w:p w14:paraId="33EC7A30">
            <w:pPr>
              <w:rPr>
                <w:rFonts w:eastAsia="仿宋_GB2312"/>
                <w:color w:val="auto"/>
                <w:sz w:val="30"/>
                <w:szCs w:val="30"/>
                <w:highlight w:val="none"/>
              </w:rPr>
            </w:pPr>
          </w:p>
        </w:tc>
        <w:tc>
          <w:tcPr>
            <w:tcW w:w="1480" w:type="dxa"/>
            <w:noWrap w:val="0"/>
            <w:vAlign w:val="top"/>
          </w:tcPr>
          <w:p w14:paraId="47300EAA">
            <w:pPr>
              <w:rPr>
                <w:rFonts w:eastAsia="仿宋_GB2312"/>
                <w:color w:val="auto"/>
                <w:sz w:val="30"/>
                <w:szCs w:val="30"/>
                <w:highlight w:val="none"/>
              </w:rPr>
            </w:pPr>
          </w:p>
        </w:tc>
        <w:tc>
          <w:tcPr>
            <w:tcW w:w="1020" w:type="dxa"/>
            <w:noWrap w:val="0"/>
            <w:vAlign w:val="top"/>
          </w:tcPr>
          <w:p w14:paraId="60DB745C">
            <w:pPr>
              <w:rPr>
                <w:rFonts w:eastAsia="仿宋_GB2312"/>
                <w:color w:val="auto"/>
                <w:sz w:val="30"/>
                <w:szCs w:val="30"/>
                <w:highlight w:val="none"/>
              </w:rPr>
            </w:pPr>
          </w:p>
        </w:tc>
        <w:tc>
          <w:tcPr>
            <w:tcW w:w="921" w:type="dxa"/>
            <w:noWrap w:val="0"/>
            <w:vAlign w:val="top"/>
          </w:tcPr>
          <w:p w14:paraId="5F4185AB">
            <w:pPr>
              <w:rPr>
                <w:rFonts w:eastAsia="仿宋_GB2312"/>
                <w:color w:val="auto"/>
                <w:sz w:val="30"/>
                <w:szCs w:val="30"/>
                <w:highlight w:val="none"/>
              </w:rPr>
            </w:pPr>
          </w:p>
        </w:tc>
      </w:tr>
      <w:tr w14:paraId="493ADC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B4E8283">
            <w:pPr>
              <w:rPr>
                <w:rFonts w:eastAsia="仿宋_GB2312"/>
                <w:color w:val="auto"/>
                <w:sz w:val="30"/>
                <w:szCs w:val="30"/>
                <w:highlight w:val="none"/>
              </w:rPr>
            </w:pPr>
          </w:p>
        </w:tc>
        <w:tc>
          <w:tcPr>
            <w:tcW w:w="1418" w:type="dxa"/>
            <w:noWrap w:val="0"/>
            <w:vAlign w:val="top"/>
          </w:tcPr>
          <w:p w14:paraId="6B4B84F2">
            <w:pPr>
              <w:rPr>
                <w:rFonts w:eastAsia="仿宋_GB2312"/>
                <w:color w:val="auto"/>
                <w:sz w:val="30"/>
                <w:szCs w:val="30"/>
                <w:highlight w:val="none"/>
              </w:rPr>
            </w:pPr>
          </w:p>
        </w:tc>
        <w:tc>
          <w:tcPr>
            <w:tcW w:w="850" w:type="dxa"/>
            <w:noWrap w:val="0"/>
            <w:vAlign w:val="top"/>
          </w:tcPr>
          <w:p w14:paraId="51CAAD04">
            <w:pPr>
              <w:rPr>
                <w:rFonts w:eastAsia="仿宋_GB2312"/>
                <w:color w:val="auto"/>
                <w:sz w:val="30"/>
                <w:szCs w:val="30"/>
                <w:highlight w:val="none"/>
              </w:rPr>
            </w:pPr>
          </w:p>
        </w:tc>
        <w:tc>
          <w:tcPr>
            <w:tcW w:w="1058" w:type="dxa"/>
            <w:noWrap w:val="0"/>
            <w:vAlign w:val="top"/>
          </w:tcPr>
          <w:p w14:paraId="6C08FA48">
            <w:pPr>
              <w:rPr>
                <w:rFonts w:eastAsia="仿宋_GB2312"/>
                <w:color w:val="auto"/>
                <w:sz w:val="30"/>
                <w:szCs w:val="30"/>
                <w:highlight w:val="none"/>
              </w:rPr>
            </w:pPr>
          </w:p>
        </w:tc>
        <w:tc>
          <w:tcPr>
            <w:tcW w:w="880" w:type="dxa"/>
            <w:noWrap w:val="0"/>
            <w:vAlign w:val="top"/>
          </w:tcPr>
          <w:p w14:paraId="592CD064">
            <w:pPr>
              <w:rPr>
                <w:rFonts w:eastAsia="仿宋_GB2312"/>
                <w:color w:val="auto"/>
                <w:sz w:val="30"/>
                <w:szCs w:val="30"/>
                <w:highlight w:val="none"/>
              </w:rPr>
            </w:pPr>
          </w:p>
        </w:tc>
        <w:tc>
          <w:tcPr>
            <w:tcW w:w="1020" w:type="dxa"/>
            <w:noWrap w:val="0"/>
            <w:vAlign w:val="top"/>
          </w:tcPr>
          <w:p w14:paraId="33CCD509">
            <w:pPr>
              <w:rPr>
                <w:rFonts w:eastAsia="仿宋_GB2312"/>
                <w:color w:val="auto"/>
                <w:sz w:val="30"/>
                <w:szCs w:val="30"/>
                <w:highlight w:val="none"/>
              </w:rPr>
            </w:pPr>
          </w:p>
        </w:tc>
        <w:tc>
          <w:tcPr>
            <w:tcW w:w="1480" w:type="dxa"/>
            <w:noWrap w:val="0"/>
            <w:vAlign w:val="top"/>
          </w:tcPr>
          <w:p w14:paraId="7B137BEC">
            <w:pPr>
              <w:rPr>
                <w:rFonts w:eastAsia="仿宋_GB2312"/>
                <w:color w:val="auto"/>
                <w:sz w:val="30"/>
                <w:szCs w:val="30"/>
                <w:highlight w:val="none"/>
              </w:rPr>
            </w:pPr>
          </w:p>
        </w:tc>
        <w:tc>
          <w:tcPr>
            <w:tcW w:w="1020" w:type="dxa"/>
            <w:noWrap w:val="0"/>
            <w:vAlign w:val="top"/>
          </w:tcPr>
          <w:p w14:paraId="3802337A">
            <w:pPr>
              <w:rPr>
                <w:rFonts w:eastAsia="仿宋_GB2312"/>
                <w:color w:val="auto"/>
                <w:sz w:val="30"/>
                <w:szCs w:val="30"/>
                <w:highlight w:val="none"/>
              </w:rPr>
            </w:pPr>
          </w:p>
        </w:tc>
        <w:tc>
          <w:tcPr>
            <w:tcW w:w="921" w:type="dxa"/>
            <w:noWrap w:val="0"/>
            <w:vAlign w:val="top"/>
          </w:tcPr>
          <w:p w14:paraId="1291D311">
            <w:pPr>
              <w:rPr>
                <w:rFonts w:eastAsia="仿宋_GB2312"/>
                <w:color w:val="auto"/>
                <w:sz w:val="30"/>
                <w:szCs w:val="30"/>
                <w:highlight w:val="none"/>
              </w:rPr>
            </w:pPr>
          </w:p>
        </w:tc>
      </w:tr>
      <w:tr w14:paraId="67B6C9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292C73BB">
            <w:pPr>
              <w:rPr>
                <w:rFonts w:eastAsia="仿宋_GB2312"/>
                <w:color w:val="auto"/>
                <w:sz w:val="30"/>
                <w:szCs w:val="30"/>
                <w:highlight w:val="none"/>
              </w:rPr>
            </w:pPr>
          </w:p>
        </w:tc>
        <w:tc>
          <w:tcPr>
            <w:tcW w:w="1418" w:type="dxa"/>
            <w:noWrap w:val="0"/>
            <w:vAlign w:val="top"/>
          </w:tcPr>
          <w:p w14:paraId="34B876EA">
            <w:pPr>
              <w:rPr>
                <w:rFonts w:eastAsia="仿宋_GB2312"/>
                <w:color w:val="auto"/>
                <w:sz w:val="30"/>
                <w:szCs w:val="30"/>
                <w:highlight w:val="none"/>
              </w:rPr>
            </w:pPr>
          </w:p>
        </w:tc>
        <w:tc>
          <w:tcPr>
            <w:tcW w:w="850" w:type="dxa"/>
            <w:noWrap w:val="0"/>
            <w:vAlign w:val="top"/>
          </w:tcPr>
          <w:p w14:paraId="4638093C">
            <w:pPr>
              <w:rPr>
                <w:rFonts w:eastAsia="仿宋_GB2312"/>
                <w:color w:val="auto"/>
                <w:sz w:val="30"/>
                <w:szCs w:val="30"/>
                <w:highlight w:val="none"/>
              </w:rPr>
            </w:pPr>
          </w:p>
        </w:tc>
        <w:tc>
          <w:tcPr>
            <w:tcW w:w="1058" w:type="dxa"/>
            <w:noWrap w:val="0"/>
            <w:vAlign w:val="top"/>
          </w:tcPr>
          <w:p w14:paraId="1E191AA6">
            <w:pPr>
              <w:rPr>
                <w:rFonts w:eastAsia="仿宋_GB2312"/>
                <w:color w:val="auto"/>
                <w:sz w:val="30"/>
                <w:szCs w:val="30"/>
                <w:highlight w:val="none"/>
              </w:rPr>
            </w:pPr>
          </w:p>
        </w:tc>
        <w:tc>
          <w:tcPr>
            <w:tcW w:w="880" w:type="dxa"/>
            <w:noWrap w:val="0"/>
            <w:vAlign w:val="top"/>
          </w:tcPr>
          <w:p w14:paraId="04455F09">
            <w:pPr>
              <w:rPr>
                <w:rFonts w:eastAsia="仿宋_GB2312"/>
                <w:color w:val="auto"/>
                <w:sz w:val="30"/>
                <w:szCs w:val="30"/>
                <w:highlight w:val="none"/>
              </w:rPr>
            </w:pPr>
          </w:p>
        </w:tc>
        <w:tc>
          <w:tcPr>
            <w:tcW w:w="1020" w:type="dxa"/>
            <w:noWrap w:val="0"/>
            <w:vAlign w:val="top"/>
          </w:tcPr>
          <w:p w14:paraId="0D70B58A">
            <w:pPr>
              <w:rPr>
                <w:rFonts w:eastAsia="仿宋_GB2312"/>
                <w:color w:val="auto"/>
                <w:sz w:val="30"/>
                <w:szCs w:val="30"/>
                <w:highlight w:val="none"/>
              </w:rPr>
            </w:pPr>
          </w:p>
        </w:tc>
        <w:tc>
          <w:tcPr>
            <w:tcW w:w="1480" w:type="dxa"/>
            <w:noWrap w:val="0"/>
            <w:vAlign w:val="top"/>
          </w:tcPr>
          <w:p w14:paraId="03B1FAFD">
            <w:pPr>
              <w:rPr>
                <w:rFonts w:eastAsia="仿宋_GB2312"/>
                <w:color w:val="auto"/>
                <w:sz w:val="30"/>
                <w:szCs w:val="30"/>
                <w:highlight w:val="none"/>
              </w:rPr>
            </w:pPr>
          </w:p>
        </w:tc>
        <w:tc>
          <w:tcPr>
            <w:tcW w:w="1020" w:type="dxa"/>
            <w:noWrap w:val="0"/>
            <w:vAlign w:val="top"/>
          </w:tcPr>
          <w:p w14:paraId="25D56442">
            <w:pPr>
              <w:rPr>
                <w:rFonts w:eastAsia="仿宋_GB2312"/>
                <w:color w:val="auto"/>
                <w:sz w:val="30"/>
                <w:szCs w:val="30"/>
                <w:highlight w:val="none"/>
              </w:rPr>
            </w:pPr>
          </w:p>
        </w:tc>
        <w:tc>
          <w:tcPr>
            <w:tcW w:w="921" w:type="dxa"/>
            <w:noWrap w:val="0"/>
            <w:vAlign w:val="top"/>
          </w:tcPr>
          <w:p w14:paraId="217E9EE7">
            <w:pPr>
              <w:rPr>
                <w:rFonts w:eastAsia="仿宋_GB2312"/>
                <w:color w:val="auto"/>
                <w:sz w:val="30"/>
                <w:szCs w:val="30"/>
                <w:highlight w:val="none"/>
              </w:rPr>
            </w:pPr>
          </w:p>
        </w:tc>
      </w:tr>
      <w:tr w14:paraId="386099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3757A5F6">
            <w:pPr>
              <w:rPr>
                <w:rFonts w:eastAsia="仿宋_GB2312"/>
                <w:color w:val="auto"/>
                <w:sz w:val="30"/>
                <w:szCs w:val="30"/>
                <w:highlight w:val="none"/>
              </w:rPr>
            </w:pPr>
          </w:p>
        </w:tc>
        <w:tc>
          <w:tcPr>
            <w:tcW w:w="1418" w:type="dxa"/>
            <w:noWrap w:val="0"/>
            <w:vAlign w:val="top"/>
          </w:tcPr>
          <w:p w14:paraId="74C18396">
            <w:pPr>
              <w:rPr>
                <w:rFonts w:eastAsia="仿宋_GB2312"/>
                <w:color w:val="auto"/>
                <w:sz w:val="30"/>
                <w:szCs w:val="30"/>
                <w:highlight w:val="none"/>
              </w:rPr>
            </w:pPr>
          </w:p>
        </w:tc>
        <w:tc>
          <w:tcPr>
            <w:tcW w:w="850" w:type="dxa"/>
            <w:noWrap w:val="0"/>
            <w:vAlign w:val="top"/>
          </w:tcPr>
          <w:p w14:paraId="5AFD2DFC">
            <w:pPr>
              <w:rPr>
                <w:rFonts w:eastAsia="仿宋_GB2312"/>
                <w:color w:val="auto"/>
                <w:sz w:val="30"/>
                <w:szCs w:val="30"/>
                <w:highlight w:val="none"/>
              </w:rPr>
            </w:pPr>
          </w:p>
        </w:tc>
        <w:tc>
          <w:tcPr>
            <w:tcW w:w="1058" w:type="dxa"/>
            <w:noWrap w:val="0"/>
            <w:vAlign w:val="top"/>
          </w:tcPr>
          <w:p w14:paraId="0A0937A8">
            <w:pPr>
              <w:rPr>
                <w:rFonts w:eastAsia="仿宋_GB2312"/>
                <w:color w:val="auto"/>
                <w:sz w:val="30"/>
                <w:szCs w:val="30"/>
                <w:highlight w:val="none"/>
              </w:rPr>
            </w:pPr>
          </w:p>
        </w:tc>
        <w:tc>
          <w:tcPr>
            <w:tcW w:w="880" w:type="dxa"/>
            <w:noWrap w:val="0"/>
            <w:vAlign w:val="top"/>
          </w:tcPr>
          <w:p w14:paraId="2A2B078F">
            <w:pPr>
              <w:rPr>
                <w:rFonts w:eastAsia="仿宋_GB2312"/>
                <w:color w:val="auto"/>
                <w:sz w:val="30"/>
                <w:szCs w:val="30"/>
                <w:highlight w:val="none"/>
              </w:rPr>
            </w:pPr>
          </w:p>
        </w:tc>
        <w:tc>
          <w:tcPr>
            <w:tcW w:w="1020" w:type="dxa"/>
            <w:noWrap w:val="0"/>
            <w:vAlign w:val="top"/>
          </w:tcPr>
          <w:p w14:paraId="0290C1E1">
            <w:pPr>
              <w:rPr>
                <w:rFonts w:eastAsia="仿宋_GB2312"/>
                <w:color w:val="auto"/>
                <w:sz w:val="30"/>
                <w:szCs w:val="30"/>
                <w:highlight w:val="none"/>
              </w:rPr>
            </w:pPr>
          </w:p>
        </w:tc>
        <w:tc>
          <w:tcPr>
            <w:tcW w:w="1480" w:type="dxa"/>
            <w:noWrap w:val="0"/>
            <w:vAlign w:val="top"/>
          </w:tcPr>
          <w:p w14:paraId="11ECBC54">
            <w:pPr>
              <w:rPr>
                <w:rFonts w:eastAsia="仿宋_GB2312"/>
                <w:color w:val="auto"/>
                <w:sz w:val="30"/>
                <w:szCs w:val="30"/>
                <w:highlight w:val="none"/>
              </w:rPr>
            </w:pPr>
          </w:p>
        </w:tc>
        <w:tc>
          <w:tcPr>
            <w:tcW w:w="1020" w:type="dxa"/>
            <w:noWrap w:val="0"/>
            <w:vAlign w:val="top"/>
          </w:tcPr>
          <w:p w14:paraId="47871363">
            <w:pPr>
              <w:rPr>
                <w:rFonts w:eastAsia="仿宋_GB2312"/>
                <w:color w:val="auto"/>
                <w:sz w:val="30"/>
                <w:szCs w:val="30"/>
                <w:highlight w:val="none"/>
              </w:rPr>
            </w:pPr>
          </w:p>
        </w:tc>
        <w:tc>
          <w:tcPr>
            <w:tcW w:w="921" w:type="dxa"/>
            <w:noWrap w:val="0"/>
            <w:vAlign w:val="top"/>
          </w:tcPr>
          <w:p w14:paraId="6E436A25">
            <w:pPr>
              <w:rPr>
                <w:rFonts w:eastAsia="仿宋_GB2312"/>
                <w:color w:val="auto"/>
                <w:sz w:val="30"/>
                <w:szCs w:val="30"/>
                <w:highlight w:val="none"/>
              </w:rPr>
            </w:pPr>
          </w:p>
        </w:tc>
      </w:tr>
      <w:tr w14:paraId="5F4684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C0D41BC">
            <w:pPr>
              <w:rPr>
                <w:rFonts w:eastAsia="仿宋_GB2312"/>
                <w:color w:val="auto"/>
                <w:sz w:val="30"/>
                <w:szCs w:val="30"/>
                <w:highlight w:val="none"/>
              </w:rPr>
            </w:pPr>
          </w:p>
        </w:tc>
        <w:tc>
          <w:tcPr>
            <w:tcW w:w="1418" w:type="dxa"/>
            <w:noWrap w:val="0"/>
            <w:vAlign w:val="top"/>
          </w:tcPr>
          <w:p w14:paraId="41CBF692">
            <w:pPr>
              <w:rPr>
                <w:rFonts w:eastAsia="仿宋_GB2312"/>
                <w:color w:val="auto"/>
                <w:sz w:val="30"/>
                <w:szCs w:val="30"/>
                <w:highlight w:val="none"/>
              </w:rPr>
            </w:pPr>
          </w:p>
        </w:tc>
        <w:tc>
          <w:tcPr>
            <w:tcW w:w="850" w:type="dxa"/>
            <w:noWrap w:val="0"/>
            <w:vAlign w:val="top"/>
          </w:tcPr>
          <w:p w14:paraId="52F858F2">
            <w:pPr>
              <w:rPr>
                <w:rFonts w:eastAsia="仿宋_GB2312"/>
                <w:color w:val="auto"/>
                <w:sz w:val="30"/>
                <w:szCs w:val="30"/>
                <w:highlight w:val="none"/>
              </w:rPr>
            </w:pPr>
          </w:p>
        </w:tc>
        <w:tc>
          <w:tcPr>
            <w:tcW w:w="1058" w:type="dxa"/>
            <w:noWrap w:val="0"/>
            <w:vAlign w:val="top"/>
          </w:tcPr>
          <w:p w14:paraId="7A2CDF5D">
            <w:pPr>
              <w:rPr>
                <w:rFonts w:eastAsia="仿宋_GB2312"/>
                <w:color w:val="auto"/>
                <w:sz w:val="30"/>
                <w:szCs w:val="30"/>
                <w:highlight w:val="none"/>
              </w:rPr>
            </w:pPr>
          </w:p>
        </w:tc>
        <w:tc>
          <w:tcPr>
            <w:tcW w:w="880" w:type="dxa"/>
            <w:noWrap w:val="0"/>
            <w:vAlign w:val="top"/>
          </w:tcPr>
          <w:p w14:paraId="1FC363F6">
            <w:pPr>
              <w:rPr>
                <w:rFonts w:eastAsia="仿宋_GB2312"/>
                <w:color w:val="auto"/>
                <w:sz w:val="30"/>
                <w:szCs w:val="30"/>
                <w:highlight w:val="none"/>
              </w:rPr>
            </w:pPr>
          </w:p>
        </w:tc>
        <w:tc>
          <w:tcPr>
            <w:tcW w:w="1020" w:type="dxa"/>
            <w:noWrap w:val="0"/>
            <w:vAlign w:val="top"/>
          </w:tcPr>
          <w:p w14:paraId="78ECCCBF">
            <w:pPr>
              <w:rPr>
                <w:rFonts w:eastAsia="仿宋_GB2312"/>
                <w:color w:val="auto"/>
                <w:sz w:val="30"/>
                <w:szCs w:val="30"/>
                <w:highlight w:val="none"/>
              </w:rPr>
            </w:pPr>
          </w:p>
        </w:tc>
        <w:tc>
          <w:tcPr>
            <w:tcW w:w="1480" w:type="dxa"/>
            <w:noWrap w:val="0"/>
            <w:vAlign w:val="top"/>
          </w:tcPr>
          <w:p w14:paraId="603A9AEB">
            <w:pPr>
              <w:rPr>
                <w:rFonts w:eastAsia="仿宋_GB2312"/>
                <w:color w:val="auto"/>
                <w:sz w:val="30"/>
                <w:szCs w:val="30"/>
                <w:highlight w:val="none"/>
              </w:rPr>
            </w:pPr>
          </w:p>
        </w:tc>
        <w:tc>
          <w:tcPr>
            <w:tcW w:w="1020" w:type="dxa"/>
            <w:noWrap w:val="0"/>
            <w:vAlign w:val="top"/>
          </w:tcPr>
          <w:p w14:paraId="5D809F14">
            <w:pPr>
              <w:rPr>
                <w:rFonts w:eastAsia="仿宋_GB2312"/>
                <w:color w:val="auto"/>
                <w:sz w:val="30"/>
                <w:szCs w:val="30"/>
                <w:highlight w:val="none"/>
              </w:rPr>
            </w:pPr>
          </w:p>
        </w:tc>
        <w:tc>
          <w:tcPr>
            <w:tcW w:w="921" w:type="dxa"/>
            <w:noWrap w:val="0"/>
            <w:vAlign w:val="top"/>
          </w:tcPr>
          <w:p w14:paraId="2A3604F1">
            <w:pPr>
              <w:rPr>
                <w:rFonts w:eastAsia="仿宋_GB2312"/>
                <w:color w:val="auto"/>
                <w:sz w:val="30"/>
                <w:szCs w:val="30"/>
                <w:highlight w:val="none"/>
              </w:rPr>
            </w:pPr>
          </w:p>
        </w:tc>
      </w:tr>
      <w:tr w14:paraId="37F7E3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144FE00">
            <w:pPr>
              <w:rPr>
                <w:rFonts w:eastAsia="仿宋_GB2312"/>
                <w:color w:val="auto"/>
                <w:sz w:val="30"/>
                <w:szCs w:val="30"/>
                <w:highlight w:val="none"/>
              </w:rPr>
            </w:pPr>
          </w:p>
        </w:tc>
        <w:tc>
          <w:tcPr>
            <w:tcW w:w="1418" w:type="dxa"/>
            <w:noWrap w:val="0"/>
            <w:vAlign w:val="top"/>
          </w:tcPr>
          <w:p w14:paraId="024C61AD">
            <w:pPr>
              <w:rPr>
                <w:rFonts w:eastAsia="仿宋_GB2312"/>
                <w:color w:val="auto"/>
                <w:sz w:val="30"/>
                <w:szCs w:val="30"/>
                <w:highlight w:val="none"/>
              </w:rPr>
            </w:pPr>
          </w:p>
        </w:tc>
        <w:tc>
          <w:tcPr>
            <w:tcW w:w="850" w:type="dxa"/>
            <w:noWrap w:val="0"/>
            <w:vAlign w:val="top"/>
          </w:tcPr>
          <w:p w14:paraId="757F63CE">
            <w:pPr>
              <w:rPr>
                <w:rFonts w:eastAsia="仿宋_GB2312"/>
                <w:color w:val="auto"/>
                <w:sz w:val="30"/>
                <w:szCs w:val="30"/>
                <w:highlight w:val="none"/>
              </w:rPr>
            </w:pPr>
          </w:p>
        </w:tc>
        <w:tc>
          <w:tcPr>
            <w:tcW w:w="1058" w:type="dxa"/>
            <w:noWrap w:val="0"/>
            <w:vAlign w:val="top"/>
          </w:tcPr>
          <w:p w14:paraId="5A21C390">
            <w:pPr>
              <w:rPr>
                <w:rFonts w:eastAsia="仿宋_GB2312"/>
                <w:color w:val="auto"/>
                <w:sz w:val="30"/>
                <w:szCs w:val="30"/>
                <w:highlight w:val="none"/>
              </w:rPr>
            </w:pPr>
          </w:p>
        </w:tc>
        <w:tc>
          <w:tcPr>
            <w:tcW w:w="880" w:type="dxa"/>
            <w:noWrap w:val="0"/>
            <w:vAlign w:val="top"/>
          </w:tcPr>
          <w:p w14:paraId="45B0CD3C">
            <w:pPr>
              <w:rPr>
                <w:rFonts w:eastAsia="仿宋_GB2312"/>
                <w:color w:val="auto"/>
                <w:sz w:val="30"/>
                <w:szCs w:val="30"/>
                <w:highlight w:val="none"/>
              </w:rPr>
            </w:pPr>
          </w:p>
        </w:tc>
        <w:tc>
          <w:tcPr>
            <w:tcW w:w="1020" w:type="dxa"/>
            <w:noWrap w:val="0"/>
            <w:vAlign w:val="top"/>
          </w:tcPr>
          <w:p w14:paraId="6AB6C76B">
            <w:pPr>
              <w:rPr>
                <w:rFonts w:eastAsia="仿宋_GB2312"/>
                <w:color w:val="auto"/>
                <w:sz w:val="30"/>
                <w:szCs w:val="30"/>
                <w:highlight w:val="none"/>
              </w:rPr>
            </w:pPr>
          </w:p>
        </w:tc>
        <w:tc>
          <w:tcPr>
            <w:tcW w:w="1480" w:type="dxa"/>
            <w:noWrap w:val="0"/>
            <w:vAlign w:val="top"/>
          </w:tcPr>
          <w:p w14:paraId="3448D618">
            <w:pPr>
              <w:rPr>
                <w:rFonts w:eastAsia="仿宋_GB2312"/>
                <w:color w:val="auto"/>
                <w:sz w:val="30"/>
                <w:szCs w:val="30"/>
                <w:highlight w:val="none"/>
              </w:rPr>
            </w:pPr>
          </w:p>
        </w:tc>
        <w:tc>
          <w:tcPr>
            <w:tcW w:w="1020" w:type="dxa"/>
            <w:noWrap w:val="0"/>
            <w:vAlign w:val="top"/>
          </w:tcPr>
          <w:p w14:paraId="598B5142">
            <w:pPr>
              <w:rPr>
                <w:rFonts w:eastAsia="仿宋_GB2312"/>
                <w:color w:val="auto"/>
                <w:sz w:val="30"/>
                <w:szCs w:val="30"/>
                <w:highlight w:val="none"/>
              </w:rPr>
            </w:pPr>
          </w:p>
        </w:tc>
        <w:tc>
          <w:tcPr>
            <w:tcW w:w="921" w:type="dxa"/>
            <w:noWrap w:val="0"/>
            <w:vAlign w:val="top"/>
          </w:tcPr>
          <w:p w14:paraId="7EA2C532">
            <w:pPr>
              <w:rPr>
                <w:rFonts w:eastAsia="仿宋_GB2312"/>
                <w:color w:val="auto"/>
                <w:sz w:val="30"/>
                <w:szCs w:val="30"/>
                <w:highlight w:val="none"/>
              </w:rPr>
            </w:pPr>
          </w:p>
        </w:tc>
      </w:tr>
      <w:tr w14:paraId="5B8886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638E096">
            <w:pPr>
              <w:rPr>
                <w:rFonts w:eastAsia="仿宋_GB2312"/>
                <w:color w:val="auto"/>
                <w:sz w:val="30"/>
                <w:szCs w:val="30"/>
                <w:highlight w:val="none"/>
              </w:rPr>
            </w:pPr>
          </w:p>
        </w:tc>
        <w:tc>
          <w:tcPr>
            <w:tcW w:w="1418" w:type="dxa"/>
            <w:noWrap w:val="0"/>
            <w:vAlign w:val="top"/>
          </w:tcPr>
          <w:p w14:paraId="16E7590E">
            <w:pPr>
              <w:rPr>
                <w:rFonts w:eastAsia="仿宋_GB2312"/>
                <w:color w:val="auto"/>
                <w:sz w:val="30"/>
                <w:szCs w:val="30"/>
                <w:highlight w:val="none"/>
              </w:rPr>
            </w:pPr>
          </w:p>
        </w:tc>
        <w:tc>
          <w:tcPr>
            <w:tcW w:w="850" w:type="dxa"/>
            <w:noWrap w:val="0"/>
            <w:vAlign w:val="top"/>
          </w:tcPr>
          <w:p w14:paraId="67C1DC33">
            <w:pPr>
              <w:rPr>
                <w:rFonts w:eastAsia="仿宋_GB2312"/>
                <w:color w:val="auto"/>
                <w:sz w:val="30"/>
                <w:szCs w:val="30"/>
                <w:highlight w:val="none"/>
              </w:rPr>
            </w:pPr>
          </w:p>
        </w:tc>
        <w:tc>
          <w:tcPr>
            <w:tcW w:w="1058" w:type="dxa"/>
            <w:noWrap w:val="0"/>
            <w:vAlign w:val="top"/>
          </w:tcPr>
          <w:p w14:paraId="3D17DC90">
            <w:pPr>
              <w:rPr>
                <w:rFonts w:eastAsia="仿宋_GB2312"/>
                <w:color w:val="auto"/>
                <w:sz w:val="30"/>
                <w:szCs w:val="30"/>
                <w:highlight w:val="none"/>
              </w:rPr>
            </w:pPr>
          </w:p>
        </w:tc>
        <w:tc>
          <w:tcPr>
            <w:tcW w:w="880" w:type="dxa"/>
            <w:noWrap w:val="0"/>
            <w:vAlign w:val="top"/>
          </w:tcPr>
          <w:p w14:paraId="79E43E30">
            <w:pPr>
              <w:rPr>
                <w:rFonts w:eastAsia="仿宋_GB2312"/>
                <w:color w:val="auto"/>
                <w:sz w:val="30"/>
                <w:szCs w:val="30"/>
                <w:highlight w:val="none"/>
              </w:rPr>
            </w:pPr>
          </w:p>
        </w:tc>
        <w:tc>
          <w:tcPr>
            <w:tcW w:w="1020" w:type="dxa"/>
            <w:noWrap w:val="0"/>
            <w:vAlign w:val="top"/>
          </w:tcPr>
          <w:p w14:paraId="2715C2D0">
            <w:pPr>
              <w:rPr>
                <w:rFonts w:eastAsia="仿宋_GB2312"/>
                <w:color w:val="auto"/>
                <w:sz w:val="30"/>
                <w:szCs w:val="30"/>
                <w:highlight w:val="none"/>
              </w:rPr>
            </w:pPr>
          </w:p>
        </w:tc>
        <w:tc>
          <w:tcPr>
            <w:tcW w:w="1480" w:type="dxa"/>
            <w:noWrap w:val="0"/>
            <w:vAlign w:val="top"/>
          </w:tcPr>
          <w:p w14:paraId="099F8F33">
            <w:pPr>
              <w:rPr>
                <w:rFonts w:eastAsia="仿宋_GB2312"/>
                <w:color w:val="auto"/>
                <w:sz w:val="30"/>
                <w:szCs w:val="30"/>
                <w:highlight w:val="none"/>
              </w:rPr>
            </w:pPr>
          </w:p>
        </w:tc>
        <w:tc>
          <w:tcPr>
            <w:tcW w:w="1020" w:type="dxa"/>
            <w:noWrap w:val="0"/>
            <w:vAlign w:val="top"/>
          </w:tcPr>
          <w:p w14:paraId="447695B7">
            <w:pPr>
              <w:rPr>
                <w:rFonts w:eastAsia="仿宋_GB2312"/>
                <w:color w:val="auto"/>
                <w:sz w:val="30"/>
                <w:szCs w:val="30"/>
                <w:highlight w:val="none"/>
              </w:rPr>
            </w:pPr>
          </w:p>
        </w:tc>
        <w:tc>
          <w:tcPr>
            <w:tcW w:w="921" w:type="dxa"/>
            <w:noWrap w:val="0"/>
            <w:vAlign w:val="top"/>
          </w:tcPr>
          <w:p w14:paraId="59676A77">
            <w:pPr>
              <w:rPr>
                <w:rFonts w:eastAsia="仿宋_GB2312"/>
                <w:color w:val="auto"/>
                <w:sz w:val="30"/>
                <w:szCs w:val="30"/>
                <w:highlight w:val="none"/>
              </w:rPr>
            </w:pPr>
          </w:p>
        </w:tc>
      </w:tr>
      <w:tr w14:paraId="6640C9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1DC5076">
            <w:pPr>
              <w:rPr>
                <w:rFonts w:eastAsia="仿宋_GB2312"/>
                <w:color w:val="auto"/>
                <w:sz w:val="30"/>
                <w:szCs w:val="30"/>
                <w:highlight w:val="none"/>
              </w:rPr>
            </w:pPr>
          </w:p>
        </w:tc>
        <w:tc>
          <w:tcPr>
            <w:tcW w:w="1418" w:type="dxa"/>
            <w:noWrap w:val="0"/>
            <w:vAlign w:val="top"/>
          </w:tcPr>
          <w:p w14:paraId="55A58152">
            <w:pPr>
              <w:rPr>
                <w:rFonts w:eastAsia="仿宋_GB2312"/>
                <w:color w:val="auto"/>
                <w:sz w:val="30"/>
                <w:szCs w:val="30"/>
                <w:highlight w:val="none"/>
              </w:rPr>
            </w:pPr>
          </w:p>
        </w:tc>
        <w:tc>
          <w:tcPr>
            <w:tcW w:w="850" w:type="dxa"/>
            <w:noWrap w:val="0"/>
            <w:vAlign w:val="top"/>
          </w:tcPr>
          <w:p w14:paraId="35B0E9C9">
            <w:pPr>
              <w:rPr>
                <w:rFonts w:eastAsia="仿宋_GB2312"/>
                <w:color w:val="auto"/>
                <w:sz w:val="30"/>
                <w:szCs w:val="30"/>
                <w:highlight w:val="none"/>
              </w:rPr>
            </w:pPr>
          </w:p>
        </w:tc>
        <w:tc>
          <w:tcPr>
            <w:tcW w:w="1058" w:type="dxa"/>
            <w:noWrap w:val="0"/>
            <w:vAlign w:val="top"/>
          </w:tcPr>
          <w:p w14:paraId="7A21E10D">
            <w:pPr>
              <w:rPr>
                <w:rFonts w:eastAsia="仿宋_GB2312"/>
                <w:color w:val="auto"/>
                <w:sz w:val="30"/>
                <w:szCs w:val="30"/>
                <w:highlight w:val="none"/>
              </w:rPr>
            </w:pPr>
          </w:p>
        </w:tc>
        <w:tc>
          <w:tcPr>
            <w:tcW w:w="880" w:type="dxa"/>
            <w:noWrap w:val="0"/>
            <w:vAlign w:val="top"/>
          </w:tcPr>
          <w:p w14:paraId="230D75F4">
            <w:pPr>
              <w:rPr>
                <w:rFonts w:eastAsia="仿宋_GB2312"/>
                <w:color w:val="auto"/>
                <w:sz w:val="30"/>
                <w:szCs w:val="30"/>
                <w:highlight w:val="none"/>
              </w:rPr>
            </w:pPr>
          </w:p>
        </w:tc>
        <w:tc>
          <w:tcPr>
            <w:tcW w:w="1020" w:type="dxa"/>
            <w:noWrap w:val="0"/>
            <w:vAlign w:val="top"/>
          </w:tcPr>
          <w:p w14:paraId="4D6502C8">
            <w:pPr>
              <w:rPr>
                <w:rFonts w:eastAsia="仿宋_GB2312"/>
                <w:color w:val="auto"/>
                <w:sz w:val="30"/>
                <w:szCs w:val="30"/>
                <w:highlight w:val="none"/>
              </w:rPr>
            </w:pPr>
          </w:p>
        </w:tc>
        <w:tc>
          <w:tcPr>
            <w:tcW w:w="1480" w:type="dxa"/>
            <w:noWrap w:val="0"/>
            <w:vAlign w:val="top"/>
          </w:tcPr>
          <w:p w14:paraId="5CC286C7">
            <w:pPr>
              <w:rPr>
                <w:rFonts w:eastAsia="仿宋_GB2312"/>
                <w:color w:val="auto"/>
                <w:sz w:val="30"/>
                <w:szCs w:val="30"/>
                <w:highlight w:val="none"/>
              </w:rPr>
            </w:pPr>
          </w:p>
        </w:tc>
        <w:tc>
          <w:tcPr>
            <w:tcW w:w="1020" w:type="dxa"/>
            <w:noWrap w:val="0"/>
            <w:vAlign w:val="top"/>
          </w:tcPr>
          <w:p w14:paraId="2443C025">
            <w:pPr>
              <w:rPr>
                <w:rFonts w:eastAsia="仿宋_GB2312"/>
                <w:color w:val="auto"/>
                <w:sz w:val="30"/>
                <w:szCs w:val="30"/>
                <w:highlight w:val="none"/>
              </w:rPr>
            </w:pPr>
          </w:p>
        </w:tc>
        <w:tc>
          <w:tcPr>
            <w:tcW w:w="921" w:type="dxa"/>
            <w:noWrap w:val="0"/>
            <w:vAlign w:val="top"/>
          </w:tcPr>
          <w:p w14:paraId="79FB7140">
            <w:pPr>
              <w:rPr>
                <w:rFonts w:eastAsia="仿宋_GB2312"/>
                <w:color w:val="auto"/>
                <w:sz w:val="30"/>
                <w:szCs w:val="30"/>
                <w:highlight w:val="none"/>
              </w:rPr>
            </w:pPr>
          </w:p>
        </w:tc>
      </w:tr>
      <w:tr w14:paraId="01E144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9305CE2">
            <w:pPr>
              <w:rPr>
                <w:rFonts w:eastAsia="仿宋_GB2312"/>
                <w:color w:val="auto"/>
                <w:sz w:val="30"/>
                <w:szCs w:val="30"/>
                <w:highlight w:val="none"/>
              </w:rPr>
            </w:pPr>
          </w:p>
        </w:tc>
        <w:tc>
          <w:tcPr>
            <w:tcW w:w="1418" w:type="dxa"/>
            <w:noWrap w:val="0"/>
            <w:vAlign w:val="top"/>
          </w:tcPr>
          <w:p w14:paraId="79AB6376">
            <w:pPr>
              <w:rPr>
                <w:rFonts w:eastAsia="仿宋_GB2312"/>
                <w:color w:val="auto"/>
                <w:sz w:val="30"/>
                <w:szCs w:val="30"/>
                <w:highlight w:val="none"/>
              </w:rPr>
            </w:pPr>
          </w:p>
        </w:tc>
        <w:tc>
          <w:tcPr>
            <w:tcW w:w="850" w:type="dxa"/>
            <w:noWrap w:val="0"/>
            <w:vAlign w:val="top"/>
          </w:tcPr>
          <w:p w14:paraId="35134073">
            <w:pPr>
              <w:rPr>
                <w:rFonts w:eastAsia="仿宋_GB2312"/>
                <w:color w:val="auto"/>
                <w:sz w:val="30"/>
                <w:szCs w:val="30"/>
                <w:highlight w:val="none"/>
              </w:rPr>
            </w:pPr>
          </w:p>
        </w:tc>
        <w:tc>
          <w:tcPr>
            <w:tcW w:w="1058" w:type="dxa"/>
            <w:noWrap w:val="0"/>
            <w:vAlign w:val="top"/>
          </w:tcPr>
          <w:p w14:paraId="048E1EB8">
            <w:pPr>
              <w:rPr>
                <w:rFonts w:eastAsia="仿宋_GB2312"/>
                <w:color w:val="auto"/>
                <w:sz w:val="30"/>
                <w:szCs w:val="30"/>
                <w:highlight w:val="none"/>
              </w:rPr>
            </w:pPr>
          </w:p>
        </w:tc>
        <w:tc>
          <w:tcPr>
            <w:tcW w:w="880" w:type="dxa"/>
            <w:noWrap w:val="0"/>
            <w:vAlign w:val="top"/>
          </w:tcPr>
          <w:p w14:paraId="7FE733F2">
            <w:pPr>
              <w:rPr>
                <w:rFonts w:eastAsia="仿宋_GB2312"/>
                <w:color w:val="auto"/>
                <w:sz w:val="30"/>
                <w:szCs w:val="30"/>
                <w:highlight w:val="none"/>
              </w:rPr>
            </w:pPr>
          </w:p>
        </w:tc>
        <w:tc>
          <w:tcPr>
            <w:tcW w:w="1020" w:type="dxa"/>
            <w:noWrap w:val="0"/>
            <w:vAlign w:val="top"/>
          </w:tcPr>
          <w:p w14:paraId="00172152">
            <w:pPr>
              <w:rPr>
                <w:rFonts w:eastAsia="仿宋_GB2312"/>
                <w:color w:val="auto"/>
                <w:sz w:val="30"/>
                <w:szCs w:val="30"/>
                <w:highlight w:val="none"/>
              </w:rPr>
            </w:pPr>
          </w:p>
        </w:tc>
        <w:tc>
          <w:tcPr>
            <w:tcW w:w="1480" w:type="dxa"/>
            <w:noWrap w:val="0"/>
            <w:vAlign w:val="top"/>
          </w:tcPr>
          <w:p w14:paraId="769838D4">
            <w:pPr>
              <w:rPr>
                <w:rFonts w:eastAsia="仿宋_GB2312"/>
                <w:color w:val="auto"/>
                <w:sz w:val="30"/>
                <w:szCs w:val="30"/>
                <w:highlight w:val="none"/>
              </w:rPr>
            </w:pPr>
          </w:p>
        </w:tc>
        <w:tc>
          <w:tcPr>
            <w:tcW w:w="1020" w:type="dxa"/>
            <w:noWrap w:val="0"/>
            <w:vAlign w:val="top"/>
          </w:tcPr>
          <w:p w14:paraId="070CC5F6">
            <w:pPr>
              <w:rPr>
                <w:rFonts w:eastAsia="仿宋_GB2312"/>
                <w:color w:val="auto"/>
                <w:sz w:val="30"/>
                <w:szCs w:val="30"/>
                <w:highlight w:val="none"/>
              </w:rPr>
            </w:pPr>
          </w:p>
        </w:tc>
        <w:tc>
          <w:tcPr>
            <w:tcW w:w="921" w:type="dxa"/>
            <w:noWrap w:val="0"/>
            <w:vAlign w:val="top"/>
          </w:tcPr>
          <w:p w14:paraId="604FABAB">
            <w:pPr>
              <w:rPr>
                <w:rFonts w:eastAsia="仿宋_GB2312"/>
                <w:color w:val="auto"/>
                <w:sz w:val="30"/>
                <w:szCs w:val="30"/>
                <w:highlight w:val="none"/>
              </w:rPr>
            </w:pPr>
          </w:p>
        </w:tc>
      </w:tr>
    </w:tbl>
    <w:p w14:paraId="59D045E8">
      <w:pPr>
        <w:bidi w:val="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br w:type="page"/>
      </w:r>
      <w:r>
        <w:rPr>
          <w:rFonts w:hint="eastAsia" w:ascii="仿宋" w:hAnsi="仿宋" w:eastAsia="仿宋" w:cs="仿宋"/>
          <w:color w:val="auto"/>
          <w:sz w:val="28"/>
          <w:szCs w:val="28"/>
          <w:highlight w:val="none"/>
          <w:lang w:val="en-US" w:eastAsia="zh-CN"/>
        </w:rPr>
        <w:t>附</w:t>
      </w:r>
      <w:bookmarkStart w:id="1560" w:name="_Toc267261699"/>
      <w:bookmarkStart w:id="1561" w:name="_Toc296944567"/>
      <w:bookmarkStart w:id="1562" w:name="_Toc296347227"/>
      <w:bookmarkStart w:id="1563" w:name="_Toc296346729"/>
      <w:bookmarkStart w:id="1564" w:name="_Toc296891268"/>
      <w:bookmarkStart w:id="1565" w:name="_Toc296891056"/>
      <w:bookmarkStart w:id="1566" w:name="_Toc296503228"/>
      <w:r>
        <w:rPr>
          <w:rFonts w:hint="eastAsia" w:ascii="仿宋" w:hAnsi="仿宋" w:eastAsia="仿宋" w:cs="仿宋"/>
          <w:color w:val="auto"/>
          <w:sz w:val="28"/>
          <w:szCs w:val="28"/>
          <w:highlight w:val="none"/>
          <w:lang w:val="en-US" w:eastAsia="zh-CN"/>
        </w:rPr>
        <w:t>件6：</w:t>
      </w:r>
    </w:p>
    <w:bookmarkEnd w:id="1560"/>
    <w:bookmarkEnd w:id="1561"/>
    <w:bookmarkEnd w:id="1562"/>
    <w:bookmarkEnd w:id="1563"/>
    <w:bookmarkEnd w:id="1564"/>
    <w:bookmarkEnd w:id="1565"/>
    <w:bookmarkEnd w:id="1566"/>
    <w:p w14:paraId="746AFC4D">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承包人主要施工管理人员表</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0DEBC3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6913C52F">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名    称</w:t>
            </w:r>
          </w:p>
        </w:tc>
        <w:tc>
          <w:tcPr>
            <w:tcW w:w="1418" w:type="dxa"/>
            <w:tcBorders>
              <w:top w:val="single" w:color="auto" w:sz="12" w:space="0"/>
              <w:bottom w:val="double" w:color="auto" w:sz="6" w:space="0"/>
            </w:tcBorders>
            <w:noWrap w:val="0"/>
            <w:vAlign w:val="center"/>
          </w:tcPr>
          <w:p w14:paraId="7053FAB9">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姓名</w:t>
            </w:r>
          </w:p>
        </w:tc>
        <w:tc>
          <w:tcPr>
            <w:tcW w:w="1134" w:type="dxa"/>
            <w:tcBorders>
              <w:top w:val="single" w:color="auto" w:sz="12" w:space="0"/>
              <w:bottom w:val="double" w:color="auto" w:sz="6" w:space="0"/>
            </w:tcBorders>
            <w:noWrap w:val="0"/>
            <w:vAlign w:val="center"/>
          </w:tcPr>
          <w:p w14:paraId="3750CE62">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职务</w:t>
            </w:r>
          </w:p>
        </w:tc>
        <w:tc>
          <w:tcPr>
            <w:tcW w:w="1134" w:type="dxa"/>
            <w:tcBorders>
              <w:top w:val="single" w:color="auto" w:sz="12" w:space="0"/>
              <w:bottom w:val="double" w:color="auto" w:sz="6" w:space="0"/>
            </w:tcBorders>
            <w:noWrap w:val="0"/>
            <w:vAlign w:val="center"/>
          </w:tcPr>
          <w:p w14:paraId="78F64877">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职称</w:t>
            </w:r>
          </w:p>
        </w:tc>
        <w:tc>
          <w:tcPr>
            <w:tcW w:w="4252" w:type="dxa"/>
            <w:tcBorders>
              <w:top w:val="single" w:color="auto" w:sz="12" w:space="0"/>
              <w:bottom w:val="double" w:color="auto" w:sz="6" w:space="0"/>
            </w:tcBorders>
            <w:noWrap w:val="0"/>
            <w:vAlign w:val="center"/>
          </w:tcPr>
          <w:p w14:paraId="4AB871FD">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主要资历、经验及承担过的项目</w:t>
            </w:r>
          </w:p>
        </w:tc>
      </w:tr>
      <w:tr w14:paraId="33FB27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16A62AFB">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一、总部人员</w:t>
            </w:r>
          </w:p>
        </w:tc>
      </w:tr>
      <w:tr w14:paraId="63F89B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6879291">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项目主管</w:t>
            </w:r>
          </w:p>
        </w:tc>
        <w:tc>
          <w:tcPr>
            <w:tcW w:w="1418" w:type="dxa"/>
            <w:tcBorders>
              <w:top w:val="nil"/>
            </w:tcBorders>
            <w:noWrap w:val="0"/>
            <w:vAlign w:val="center"/>
          </w:tcPr>
          <w:p w14:paraId="1C5ED156">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top w:val="nil"/>
            </w:tcBorders>
            <w:noWrap w:val="0"/>
            <w:vAlign w:val="center"/>
          </w:tcPr>
          <w:p w14:paraId="6A781077">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top w:val="nil"/>
            </w:tcBorders>
            <w:noWrap w:val="0"/>
            <w:vAlign w:val="center"/>
          </w:tcPr>
          <w:p w14:paraId="221B759C">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top w:val="nil"/>
            </w:tcBorders>
            <w:noWrap w:val="0"/>
            <w:vAlign w:val="center"/>
          </w:tcPr>
          <w:p w14:paraId="03728964">
            <w:pPr>
              <w:pStyle w:val="9"/>
              <w:keepNext/>
              <w:spacing w:after="0" w:line="440" w:lineRule="exact"/>
              <w:ind w:left="63" w:right="63"/>
              <w:rPr>
                <w:rFonts w:hint="eastAsia" w:ascii="仿宋" w:hAnsi="仿宋" w:eastAsia="仿宋" w:cs="仿宋"/>
                <w:color w:val="auto"/>
                <w:kern w:val="2"/>
                <w:sz w:val="24"/>
                <w:szCs w:val="24"/>
                <w:highlight w:val="none"/>
              </w:rPr>
            </w:pPr>
          </w:p>
        </w:tc>
      </w:tr>
      <w:tr w14:paraId="7CFA63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40219261">
            <w:pPr>
              <w:pStyle w:val="9"/>
              <w:keepNext/>
              <w:spacing w:after="0" w:line="440" w:lineRule="exact"/>
              <w:ind w:left="63" w:right="63"/>
              <w:jc w:val="center"/>
              <w:rPr>
                <w:rFonts w:hint="eastAsia" w:ascii="仿宋" w:hAnsi="仿宋" w:eastAsia="仿宋" w:cs="仿宋"/>
                <w:color w:val="auto"/>
                <w:kern w:val="2"/>
                <w:sz w:val="24"/>
                <w:szCs w:val="24"/>
                <w:highlight w:val="none"/>
              </w:rPr>
            </w:pPr>
          </w:p>
        </w:tc>
        <w:tc>
          <w:tcPr>
            <w:tcW w:w="1418" w:type="dxa"/>
            <w:noWrap w:val="0"/>
            <w:vAlign w:val="center"/>
          </w:tcPr>
          <w:p w14:paraId="314E444B">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876D2B3">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A6C6115">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2508AF2D">
            <w:pPr>
              <w:pStyle w:val="9"/>
              <w:keepNext/>
              <w:spacing w:after="0" w:line="440" w:lineRule="exact"/>
              <w:ind w:left="63" w:right="63"/>
              <w:rPr>
                <w:rFonts w:hint="eastAsia" w:ascii="仿宋" w:hAnsi="仿宋" w:eastAsia="仿宋" w:cs="仿宋"/>
                <w:color w:val="auto"/>
                <w:kern w:val="2"/>
                <w:sz w:val="24"/>
                <w:szCs w:val="24"/>
                <w:highlight w:val="none"/>
              </w:rPr>
            </w:pPr>
          </w:p>
        </w:tc>
      </w:tr>
      <w:tr w14:paraId="0E7264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319A670E">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其他人员</w:t>
            </w:r>
          </w:p>
        </w:tc>
        <w:tc>
          <w:tcPr>
            <w:tcW w:w="1418" w:type="dxa"/>
            <w:noWrap w:val="0"/>
            <w:vAlign w:val="center"/>
          </w:tcPr>
          <w:p w14:paraId="30805793">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BD1DC87">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05A25EA">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1A0E9A5">
            <w:pPr>
              <w:pStyle w:val="9"/>
              <w:keepNext/>
              <w:spacing w:after="0" w:line="440" w:lineRule="exact"/>
              <w:ind w:left="63" w:right="63"/>
              <w:rPr>
                <w:rFonts w:hint="eastAsia" w:ascii="仿宋" w:hAnsi="仿宋" w:eastAsia="仿宋" w:cs="仿宋"/>
                <w:color w:val="auto"/>
                <w:kern w:val="2"/>
                <w:sz w:val="24"/>
                <w:szCs w:val="24"/>
                <w:highlight w:val="none"/>
              </w:rPr>
            </w:pPr>
          </w:p>
        </w:tc>
      </w:tr>
      <w:tr w14:paraId="33F0CE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BBB7B20">
            <w:pPr>
              <w:pStyle w:val="9"/>
              <w:keepNext/>
              <w:spacing w:after="0" w:line="440" w:lineRule="exact"/>
              <w:ind w:left="63" w:right="63"/>
              <w:jc w:val="center"/>
              <w:rPr>
                <w:rFonts w:hint="eastAsia" w:ascii="仿宋" w:hAnsi="仿宋" w:eastAsia="仿宋" w:cs="仿宋"/>
                <w:color w:val="auto"/>
                <w:kern w:val="2"/>
                <w:sz w:val="24"/>
                <w:szCs w:val="24"/>
                <w:highlight w:val="none"/>
              </w:rPr>
            </w:pPr>
          </w:p>
        </w:tc>
        <w:tc>
          <w:tcPr>
            <w:tcW w:w="1418" w:type="dxa"/>
            <w:noWrap w:val="0"/>
            <w:vAlign w:val="center"/>
          </w:tcPr>
          <w:p w14:paraId="354FE729">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64EC81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FE3BB4F">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91A66D3">
            <w:pPr>
              <w:pStyle w:val="9"/>
              <w:keepNext/>
              <w:spacing w:after="0" w:line="440" w:lineRule="exact"/>
              <w:ind w:left="63" w:right="63"/>
              <w:rPr>
                <w:rFonts w:hint="eastAsia" w:ascii="仿宋" w:hAnsi="仿宋" w:eastAsia="仿宋" w:cs="仿宋"/>
                <w:color w:val="auto"/>
                <w:kern w:val="2"/>
                <w:sz w:val="24"/>
                <w:szCs w:val="24"/>
                <w:highlight w:val="none"/>
              </w:rPr>
            </w:pPr>
          </w:p>
        </w:tc>
      </w:tr>
      <w:tr w14:paraId="2D4443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2C663256">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二、现场人员</w:t>
            </w:r>
          </w:p>
        </w:tc>
      </w:tr>
      <w:tr w14:paraId="300AF2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82E6B9A">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项目经理</w:t>
            </w:r>
          </w:p>
        </w:tc>
        <w:tc>
          <w:tcPr>
            <w:tcW w:w="1418" w:type="dxa"/>
            <w:noWrap w:val="0"/>
            <w:vAlign w:val="center"/>
          </w:tcPr>
          <w:p w14:paraId="1634908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1701D76">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14F70FA">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6A30B9B">
            <w:pPr>
              <w:pStyle w:val="9"/>
              <w:keepNext/>
              <w:spacing w:after="0" w:line="440" w:lineRule="exact"/>
              <w:ind w:left="63" w:right="63"/>
              <w:rPr>
                <w:rFonts w:hint="eastAsia" w:ascii="仿宋" w:hAnsi="仿宋" w:eastAsia="仿宋" w:cs="仿宋"/>
                <w:color w:val="auto"/>
                <w:kern w:val="2"/>
                <w:sz w:val="24"/>
                <w:szCs w:val="24"/>
                <w:highlight w:val="none"/>
              </w:rPr>
            </w:pPr>
          </w:p>
        </w:tc>
      </w:tr>
      <w:tr w14:paraId="34C2F3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FB3FF74">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项目副经理</w:t>
            </w:r>
          </w:p>
        </w:tc>
        <w:tc>
          <w:tcPr>
            <w:tcW w:w="1418" w:type="dxa"/>
            <w:noWrap w:val="0"/>
            <w:vAlign w:val="center"/>
          </w:tcPr>
          <w:p w14:paraId="7CD3FA54">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62F0C3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A90CBC8">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1BD94F12">
            <w:pPr>
              <w:pStyle w:val="9"/>
              <w:keepNext/>
              <w:spacing w:after="0" w:line="440" w:lineRule="exact"/>
              <w:ind w:left="63" w:right="63"/>
              <w:rPr>
                <w:rFonts w:hint="eastAsia" w:ascii="仿宋" w:hAnsi="仿宋" w:eastAsia="仿宋" w:cs="仿宋"/>
                <w:color w:val="auto"/>
                <w:kern w:val="2"/>
                <w:sz w:val="24"/>
                <w:szCs w:val="24"/>
                <w:highlight w:val="none"/>
              </w:rPr>
            </w:pPr>
          </w:p>
        </w:tc>
      </w:tr>
      <w:tr w14:paraId="1BAA1E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73CA159">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技术负责人</w:t>
            </w:r>
          </w:p>
        </w:tc>
        <w:tc>
          <w:tcPr>
            <w:tcW w:w="1418" w:type="dxa"/>
            <w:noWrap w:val="0"/>
            <w:vAlign w:val="center"/>
          </w:tcPr>
          <w:p w14:paraId="47BB1DC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6A8ECE5">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609A346">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4711D8EA">
            <w:pPr>
              <w:pStyle w:val="9"/>
              <w:keepNext/>
              <w:spacing w:after="0" w:line="440" w:lineRule="exact"/>
              <w:ind w:left="63" w:right="63"/>
              <w:rPr>
                <w:rFonts w:hint="eastAsia" w:ascii="仿宋" w:hAnsi="仿宋" w:eastAsia="仿宋" w:cs="仿宋"/>
                <w:color w:val="auto"/>
                <w:kern w:val="2"/>
                <w:sz w:val="24"/>
                <w:szCs w:val="24"/>
                <w:highlight w:val="none"/>
              </w:rPr>
            </w:pPr>
          </w:p>
        </w:tc>
      </w:tr>
      <w:tr w14:paraId="7F9CB6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F6E744D">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造价管理</w:t>
            </w:r>
          </w:p>
        </w:tc>
        <w:tc>
          <w:tcPr>
            <w:tcW w:w="1418" w:type="dxa"/>
            <w:noWrap w:val="0"/>
            <w:vAlign w:val="center"/>
          </w:tcPr>
          <w:p w14:paraId="6C305FF6">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8916C2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6743216">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6ABF1E5">
            <w:pPr>
              <w:pStyle w:val="9"/>
              <w:keepNext/>
              <w:spacing w:after="0" w:line="440" w:lineRule="exact"/>
              <w:ind w:left="63" w:right="63"/>
              <w:rPr>
                <w:rFonts w:hint="eastAsia" w:ascii="仿宋" w:hAnsi="仿宋" w:eastAsia="仿宋" w:cs="仿宋"/>
                <w:color w:val="auto"/>
                <w:kern w:val="2"/>
                <w:sz w:val="24"/>
                <w:szCs w:val="24"/>
                <w:highlight w:val="none"/>
              </w:rPr>
            </w:pPr>
          </w:p>
        </w:tc>
      </w:tr>
      <w:tr w14:paraId="1C8EF6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87B793E">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质量管理</w:t>
            </w:r>
          </w:p>
        </w:tc>
        <w:tc>
          <w:tcPr>
            <w:tcW w:w="1418" w:type="dxa"/>
            <w:noWrap w:val="0"/>
            <w:vAlign w:val="center"/>
          </w:tcPr>
          <w:p w14:paraId="7A704474">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EB8EBD5">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FEAA1E0">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1DDB8C98">
            <w:pPr>
              <w:pStyle w:val="9"/>
              <w:keepNext/>
              <w:spacing w:after="0" w:line="440" w:lineRule="exact"/>
              <w:ind w:left="63" w:right="63"/>
              <w:rPr>
                <w:rFonts w:hint="eastAsia" w:ascii="仿宋" w:hAnsi="仿宋" w:eastAsia="仿宋" w:cs="仿宋"/>
                <w:color w:val="auto"/>
                <w:kern w:val="2"/>
                <w:sz w:val="24"/>
                <w:szCs w:val="24"/>
                <w:highlight w:val="none"/>
              </w:rPr>
            </w:pPr>
          </w:p>
        </w:tc>
      </w:tr>
      <w:tr w14:paraId="66B086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31A7293">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材料管理</w:t>
            </w:r>
          </w:p>
        </w:tc>
        <w:tc>
          <w:tcPr>
            <w:tcW w:w="1418" w:type="dxa"/>
            <w:noWrap w:val="0"/>
            <w:vAlign w:val="center"/>
          </w:tcPr>
          <w:p w14:paraId="471B66F0">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F43220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D87D392">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60F533AD">
            <w:pPr>
              <w:pStyle w:val="9"/>
              <w:keepNext/>
              <w:spacing w:after="0" w:line="440" w:lineRule="exact"/>
              <w:ind w:left="63" w:right="63"/>
              <w:rPr>
                <w:rFonts w:hint="eastAsia" w:ascii="仿宋" w:hAnsi="仿宋" w:eastAsia="仿宋" w:cs="仿宋"/>
                <w:color w:val="auto"/>
                <w:kern w:val="2"/>
                <w:sz w:val="24"/>
                <w:szCs w:val="24"/>
                <w:highlight w:val="none"/>
              </w:rPr>
            </w:pPr>
          </w:p>
        </w:tc>
      </w:tr>
      <w:tr w14:paraId="3717B5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CEAC66A">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计划管理</w:t>
            </w:r>
          </w:p>
        </w:tc>
        <w:tc>
          <w:tcPr>
            <w:tcW w:w="1418" w:type="dxa"/>
            <w:noWrap w:val="0"/>
            <w:vAlign w:val="center"/>
          </w:tcPr>
          <w:p w14:paraId="145B0664">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323F5C6">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AE2F245">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4EAAFB51">
            <w:pPr>
              <w:pStyle w:val="9"/>
              <w:keepNext/>
              <w:spacing w:after="0" w:line="440" w:lineRule="exact"/>
              <w:ind w:left="63" w:right="63"/>
              <w:rPr>
                <w:rFonts w:hint="eastAsia" w:ascii="仿宋" w:hAnsi="仿宋" w:eastAsia="仿宋" w:cs="仿宋"/>
                <w:color w:val="auto"/>
                <w:kern w:val="2"/>
                <w:sz w:val="24"/>
                <w:szCs w:val="24"/>
                <w:highlight w:val="none"/>
              </w:rPr>
            </w:pPr>
          </w:p>
        </w:tc>
      </w:tr>
      <w:tr w14:paraId="040B85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69BEB65">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安全管理</w:t>
            </w:r>
          </w:p>
        </w:tc>
        <w:tc>
          <w:tcPr>
            <w:tcW w:w="1418" w:type="dxa"/>
            <w:noWrap w:val="0"/>
            <w:vAlign w:val="center"/>
          </w:tcPr>
          <w:p w14:paraId="1DC48344">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655BED5">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D5BCCAD">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A681440">
            <w:pPr>
              <w:pStyle w:val="9"/>
              <w:keepNext/>
              <w:spacing w:after="0" w:line="440" w:lineRule="exact"/>
              <w:ind w:left="63" w:right="63"/>
              <w:rPr>
                <w:rFonts w:hint="eastAsia" w:ascii="仿宋" w:hAnsi="仿宋" w:eastAsia="仿宋" w:cs="仿宋"/>
                <w:color w:val="auto"/>
                <w:kern w:val="2"/>
                <w:sz w:val="24"/>
                <w:szCs w:val="24"/>
                <w:highlight w:val="none"/>
              </w:rPr>
            </w:pPr>
          </w:p>
        </w:tc>
      </w:tr>
      <w:tr w14:paraId="6B8190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2BF3AAEB">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其他人员</w:t>
            </w:r>
          </w:p>
        </w:tc>
        <w:tc>
          <w:tcPr>
            <w:tcW w:w="1418" w:type="dxa"/>
            <w:noWrap w:val="0"/>
            <w:vAlign w:val="center"/>
          </w:tcPr>
          <w:p w14:paraId="26844FCD">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C9551ED">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2D0E0B9">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2B4FF6C1">
            <w:pPr>
              <w:pStyle w:val="9"/>
              <w:keepNext/>
              <w:spacing w:after="0" w:line="440" w:lineRule="exact"/>
              <w:ind w:left="63" w:right="63"/>
              <w:rPr>
                <w:rFonts w:hint="eastAsia" w:ascii="仿宋" w:hAnsi="仿宋" w:eastAsia="仿宋" w:cs="仿宋"/>
                <w:color w:val="auto"/>
                <w:kern w:val="2"/>
                <w:sz w:val="24"/>
                <w:szCs w:val="24"/>
                <w:highlight w:val="none"/>
              </w:rPr>
            </w:pPr>
          </w:p>
        </w:tc>
      </w:tr>
      <w:tr w14:paraId="064BF3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ADC9410">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tcBorders>
              <w:bottom w:val="nil"/>
            </w:tcBorders>
            <w:noWrap w:val="0"/>
            <w:vAlign w:val="center"/>
          </w:tcPr>
          <w:p w14:paraId="5FC76769">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nil"/>
            </w:tcBorders>
            <w:noWrap w:val="0"/>
            <w:vAlign w:val="center"/>
          </w:tcPr>
          <w:p w14:paraId="2995C7C6">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nil"/>
            </w:tcBorders>
            <w:noWrap w:val="0"/>
            <w:vAlign w:val="center"/>
          </w:tcPr>
          <w:p w14:paraId="429C3A39">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bottom w:val="nil"/>
            </w:tcBorders>
            <w:noWrap w:val="0"/>
            <w:vAlign w:val="center"/>
          </w:tcPr>
          <w:p w14:paraId="4AC2C705">
            <w:pPr>
              <w:pStyle w:val="9"/>
              <w:keepNext/>
              <w:spacing w:after="0" w:line="440" w:lineRule="exact"/>
              <w:ind w:left="63" w:right="63"/>
              <w:rPr>
                <w:rFonts w:hint="eastAsia" w:ascii="仿宋" w:hAnsi="仿宋" w:eastAsia="仿宋" w:cs="仿宋"/>
                <w:color w:val="auto"/>
                <w:kern w:val="2"/>
                <w:sz w:val="24"/>
                <w:szCs w:val="24"/>
                <w:highlight w:val="none"/>
              </w:rPr>
            </w:pPr>
          </w:p>
        </w:tc>
      </w:tr>
      <w:tr w14:paraId="156834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87F5A1F">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446EEDD9">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C81667D">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9302A0A">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1DD681D">
            <w:pPr>
              <w:pStyle w:val="9"/>
              <w:keepNext/>
              <w:spacing w:after="0" w:line="440" w:lineRule="exact"/>
              <w:ind w:left="63" w:right="63"/>
              <w:rPr>
                <w:rFonts w:hint="eastAsia" w:ascii="仿宋" w:hAnsi="仿宋" w:eastAsia="仿宋" w:cs="仿宋"/>
                <w:color w:val="auto"/>
                <w:kern w:val="2"/>
                <w:sz w:val="24"/>
                <w:szCs w:val="24"/>
                <w:highlight w:val="none"/>
              </w:rPr>
            </w:pPr>
          </w:p>
        </w:tc>
      </w:tr>
      <w:tr w14:paraId="7FAE24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43F82B5">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2BC72D9D">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183161F">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65E7644">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0851EC4">
            <w:pPr>
              <w:pStyle w:val="9"/>
              <w:keepNext/>
              <w:spacing w:after="0" w:line="440" w:lineRule="exact"/>
              <w:ind w:left="63" w:right="63"/>
              <w:rPr>
                <w:rFonts w:hint="eastAsia" w:ascii="仿宋" w:hAnsi="仿宋" w:eastAsia="仿宋" w:cs="仿宋"/>
                <w:color w:val="auto"/>
                <w:kern w:val="2"/>
                <w:sz w:val="24"/>
                <w:szCs w:val="24"/>
                <w:highlight w:val="none"/>
              </w:rPr>
            </w:pPr>
          </w:p>
        </w:tc>
      </w:tr>
      <w:tr w14:paraId="4505AB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9B24607">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37AAF577">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4A6D2E8">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32385AB">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85EDBBF">
            <w:pPr>
              <w:pStyle w:val="9"/>
              <w:keepNext/>
              <w:spacing w:after="0" w:line="440" w:lineRule="exact"/>
              <w:ind w:left="63" w:right="63"/>
              <w:rPr>
                <w:rFonts w:hint="eastAsia" w:ascii="仿宋" w:hAnsi="仿宋" w:eastAsia="仿宋" w:cs="仿宋"/>
                <w:color w:val="auto"/>
                <w:kern w:val="2"/>
                <w:sz w:val="24"/>
                <w:szCs w:val="24"/>
                <w:highlight w:val="none"/>
              </w:rPr>
            </w:pPr>
          </w:p>
        </w:tc>
      </w:tr>
      <w:tr w14:paraId="7C4DE0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6781DAED">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tcBorders>
              <w:bottom w:val="single" w:color="auto" w:sz="12" w:space="0"/>
            </w:tcBorders>
            <w:noWrap w:val="0"/>
            <w:vAlign w:val="center"/>
          </w:tcPr>
          <w:p w14:paraId="7947C23E">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single" w:color="auto" w:sz="12" w:space="0"/>
            </w:tcBorders>
            <w:noWrap w:val="0"/>
            <w:vAlign w:val="center"/>
          </w:tcPr>
          <w:p w14:paraId="50081BFF">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single" w:color="auto" w:sz="12" w:space="0"/>
            </w:tcBorders>
            <w:noWrap w:val="0"/>
            <w:vAlign w:val="center"/>
          </w:tcPr>
          <w:p w14:paraId="567B02B5">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bottom w:val="single" w:color="auto" w:sz="12" w:space="0"/>
            </w:tcBorders>
            <w:noWrap w:val="0"/>
            <w:vAlign w:val="center"/>
          </w:tcPr>
          <w:p w14:paraId="14C73637">
            <w:pPr>
              <w:pStyle w:val="9"/>
              <w:keepNext/>
              <w:spacing w:after="0" w:line="440" w:lineRule="exact"/>
              <w:ind w:left="63" w:right="63"/>
              <w:rPr>
                <w:rFonts w:hint="eastAsia" w:ascii="仿宋" w:hAnsi="仿宋" w:eastAsia="仿宋" w:cs="仿宋"/>
                <w:color w:val="auto"/>
                <w:kern w:val="2"/>
                <w:sz w:val="24"/>
                <w:szCs w:val="24"/>
                <w:highlight w:val="none"/>
              </w:rPr>
            </w:pPr>
          </w:p>
        </w:tc>
      </w:tr>
    </w:tbl>
    <w:p w14:paraId="348CE733">
      <w:pPr>
        <w:bidi w:val="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lang w:val="en-US" w:eastAsia="zh-CN"/>
        </w:rPr>
        <w:br w:type="page"/>
      </w:r>
      <w:r>
        <w:rPr>
          <w:rFonts w:hint="eastAsia" w:ascii="仿宋" w:hAnsi="仿宋" w:eastAsia="仿宋" w:cs="仿宋"/>
          <w:color w:val="auto"/>
          <w:sz w:val="28"/>
          <w:szCs w:val="28"/>
          <w:highlight w:val="none"/>
          <w:lang w:val="en-US" w:eastAsia="zh-CN"/>
        </w:rPr>
        <w:t>附</w:t>
      </w:r>
      <w:bookmarkStart w:id="1567" w:name="_Toc296944568"/>
      <w:bookmarkStart w:id="1568" w:name="_Toc296346730"/>
      <w:bookmarkStart w:id="1569" w:name="_Toc296503229"/>
      <w:bookmarkStart w:id="1570" w:name="_Toc296891057"/>
      <w:bookmarkStart w:id="1571" w:name="_Toc296891269"/>
      <w:bookmarkStart w:id="1572" w:name="_Toc296347228"/>
      <w:r>
        <w:rPr>
          <w:rFonts w:hint="eastAsia" w:ascii="仿宋" w:hAnsi="仿宋" w:eastAsia="仿宋" w:cs="仿宋"/>
          <w:color w:val="auto"/>
          <w:sz w:val="28"/>
          <w:szCs w:val="28"/>
          <w:highlight w:val="none"/>
          <w:lang w:val="en-US" w:eastAsia="zh-CN"/>
        </w:rPr>
        <w:t>件7：</w:t>
      </w:r>
    </w:p>
    <w:bookmarkEnd w:id="1567"/>
    <w:bookmarkEnd w:id="1568"/>
    <w:bookmarkEnd w:id="1569"/>
    <w:bookmarkEnd w:id="1570"/>
    <w:bookmarkEnd w:id="1571"/>
    <w:bookmarkEnd w:id="1572"/>
    <w:p w14:paraId="1061BF33">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分包人主要施工管理人员表</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020935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687B58A0">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名    称</w:t>
            </w:r>
          </w:p>
        </w:tc>
        <w:tc>
          <w:tcPr>
            <w:tcW w:w="1418" w:type="dxa"/>
            <w:tcBorders>
              <w:top w:val="single" w:color="auto" w:sz="12" w:space="0"/>
              <w:bottom w:val="double" w:color="auto" w:sz="6" w:space="0"/>
            </w:tcBorders>
            <w:noWrap w:val="0"/>
            <w:vAlign w:val="center"/>
          </w:tcPr>
          <w:p w14:paraId="0A73CEDC">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姓名</w:t>
            </w:r>
          </w:p>
        </w:tc>
        <w:tc>
          <w:tcPr>
            <w:tcW w:w="1134" w:type="dxa"/>
            <w:tcBorders>
              <w:top w:val="single" w:color="auto" w:sz="12" w:space="0"/>
              <w:bottom w:val="double" w:color="auto" w:sz="6" w:space="0"/>
            </w:tcBorders>
            <w:noWrap w:val="0"/>
            <w:vAlign w:val="center"/>
          </w:tcPr>
          <w:p w14:paraId="677F8B44">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职务</w:t>
            </w:r>
          </w:p>
        </w:tc>
        <w:tc>
          <w:tcPr>
            <w:tcW w:w="1134" w:type="dxa"/>
            <w:tcBorders>
              <w:top w:val="single" w:color="auto" w:sz="12" w:space="0"/>
              <w:bottom w:val="double" w:color="auto" w:sz="6" w:space="0"/>
            </w:tcBorders>
            <w:noWrap w:val="0"/>
            <w:vAlign w:val="center"/>
          </w:tcPr>
          <w:p w14:paraId="282588E7">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职称</w:t>
            </w:r>
          </w:p>
        </w:tc>
        <w:tc>
          <w:tcPr>
            <w:tcW w:w="4252" w:type="dxa"/>
            <w:tcBorders>
              <w:top w:val="single" w:color="auto" w:sz="12" w:space="0"/>
              <w:bottom w:val="double" w:color="auto" w:sz="6" w:space="0"/>
            </w:tcBorders>
            <w:noWrap w:val="0"/>
            <w:vAlign w:val="center"/>
          </w:tcPr>
          <w:p w14:paraId="56401B5A">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主要资历、经验及承担过的项目</w:t>
            </w:r>
          </w:p>
        </w:tc>
      </w:tr>
      <w:tr w14:paraId="1C5B66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3A6D10A2">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一、总部人员</w:t>
            </w:r>
          </w:p>
        </w:tc>
      </w:tr>
      <w:tr w14:paraId="283C30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464D48BD">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项目主管</w:t>
            </w:r>
          </w:p>
        </w:tc>
        <w:tc>
          <w:tcPr>
            <w:tcW w:w="1418" w:type="dxa"/>
            <w:tcBorders>
              <w:top w:val="nil"/>
            </w:tcBorders>
            <w:noWrap w:val="0"/>
            <w:vAlign w:val="center"/>
          </w:tcPr>
          <w:p w14:paraId="60B86C75">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top w:val="nil"/>
            </w:tcBorders>
            <w:noWrap w:val="0"/>
            <w:vAlign w:val="center"/>
          </w:tcPr>
          <w:p w14:paraId="5404575E">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top w:val="nil"/>
            </w:tcBorders>
            <w:noWrap w:val="0"/>
            <w:vAlign w:val="center"/>
          </w:tcPr>
          <w:p w14:paraId="3C819B7C">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top w:val="nil"/>
            </w:tcBorders>
            <w:noWrap w:val="0"/>
            <w:vAlign w:val="center"/>
          </w:tcPr>
          <w:p w14:paraId="47B25C24">
            <w:pPr>
              <w:pStyle w:val="9"/>
              <w:keepNext/>
              <w:spacing w:after="0" w:line="440" w:lineRule="exact"/>
              <w:ind w:left="63" w:right="63"/>
              <w:rPr>
                <w:rFonts w:hint="eastAsia" w:ascii="仿宋" w:hAnsi="仿宋" w:eastAsia="仿宋" w:cs="仿宋"/>
                <w:color w:val="auto"/>
                <w:kern w:val="2"/>
                <w:sz w:val="24"/>
                <w:szCs w:val="24"/>
                <w:highlight w:val="none"/>
              </w:rPr>
            </w:pPr>
          </w:p>
        </w:tc>
      </w:tr>
      <w:tr w14:paraId="20D489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4060D820">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691D8179">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56D96D1">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11A9E14">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FE0FAAD">
            <w:pPr>
              <w:pStyle w:val="9"/>
              <w:keepNext/>
              <w:spacing w:after="0" w:line="440" w:lineRule="exact"/>
              <w:ind w:left="63" w:right="63"/>
              <w:rPr>
                <w:rFonts w:hint="eastAsia" w:ascii="仿宋" w:hAnsi="仿宋" w:eastAsia="仿宋" w:cs="仿宋"/>
                <w:color w:val="auto"/>
                <w:kern w:val="2"/>
                <w:sz w:val="24"/>
                <w:szCs w:val="24"/>
                <w:highlight w:val="none"/>
              </w:rPr>
            </w:pPr>
          </w:p>
        </w:tc>
      </w:tr>
      <w:tr w14:paraId="71D01C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3B70E74">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其他人员</w:t>
            </w:r>
          </w:p>
        </w:tc>
        <w:tc>
          <w:tcPr>
            <w:tcW w:w="1418" w:type="dxa"/>
            <w:noWrap w:val="0"/>
            <w:vAlign w:val="center"/>
          </w:tcPr>
          <w:p w14:paraId="749704DC">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E4D521C">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16463B7">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4935699">
            <w:pPr>
              <w:pStyle w:val="9"/>
              <w:keepNext/>
              <w:spacing w:after="0" w:line="440" w:lineRule="exact"/>
              <w:ind w:left="63" w:right="63"/>
              <w:rPr>
                <w:rFonts w:hint="eastAsia" w:ascii="仿宋" w:hAnsi="仿宋" w:eastAsia="仿宋" w:cs="仿宋"/>
                <w:color w:val="auto"/>
                <w:kern w:val="2"/>
                <w:sz w:val="24"/>
                <w:szCs w:val="24"/>
                <w:highlight w:val="none"/>
              </w:rPr>
            </w:pPr>
          </w:p>
        </w:tc>
      </w:tr>
      <w:tr w14:paraId="24BE59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58546F5E">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181CC7F1">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F15F0C9">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D230690">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0F6C5737">
            <w:pPr>
              <w:pStyle w:val="9"/>
              <w:keepNext/>
              <w:spacing w:after="0" w:line="440" w:lineRule="exact"/>
              <w:ind w:left="63" w:right="63"/>
              <w:rPr>
                <w:rFonts w:hint="eastAsia" w:ascii="仿宋" w:hAnsi="仿宋" w:eastAsia="仿宋" w:cs="仿宋"/>
                <w:color w:val="auto"/>
                <w:kern w:val="2"/>
                <w:sz w:val="24"/>
                <w:szCs w:val="24"/>
                <w:highlight w:val="none"/>
              </w:rPr>
            </w:pPr>
          </w:p>
        </w:tc>
      </w:tr>
      <w:tr w14:paraId="6516C3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0EBE9915">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二、现场人员</w:t>
            </w:r>
          </w:p>
        </w:tc>
      </w:tr>
      <w:tr w14:paraId="5D8A1D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26F2642">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项目经理</w:t>
            </w:r>
          </w:p>
        </w:tc>
        <w:tc>
          <w:tcPr>
            <w:tcW w:w="1418" w:type="dxa"/>
            <w:noWrap w:val="0"/>
            <w:vAlign w:val="center"/>
          </w:tcPr>
          <w:p w14:paraId="5FAB7B20">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6474B1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C39430C">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422B4D70">
            <w:pPr>
              <w:pStyle w:val="9"/>
              <w:keepNext/>
              <w:spacing w:after="0" w:line="440" w:lineRule="exact"/>
              <w:ind w:left="63" w:right="63"/>
              <w:rPr>
                <w:rFonts w:hint="eastAsia" w:ascii="仿宋" w:hAnsi="仿宋" w:eastAsia="仿宋" w:cs="仿宋"/>
                <w:color w:val="auto"/>
                <w:kern w:val="2"/>
                <w:sz w:val="24"/>
                <w:szCs w:val="24"/>
                <w:highlight w:val="none"/>
              </w:rPr>
            </w:pPr>
          </w:p>
        </w:tc>
      </w:tr>
      <w:tr w14:paraId="745CA9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263840C">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项目副经理</w:t>
            </w:r>
          </w:p>
        </w:tc>
        <w:tc>
          <w:tcPr>
            <w:tcW w:w="1418" w:type="dxa"/>
            <w:noWrap w:val="0"/>
            <w:vAlign w:val="center"/>
          </w:tcPr>
          <w:p w14:paraId="60759581">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9F30B4F">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D40F016">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B9FAA2A">
            <w:pPr>
              <w:pStyle w:val="9"/>
              <w:keepNext/>
              <w:spacing w:after="0" w:line="440" w:lineRule="exact"/>
              <w:ind w:left="63" w:right="63"/>
              <w:rPr>
                <w:rFonts w:hint="eastAsia" w:ascii="仿宋" w:hAnsi="仿宋" w:eastAsia="仿宋" w:cs="仿宋"/>
                <w:color w:val="auto"/>
                <w:kern w:val="2"/>
                <w:sz w:val="24"/>
                <w:szCs w:val="24"/>
                <w:highlight w:val="none"/>
              </w:rPr>
            </w:pPr>
          </w:p>
        </w:tc>
      </w:tr>
      <w:tr w14:paraId="2D6CC0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2502B8B">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技术负责人</w:t>
            </w:r>
          </w:p>
        </w:tc>
        <w:tc>
          <w:tcPr>
            <w:tcW w:w="1418" w:type="dxa"/>
            <w:noWrap w:val="0"/>
            <w:vAlign w:val="center"/>
          </w:tcPr>
          <w:p w14:paraId="42CFAD48">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088D20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8924C93">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082FB9E8">
            <w:pPr>
              <w:pStyle w:val="9"/>
              <w:keepNext/>
              <w:spacing w:after="0" w:line="440" w:lineRule="exact"/>
              <w:ind w:left="63" w:right="63"/>
              <w:rPr>
                <w:rFonts w:hint="eastAsia" w:ascii="仿宋" w:hAnsi="仿宋" w:eastAsia="仿宋" w:cs="仿宋"/>
                <w:color w:val="auto"/>
                <w:kern w:val="2"/>
                <w:sz w:val="24"/>
                <w:szCs w:val="24"/>
                <w:highlight w:val="none"/>
              </w:rPr>
            </w:pPr>
          </w:p>
        </w:tc>
      </w:tr>
      <w:tr w14:paraId="30C8AF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31CDDA0">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造价管理</w:t>
            </w:r>
          </w:p>
        </w:tc>
        <w:tc>
          <w:tcPr>
            <w:tcW w:w="1418" w:type="dxa"/>
            <w:noWrap w:val="0"/>
            <w:vAlign w:val="center"/>
          </w:tcPr>
          <w:p w14:paraId="7668B17B">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1455F21">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55EB7AF">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AC6A3E8">
            <w:pPr>
              <w:pStyle w:val="9"/>
              <w:keepNext/>
              <w:spacing w:after="0" w:line="440" w:lineRule="exact"/>
              <w:ind w:left="63" w:right="63"/>
              <w:rPr>
                <w:rFonts w:hint="eastAsia" w:ascii="仿宋" w:hAnsi="仿宋" w:eastAsia="仿宋" w:cs="仿宋"/>
                <w:color w:val="auto"/>
                <w:kern w:val="2"/>
                <w:sz w:val="24"/>
                <w:szCs w:val="24"/>
                <w:highlight w:val="none"/>
              </w:rPr>
            </w:pPr>
          </w:p>
        </w:tc>
      </w:tr>
      <w:tr w14:paraId="4348AD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FAA7599">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质量管理</w:t>
            </w:r>
          </w:p>
        </w:tc>
        <w:tc>
          <w:tcPr>
            <w:tcW w:w="1418" w:type="dxa"/>
            <w:noWrap w:val="0"/>
            <w:vAlign w:val="center"/>
          </w:tcPr>
          <w:p w14:paraId="4A54874B">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350AE18">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D48131D">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2FA696DC">
            <w:pPr>
              <w:pStyle w:val="9"/>
              <w:keepNext/>
              <w:spacing w:after="0" w:line="440" w:lineRule="exact"/>
              <w:ind w:left="63" w:right="63"/>
              <w:rPr>
                <w:rFonts w:hint="eastAsia" w:ascii="仿宋" w:hAnsi="仿宋" w:eastAsia="仿宋" w:cs="仿宋"/>
                <w:color w:val="auto"/>
                <w:kern w:val="2"/>
                <w:sz w:val="24"/>
                <w:szCs w:val="24"/>
                <w:highlight w:val="none"/>
              </w:rPr>
            </w:pPr>
          </w:p>
        </w:tc>
      </w:tr>
      <w:tr w14:paraId="2E4065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F1AB966">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材料管理</w:t>
            </w:r>
          </w:p>
        </w:tc>
        <w:tc>
          <w:tcPr>
            <w:tcW w:w="1418" w:type="dxa"/>
            <w:noWrap w:val="0"/>
            <w:vAlign w:val="center"/>
          </w:tcPr>
          <w:p w14:paraId="6F69618E">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184C4D1">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7FC9F62">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10A267C7">
            <w:pPr>
              <w:pStyle w:val="9"/>
              <w:keepNext/>
              <w:spacing w:after="0" w:line="440" w:lineRule="exact"/>
              <w:ind w:left="63" w:right="63"/>
              <w:rPr>
                <w:rFonts w:hint="eastAsia" w:ascii="仿宋" w:hAnsi="仿宋" w:eastAsia="仿宋" w:cs="仿宋"/>
                <w:color w:val="auto"/>
                <w:kern w:val="2"/>
                <w:sz w:val="24"/>
                <w:szCs w:val="24"/>
                <w:highlight w:val="none"/>
              </w:rPr>
            </w:pPr>
          </w:p>
        </w:tc>
      </w:tr>
      <w:tr w14:paraId="0AC7C2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19B95B0">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计划管理</w:t>
            </w:r>
          </w:p>
        </w:tc>
        <w:tc>
          <w:tcPr>
            <w:tcW w:w="1418" w:type="dxa"/>
            <w:noWrap w:val="0"/>
            <w:vAlign w:val="center"/>
          </w:tcPr>
          <w:p w14:paraId="7478D00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DEC2703">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43E111F">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75AE82D4">
            <w:pPr>
              <w:pStyle w:val="9"/>
              <w:keepNext/>
              <w:spacing w:after="0" w:line="440" w:lineRule="exact"/>
              <w:ind w:left="63" w:right="63"/>
              <w:rPr>
                <w:rFonts w:hint="eastAsia" w:ascii="仿宋" w:hAnsi="仿宋" w:eastAsia="仿宋" w:cs="仿宋"/>
                <w:color w:val="auto"/>
                <w:kern w:val="2"/>
                <w:sz w:val="24"/>
                <w:szCs w:val="24"/>
                <w:highlight w:val="none"/>
              </w:rPr>
            </w:pPr>
          </w:p>
        </w:tc>
      </w:tr>
      <w:tr w14:paraId="082CBD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4AE2F3A">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安全管理</w:t>
            </w:r>
          </w:p>
        </w:tc>
        <w:tc>
          <w:tcPr>
            <w:tcW w:w="1418" w:type="dxa"/>
            <w:noWrap w:val="0"/>
            <w:vAlign w:val="center"/>
          </w:tcPr>
          <w:p w14:paraId="79922473">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A8B469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E1F3ECD">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75571DF">
            <w:pPr>
              <w:pStyle w:val="9"/>
              <w:keepNext/>
              <w:spacing w:after="0" w:line="440" w:lineRule="exact"/>
              <w:ind w:left="63" w:right="63"/>
              <w:rPr>
                <w:rFonts w:hint="eastAsia" w:ascii="仿宋" w:hAnsi="仿宋" w:eastAsia="仿宋" w:cs="仿宋"/>
                <w:color w:val="auto"/>
                <w:kern w:val="2"/>
                <w:sz w:val="24"/>
                <w:szCs w:val="24"/>
                <w:highlight w:val="none"/>
              </w:rPr>
            </w:pPr>
          </w:p>
        </w:tc>
      </w:tr>
      <w:tr w14:paraId="18B243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424C3ADF">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其他人员</w:t>
            </w:r>
          </w:p>
        </w:tc>
        <w:tc>
          <w:tcPr>
            <w:tcW w:w="1418" w:type="dxa"/>
            <w:noWrap w:val="0"/>
            <w:vAlign w:val="center"/>
          </w:tcPr>
          <w:p w14:paraId="5FF8AD5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9314FC0">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EDC0D6E">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1A0D631B">
            <w:pPr>
              <w:pStyle w:val="9"/>
              <w:keepNext/>
              <w:spacing w:after="0" w:line="440" w:lineRule="exact"/>
              <w:ind w:left="63" w:right="63"/>
              <w:rPr>
                <w:rFonts w:hint="eastAsia" w:ascii="仿宋" w:hAnsi="仿宋" w:eastAsia="仿宋" w:cs="仿宋"/>
                <w:color w:val="auto"/>
                <w:kern w:val="2"/>
                <w:sz w:val="24"/>
                <w:szCs w:val="24"/>
                <w:highlight w:val="none"/>
              </w:rPr>
            </w:pPr>
          </w:p>
        </w:tc>
      </w:tr>
      <w:tr w14:paraId="7C69DE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512AB5D">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tcBorders>
              <w:bottom w:val="nil"/>
            </w:tcBorders>
            <w:noWrap w:val="0"/>
            <w:vAlign w:val="center"/>
          </w:tcPr>
          <w:p w14:paraId="2C1DD8A4">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nil"/>
            </w:tcBorders>
            <w:noWrap w:val="0"/>
            <w:vAlign w:val="center"/>
          </w:tcPr>
          <w:p w14:paraId="735FC3C4">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nil"/>
            </w:tcBorders>
            <w:noWrap w:val="0"/>
            <w:vAlign w:val="center"/>
          </w:tcPr>
          <w:p w14:paraId="2DF56C63">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bottom w:val="nil"/>
            </w:tcBorders>
            <w:noWrap w:val="0"/>
            <w:vAlign w:val="center"/>
          </w:tcPr>
          <w:p w14:paraId="204315BF">
            <w:pPr>
              <w:pStyle w:val="9"/>
              <w:keepNext/>
              <w:spacing w:after="0" w:line="440" w:lineRule="exact"/>
              <w:ind w:left="63" w:right="63"/>
              <w:rPr>
                <w:rFonts w:hint="eastAsia" w:ascii="仿宋" w:hAnsi="仿宋" w:eastAsia="仿宋" w:cs="仿宋"/>
                <w:color w:val="auto"/>
                <w:kern w:val="2"/>
                <w:sz w:val="24"/>
                <w:szCs w:val="24"/>
                <w:highlight w:val="none"/>
              </w:rPr>
            </w:pPr>
          </w:p>
        </w:tc>
      </w:tr>
      <w:tr w14:paraId="7F7E30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115190E">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39792397">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4537AE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228D857">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0D033886">
            <w:pPr>
              <w:pStyle w:val="9"/>
              <w:keepNext/>
              <w:spacing w:after="0" w:line="440" w:lineRule="exact"/>
              <w:ind w:left="63" w:right="63"/>
              <w:rPr>
                <w:rFonts w:hint="eastAsia" w:ascii="仿宋" w:hAnsi="仿宋" w:eastAsia="仿宋" w:cs="仿宋"/>
                <w:color w:val="auto"/>
                <w:kern w:val="2"/>
                <w:sz w:val="24"/>
                <w:szCs w:val="24"/>
                <w:highlight w:val="none"/>
              </w:rPr>
            </w:pPr>
          </w:p>
        </w:tc>
      </w:tr>
      <w:tr w14:paraId="414F89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DB7463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139533E3">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BD756A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C412E28">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FD1E183">
            <w:pPr>
              <w:pStyle w:val="9"/>
              <w:keepNext/>
              <w:spacing w:after="0" w:line="440" w:lineRule="exact"/>
              <w:ind w:left="63" w:right="63"/>
              <w:rPr>
                <w:rFonts w:hint="eastAsia" w:ascii="仿宋" w:hAnsi="仿宋" w:eastAsia="仿宋" w:cs="仿宋"/>
                <w:color w:val="auto"/>
                <w:kern w:val="2"/>
                <w:sz w:val="24"/>
                <w:szCs w:val="24"/>
                <w:highlight w:val="none"/>
              </w:rPr>
            </w:pPr>
          </w:p>
        </w:tc>
      </w:tr>
      <w:tr w14:paraId="2AABBF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36860C8">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4234A4C8">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CFF94D0">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BBD0F1F">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0ED7FD88">
            <w:pPr>
              <w:pStyle w:val="9"/>
              <w:keepNext/>
              <w:spacing w:after="0" w:line="440" w:lineRule="exact"/>
              <w:ind w:left="63" w:right="63"/>
              <w:rPr>
                <w:rFonts w:hint="eastAsia" w:ascii="仿宋" w:hAnsi="仿宋" w:eastAsia="仿宋" w:cs="仿宋"/>
                <w:color w:val="auto"/>
                <w:kern w:val="2"/>
                <w:sz w:val="24"/>
                <w:szCs w:val="24"/>
                <w:highlight w:val="none"/>
              </w:rPr>
            </w:pPr>
          </w:p>
        </w:tc>
      </w:tr>
      <w:tr w14:paraId="541C23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31CFBFF3">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tcBorders>
              <w:bottom w:val="single" w:color="auto" w:sz="12" w:space="0"/>
            </w:tcBorders>
            <w:noWrap w:val="0"/>
            <w:vAlign w:val="center"/>
          </w:tcPr>
          <w:p w14:paraId="3B9B394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single" w:color="auto" w:sz="12" w:space="0"/>
            </w:tcBorders>
            <w:noWrap w:val="0"/>
            <w:vAlign w:val="center"/>
          </w:tcPr>
          <w:p w14:paraId="30B859A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single" w:color="auto" w:sz="12" w:space="0"/>
            </w:tcBorders>
            <w:noWrap w:val="0"/>
            <w:vAlign w:val="center"/>
          </w:tcPr>
          <w:p w14:paraId="27128286">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bottom w:val="single" w:color="auto" w:sz="12" w:space="0"/>
            </w:tcBorders>
            <w:noWrap w:val="0"/>
            <w:vAlign w:val="center"/>
          </w:tcPr>
          <w:p w14:paraId="5435ACF3">
            <w:pPr>
              <w:pStyle w:val="9"/>
              <w:keepNext/>
              <w:spacing w:after="0" w:line="440" w:lineRule="exact"/>
              <w:ind w:left="63" w:right="63"/>
              <w:rPr>
                <w:rFonts w:hint="eastAsia" w:ascii="仿宋" w:hAnsi="仿宋" w:eastAsia="仿宋" w:cs="仿宋"/>
                <w:color w:val="auto"/>
                <w:kern w:val="2"/>
                <w:sz w:val="24"/>
                <w:szCs w:val="24"/>
                <w:highlight w:val="none"/>
              </w:rPr>
            </w:pPr>
          </w:p>
        </w:tc>
      </w:tr>
    </w:tbl>
    <w:p w14:paraId="7376BC43">
      <w:pPr>
        <w:bidi w:val="0"/>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lang w:val="en-US" w:eastAsia="zh-CN"/>
        </w:rPr>
        <w:br w:type="page"/>
      </w:r>
      <w:bookmarkStart w:id="1573" w:name="_Toc267261701"/>
      <w:r>
        <w:rPr>
          <w:rFonts w:hint="eastAsia" w:ascii="仿宋" w:hAnsi="仿宋" w:eastAsia="仿宋" w:cs="仿宋"/>
          <w:color w:val="auto"/>
          <w:sz w:val="28"/>
          <w:szCs w:val="28"/>
          <w:highlight w:val="none"/>
          <w:lang w:val="en-US" w:eastAsia="zh-CN"/>
        </w:rPr>
        <w:t>附</w:t>
      </w:r>
      <w:bookmarkStart w:id="1574" w:name="_Toc296347230"/>
      <w:bookmarkStart w:id="1575" w:name="_Toc296891271"/>
      <w:bookmarkStart w:id="1576" w:name="_Toc296503231"/>
      <w:bookmarkStart w:id="1577" w:name="_Toc296944570"/>
      <w:bookmarkStart w:id="1578" w:name="_Toc296346732"/>
      <w:bookmarkStart w:id="1579" w:name="_Toc296891059"/>
      <w:r>
        <w:rPr>
          <w:rFonts w:hint="eastAsia" w:ascii="仿宋" w:hAnsi="仿宋" w:eastAsia="仿宋" w:cs="仿宋"/>
          <w:color w:val="auto"/>
          <w:sz w:val="28"/>
          <w:szCs w:val="28"/>
          <w:highlight w:val="none"/>
          <w:lang w:val="en-US" w:eastAsia="zh-CN"/>
        </w:rPr>
        <w:t>件8：</w:t>
      </w:r>
      <w:bookmarkEnd w:id="1573"/>
      <w:bookmarkEnd w:id="1574"/>
      <w:bookmarkEnd w:id="1575"/>
      <w:bookmarkEnd w:id="1576"/>
      <w:bookmarkEnd w:id="1577"/>
      <w:bookmarkEnd w:id="1578"/>
      <w:bookmarkEnd w:id="1579"/>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履约担保</w:t>
      </w:r>
    </w:p>
    <w:p w14:paraId="01A81AA6">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（发包人名称）：</w:t>
      </w:r>
    </w:p>
    <w:p w14:paraId="679F5394">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鉴于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（发包人名称，以下简称“发包人”）与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（承包人名称）（以下称“承包人”）于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（工程名称）施工及有关事项协商一致共同签订《建设工程施工合同》。我方愿意无条件地、不可撤销地就承包人履行与你方签订的合同，向你方提供连带责任担保。 </w:t>
      </w:r>
    </w:p>
    <w:p w14:paraId="6FCD5FCE">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担保金额人民币（大写）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139F409">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担保有效期自你方与承包人签订的合同生效之日起至你方签发或应签发工程接收证书之日止。</w:t>
      </w:r>
    </w:p>
    <w:p w14:paraId="2138745F">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在本担保有效期内，因承包人违反合同约定的义务给你方造成经济损失时，我方在收到你方以书面形式提出的在担保金额内的赔偿要求后，在7天内无条件支付。</w:t>
      </w:r>
    </w:p>
    <w:p w14:paraId="22615D29">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 你方和承包人按合同约定变更合同时，我方承担本担保规定的义务不变。</w:t>
      </w:r>
    </w:p>
    <w:p w14:paraId="05902446">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 因本保函发生的纠纷，可由双方协商解决，协商不成的，任何一方均可提请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仲裁委员会仲裁。</w:t>
      </w:r>
    </w:p>
    <w:p w14:paraId="4E85E0B9">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 本保函自我方法定代表人（或其授权代理人）签字并加盖公章之日起生效。</w:t>
      </w:r>
    </w:p>
    <w:p w14:paraId="52375F17">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担 保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（盖单位章）</w:t>
      </w:r>
    </w:p>
    <w:p w14:paraId="6ED02E09">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w:t>
      </w:r>
    </w:p>
    <w:p w14:paraId="27148E3E">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xml:space="preserve">                                      </w:t>
      </w:r>
    </w:p>
    <w:p w14:paraId="63A62851">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w:t>
      </w:r>
    </w:p>
    <w:p w14:paraId="795887A4">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xml:space="preserve">                                      </w:t>
      </w:r>
    </w:p>
    <w:p w14:paraId="58F4ABA6">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p>
    <w:p w14:paraId="10C78BFC">
      <w:pPr>
        <w:keepNext w:val="0"/>
        <w:keepLines w:val="0"/>
        <w:pageBreakBefore w:val="0"/>
        <w:widowControl w:val="0"/>
        <w:kinsoku/>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u w:val="single"/>
        </w:rPr>
      </w:pPr>
    </w:p>
    <w:p w14:paraId="46C294E9">
      <w:pPr>
        <w:keepNext w:val="0"/>
        <w:keepLines w:val="0"/>
        <w:pageBreakBefore w:val="0"/>
        <w:widowControl w:val="0"/>
        <w:kinsoku/>
        <w:overflowPunct/>
        <w:topLinePunct w:val="0"/>
        <w:autoSpaceDE/>
        <w:autoSpaceDN/>
        <w:bidi w:val="0"/>
        <w:adjustRightInd/>
        <w:snapToGrid/>
        <w:spacing w:line="480" w:lineRule="exact"/>
        <w:ind w:left="1899"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4F820EC3">
      <w:pPr>
        <w:spacing w:line="360" w:lineRule="auto"/>
        <w:rPr>
          <w:rFonts w:ascii="Times New Roman" w:hAnsi="Times New Roman" w:eastAsia="黑体"/>
          <w:color w:val="auto"/>
          <w:sz w:val="30"/>
          <w:szCs w:val="30"/>
          <w:highlight w:val="none"/>
        </w:rPr>
      </w:pPr>
      <w:r>
        <w:rPr>
          <w:rFonts w:hint="eastAsia" w:ascii="仿宋" w:hAnsi="仿宋" w:eastAsia="仿宋" w:cs="仿宋"/>
          <w:color w:val="auto"/>
          <w:sz w:val="24"/>
          <w:szCs w:val="24"/>
          <w:highlight w:val="none"/>
        </w:rPr>
        <w:br w:type="page"/>
      </w:r>
      <w:r>
        <w:rPr>
          <w:rFonts w:ascii="Times New Roman" w:hAnsi="Times New Roman" w:eastAsia="仿宋_GB2312"/>
          <w:color w:val="auto"/>
          <w:sz w:val="30"/>
          <w:szCs w:val="30"/>
          <w:highlight w:val="none"/>
        </w:rPr>
        <w:t>附</w:t>
      </w:r>
      <w:bookmarkStart w:id="1580" w:name="_Toc296944571"/>
      <w:bookmarkStart w:id="1581" w:name="_Toc296347231"/>
      <w:bookmarkStart w:id="1582" w:name="_Toc296891272"/>
      <w:bookmarkStart w:id="1583" w:name="_Toc267261702"/>
      <w:bookmarkStart w:id="1584" w:name="_Toc296346733"/>
      <w:bookmarkStart w:id="1585" w:name="_Toc296503232"/>
      <w:bookmarkStart w:id="1586" w:name="_Toc296891060"/>
      <w:r>
        <w:rPr>
          <w:rFonts w:ascii="Times New Roman" w:hAnsi="Times New Roman" w:eastAsia="仿宋_GB2312"/>
          <w:color w:val="auto"/>
          <w:sz w:val="30"/>
          <w:szCs w:val="30"/>
          <w:highlight w:val="none"/>
        </w:rPr>
        <w:t>件9 ：</w:t>
      </w:r>
    </w:p>
    <w:bookmarkEnd w:id="1580"/>
    <w:bookmarkEnd w:id="1581"/>
    <w:bookmarkEnd w:id="1582"/>
    <w:bookmarkEnd w:id="1583"/>
    <w:bookmarkEnd w:id="1584"/>
    <w:bookmarkEnd w:id="1585"/>
    <w:bookmarkEnd w:id="1586"/>
    <w:p w14:paraId="4EEF1BF8">
      <w:pPr>
        <w:spacing w:before="156" w:beforeLines="50" w:after="156" w:afterLines="50"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预付款担保</w:t>
      </w:r>
    </w:p>
    <w:p w14:paraId="6FF6178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（发包人名称）：</w:t>
      </w:r>
    </w:p>
    <w:p w14:paraId="56C3492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（承包人名称）（以下称“承包人”）与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（发包人名称）（以下简称“发包人”）于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日签订的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（工程名称）《建设工程施工合同》，承包人按约定的金额向你方提交一份预付款担保，即有权得到你方支付相等金额的预付款。我方愿意就你方提供给承包人的预付款为承包人提供连带责任担保。</w:t>
      </w:r>
    </w:p>
    <w:p w14:paraId="033F4D9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担保金额人民币（大写）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D54D19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担保有效期自预付款支付给承包人起生效，至你方签发的进度款支付证书说明已完全扣清止。</w:t>
      </w:r>
    </w:p>
    <w:p w14:paraId="369BCBA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2993068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 你方和承包人按合同约定变更合同时，我方承担本保函规定的义务不变。</w:t>
      </w:r>
    </w:p>
    <w:p w14:paraId="632D46F3">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 因本保函发生的纠纷，可由双方协商解决，协商不成的，任何一方均可提请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仲裁委员会仲裁。</w:t>
      </w:r>
    </w:p>
    <w:p w14:paraId="45A3EF31">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 本保函自我方法定代表人（或其授权代理人）签字并加盖公章之日起生效。</w:t>
      </w:r>
    </w:p>
    <w:p w14:paraId="741EC9D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担保人：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（盖单位章）</w:t>
      </w:r>
    </w:p>
    <w:p w14:paraId="6E9F1E1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w:t>
      </w:r>
    </w:p>
    <w:p w14:paraId="2BA02D9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371B9FC2">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336BE801">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1C6C152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705B9704">
      <w:pPr>
        <w:spacing w:line="360" w:lineRule="auto"/>
        <w:rPr>
          <w:rFonts w:hint="eastAsia" w:ascii="仿宋" w:hAnsi="仿宋" w:eastAsia="仿宋" w:cs="仿宋"/>
          <w:color w:val="auto"/>
          <w:sz w:val="24"/>
          <w:szCs w:val="24"/>
          <w:highlight w:val="none"/>
          <w:u w:val="single"/>
        </w:rPr>
      </w:pPr>
    </w:p>
    <w:p w14:paraId="72476AF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388105AC">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br w:type="page"/>
      </w:r>
      <w:r>
        <w:rPr>
          <w:rFonts w:hint="eastAsia" w:ascii="仿宋" w:hAnsi="仿宋" w:eastAsia="仿宋" w:cs="仿宋"/>
          <w:color w:val="auto"/>
          <w:sz w:val="24"/>
          <w:szCs w:val="24"/>
          <w:highlight w:val="none"/>
        </w:rPr>
        <w:t>附</w:t>
      </w:r>
      <w:bookmarkStart w:id="1587" w:name="_Toc296503233"/>
      <w:bookmarkStart w:id="1588" w:name="_Toc296944572"/>
      <w:bookmarkStart w:id="1589" w:name="_Toc296891273"/>
      <w:bookmarkStart w:id="1590" w:name="_Toc296346734"/>
      <w:bookmarkStart w:id="1591" w:name="_Toc296891061"/>
      <w:bookmarkStart w:id="1592" w:name="_Toc296347232"/>
      <w:r>
        <w:rPr>
          <w:rFonts w:hint="eastAsia" w:ascii="仿宋" w:hAnsi="仿宋" w:eastAsia="仿宋" w:cs="仿宋"/>
          <w:color w:val="auto"/>
          <w:sz w:val="24"/>
          <w:szCs w:val="24"/>
          <w:highlight w:val="none"/>
        </w:rPr>
        <w:t xml:space="preserve">件10: </w:t>
      </w:r>
      <w:r>
        <w:rPr>
          <w:rFonts w:ascii="Times New Roman" w:hAnsi="Times New Roman" w:eastAsia="黑体"/>
          <w:color w:val="auto"/>
          <w:sz w:val="30"/>
          <w:szCs w:val="30"/>
          <w:highlight w:val="none"/>
        </w:rPr>
        <w:t xml:space="preserve"> </w:t>
      </w:r>
      <w:bookmarkEnd w:id="1587"/>
      <w:bookmarkEnd w:id="1588"/>
      <w:bookmarkEnd w:id="1589"/>
      <w:bookmarkEnd w:id="1590"/>
      <w:bookmarkEnd w:id="1591"/>
      <w:bookmarkEnd w:id="1592"/>
      <w:r>
        <w:rPr>
          <w:rFonts w:hint="eastAsia" w:ascii="仿宋" w:hAnsi="仿宋" w:eastAsia="仿宋" w:cs="仿宋"/>
          <w:color w:val="auto"/>
          <w:sz w:val="24"/>
          <w:szCs w:val="24"/>
          <w:highlight w:val="none"/>
        </w:rPr>
        <w:t>支付担保</w:t>
      </w:r>
    </w:p>
    <w:p w14:paraId="47168A65">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（承包人）：</w:t>
      </w:r>
    </w:p>
    <w:p w14:paraId="57F200BD">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鉴于你方作为承包人已经与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（发包人名称）（以下称“发包人”）于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日签订了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（工程名称）《建设工程施工合同》（以下称“主合同”），应发包人的申请，我方愿就发包人履行主合同约定的工程款支付义务以保证的方式向你方提供如下担保：</w:t>
      </w:r>
    </w:p>
    <w:p w14:paraId="5152A236">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一、保证的范围及保证金额</w:t>
      </w:r>
    </w:p>
    <w:p w14:paraId="529619E6">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我方的保证范围是主合同约定的工程款。</w:t>
      </w:r>
    </w:p>
    <w:p w14:paraId="43626497">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本保函所称主合同约定的工程款是指主合同约定的除工程质量保证金以外的合同价款。</w:t>
      </w:r>
    </w:p>
    <w:p w14:paraId="1CC36113">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我方保证的金额是主合同约定的工程款的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%，数额最高不超过人民币元（大写：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C524F0C">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二、保证的方式及保证期间</w:t>
      </w:r>
    </w:p>
    <w:p w14:paraId="5F0776A2">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我方保证的方式为：连带责任保证。</w:t>
      </w:r>
    </w:p>
    <w:p w14:paraId="7D669016">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我方保证的期间为：自本合同生效之日起至主合同约定的工程款支付完毕之日后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日内。</w:t>
      </w:r>
    </w:p>
    <w:p w14:paraId="48E2D655">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你方与发包人协议变更工程款支付日期的，经我方书面同意后，保证期间按照变更后的支付日期做相应调整。</w:t>
      </w:r>
    </w:p>
    <w:p w14:paraId="65DBE60A">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三、承担保证责任的形式</w:t>
      </w:r>
    </w:p>
    <w:p w14:paraId="225A2517">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我方承担保证责任的形式是代为支付。发包人未按主合同约定向你方支付工程款的，由我方在保证金额内代为支付。</w:t>
      </w:r>
    </w:p>
    <w:p w14:paraId="2D2F37EA">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四、代偿的安排</w:t>
      </w:r>
    </w:p>
    <w:p w14:paraId="0B99D64D">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你方要求我方承担保证责任的，应向我方发出书面索赔通知及发包人未支付主合同约定工程款的证明材料。索赔通知应写明要求索赔的金额，支付款项应到达的账号。</w:t>
      </w:r>
    </w:p>
    <w:p w14:paraId="61DEF168">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在出现你方与发包人因工程质量发生争议，发包人拒绝向你方支付工程款的情形时，你方要求我方履行保证责任代为支付的，需提供符合相应条件要求的工程质量检测机构出具的质量说明材料。</w:t>
      </w:r>
    </w:p>
    <w:p w14:paraId="38B9C007">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我方收到你方的书面索赔通知及相应的证明材料后７天内无条件支付。</w:t>
      </w:r>
    </w:p>
    <w:p w14:paraId="7FDE2896">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五、保证责任的解除</w:t>
      </w:r>
    </w:p>
    <w:p w14:paraId="15B017B8">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在本保函承诺的保证期间内，你方未书面向我方主张保证责任的，自保证期间届满次日起，我方保证责任解除。</w:t>
      </w:r>
    </w:p>
    <w:p w14:paraId="3A5C9628">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发包人按主合同约定履行了工程款的全部支付义务的，自本保函承诺的保证期间届满次日起，我方保证责任解除。</w:t>
      </w:r>
    </w:p>
    <w:p w14:paraId="53C12B91">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我方按照本保函向你方履行保证责任所支付金额达到本保函保证金额时，自我方向你方支付（支付款项从我方账户划出）之日起，保证责任即解除。</w:t>
      </w:r>
    </w:p>
    <w:p w14:paraId="1F1E6D8E">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 按照法律法规的规定或出现应解除我方保证责任的其他情形的，我方在本保函项下的保证责任亦解除。</w:t>
      </w:r>
    </w:p>
    <w:p w14:paraId="2205DFF8">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 我方解除保证责任后，你方应自我方保证责任解除之日起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个工作日内，将本保函原件返还我方。</w:t>
      </w:r>
    </w:p>
    <w:p w14:paraId="0F9AB28B">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六、免责条款</w:t>
      </w:r>
    </w:p>
    <w:p w14:paraId="59D7EDD9">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因你方违约致使发包人不能履行义务的，我方不承担保证责任。</w:t>
      </w:r>
    </w:p>
    <w:p w14:paraId="61D20E6B">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依照法律法规的规定或你方与发包人的另行约定，免除发包人部分或全部义务的，我方亦免除其相应的保证责任。</w:t>
      </w:r>
    </w:p>
    <w:p w14:paraId="42CA5D7D">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你方与发包人协议变更主合同的，如加重发包人责任致使我方保证责任加重的，需征得我方书面同意，否则我方不再承担因此而加重部分的保证责任，但主合同第10条〔变更〕约定的变更不受本款限制。</w:t>
      </w:r>
    </w:p>
    <w:p w14:paraId="4010C5F1">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 因不可抗力造成发包人不能履行义务的，我方不承担保证责任。</w:t>
      </w:r>
    </w:p>
    <w:p w14:paraId="294E6DD0">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七、争议解决</w:t>
      </w:r>
    </w:p>
    <w:p w14:paraId="48BE64C7">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因本保函或本保函相关事项发生的纠纷，可由双方协商解决，协商不成的，按下列第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种方式解决：</w:t>
      </w:r>
    </w:p>
    <w:p w14:paraId="36B19862">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仲裁委员会申请仲裁；</w:t>
      </w:r>
    </w:p>
    <w:p w14:paraId="5364B657">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人民法院起诉。</w:t>
      </w:r>
    </w:p>
    <w:p w14:paraId="30FD5FF5">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八、保函的生效</w:t>
      </w:r>
    </w:p>
    <w:p w14:paraId="51FD8EA1">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本保函自我方法定代表人（或其授权代理人）签字并加盖公章之日起生效。</w:t>
      </w:r>
    </w:p>
    <w:p w14:paraId="6FFAC069">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担保人：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（盖章）</w:t>
      </w:r>
    </w:p>
    <w:p w14:paraId="026C0545">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w:t>
      </w:r>
    </w:p>
    <w:p w14:paraId="5B0E98DB">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xml:space="preserve">                                        </w:t>
      </w:r>
    </w:p>
    <w:p w14:paraId="4BCA82FC">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w:t>
      </w:r>
    </w:p>
    <w:p w14:paraId="5AA8FFA1">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p>
    <w:p w14:paraId="00CCF531">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u w:val="single"/>
        </w:rPr>
      </w:pPr>
    </w:p>
    <w:p w14:paraId="6F15AEFC">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620750CF">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textAlignment w:val="auto"/>
        <w:rPr>
          <w:rFonts w:ascii="Times New Roman" w:hAnsi="Times New Roman" w:eastAsia="黑体"/>
          <w:color w:val="auto"/>
          <w:sz w:val="30"/>
          <w:szCs w:val="30"/>
          <w:highlight w:val="none"/>
        </w:rPr>
      </w:pPr>
      <w:r>
        <w:rPr>
          <w:rFonts w:hint="eastAsia" w:ascii="仿宋" w:hAnsi="仿宋" w:eastAsia="仿宋" w:cs="仿宋"/>
          <w:color w:val="auto"/>
          <w:sz w:val="24"/>
          <w:szCs w:val="24"/>
          <w:highlight w:val="none"/>
        </w:rPr>
        <w:br w:type="page"/>
      </w:r>
      <w:r>
        <w:rPr>
          <w:rFonts w:ascii="Times New Roman" w:hAnsi="Times New Roman" w:eastAsia="仿宋_GB2312"/>
          <w:color w:val="auto"/>
          <w:sz w:val="30"/>
          <w:szCs w:val="30"/>
          <w:highlight w:val="none"/>
        </w:rPr>
        <w:t>附件11：</w:t>
      </w:r>
    </w:p>
    <w:p w14:paraId="49537F1D">
      <w:pPr>
        <w:spacing w:before="156" w:beforeLines="50" w:after="156" w:afterLines="50" w:line="440" w:lineRule="exact"/>
        <w:jc w:val="center"/>
        <w:outlineLvl w:val="0"/>
        <w:rPr>
          <w:rFonts w:ascii="Times New Roman" w:hAnsi="Times New Roman" w:eastAsia="黑体"/>
          <w:color w:val="auto"/>
          <w:sz w:val="30"/>
          <w:szCs w:val="30"/>
          <w:highlight w:val="none"/>
        </w:rPr>
      </w:pPr>
      <w:bookmarkStart w:id="1593" w:name="_Toc889"/>
      <w:r>
        <w:rPr>
          <w:rFonts w:ascii="Times New Roman" w:hAnsi="Times New Roman" w:eastAsia="黑体"/>
          <w:color w:val="auto"/>
          <w:sz w:val="30"/>
          <w:szCs w:val="30"/>
          <w:highlight w:val="none"/>
        </w:rPr>
        <w:t>11-1：材料暂估价表</w:t>
      </w:r>
      <w:bookmarkEnd w:id="1593"/>
    </w:p>
    <w:tbl>
      <w:tblPr>
        <w:tblStyle w:val="28"/>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C3E0E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tcBorders>
              <w:top w:val="single" w:color="auto" w:sz="12" w:space="0"/>
              <w:bottom w:val="double" w:color="auto" w:sz="6" w:space="0"/>
            </w:tcBorders>
            <w:noWrap w:val="0"/>
            <w:vAlign w:val="top"/>
          </w:tcPr>
          <w:p w14:paraId="3AD9E57B">
            <w:pPr>
              <w:pStyle w:val="9"/>
              <w:keepNext/>
              <w:spacing w:after="0" w:line="440" w:lineRule="exact"/>
              <w:ind w:left="63" w:right="63"/>
              <w:rPr>
                <w:rFonts w:eastAsia="仿宋_GB2312"/>
                <w:color w:val="auto"/>
                <w:kern w:val="2"/>
                <w:sz w:val="28"/>
                <w:szCs w:val="30"/>
                <w:highlight w:val="none"/>
                <w:lang w:val="en-US" w:eastAsia="zh-CN"/>
              </w:rPr>
            </w:pPr>
            <w:r>
              <w:rPr>
                <w:rFonts w:eastAsia="仿宋_GB2312"/>
                <w:color w:val="auto"/>
                <w:kern w:val="2"/>
                <w:sz w:val="28"/>
                <w:szCs w:val="30"/>
                <w:highlight w:val="none"/>
                <w:lang w:val="en-US" w:eastAsia="zh-CN"/>
              </w:rPr>
              <w:t>序号</w:t>
            </w:r>
          </w:p>
        </w:tc>
        <w:tc>
          <w:tcPr>
            <w:tcW w:w="1984" w:type="dxa"/>
            <w:tcBorders>
              <w:top w:val="single" w:color="auto" w:sz="12" w:space="0"/>
              <w:bottom w:val="double" w:color="auto" w:sz="6" w:space="0"/>
            </w:tcBorders>
            <w:noWrap w:val="0"/>
            <w:vAlign w:val="top"/>
          </w:tcPr>
          <w:p w14:paraId="042C2F75">
            <w:pPr>
              <w:pStyle w:val="9"/>
              <w:keepNext/>
              <w:spacing w:after="0" w:line="440" w:lineRule="exact"/>
              <w:ind w:left="63" w:right="63"/>
              <w:rPr>
                <w:rFonts w:eastAsia="仿宋_GB2312"/>
                <w:color w:val="auto"/>
                <w:kern w:val="2"/>
                <w:sz w:val="28"/>
                <w:szCs w:val="30"/>
                <w:highlight w:val="none"/>
                <w:lang w:val="en-US" w:eastAsia="zh-CN"/>
              </w:rPr>
            </w:pPr>
            <w:r>
              <w:rPr>
                <w:rFonts w:eastAsia="仿宋_GB2312"/>
                <w:color w:val="auto"/>
                <w:kern w:val="2"/>
                <w:sz w:val="28"/>
                <w:szCs w:val="30"/>
                <w:highlight w:val="none"/>
                <w:lang w:val="en-US" w:eastAsia="zh-CN"/>
              </w:rPr>
              <w:t>名称</w:t>
            </w:r>
          </w:p>
        </w:tc>
        <w:tc>
          <w:tcPr>
            <w:tcW w:w="851" w:type="dxa"/>
            <w:tcBorders>
              <w:top w:val="single" w:color="auto" w:sz="12" w:space="0"/>
              <w:bottom w:val="double" w:color="auto" w:sz="6" w:space="0"/>
            </w:tcBorders>
            <w:noWrap w:val="0"/>
            <w:vAlign w:val="top"/>
          </w:tcPr>
          <w:p w14:paraId="048E1CF9">
            <w:pPr>
              <w:pStyle w:val="9"/>
              <w:keepNext/>
              <w:spacing w:after="0" w:line="440" w:lineRule="exact"/>
              <w:ind w:left="63" w:right="63"/>
              <w:rPr>
                <w:rFonts w:eastAsia="仿宋_GB2312"/>
                <w:color w:val="auto"/>
                <w:kern w:val="2"/>
                <w:sz w:val="28"/>
                <w:szCs w:val="30"/>
                <w:highlight w:val="none"/>
                <w:lang w:val="en-US" w:eastAsia="zh-CN"/>
              </w:rPr>
            </w:pPr>
            <w:r>
              <w:rPr>
                <w:rFonts w:eastAsia="仿宋_GB2312"/>
                <w:color w:val="auto"/>
                <w:kern w:val="2"/>
                <w:sz w:val="28"/>
                <w:szCs w:val="30"/>
                <w:highlight w:val="none"/>
                <w:lang w:val="en-US" w:eastAsia="zh-CN"/>
              </w:rPr>
              <w:t>单位</w:t>
            </w:r>
          </w:p>
        </w:tc>
        <w:tc>
          <w:tcPr>
            <w:tcW w:w="774" w:type="dxa"/>
            <w:tcBorders>
              <w:top w:val="single" w:color="auto" w:sz="12" w:space="0"/>
              <w:bottom w:val="double" w:color="auto" w:sz="6" w:space="0"/>
            </w:tcBorders>
            <w:noWrap w:val="0"/>
            <w:vAlign w:val="top"/>
          </w:tcPr>
          <w:p w14:paraId="670BDF9C">
            <w:pPr>
              <w:pStyle w:val="9"/>
              <w:keepNext/>
              <w:spacing w:after="0" w:line="440" w:lineRule="exact"/>
              <w:ind w:left="63" w:right="63"/>
              <w:rPr>
                <w:rFonts w:eastAsia="仿宋_GB2312"/>
                <w:color w:val="auto"/>
                <w:kern w:val="2"/>
                <w:sz w:val="28"/>
                <w:szCs w:val="30"/>
                <w:highlight w:val="none"/>
                <w:lang w:val="en-US" w:eastAsia="zh-CN"/>
              </w:rPr>
            </w:pPr>
            <w:r>
              <w:rPr>
                <w:rFonts w:eastAsia="仿宋_GB2312"/>
                <w:color w:val="auto"/>
                <w:kern w:val="2"/>
                <w:sz w:val="28"/>
                <w:szCs w:val="30"/>
                <w:highlight w:val="none"/>
                <w:lang w:val="en-US" w:eastAsia="zh-CN"/>
              </w:rPr>
              <w:t>数量</w:t>
            </w:r>
          </w:p>
        </w:tc>
        <w:tc>
          <w:tcPr>
            <w:tcW w:w="1352" w:type="dxa"/>
            <w:tcBorders>
              <w:top w:val="single" w:color="auto" w:sz="12" w:space="0"/>
              <w:bottom w:val="double" w:color="auto" w:sz="6" w:space="0"/>
            </w:tcBorders>
            <w:noWrap w:val="0"/>
            <w:vAlign w:val="top"/>
          </w:tcPr>
          <w:p w14:paraId="4FECBA75">
            <w:pPr>
              <w:pStyle w:val="9"/>
              <w:keepNext/>
              <w:spacing w:after="0" w:line="440" w:lineRule="exact"/>
              <w:ind w:left="63" w:right="63"/>
              <w:rPr>
                <w:rFonts w:eastAsia="仿宋_GB2312"/>
                <w:color w:val="auto"/>
                <w:kern w:val="2"/>
                <w:sz w:val="28"/>
                <w:szCs w:val="30"/>
                <w:highlight w:val="none"/>
                <w:lang w:val="en-US" w:eastAsia="zh-CN"/>
              </w:rPr>
            </w:pPr>
            <w:r>
              <w:rPr>
                <w:rFonts w:eastAsia="仿宋_GB2312"/>
                <w:color w:val="auto"/>
                <w:kern w:val="2"/>
                <w:sz w:val="28"/>
                <w:szCs w:val="30"/>
                <w:highlight w:val="none"/>
                <w:lang w:val="en-US" w:eastAsia="zh-CN"/>
              </w:rPr>
              <w:t>单价</w:t>
            </w:r>
            <w:r>
              <w:rPr>
                <w:rFonts w:hint="eastAsia" w:eastAsia="仿宋_GB2312"/>
                <w:color w:val="auto"/>
                <w:kern w:val="2"/>
                <w:sz w:val="28"/>
                <w:szCs w:val="30"/>
                <w:highlight w:val="none"/>
                <w:lang w:val="en-US" w:eastAsia="zh-CN"/>
              </w:rPr>
              <w:t>（元）</w:t>
            </w:r>
          </w:p>
        </w:tc>
        <w:tc>
          <w:tcPr>
            <w:tcW w:w="1418" w:type="dxa"/>
            <w:tcBorders>
              <w:top w:val="single" w:color="auto" w:sz="12" w:space="0"/>
              <w:bottom w:val="double" w:color="auto" w:sz="6" w:space="0"/>
            </w:tcBorders>
            <w:noWrap w:val="0"/>
            <w:vAlign w:val="top"/>
          </w:tcPr>
          <w:p w14:paraId="3F204228">
            <w:pPr>
              <w:pStyle w:val="9"/>
              <w:keepNext/>
              <w:spacing w:after="0" w:line="440" w:lineRule="exact"/>
              <w:ind w:left="63" w:right="63"/>
              <w:rPr>
                <w:rFonts w:eastAsia="仿宋_GB2312"/>
                <w:color w:val="auto"/>
                <w:kern w:val="2"/>
                <w:sz w:val="28"/>
                <w:szCs w:val="30"/>
                <w:highlight w:val="none"/>
                <w:lang w:val="en-US" w:eastAsia="zh-CN"/>
              </w:rPr>
            </w:pPr>
            <w:r>
              <w:rPr>
                <w:rFonts w:eastAsia="仿宋_GB2312"/>
                <w:color w:val="auto"/>
                <w:kern w:val="2"/>
                <w:sz w:val="28"/>
                <w:szCs w:val="30"/>
                <w:highlight w:val="none"/>
                <w:lang w:val="en-US" w:eastAsia="zh-CN"/>
              </w:rPr>
              <w:t>合价</w:t>
            </w:r>
            <w:r>
              <w:rPr>
                <w:rFonts w:hint="eastAsia" w:eastAsia="仿宋_GB2312"/>
                <w:color w:val="auto"/>
                <w:kern w:val="2"/>
                <w:sz w:val="28"/>
                <w:szCs w:val="30"/>
                <w:highlight w:val="none"/>
                <w:lang w:val="en-US" w:eastAsia="zh-CN"/>
              </w:rPr>
              <w:t>（元）</w:t>
            </w:r>
          </w:p>
        </w:tc>
        <w:tc>
          <w:tcPr>
            <w:tcW w:w="1701" w:type="dxa"/>
            <w:tcBorders>
              <w:top w:val="single" w:color="auto" w:sz="12" w:space="0"/>
              <w:bottom w:val="double" w:color="auto" w:sz="6" w:space="0"/>
            </w:tcBorders>
            <w:noWrap w:val="0"/>
            <w:vAlign w:val="top"/>
          </w:tcPr>
          <w:p w14:paraId="6A58231D">
            <w:pPr>
              <w:pStyle w:val="9"/>
              <w:keepNext/>
              <w:spacing w:after="0" w:line="440" w:lineRule="exact"/>
              <w:ind w:left="63" w:right="63"/>
              <w:rPr>
                <w:rFonts w:eastAsia="仿宋_GB2312"/>
                <w:color w:val="auto"/>
                <w:kern w:val="2"/>
                <w:sz w:val="28"/>
                <w:szCs w:val="30"/>
                <w:highlight w:val="none"/>
                <w:lang w:val="en-US" w:eastAsia="zh-CN"/>
              </w:rPr>
            </w:pPr>
            <w:r>
              <w:rPr>
                <w:rFonts w:eastAsia="仿宋_GB2312"/>
                <w:color w:val="auto"/>
                <w:kern w:val="2"/>
                <w:sz w:val="28"/>
                <w:szCs w:val="30"/>
                <w:highlight w:val="none"/>
                <w:lang w:val="en-US" w:eastAsia="zh-CN"/>
              </w:rPr>
              <w:t>备注</w:t>
            </w:r>
          </w:p>
        </w:tc>
      </w:tr>
      <w:tr w14:paraId="16139B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765CF4C0">
            <w:pPr>
              <w:pStyle w:val="9"/>
              <w:keepNext/>
              <w:spacing w:after="0" w:line="440" w:lineRule="exact"/>
              <w:ind w:left="63" w:right="63"/>
              <w:rPr>
                <w:rFonts w:eastAsia="仿宋_GB2312"/>
                <w:color w:val="auto"/>
                <w:kern w:val="2"/>
                <w:sz w:val="28"/>
                <w:szCs w:val="30"/>
                <w:highlight w:val="none"/>
                <w:lang w:val="en-US" w:eastAsia="zh-CN"/>
              </w:rPr>
            </w:pPr>
          </w:p>
        </w:tc>
        <w:tc>
          <w:tcPr>
            <w:tcW w:w="1984" w:type="dxa"/>
            <w:tcBorders>
              <w:top w:val="double" w:color="auto" w:sz="6" w:space="0"/>
              <w:bottom w:val="single" w:color="auto" w:sz="6" w:space="0"/>
            </w:tcBorders>
            <w:noWrap w:val="0"/>
            <w:vAlign w:val="top"/>
          </w:tcPr>
          <w:p w14:paraId="63156F08">
            <w:pPr>
              <w:pStyle w:val="9"/>
              <w:keepNext/>
              <w:spacing w:after="0" w:line="440" w:lineRule="exact"/>
              <w:ind w:left="63" w:right="63"/>
              <w:rPr>
                <w:rFonts w:eastAsia="仿宋_GB2312"/>
                <w:color w:val="auto"/>
                <w:kern w:val="2"/>
                <w:sz w:val="28"/>
                <w:szCs w:val="30"/>
                <w:highlight w:val="none"/>
                <w:lang w:val="en-US" w:eastAsia="zh-CN"/>
              </w:rPr>
            </w:pPr>
          </w:p>
        </w:tc>
        <w:tc>
          <w:tcPr>
            <w:tcW w:w="851" w:type="dxa"/>
            <w:tcBorders>
              <w:top w:val="double" w:color="auto" w:sz="6" w:space="0"/>
              <w:bottom w:val="single" w:color="auto" w:sz="6" w:space="0"/>
            </w:tcBorders>
            <w:noWrap w:val="0"/>
            <w:vAlign w:val="top"/>
          </w:tcPr>
          <w:p w14:paraId="41EA6FDA">
            <w:pPr>
              <w:pStyle w:val="9"/>
              <w:keepNext/>
              <w:spacing w:after="0" w:line="440" w:lineRule="exact"/>
              <w:ind w:left="63" w:right="63"/>
              <w:rPr>
                <w:rFonts w:eastAsia="仿宋_GB2312"/>
                <w:color w:val="auto"/>
                <w:kern w:val="2"/>
                <w:sz w:val="28"/>
                <w:szCs w:val="30"/>
                <w:highlight w:val="none"/>
                <w:lang w:val="en-US" w:eastAsia="zh-CN"/>
              </w:rPr>
            </w:pPr>
          </w:p>
        </w:tc>
        <w:tc>
          <w:tcPr>
            <w:tcW w:w="774" w:type="dxa"/>
            <w:tcBorders>
              <w:top w:val="double" w:color="auto" w:sz="6" w:space="0"/>
              <w:bottom w:val="single" w:color="auto" w:sz="6" w:space="0"/>
            </w:tcBorders>
            <w:noWrap w:val="0"/>
            <w:vAlign w:val="top"/>
          </w:tcPr>
          <w:p w14:paraId="7BB18D67">
            <w:pPr>
              <w:pStyle w:val="9"/>
              <w:keepNext/>
              <w:spacing w:after="0" w:line="440" w:lineRule="exact"/>
              <w:ind w:left="63" w:right="63"/>
              <w:rPr>
                <w:rFonts w:eastAsia="仿宋_GB2312"/>
                <w:color w:val="auto"/>
                <w:kern w:val="2"/>
                <w:sz w:val="28"/>
                <w:szCs w:val="30"/>
                <w:highlight w:val="none"/>
                <w:lang w:val="en-US" w:eastAsia="zh-CN"/>
              </w:rPr>
            </w:pPr>
          </w:p>
        </w:tc>
        <w:tc>
          <w:tcPr>
            <w:tcW w:w="1352" w:type="dxa"/>
            <w:tcBorders>
              <w:top w:val="double" w:color="auto" w:sz="6" w:space="0"/>
              <w:bottom w:val="single" w:color="auto" w:sz="6" w:space="0"/>
            </w:tcBorders>
            <w:noWrap w:val="0"/>
            <w:vAlign w:val="top"/>
          </w:tcPr>
          <w:p w14:paraId="652A70C0">
            <w:pPr>
              <w:pStyle w:val="9"/>
              <w:keepNext/>
              <w:spacing w:after="0" w:line="440" w:lineRule="exact"/>
              <w:ind w:left="63" w:right="63"/>
              <w:rPr>
                <w:rFonts w:eastAsia="仿宋_GB2312"/>
                <w:color w:val="auto"/>
                <w:kern w:val="2"/>
                <w:sz w:val="28"/>
                <w:szCs w:val="30"/>
                <w:highlight w:val="none"/>
                <w:lang w:val="en-US" w:eastAsia="zh-CN"/>
              </w:rPr>
            </w:pPr>
          </w:p>
        </w:tc>
        <w:tc>
          <w:tcPr>
            <w:tcW w:w="1418" w:type="dxa"/>
            <w:tcBorders>
              <w:top w:val="double" w:color="auto" w:sz="6" w:space="0"/>
              <w:bottom w:val="single" w:color="auto" w:sz="6" w:space="0"/>
            </w:tcBorders>
            <w:noWrap w:val="0"/>
            <w:vAlign w:val="top"/>
          </w:tcPr>
          <w:p w14:paraId="6C2EEF2D">
            <w:pPr>
              <w:pStyle w:val="9"/>
              <w:keepNext/>
              <w:spacing w:after="0" w:line="440" w:lineRule="exact"/>
              <w:ind w:left="63" w:right="63"/>
              <w:rPr>
                <w:rFonts w:eastAsia="仿宋_GB2312"/>
                <w:color w:val="auto"/>
                <w:kern w:val="2"/>
                <w:sz w:val="28"/>
                <w:szCs w:val="30"/>
                <w:highlight w:val="none"/>
                <w:lang w:val="en-US" w:eastAsia="zh-CN"/>
              </w:rPr>
            </w:pPr>
          </w:p>
        </w:tc>
        <w:tc>
          <w:tcPr>
            <w:tcW w:w="1701" w:type="dxa"/>
            <w:tcBorders>
              <w:top w:val="double" w:color="auto" w:sz="6" w:space="0"/>
              <w:bottom w:val="single" w:color="auto" w:sz="6" w:space="0"/>
            </w:tcBorders>
            <w:noWrap w:val="0"/>
            <w:vAlign w:val="top"/>
          </w:tcPr>
          <w:p w14:paraId="37833AD0">
            <w:pPr>
              <w:pStyle w:val="9"/>
              <w:keepNext/>
              <w:spacing w:after="0" w:line="440" w:lineRule="exact"/>
              <w:ind w:left="63" w:right="63"/>
              <w:rPr>
                <w:rFonts w:eastAsia="仿宋_GB2312"/>
                <w:color w:val="auto"/>
                <w:kern w:val="2"/>
                <w:sz w:val="28"/>
                <w:szCs w:val="30"/>
                <w:highlight w:val="none"/>
                <w:lang w:val="en-US" w:eastAsia="zh-CN"/>
              </w:rPr>
            </w:pPr>
          </w:p>
        </w:tc>
      </w:tr>
      <w:tr w14:paraId="7DE972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45AA8F50">
            <w:pPr>
              <w:pStyle w:val="9"/>
              <w:keepNext/>
              <w:spacing w:after="0" w:line="440" w:lineRule="exact"/>
              <w:ind w:left="63" w:right="63"/>
              <w:rPr>
                <w:rFonts w:eastAsia="仿宋_GB2312"/>
                <w:color w:val="auto"/>
                <w:kern w:val="2"/>
                <w:sz w:val="28"/>
                <w:szCs w:val="30"/>
                <w:highlight w:val="none"/>
                <w:lang w:val="en-US" w:eastAsia="zh-CN"/>
              </w:rPr>
            </w:pPr>
          </w:p>
        </w:tc>
        <w:tc>
          <w:tcPr>
            <w:tcW w:w="1984" w:type="dxa"/>
            <w:tcBorders>
              <w:top w:val="nil"/>
            </w:tcBorders>
            <w:noWrap w:val="0"/>
            <w:vAlign w:val="top"/>
          </w:tcPr>
          <w:p w14:paraId="44584ED4">
            <w:pPr>
              <w:pStyle w:val="9"/>
              <w:keepNext/>
              <w:spacing w:after="0" w:line="440" w:lineRule="exact"/>
              <w:ind w:left="63" w:right="63"/>
              <w:rPr>
                <w:rFonts w:eastAsia="仿宋_GB2312"/>
                <w:color w:val="auto"/>
                <w:kern w:val="2"/>
                <w:sz w:val="28"/>
                <w:szCs w:val="30"/>
                <w:highlight w:val="none"/>
                <w:lang w:val="en-US" w:eastAsia="zh-CN"/>
              </w:rPr>
            </w:pPr>
          </w:p>
        </w:tc>
        <w:tc>
          <w:tcPr>
            <w:tcW w:w="851" w:type="dxa"/>
            <w:tcBorders>
              <w:top w:val="nil"/>
            </w:tcBorders>
            <w:noWrap w:val="0"/>
            <w:vAlign w:val="top"/>
          </w:tcPr>
          <w:p w14:paraId="6549E6F6">
            <w:pPr>
              <w:pStyle w:val="9"/>
              <w:keepNext/>
              <w:spacing w:after="0" w:line="440" w:lineRule="exact"/>
              <w:ind w:left="63" w:right="63"/>
              <w:rPr>
                <w:rFonts w:eastAsia="仿宋_GB2312"/>
                <w:color w:val="auto"/>
                <w:kern w:val="2"/>
                <w:sz w:val="28"/>
                <w:szCs w:val="30"/>
                <w:highlight w:val="none"/>
                <w:lang w:val="en-US" w:eastAsia="zh-CN"/>
              </w:rPr>
            </w:pPr>
          </w:p>
        </w:tc>
        <w:tc>
          <w:tcPr>
            <w:tcW w:w="774" w:type="dxa"/>
            <w:tcBorders>
              <w:top w:val="nil"/>
            </w:tcBorders>
            <w:noWrap w:val="0"/>
            <w:vAlign w:val="top"/>
          </w:tcPr>
          <w:p w14:paraId="3108868B">
            <w:pPr>
              <w:pStyle w:val="9"/>
              <w:keepNext/>
              <w:spacing w:after="0" w:line="440" w:lineRule="exact"/>
              <w:ind w:left="63" w:right="63"/>
              <w:rPr>
                <w:rFonts w:eastAsia="仿宋_GB2312"/>
                <w:color w:val="auto"/>
                <w:kern w:val="2"/>
                <w:sz w:val="28"/>
                <w:szCs w:val="30"/>
                <w:highlight w:val="none"/>
                <w:lang w:val="en-US" w:eastAsia="zh-CN"/>
              </w:rPr>
            </w:pPr>
          </w:p>
        </w:tc>
        <w:tc>
          <w:tcPr>
            <w:tcW w:w="1352" w:type="dxa"/>
            <w:tcBorders>
              <w:top w:val="nil"/>
            </w:tcBorders>
            <w:noWrap w:val="0"/>
            <w:vAlign w:val="top"/>
          </w:tcPr>
          <w:p w14:paraId="27CBAE07">
            <w:pPr>
              <w:pStyle w:val="9"/>
              <w:keepNext/>
              <w:spacing w:after="0" w:line="440" w:lineRule="exact"/>
              <w:ind w:left="63" w:right="63"/>
              <w:rPr>
                <w:rFonts w:eastAsia="仿宋_GB2312"/>
                <w:color w:val="auto"/>
                <w:kern w:val="2"/>
                <w:sz w:val="28"/>
                <w:szCs w:val="30"/>
                <w:highlight w:val="none"/>
                <w:lang w:val="en-US" w:eastAsia="zh-CN"/>
              </w:rPr>
            </w:pPr>
          </w:p>
        </w:tc>
        <w:tc>
          <w:tcPr>
            <w:tcW w:w="1418" w:type="dxa"/>
            <w:tcBorders>
              <w:top w:val="nil"/>
            </w:tcBorders>
            <w:noWrap w:val="0"/>
            <w:vAlign w:val="top"/>
          </w:tcPr>
          <w:p w14:paraId="4E3565F4">
            <w:pPr>
              <w:pStyle w:val="9"/>
              <w:keepNext/>
              <w:spacing w:after="0" w:line="440" w:lineRule="exact"/>
              <w:ind w:left="63" w:right="63"/>
              <w:rPr>
                <w:rFonts w:eastAsia="仿宋_GB2312"/>
                <w:color w:val="auto"/>
                <w:kern w:val="2"/>
                <w:sz w:val="28"/>
                <w:szCs w:val="30"/>
                <w:highlight w:val="none"/>
                <w:lang w:val="en-US" w:eastAsia="zh-CN"/>
              </w:rPr>
            </w:pPr>
          </w:p>
        </w:tc>
        <w:tc>
          <w:tcPr>
            <w:tcW w:w="1701" w:type="dxa"/>
            <w:tcBorders>
              <w:top w:val="nil"/>
            </w:tcBorders>
            <w:noWrap w:val="0"/>
            <w:vAlign w:val="top"/>
          </w:tcPr>
          <w:p w14:paraId="1C2838E6">
            <w:pPr>
              <w:pStyle w:val="9"/>
              <w:keepNext/>
              <w:spacing w:after="0" w:line="440" w:lineRule="exact"/>
              <w:ind w:left="63" w:right="63"/>
              <w:rPr>
                <w:rFonts w:eastAsia="仿宋_GB2312"/>
                <w:color w:val="auto"/>
                <w:kern w:val="2"/>
                <w:sz w:val="28"/>
                <w:szCs w:val="30"/>
                <w:highlight w:val="none"/>
                <w:lang w:val="en-US" w:eastAsia="zh-CN"/>
              </w:rPr>
            </w:pPr>
          </w:p>
        </w:tc>
      </w:tr>
      <w:tr w14:paraId="705B2A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1C93A52">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D3D1B00">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AF5295E">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37F58A8E">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C066808">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7E9833A9">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7990E6E">
            <w:pPr>
              <w:pStyle w:val="9"/>
              <w:keepNext/>
              <w:spacing w:after="0" w:line="440" w:lineRule="exact"/>
              <w:ind w:left="63" w:right="63"/>
              <w:rPr>
                <w:rFonts w:eastAsia="仿宋_GB2312"/>
                <w:color w:val="auto"/>
                <w:kern w:val="2"/>
                <w:sz w:val="28"/>
                <w:szCs w:val="30"/>
                <w:highlight w:val="none"/>
                <w:lang w:val="en-US" w:eastAsia="zh-CN"/>
              </w:rPr>
            </w:pPr>
          </w:p>
        </w:tc>
      </w:tr>
      <w:tr w14:paraId="72B409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8C7185D">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B8C1784">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2BC9113C">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140B364D">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E854040">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2F0DF009">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1DB50720">
            <w:pPr>
              <w:pStyle w:val="9"/>
              <w:keepNext/>
              <w:spacing w:after="0" w:line="440" w:lineRule="exact"/>
              <w:ind w:left="63" w:right="63"/>
              <w:rPr>
                <w:rFonts w:eastAsia="仿宋_GB2312"/>
                <w:color w:val="auto"/>
                <w:kern w:val="2"/>
                <w:sz w:val="28"/>
                <w:szCs w:val="30"/>
                <w:highlight w:val="none"/>
                <w:lang w:val="en-US" w:eastAsia="zh-CN"/>
              </w:rPr>
            </w:pPr>
          </w:p>
        </w:tc>
      </w:tr>
      <w:tr w14:paraId="4AA0DB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E4D9CC7">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D1A112E">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2BB00B62">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5AB5501F">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56C13284">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76849581">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5372CFE7">
            <w:pPr>
              <w:pStyle w:val="9"/>
              <w:keepNext/>
              <w:spacing w:after="0" w:line="440" w:lineRule="exact"/>
              <w:ind w:left="63" w:right="63"/>
              <w:rPr>
                <w:rFonts w:eastAsia="仿宋_GB2312"/>
                <w:color w:val="auto"/>
                <w:kern w:val="2"/>
                <w:sz w:val="28"/>
                <w:szCs w:val="30"/>
                <w:highlight w:val="none"/>
                <w:lang w:val="en-US" w:eastAsia="zh-CN"/>
              </w:rPr>
            </w:pPr>
          </w:p>
        </w:tc>
      </w:tr>
      <w:tr w14:paraId="0F91FB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F5AAE91">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553CB374">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80D0D3E">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68E1BA7E">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439FDAD">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60D6E69">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7858DB15">
            <w:pPr>
              <w:pStyle w:val="9"/>
              <w:keepNext/>
              <w:spacing w:after="0" w:line="440" w:lineRule="exact"/>
              <w:ind w:left="63" w:right="63"/>
              <w:rPr>
                <w:rFonts w:eastAsia="仿宋_GB2312"/>
                <w:color w:val="auto"/>
                <w:kern w:val="2"/>
                <w:sz w:val="28"/>
                <w:szCs w:val="30"/>
                <w:highlight w:val="none"/>
                <w:lang w:val="en-US" w:eastAsia="zh-CN"/>
              </w:rPr>
            </w:pPr>
          </w:p>
        </w:tc>
      </w:tr>
      <w:tr w14:paraId="6551AD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DF03C2B">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1D04396">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5F0FE32">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5343E834">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322DDBF3">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68B93E7B">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08086E11">
            <w:pPr>
              <w:pStyle w:val="9"/>
              <w:keepNext/>
              <w:spacing w:after="0" w:line="440" w:lineRule="exact"/>
              <w:ind w:left="63" w:right="63"/>
              <w:rPr>
                <w:rFonts w:eastAsia="仿宋_GB2312"/>
                <w:color w:val="auto"/>
                <w:kern w:val="2"/>
                <w:sz w:val="28"/>
                <w:szCs w:val="30"/>
                <w:highlight w:val="none"/>
                <w:lang w:val="en-US" w:eastAsia="zh-CN"/>
              </w:rPr>
            </w:pPr>
          </w:p>
        </w:tc>
      </w:tr>
      <w:tr w14:paraId="637EC6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179C48B">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26170EC9">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58429498">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6AF4E1BE">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F9B499F">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19D9DA07">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33D13E6C">
            <w:pPr>
              <w:pStyle w:val="9"/>
              <w:keepNext/>
              <w:spacing w:after="0" w:line="440" w:lineRule="exact"/>
              <w:ind w:left="63" w:right="63"/>
              <w:rPr>
                <w:rFonts w:eastAsia="仿宋_GB2312"/>
                <w:color w:val="auto"/>
                <w:kern w:val="2"/>
                <w:sz w:val="28"/>
                <w:szCs w:val="30"/>
                <w:highlight w:val="none"/>
                <w:lang w:val="en-US" w:eastAsia="zh-CN"/>
              </w:rPr>
            </w:pPr>
          </w:p>
        </w:tc>
      </w:tr>
      <w:tr w14:paraId="498F92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5C9FD27">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CCB3C8E">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F39894B">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79ACF756">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61D8DA3A">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301AFCE8">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4008E497">
            <w:pPr>
              <w:pStyle w:val="9"/>
              <w:keepNext/>
              <w:spacing w:after="0" w:line="440" w:lineRule="exact"/>
              <w:ind w:left="63" w:right="63"/>
              <w:rPr>
                <w:rFonts w:eastAsia="仿宋_GB2312"/>
                <w:color w:val="auto"/>
                <w:kern w:val="2"/>
                <w:sz w:val="28"/>
                <w:szCs w:val="30"/>
                <w:highlight w:val="none"/>
                <w:lang w:val="en-US" w:eastAsia="zh-CN"/>
              </w:rPr>
            </w:pPr>
          </w:p>
        </w:tc>
      </w:tr>
      <w:tr w14:paraId="01239B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E65AB79">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41A3CA3">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F13948B">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7FBAA34E">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36E74241">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7BAA04A">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759075B">
            <w:pPr>
              <w:pStyle w:val="9"/>
              <w:keepNext/>
              <w:spacing w:after="0" w:line="440" w:lineRule="exact"/>
              <w:ind w:left="63" w:right="63"/>
              <w:rPr>
                <w:rFonts w:eastAsia="仿宋_GB2312"/>
                <w:color w:val="auto"/>
                <w:kern w:val="2"/>
                <w:sz w:val="28"/>
                <w:szCs w:val="30"/>
                <w:highlight w:val="none"/>
                <w:lang w:val="en-US" w:eastAsia="zh-CN"/>
              </w:rPr>
            </w:pPr>
          </w:p>
        </w:tc>
      </w:tr>
      <w:tr w14:paraId="2E824D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C5500EE">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15ADDE5B">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C338290">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1ECBD96F">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765EDFA">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0D5E8AF">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9906433">
            <w:pPr>
              <w:pStyle w:val="9"/>
              <w:keepNext/>
              <w:spacing w:after="0" w:line="440" w:lineRule="exact"/>
              <w:ind w:left="63" w:right="63"/>
              <w:rPr>
                <w:rFonts w:eastAsia="仿宋_GB2312"/>
                <w:color w:val="auto"/>
                <w:kern w:val="2"/>
                <w:sz w:val="28"/>
                <w:szCs w:val="30"/>
                <w:highlight w:val="none"/>
                <w:lang w:val="en-US" w:eastAsia="zh-CN"/>
              </w:rPr>
            </w:pPr>
          </w:p>
        </w:tc>
      </w:tr>
      <w:tr w14:paraId="433C48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4ABD7C4">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5C7112C3">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FCB436D">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2CD7C4F5">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77E66F3">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6C8DA128">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0D68AD43">
            <w:pPr>
              <w:pStyle w:val="9"/>
              <w:keepNext/>
              <w:spacing w:after="0" w:line="440" w:lineRule="exact"/>
              <w:ind w:left="63" w:right="63"/>
              <w:rPr>
                <w:rFonts w:eastAsia="仿宋_GB2312"/>
                <w:color w:val="auto"/>
                <w:kern w:val="2"/>
                <w:sz w:val="28"/>
                <w:szCs w:val="30"/>
                <w:highlight w:val="none"/>
                <w:lang w:val="en-US" w:eastAsia="zh-CN"/>
              </w:rPr>
            </w:pPr>
          </w:p>
        </w:tc>
      </w:tr>
      <w:tr w14:paraId="2C73E2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064F701">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76688BD">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9C3415E">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6898A2D4">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57D7B64D">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17BC5D05">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E117000">
            <w:pPr>
              <w:pStyle w:val="9"/>
              <w:keepNext/>
              <w:spacing w:after="0" w:line="440" w:lineRule="exact"/>
              <w:ind w:left="63" w:right="63"/>
              <w:rPr>
                <w:rFonts w:eastAsia="仿宋_GB2312"/>
                <w:color w:val="auto"/>
                <w:kern w:val="2"/>
                <w:sz w:val="28"/>
                <w:szCs w:val="30"/>
                <w:highlight w:val="none"/>
                <w:lang w:val="en-US" w:eastAsia="zh-CN"/>
              </w:rPr>
            </w:pPr>
          </w:p>
        </w:tc>
      </w:tr>
      <w:tr w14:paraId="5AE090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F57ECC8">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C0CB32C">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319E33F">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26BED404">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5B2C6609">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5EE0802C">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045C6C0E">
            <w:pPr>
              <w:pStyle w:val="9"/>
              <w:keepNext/>
              <w:spacing w:after="0" w:line="440" w:lineRule="exact"/>
              <w:ind w:left="63" w:right="63"/>
              <w:rPr>
                <w:rFonts w:eastAsia="仿宋_GB2312"/>
                <w:color w:val="auto"/>
                <w:kern w:val="2"/>
                <w:sz w:val="28"/>
                <w:szCs w:val="30"/>
                <w:highlight w:val="none"/>
                <w:lang w:val="en-US" w:eastAsia="zh-CN"/>
              </w:rPr>
            </w:pPr>
          </w:p>
        </w:tc>
      </w:tr>
      <w:tr w14:paraId="2BC8F9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790019B">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01387C9">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0772221">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5EBFAE51">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34420102">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2743C927">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2A4358C5">
            <w:pPr>
              <w:pStyle w:val="9"/>
              <w:keepNext/>
              <w:spacing w:after="0" w:line="440" w:lineRule="exact"/>
              <w:ind w:left="63" w:right="63"/>
              <w:rPr>
                <w:rFonts w:eastAsia="仿宋_GB2312"/>
                <w:color w:val="auto"/>
                <w:kern w:val="2"/>
                <w:sz w:val="28"/>
                <w:szCs w:val="30"/>
                <w:highlight w:val="none"/>
                <w:lang w:val="en-US" w:eastAsia="zh-CN"/>
              </w:rPr>
            </w:pPr>
          </w:p>
        </w:tc>
      </w:tr>
      <w:tr w14:paraId="1214FA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69C3CBF">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171EC2BD">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D288C1D">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047A13DE">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6BA2CC76">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067E69E">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3F0C4288">
            <w:pPr>
              <w:pStyle w:val="9"/>
              <w:keepNext/>
              <w:spacing w:after="0" w:line="440" w:lineRule="exact"/>
              <w:ind w:left="63" w:right="63"/>
              <w:rPr>
                <w:rFonts w:eastAsia="仿宋_GB2312"/>
                <w:color w:val="auto"/>
                <w:kern w:val="2"/>
                <w:sz w:val="28"/>
                <w:szCs w:val="30"/>
                <w:highlight w:val="none"/>
                <w:lang w:val="en-US" w:eastAsia="zh-CN"/>
              </w:rPr>
            </w:pPr>
          </w:p>
        </w:tc>
      </w:tr>
      <w:tr w14:paraId="3348A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BD346D9">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03941A5A">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0157932B">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3CB70312">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53224666">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3E14E089">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307F0EDE">
            <w:pPr>
              <w:pStyle w:val="9"/>
              <w:keepNext/>
              <w:spacing w:after="0" w:line="440" w:lineRule="exact"/>
              <w:ind w:left="63" w:right="63"/>
              <w:rPr>
                <w:rFonts w:eastAsia="仿宋_GB2312"/>
                <w:color w:val="auto"/>
                <w:kern w:val="2"/>
                <w:sz w:val="28"/>
                <w:szCs w:val="30"/>
                <w:highlight w:val="none"/>
                <w:lang w:val="en-US" w:eastAsia="zh-CN"/>
              </w:rPr>
            </w:pPr>
          </w:p>
        </w:tc>
      </w:tr>
      <w:tr w14:paraId="4E4325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44721FC">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DC8DF74">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EB664FB">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2BA5DFD1">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CB9D928">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4E87A9A1">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29626E6E">
            <w:pPr>
              <w:pStyle w:val="9"/>
              <w:keepNext/>
              <w:spacing w:after="0" w:line="440" w:lineRule="exact"/>
              <w:ind w:left="63" w:right="63"/>
              <w:rPr>
                <w:rFonts w:eastAsia="仿宋_GB2312"/>
                <w:color w:val="auto"/>
                <w:kern w:val="2"/>
                <w:sz w:val="28"/>
                <w:szCs w:val="30"/>
                <w:highlight w:val="none"/>
                <w:lang w:val="en-US" w:eastAsia="zh-CN"/>
              </w:rPr>
            </w:pPr>
          </w:p>
        </w:tc>
      </w:tr>
      <w:tr w14:paraId="23C731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174F792">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F0909BB">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7E45C3CE">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52E9D104">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3752BB10">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48767550">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4C483072">
            <w:pPr>
              <w:pStyle w:val="9"/>
              <w:keepNext/>
              <w:spacing w:after="0" w:line="440" w:lineRule="exact"/>
              <w:ind w:left="63" w:right="63"/>
              <w:rPr>
                <w:rFonts w:eastAsia="仿宋_GB2312"/>
                <w:color w:val="auto"/>
                <w:kern w:val="2"/>
                <w:sz w:val="28"/>
                <w:szCs w:val="30"/>
                <w:highlight w:val="none"/>
                <w:lang w:val="en-US" w:eastAsia="zh-CN"/>
              </w:rPr>
            </w:pPr>
          </w:p>
        </w:tc>
      </w:tr>
      <w:tr w14:paraId="651D4A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B6A5142">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FDC670A">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5B24DB3A">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4ACC5AD1">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21AC7083">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45D69954">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7266196C">
            <w:pPr>
              <w:pStyle w:val="9"/>
              <w:keepNext/>
              <w:spacing w:after="0" w:line="440" w:lineRule="exact"/>
              <w:ind w:left="63" w:right="63"/>
              <w:rPr>
                <w:rFonts w:eastAsia="仿宋_GB2312"/>
                <w:color w:val="auto"/>
                <w:kern w:val="2"/>
                <w:sz w:val="28"/>
                <w:szCs w:val="30"/>
                <w:highlight w:val="none"/>
                <w:lang w:val="en-US" w:eastAsia="zh-CN"/>
              </w:rPr>
            </w:pPr>
          </w:p>
        </w:tc>
      </w:tr>
      <w:tr w14:paraId="1B809F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B024ECC">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092D5BB4">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76D8B208">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30023EC2">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7959E368">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644CCD0E">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125ECD49">
            <w:pPr>
              <w:pStyle w:val="9"/>
              <w:keepNext/>
              <w:spacing w:after="0" w:line="440" w:lineRule="exact"/>
              <w:ind w:left="63" w:right="63"/>
              <w:rPr>
                <w:rFonts w:eastAsia="仿宋_GB2312"/>
                <w:color w:val="auto"/>
                <w:kern w:val="2"/>
                <w:sz w:val="28"/>
                <w:szCs w:val="30"/>
                <w:highlight w:val="none"/>
                <w:lang w:val="en-US" w:eastAsia="zh-CN"/>
              </w:rPr>
            </w:pPr>
          </w:p>
        </w:tc>
      </w:tr>
      <w:tr w14:paraId="61C310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0FAA1C9">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28629F1">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0A33E40">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0539A25D">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11AC0943">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5967991D">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E620E77">
            <w:pPr>
              <w:pStyle w:val="9"/>
              <w:keepNext/>
              <w:spacing w:after="0" w:line="440" w:lineRule="exact"/>
              <w:ind w:left="63" w:right="63"/>
              <w:rPr>
                <w:rFonts w:eastAsia="仿宋_GB2312"/>
                <w:color w:val="auto"/>
                <w:kern w:val="2"/>
                <w:sz w:val="28"/>
                <w:szCs w:val="30"/>
                <w:highlight w:val="none"/>
                <w:lang w:val="en-US" w:eastAsia="zh-CN"/>
              </w:rPr>
            </w:pPr>
          </w:p>
        </w:tc>
      </w:tr>
      <w:tr w14:paraId="54EA63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A7219F5">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16CEAF46">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4106774">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1B9D8864">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F1231C7">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70D3B18">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BD0A6AC">
            <w:pPr>
              <w:pStyle w:val="9"/>
              <w:keepNext/>
              <w:spacing w:after="0" w:line="440" w:lineRule="exact"/>
              <w:ind w:left="63" w:right="63"/>
              <w:rPr>
                <w:rFonts w:eastAsia="仿宋_GB2312"/>
                <w:color w:val="auto"/>
                <w:kern w:val="2"/>
                <w:sz w:val="28"/>
                <w:szCs w:val="30"/>
                <w:highlight w:val="none"/>
                <w:lang w:val="en-US" w:eastAsia="zh-CN"/>
              </w:rPr>
            </w:pPr>
          </w:p>
        </w:tc>
      </w:tr>
      <w:tr w14:paraId="2CC1DE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BD83FE8">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0C56EE68">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28676A0">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0663B760">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611B858">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51144156">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3648C348">
            <w:pPr>
              <w:pStyle w:val="9"/>
              <w:keepNext/>
              <w:spacing w:after="0" w:line="440" w:lineRule="exact"/>
              <w:ind w:left="63" w:right="63"/>
              <w:rPr>
                <w:rFonts w:eastAsia="仿宋_GB2312"/>
                <w:color w:val="auto"/>
                <w:kern w:val="2"/>
                <w:sz w:val="28"/>
                <w:szCs w:val="30"/>
                <w:highlight w:val="none"/>
                <w:lang w:val="en-US" w:eastAsia="zh-CN"/>
              </w:rPr>
            </w:pPr>
          </w:p>
        </w:tc>
      </w:tr>
      <w:tr w14:paraId="394716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17703B7">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3AF236C1">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0613D6CC">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71A6878D">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7FB638D7">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5D3157B7">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322A92E2">
            <w:pPr>
              <w:pStyle w:val="9"/>
              <w:keepNext/>
              <w:spacing w:after="0" w:line="440" w:lineRule="exact"/>
              <w:ind w:left="63" w:right="63"/>
              <w:rPr>
                <w:rFonts w:eastAsia="仿宋_GB2312"/>
                <w:color w:val="auto"/>
                <w:kern w:val="2"/>
                <w:sz w:val="28"/>
                <w:szCs w:val="30"/>
                <w:highlight w:val="none"/>
                <w:lang w:val="en-US" w:eastAsia="zh-CN"/>
              </w:rPr>
            </w:pPr>
          </w:p>
        </w:tc>
      </w:tr>
    </w:tbl>
    <w:p w14:paraId="1F6270E0">
      <w:pPr>
        <w:spacing w:before="156" w:beforeLines="50" w:after="156" w:afterLines="50" w:line="440" w:lineRule="exact"/>
        <w:rPr>
          <w:rFonts w:hint="eastAsia" w:ascii="Times New Roman" w:hAnsi="Times New Roman" w:eastAsia="黑体"/>
          <w:color w:val="auto"/>
          <w:sz w:val="30"/>
          <w:szCs w:val="30"/>
          <w:highlight w:val="none"/>
        </w:rPr>
      </w:pPr>
    </w:p>
    <w:p w14:paraId="37C74877">
      <w:pPr>
        <w:spacing w:before="156" w:beforeLines="50" w:after="156" w:afterLines="50" w:line="440" w:lineRule="exact"/>
        <w:jc w:val="center"/>
        <w:rPr>
          <w:rFonts w:ascii="Times New Roman" w:hAnsi="Times New Roman" w:eastAsia="黑体"/>
          <w:color w:val="auto"/>
          <w:sz w:val="30"/>
          <w:szCs w:val="30"/>
          <w:highlight w:val="none"/>
        </w:rPr>
      </w:pPr>
      <w:r>
        <w:rPr>
          <w:rFonts w:ascii="Times New Roman" w:hAnsi="Times New Roman" w:eastAsia="黑体"/>
          <w:color w:val="auto"/>
          <w:sz w:val="30"/>
          <w:szCs w:val="30"/>
          <w:highlight w:val="none"/>
        </w:rPr>
        <w:t>11-2：工程设备暂估价表</w:t>
      </w:r>
    </w:p>
    <w:tbl>
      <w:tblPr>
        <w:tblStyle w:val="28"/>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028B6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56B7497C">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序号</w:t>
            </w:r>
          </w:p>
        </w:tc>
        <w:tc>
          <w:tcPr>
            <w:tcW w:w="1984" w:type="dxa"/>
            <w:tcBorders>
              <w:top w:val="single" w:color="auto" w:sz="12" w:space="0"/>
              <w:bottom w:val="double" w:color="auto" w:sz="6" w:space="0"/>
            </w:tcBorders>
            <w:noWrap w:val="0"/>
            <w:vAlign w:val="top"/>
          </w:tcPr>
          <w:p w14:paraId="0E6D13B1">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名称</w:t>
            </w:r>
          </w:p>
        </w:tc>
        <w:tc>
          <w:tcPr>
            <w:tcW w:w="851" w:type="dxa"/>
            <w:tcBorders>
              <w:top w:val="single" w:color="auto" w:sz="12" w:space="0"/>
              <w:bottom w:val="double" w:color="auto" w:sz="6" w:space="0"/>
            </w:tcBorders>
            <w:noWrap w:val="0"/>
            <w:vAlign w:val="top"/>
          </w:tcPr>
          <w:p w14:paraId="2D4DEB07">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单位</w:t>
            </w:r>
          </w:p>
        </w:tc>
        <w:tc>
          <w:tcPr>
            <w:tcW w:w="774" w:type="dxa"/>
            <w:tcBorders>
              <w:top w:val="single" w:color="auto" w:sz="12" w:space="0"/>
              <w:bottom w:val="double" w:color="auto" w:sz="6" w:space="0"/>
            </w:tcBorders>
            <w:noWrap w:val="0"/>
            <w:vAlign w:val="top"/>
          </w:tcPr>
          <w:p w14:paraId="12A94648">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数量</w:t>
            </w:r>
          </w:p>
        </w:tc>
        <w:tc>
          <w:tcPr>
            <w:tcW w:w="1352" w:type="dxa"/>
            <w:tcBorders>
              <w:top w:val="single" w:color="auto" w:sz="12" w:space="0"/>
              <w:bottom w:val="double" w:color="auto" w:sz="6" w:space="0"/>
            </w:tcBorders>
            <w:noWrap w:val="0"/>
            <w:vAlign w:val="top"/>
          </w:tcPr>
          <w:p w14:paraId="1A032182">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单价（元）</w:t>
            </w:r>
          </w:p>
        </w:tc>
        <w:tc>
          <w:tcPr>
            <w:tcW w:w="1418" w:type="dxa"/>
            <w:tcBorders>
              <w:top w:val="single" w:color="auto" w:sz="12" w:space="0"/>
              <w:bottom w:val="double" w:color="auto" w:sz="6" w:space="0"/>
            </w:tcBorders>
            <w:noWrap w:val="0"/>
            <w:vAlign w:val="top"/>
          </w:tcPr>
          <w:p w14:paraId="718F58BC">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合价（元）</w:t>
            </w:r>
          </w:p>
        </w:tc>
        <w:tc>
          <w:tcPr>
            <w:tcW w:w="1701" w:type="dxa"/>
            <w:tcBorders>
              <w:top w:val="single" w:color="auto" w:sz="12" w:space="0"/>
              <w:bottom w:val="double" w:color="auto" w:sz="6" w:space="0"/>
            </w:tcBorders>
            <w:noWrap w:val="0"/>
            <w:vAlign w:val="top"/>
          </w:tcPr>
          <w:p w14:paraId="1E0986A3">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备注</w:t>
            </w:r>
          </w:p>
        </w:tc>
      </w:tr>
      <w:tr w14:paraId="09AF2E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4D7CEE60">
            <w:pPr>
              <w:pStyle w:val="9"/>
              <w:keepNext/>
              <w:spacing w:after="0" w:line="440" w:lineRule="exact"/>
              <w:ind w:left="63" w:right="63"/>
              <w:rPr>
                <w:rFonts w:eastAsia="仿宋_GB2312"/>
                <w:color w:val="auto"/>
                <w:kern w:val="2"/>
                <w:sz w:val="28"/>
                <w:szCs w:val="30"/>
                <w:highlight w:val="none"/>
                <w:lang w:val="en-US" w:eastAsia="zh-CN"/>
              </w:rPr>
            </w:pPr>
          </w:p>
        </w:tc>
        <w:tc>
          <w:tcPr>
            <w:tcW w:w="1984" w:type="dxa"/>
            <w:tcBorders>
              <w:top w:val="double" w:color="auto" w:sz="6" w:space="0"/>
              <w:bottom w:val="single" w:color="auto" w:sz="6" w:space="0"/>
            </w:tcBorders>
            <w:noWrap w:val="0"/>
            <w:vAlign w:val="top"/>
          </w:tcPr>
          <w:p w14:paraId="2277B12F">
            <w:pPr>
              <w:pStyle w:val="9"/>
              <w:keepNext/>
              <w:spacing w:after="0" w:line="440" w:lineRule="exact"/>
              <w:ind w:left="63" w:right="63"/>
              <w:rPr>
                <w:rFonts w:eastAsia="仿宋_GB2312"/>
                <w:color w:val="auto"/>
                <w:kern w:val="2"/>
                <w:sz w:val="28"/>
                <w:szCs w:val="30"/>
                <w:highlight w:val="none"/>
                <w:lang w:val="en-US" w:eastAsia="zh-CN"/>
              </w:rPr>
            </w:pPr>
          </w:p>
        </w:tc>
        <w:tc>
          <w:tcPr>
            <w:tcW w:w="851" w:type="dxa"/>
            <w:tcBorders>
              <w:top w:val="double" w:color="auto" w:sz="6" w:space="0"/>
              <w:bottom w:val="single" w:color="auto" w:sz="6" w:space="0"/>
            </w:tcBorders>
            <w:noWrap w:val="0"/>
            <w:vAlign w:val="top"/>
          </w:tcPr>
          <w:p w14:paraId="07BDA049">
            <w:pPr>
              <w:pStyle w:val="9"/>
              <w:keepNext/>
              <w:spacing w:after="0" w:line="440" w:lineRule="exact"/>
              <w:ind w:left="63" w:right="63"/>
              <w:rPr>
                <w:rFonts w:eastAsia="仿宋_GB2312"/>
                <w:color w:val="auto"/>
                <w:kern w:val="2"/>
                <w:sz w:val="28"/>
                <w:szCs w:val="30"/>
                <w:highlight w:val="none"/>
                <w:lang w:val="en-US" w:eastAsia="zh-CN"/>
              </w:rPr>
            </w:pPr>
          </w:p>
        </w:tc>
        <w:tc>
          <w:tcPr>
            <w:tcW w:w="774" w:type="dxa"/>
            <w:tcBorders>
              <w:top w:val="double" w:color="auto" w:sz="6" w:space="0"/>
              <w:bottom w:val="single" w:color="auto" w:sz="6" w:space="0"/>
            </w:tcBorders>
            <w:noWrap w:val="0"/>
            <w:vAlign w:val="top"/>
          </w:tcPr>
          <w:p w14:paraId="4740841A">
            <w:pPr>
              <w:pStyle w:val="9"/>
              <w:keepNext/>
              <w:spacing w:after="0" w:line="440" w:lineRule="exact"/>
              <w:ind w:left="63" w:right="63"/>
              <w:rPr>
                <w:rFonts w:eastAsia="仿宋_GB2312"/>
                <w:color w:val="auto"/>
                <w:kern w:val="2"/>
                <w:sz w:val="28"/>
                <w:szCs w:val="30"/>
                <w:highlight w:val="none"/>
                <w:lang w:val="en-US" w:eastAsia="zh-CN"/>
              </w:rPr>
            </w:pPr>
          </w:p>
        </w:tc>
        <w:tc>
          <w:tcPr>
            <w:tcW w:w="1352" w:type="dxa"/>
            <w:tcBorders>
              <w:top w:val="double" w:color="auto" w:sz="6" w:space="0"/>
              <w:bottom w:val="single" w:color="auto" w:sz="6" w:space="0"/>
            </w:tcBorders>
            <w:noWrap w:val="0"/>
            <w:vAlign w:val="top"/>
          </w:tcPr>
          <w:p w14:paraId="75FFD30D">
            <w:pPr>
              <w:pStyle w:val="9"/>
              <w:keepNext/>
              <w:spacing w:after="0" w:line="440" w:lineRule="exact"/>
              <w:ind w:left="63" w:right="63"/>
              <w:rPr>
                <w:rFonts w:eastAsia="仿宋_GB2312"/>
                <w:color w:val="auto"/>
                <w:kern w:val="2"/>
                <w:sz w:val="28"/>
                <w:szCs w:val="30"/>
                <w:highlight w:val="none"/>
                <w:lang w:val="en-US" w:eastAsia="zh-CN"/>
              </w:rPr>
            </w:pPr>
          </w:p>
        </w:tc>
        <w:tc>
          <w:tcPr>
            <w:tcW w:w="1418" w:type="dxa"/>
            <w:tcBorders>
              <w:top w:val="double" w:color="auto" w:sz="6" w:space="0"/>
              <w:bottom w:val="single" w:color="auto" w:sz="6" w:space="0"/>
            </w:tcBorders>
            <w:noWrap w:val="0"/>
            <w:vAlign w:val="top"/>
          </w:tcPr>
          <w:p w14:paraId="4AEFE4BB">
            <w:pPr>
              <w:pStyle w:val="9"/>
              <w:keepNext/>
              <w:spacing w:after="0" w:line="440" w:lineRule="exact"/>
              <w:ind w:left="63" w:right="63"/>
              <w:rPr>
                <w:rFonts w:eastAsia="仿宋_GB2312"/>
                <w:color w:val="auto"/>
                <w:kern w:val="2"/>
                <w:sz w:val="28"/>
                <w:szCs w:val="30"/>
                <w:highlight w:val="none"/>
                <w:lang w:val="en-US" w:eastAsia="zh-CN"/>
              </w:rPr>
            </w:pPr>
          </w:p>
        </w:tc>
        <w:tc>
          <w:tcPr>
            <w:tcW w:w="1701" w:type="dxa"/>
            <w:tcBorders>
              <w:top w:val="double" w:color="auto" w:sz="6" w:space="0"/>
              <w:bottom w:val="single" w:color="auto" w:sz="6" w:space="0"/>
            </w:tcBorders>
            <w:noWrap w:val="0"/>
            <w:vAlign w:val="top"/>
          </w:tcPr>
          <w:p w14:paraId="123B3693">
            <w:pPr>
              <w:pStyle w:val="9"/>
              <w:keepNext/>
              <w:spacing w:after="0" w:line="440" w:lineRule="exact"/>
              <w:ind w:left="63" w:right="63"/>
              <w:rPr>
                <w:rFonts w:eastAsia="仿宋_GB2312"/>
                <w:color w:val="auto"/>
                <w:kern w:val="2"/>
                <w:sz w:val="28"/>
                <w:szCs w:val="30"/>
                <w:highlight w:val="none"/>
                <w:lang w:val="en-US" w:eastAsia="zh-CN"/>
              </w:rPr>
            </w:pPr>
          </w:p>
        </w:tc>
      </w:tr>
      <w:tr w14:paraId="1E13E8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17DFD764">
            <w:pPr>
              <w:pStyle w:val="9"/>
              <w:keepNext/>
              <w:spacing w:after="0" w:line="440" w:lineRule="exact"/>
              <w:ind w:left="63" w:right="63"/>
              <w:rPr>
                <w:rFonts w:eastAsia="仿宋_GB2312"/>
                <w:color w:val="auto"/>
                <w:kern w:val="2"/>
                <w:sz w:val="28"/>
                <w:szCs w:val="30"/>
                <w:highlight w:val="none"/>
                <w:lang w:val="en-US" w:eastAsia="zh-CN"/>
              </w:rPr>
            </w:pPr>
          </w:p>
        </w:tc>
        <w:tc>
          <w:tcPr>
            <w:tcW w:w="1984" w:type="dxa"/>
            <w:tcBorders>
              <w:top w:val="nil"/>
            </w:tcBorders>
            <w:noWrap w:val="0"/>
            <w:vAlign w:val="top"/>
          </w:tcPr>
          <w:p w14:paraId="131BE155">
            <w:pPr>
              <w:pStyle w:val="9"/>
              <w:keepNext/>
              <w:spacing w:after="0" w:line="440" w:lineRule="exact"/>
              <w:ind w:left="63" w:right="63"/>
              <w:rPr>
                <w:rFonts w:eastAsia="仿宋_GB2312"/>
                <w:color w:val="auto"/>
                <w:kern w:val="2"/>
                <w:sz w:val="28"/>
                <w:szCs w:val="30"/>
                <w:highlight w:val="none"/>
                <w:lang w:val="en-US" w:eastAsia="zh-CN"/>
              </w:rPr>
            </w:pPr>
          </w:p>
        </w:tc>
        <w:tc>
          <w:tcPr>
            <w:tcW w:w="851" w:type="dxa"/>
            <w:tcBorders>
              <w:top w:val="nil"/>
            </w:tcBorders>
            <w:noWrap w:val="0"/>
            <w:vAlign w:val="top"/>
          </w:tcPr>
          <w:p w14:paraId="622886CA">
            <w:pPr>
              <w:pStyle w:val="9"/>
              <w:keepNext/>
              <w:spacing w:after="0" w:line="440" w:lineRule="exact"/>
              <w:ind w:left="63" w:right="63"/>
              <w:rPr>
                <w:rFonts w:eastAsia="仿宋_GB2312"/>
                <w:color w:val="auto"/>
                <w:kern w:val="2"/>
                <w:sz w:val="28"/>
                <w:szCs w:val="30"/>
                <w:highlight w:val="none"/>
                <w:lang w:val="en-US" w:eastAsia="zh-CN"/>
              </w:rPr>
            </w:pPr>
          </w:p>
        </w:tc>
        <w:tc>
          <w:tcPr>
            <w:tcW w:w="774" w:type="dxa"/>
            <w:tcBorders>
              <w:top w:val="nil"/>
            </w:tcBorders>
            <w:noWrap w:val="0"/>
            <w:vAlign w:val="top"/>
          </w:tcPr>
          <w:p w14:paraId="5144B0F9">
            <w:pPr>
              <w:pStyle w:val="9"/>
              <w:keepNext/>
              <w:spacing w:after="0" w:line="440" w:lineRule="exact"/>
              <w:ind w:left="63" w:right="63"/>
              <w:rPr>
                <w:rFonts w:eastAsia="仿宋_GB2312"/>
                <w:color w:val="auto"/>
                <w:kern w:val="2"/>
                <w:sz w:val="28"/>
                <w:szCs w:val="30"/>
                <w:highlight w:val="none"/>
                <w:lang w:val="en-US" w:eastAsia="zh-CN"/>
              </w:rPr>
            </w:pPr>
          </w:p>
        </w:tc>
        <w:tc>
          <w:tcPr>
            <w:tcW w:w="1352" w:type="dxa"/>
            <w:tcBorders>
              <w:top w:val="nil"/>
            </w:tcBorders>
            <w:noWrap w:val="0"/>
            <w:vAlign w:val="top"/>
          </w:tcPr>
          <w:p w14:paraId="7B0EBC5D">
            <w:pPr>
              <w:pStyle w:val="9"/>
              <w:keepNext/>
              <w:spacing w:after="0" w:line="440" w:lineRule="exact"/>
              <w:ind w:left="63" w:right="63"/>
              <w:rPr>
                <w:rFonts w:eastAsia="仿宋_GB2312"/>
                <w:color w:val="auto"/>
                <w:kern w:val="2"/>
                <w:sz w:val="28"/>
                <w:szCs w:val="30"/>
                <w:highlight w:val="none"/>
                <w:lang w:val="en-US" w:eastAsia="zh-CN"/>
              </w:rPr>
            </w:pPr>
          </w:p>
        </w:tc>
        <w:tc>
          <w:tcPr>
            <w:tcW w:w="1418" w:type="dxa"/>
            <w:tcBorders>
              <w:top w:val="nil"/>
            </w:tcBorders>
            <w:noWrap w:val="0"/>
            <w:vAlign w:val="top"/>
          </w:tcPr>
          <w:p w14:paraId="07C291E8">
            <w:pPr>
              <w:pStyle w:val="9"/>
              <w:keepNext/>
              <w:spacing w:after="0" w:line="440" w:lineRule="exact"/>
              <w:ind w:left="63" w:right="63"/>
              <w:rPr>
                <w:rFonts w:eastAsia="仿宋_GB2312"/>
                <w:color w:val="auto"/>
                <w:kern w:val="2"/>
                <w:sz w:val="28"/>
                <w:szCs w:val="30"/>
                <w:highlight w:val="none"/>
                <w:lang w:val="en-US" w:eastAsia="zh-CN"/>
              </w:rPr>
            </w:pPr>
          </w:p>
        </w:tc>
        <w:tc>
          <w:tcPr>
            <w:tcW w:w="1701" w:type="dxa"/>
            <w:tcBorders>
              <w:top w:val="nil"/>
            </w:tcBorders>
            <w:noWrap w:val="0"/>
            <w:vAlign w:val="top"/>
          </w:tcPr>
          <w:p w14:paraId="6F17FC91">
            <w:pPr>
              <w:pStyle w:val="9"/>
              <w:keepNext/>
              <w:spacing w:after="0" w:line="440" w:lineRule="exact"/>
              <w:ind w:left="63" w:right="63"/>
              <w:rPr>
                <w:rFonts w:eastAsia="仿宋_GB2312"/>
                <w:color w:val="auto"/>
                <w:kern w:val="2"/>
                <w:sz w:val="28"/>
                <w:szCs w:val="30"/>
                <w:highlight w:val="none"/>
                <w:lang w:val="en-US" w:eastAsia="zh-CN"/>
              </w:rPr>
            </w:pPr>
          </w:p>
        </w:tc>
      </w:tr>
      <w:tr w14:paraId="4F1316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A841E9A">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E861D9D">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10A07526">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39BB2FCE">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20B74D11">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64002B92">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0E19945E">
            <w:pPr>
              <w:pStyle w:val="9"/>
              <w:keepNext/>
              <w:spacing w:after="0" w:line="440" w:lineRule="exact"/>
              <w:ind w:left="63" w:right="63"/>
              <w:rPr>
                <w:rFonts w:eastAsia="仿宋_GB2312"/>
                <w:color w:val="auto"/>
                <w:kern w:val="2"/>
                <w:sz w:val="28"/>
                <w:szCs w:val="30"/>
                <w:highlight w:val="none"/>
                <w:lang w:val="en-US" w:eastAsia="zh-CN"/>
              </w:rPr>
            </w:pPr>
          </w:p>
        </w:tc>
      </w:tr>
      <w:tr w14:paraId="002193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C60B64C">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B6DE1CA">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5088E97A">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166E1536">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545D345">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F206D69">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1EA0EC8B">
            <w:pPr>
              <w:pStyle w:val="9"/>
              <w:keepNext/>
              <w:spacing w:after="0" w:line="440" w:lineRule="exact"/>
              <w:ind w:left="63" w:right="63"/>
              <w:rPr>
                <w:rFonts w:eastAsia="仿宋_GB2312"/>
                <w:color w:val="auto"/>
                <w:kern w:val="2"/>
                <w:sz w:val="28"/>
                <w:szCs w:val="30"/>
                <w:highlight w:val="none"/>
                <w:lang w:val="en-US" w:eastAsia="zh-CN"/>
              </w:rPr>
            </w:pPr>
          </w:p>
        </w:tc>
      </w:tr>
      <w:tr w14:paraId="0926F2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AE96EEE">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8ADE981">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50F5E5D8">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60C9641F">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B0CB777">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51F3189F">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7762AD5A">
            <w:pPr>
              <w:pStyle w:val="9"/>
              <w:keepNext/>
              <w:spacing w:after="0" w:line="440" w:lineRule="exact"/>
              <w:ind w:left="63" w:right="63"/>
              <w:rPr>
                <w:rFonts w:eastAsia="仿宋_GB2312"/>
                <w:color w:val="auto"/>
                <w:kern w:val="2"/>
                <w:sz w:val="28"/>
                <w:szCs w:val="30"/>
                <w:highlight w:val="none"/>
                <w:lang w:val="en-US" w:eastAsia="zh-CN"/>
              </w:rPr>
            </w:pPr>
          </w:p>
        </w:tc>
      </w:tr>
      <w:tr w14:paraId="30D164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6856679">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326797B9">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E9EA90A">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1840B6E3">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8011DAF">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2E37DFF0">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4947C00E">
            <w:pPr>
              <w:pStyle w:val="9"/>
              <w:keepNext/>
              <w:spacing w:after="0" w:line="440" w:lineRule="exact"/>
              <w:ind w:left="63" w:right="63"/>
              <w:rPr>
                <w:rFonts w:eastAsia="仿宋_GB2312"/>
                <w:color w:val="auto"/>
                <w:kern w:val="2"/>
                <w:sz w:val="28"/>
                <w:szCs w:val="30"/>
                <w:highlight w:val="none"/>
                <w:lang w:val="en-US" w:eastAsia="zh-CN"/>
              </w:rPr>
            </w:pPr>
          </w:p>
        </w:tc>
      </w:tr>
      <w:tr w14:paraId="59A9EE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2941BAD">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365F9C08">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0E889965">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7BB9A24C">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9E15CC3">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7008972D">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1349776D">
            <w:pPr>
              <w:pStyle w:val="9"/>
              <w:keepNext/>
              <w:spacing w:after="0" w:line="440" w:lineRule="exact"/>
              <w:ind w:left="63" w:right="63"/>
              <w:rPr>
                <w:rFonts w:eastAsia="仿宋_GB2312"/>
                <w:color w:val="auto"/>
                <w:kern w:val="2"/>
                <w:sz w:val="28"/>
                <w:szCs w:val="30"/>
                <w:highlight w:val="none"/>
                <w:lang w:val="en-US" w:eastAsia="zh-CN"/>
              </w:rPr>
            </w:pPr>
          </w:p>
        </w:tc>
      </w:tr>
      <w:tr w14:paraId="112A5C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EC00CCB">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0CAB884">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5343BE60">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030C8341">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276E1620">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B864063">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33AF9C3A">
            <w:pPr>
              <w:pStyle w:val="9"/>
              <w:keepNext/>
              <w:spacing w:after="0" w:line="440" w:lineRule="exact"/>
              <w:ind w:left="63" w:right="63"/>
              <w:rPr>
                <w:rFonts w:eastAsia="仿宋_GB2312"/>
                <w:color w:val="auto"/>
                <w:kern w:val="2"/>
                <w:sz w:val="28"/>
                <w:szCs w:val="30"/>
                <w:highlight w:val="none"/>
                <w:lang w:val="en-US" w:eastAsia="zh-CN"/>
              </w:rPr>
            </w:pPr>
          </w:p>
        </w:tc>
      </w:tr>
      <w:tr w14:paraId="0B29B0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F46089F">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2F1A4853">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EA56044">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7B27AFB8">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CB84CED">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7F56F780">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4B33A94F">
            <w:pPr>
              <w:pStyle w:val="9"/>
              <w:keepNext/>
              <w:spacing w:after="0" w:line="440" w:lineRule="exact"/>
              <w:ind w:left="63" w:right="63"/>
              <w:rPr>
                <w:rFonts w:eastAsia="仿宋_GB2312"/>
                <w:color w:val="auto"/>
                <w:kern w:val="2"/>
                <w:sz w:val="28"/>
                <w:szCs w:val="30"/>
                <w:highlight w:val="none"/>
                <w:lang w:val="en-US" w:eastAsia="zh-CN"/>
              </w:rPr>
            </w:pPr>
          </w:p>
        </w:tc>
      </w:tr>
      <w:tr w14:paraId="4101E3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EA61433">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C06D07D">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2513633">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295691D4">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3DC884C3">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25F7F78A">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0F0122F4">
            <w:pPr>
              <w:pStyle w:val="9"/>
              <w:keepNext/>
              <w:spacing w:after="0" w:line="440" w:lineRule="exact"/>
              <w:ind w:left="63" w:right="63"/>
              <w:rPr>
                <w:rFonts w:eastAsia="仿宋_GB2312"/>
                <w:color w:val="auto"/>
                <w:kern w:val="2"/>
                <w:sz w:val="28"/>
                <w:szCs w:val="30"/>
                <w:highlight w:val="none"/>
                <w:lang w:val="en-US" w:eastAsia="zh-CN"/>
              </w:rPr>
            </w:pPr>
          </w:p>
        </w:tc>
      </w:tr>
      <w:tr w14:paraId="321202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D7BDC2B">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1527A09D">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4434601">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5062CC89">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67981C50">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38CEE981">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49B074D9">
            <w:pPr>
              <w:pStyle w:val="9"/>
              <w:keepNext/>
              <w:spacing w:after="0" w:line="440" w:lineRule="exact"/>
              <w:ind w:left="63" w:right="63"/>
              <w:rPr>
                <w:rFonts w:eastAsia="仿宋_GB2312"/>
                <w:color w:val="auto"/>
                <w:kern w:val="2"/>
                <w:sz w:val="28"/>
                <w:szCs w:val="30"/>
                <w:highlight w:val="none"/>
                <w:lang w:val="en-US" w:eastAsia="zh-CN"/>
              </w:rPr>
            </w:pPr>
          </w:p>
        </w:tc>
      </w:tr>
      <w:tr w14:paraId="78DFA0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6295D39">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364FF461">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0518393F">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3EE8B878">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1117311E">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7DDA7213">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4902F2EC">
            <w:pPr>
              <w:pStyle w:val="9"/>
              <w:keepNext/>
              <w:spacing w:after="0" w:line="440" w:lineRule="exact"/>
              <w:ind w:left="63" w:right="63"/>
              <w:rPr>
                <w:rFonts w:eastAsia="仿宋_GB2312"/>
                <w:color w:val="auto"/>
                <w:kern w:val="2"/>
                <w:sz w:val="28"/>
                <w:szCs w:val="30"/>
                <w:highlight w:val="none"/>
                <w:lang w:val="en-US" w:eastAsia="zh-CN"/>
              </w:rPr>
            </w:pPr>
          </w:p>
        </w:tc>
      </w:tr>
      <w:tr w14:paraId="2F9CB8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8AEEF8F">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0EA72AF">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3057139">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521F3975">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B141CF1">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47780F88">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5483A9F6">
            <w:pPr>
              <w:pStyle w:val="9"/>
              <w:keepNext/>
              <w:spacing w:after="0" w:line="440" w:lineRule="exact"/>
              <w:ind w:left="63" w:right="63"/>
              <w:rPr>
                <w:rFonts w:eastAsia="仿宋_GB2312"/>
                <w:color w:val="auto"/>
                <w:kern w:val="2"/>
                <w:sz w:val="28"/>
                <w:szCs w:val="30"/>
                <w:highlight w:val="none"/>
                <w:lang w:val="en-US" w:eastAsia="zh-CN"/>
              </w:rPr>
            </w:pPr>
          </w:p>
        </w:tc>
      </w:tr>
      <w:tr w14:paraId="48D48E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6C1061E">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111404B4">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E0CC00F">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06A4193A">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79272D8D">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6DED321F">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5E9F331">
            <w:pPr>
              <w:pStyle w:val="9"/>
              <w:keepNext/>
              <w:spacing w:after="0" w:line="440" w:lineRule="exact"/>
              <w:ind w:left="63" w:right="63"/>
              <w:rPr>
                <w:rFonts w:eastAsia="仿宋_GB2312"/>
                <w:color w:val="auto"/>
                <w:kern w:val="2"/>
                <w:sz w:val="28"/>
                <w:szCs w:val="30"/>
                <w:highlight w:val="none"/>
                <w:lang w:val="en-US" w:eastAsia="zh-CN"/>
              </w:rPr>
            </w:pPr>
          </w:p>
        </w:tc>
      </w:tr>
      <w:tr w14:paraId="4113D3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E1088AF">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6829AF2">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1C207E48">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22F367FD">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2408B26">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317FD0A3">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78831F3D">
            <w:pPr>
              <w:pStyle w:val="9"/>
              <w:keepNext/>
              <w:spacing w:after="0" w:line="440" w:lineRule="exact"/>
              <w:ind w:left="63" w:right="63"/>
              <w:rPr>
                <w:rFonts w:eastAsia="仿宋_GB2312"/>
                <w:color w:val="auto"/>
                <w:kern w:val="2"/>
                <w:sz w:val="28"/>
                <w:szCs w:val="30"/>
                <w:highlight w:val="none"/>
                <w:lang w:val="en-US" w:eastAsia="zh-CN"/>
              </w:rPr>
            </w:pPr>
          </w:p>
        </w:tc>
      </w:tr>
      <w:tr w14:paraId="0625F1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4CCB73B">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3E788B81">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70DAA43">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69A48425">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14C4F2E9">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6E5BFE93">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5A89F076">
            <w:pPr>
              <w:pStyle w:val="9"/>
              <w:keepNext/>
              <w:spacing w:after="0" w:line="440" w:lineRule="exact"/>
              <w:ind w:left="63" w:right="63"/>
              <w:rPr>
                <w:rFonts w:eastAsia="仿宋_GB2312"/>
                <w:color w:val="auto"/>
                <w:kern w:val="2"/>
                <w:sz w:val="28"/>
                <w:szCs w:val="30"/>
                <w:highlight w:val="none"/>
                <w:lang w:val="en-US" w:eastAsia="zh-CN"/>
              </w:rPr>
            </w:pPr>
          </w:p>
        </w:tc>
      </w:tr>
      <w:tr w14:paraId="732465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8FB4DBF">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0903C0F4">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106A3BD">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6EAEF0A2">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2FE77384">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4B25ED66">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29D1CDBE">
            <w:pPr>
              <w:pStyle w:val="9"/>
              <w:keepNext/>
              <w:spacing w:after="0" w:line="440" w:lineRule="exact"/>
              <w:ind w:left="63" w:right="63"/>
              <w:rPr>
                <w:rFonts w:eastAsia="仿宋_GB2312"/>
                <w:color w:val="auto"/>
                <w:kern w:val="2"/>
                <w:sz w:val="28"/>
                <w:szCs w:val="30"/>
                <w:highlight w:val="none"/>
                <w:lang w:val="en-US" w:eastAsia="zh-CN"/>
              </w:rPr>
            </w:pPr>
          </w:p>
        </w:tc>
      </w:tr>
      <w:tr w14:paraId="52022E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760D7B7">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1B20A8BF">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732283EA">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1A4F5EE3">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682DC716">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2A42AA0E">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576D9B0C">
            <w:pPr>
              <w:pStyle w:val="9"/>
              <w:keepNext/>
              <w:spacing w:after="0" w:line="440" w:lineRule="exact"/>
              <w:ind w:left="63" w:right="63"/>
              <w:rPr>
                <w:rFonts w:eastAsia="仿宋_GB2312"/>
                <w:color w:val="auto"/>
                <w:kern w:val="2"/>
                <w:sz w:val="28"/>
                <w:szCs w:val="30"/>
                <w:highlight w:val="none"/>
                <w:lang w:val="en-US" w:eastAsia="zh-CN"/>
              </w:rPr>
            </w:pPr>
          </w:p>
        </w:tc>
      </w:tr>
      <w:tr w14:paraId="36E809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0C76DF8">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CFFA6DD">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3461DDA">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0BFD1436">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AD71968">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10C5CBB3">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33FF66CC">
            <w:pPr>
              <w:pStyle w:val="9"/>
              <w:keepNext/>
              <w:spacing w:after="0" w:line="440" w:lineRule="exact"/>
              <w:ind w:left="63" w:right="63"/>
              <w:rPr>
                <w:rFonts w:eastAsia="仿宋_GB2312"/>
                <w:color w:val="auto"/>
                <w:kern w:val="2"/>
                <w:sz w:val="28"/>
                <w:szCs w:val="30"/>
                <w:highlight w:val="none"/>
                <w:lang w:val="en-US" w:eastAsia="zh-CN"/>
              </w:rPr>
            </w:pPr>
          </w:p>
        </w:tc>
      </w:tr>
      <w:tr w14:paraId="4E4370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3F7AEDC">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2453ED9">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0FA05F3">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685A58EC">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195DA7BD">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F489300">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2E8175C0">
            <w:pPr>
              <w:pStyle w:val="9"/>
              <w:keepNext/>
              <w:spacing w:after="0" w:line="440" w:lineRule="exact"/>
              <w:ind w:left="63" w:right="63"/>
              <w:rPr>
                <w:rFonts w:eastAsia="仿宋_GB2312"/>
                <w:color w:val="auto"/>
                <w:kern w:val="2"/>
                <w:sz w:val="28"/>
                <w:szCs w:val="30"/>
                <w:highlight w:val="none"/>
                <w:lang w:val="en-US" w:eastAsia="zh-CN"/>
              </w:rPr>
            </w:pPr>
          </w:p>
        </w:tc>
      </w:tr>
      <w:tr w14:paraId="5656CE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C2981BF">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DCE4DF6">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204A9A60">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7777EE65">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0122DEF">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3DDD8FA5">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1348C66">
            <w:pPr>
              <w:pStyle w:val="9"/>
              <w:keepNext/>
              <w:spacing w:after="0" w:line="440" w:lineRule="exact"/>
              <w:ind w:left="63" w:right="63"/>
              <w:rPr>
                <w:rFonts w:eastAsia="仿宋_GB2312"/>
                <w:color w:val="auto"/>
                <w:kern w:val="2"/>
                <w:sz w:val="28"/>
                <w:szCs w:val="30"/>
                <w:highlight w:val="none"/>
                <w:lang w:val="en-US" w:eastAsia="zh-CN"/>
              </w:rPr>
            </w:pPr>
          </w:p>
        </w:tc>
      </w:tr>
      <w:tr w14:paraId="0846A8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CCFC213">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1FEA1569">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0D072E57">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4A303DAC">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13A71276">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7956BA6E">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1F5C41AE">
            <w:pPr>
              <w:pStyle w:val="9"/>
              <w:keepNext/>
              <w:spacing w:after="0" w:line="440" w:lineRule="exact"/>
              <w:ind w:left="63" w:right="63"/>
              <w:rPr>
                <w:rFonts w:eastAsia="仿宋_GB2312"/>
                <w:color w:val="auto"/>
                <w:kern w:val="2"/>
                <w:sz w:val="28"/>
                <w:szCs w:val="30"/>
                <w:highlight w:val="none"/>
                <w:lang w:val="en-US" w:eastAsia="zh-CN"/>
              </w:rPr>
            </w:pPr>
          </w:p>
        </w:tc>
      </w:tr>
      <w:tr w14:paraId="61A800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F381E1C">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13CFAA6">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7B039FB1">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32AB5766">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81E0640">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5ACDE1D0">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7BAF1B54">
            <w:pPr>
              <w:pStyle w:val="9"/>
              <w:keepNext/>
              <w:spacing w:after="0" w:line="440" w:lineRule="exact"/>
              <w:ind w:left="63" w:right="63"/>
              <w:rPr>
                <w:rFonts w:eastAsia="仿宋_GB2312"/>
                <w:color w:val="auto"/>
                <w:kern w:val="2"/>
                <w:sz w:val="28"/>
                <w:szCs w:val="30"/>
                <w:highlight w:val="none"/>
                <w:lang w:val="en-US" w:eastAsia="zh-CN"/>
              </w:rPr>
            </w:pPr>
          </w:p>
        </w:tc>
      </w:tr>
      <w:tr w14:paraId="0E69A6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0474D21">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01182130">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5F200823">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4EA6C2E6">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7FB8DCA7">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6CDCE07B">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1A0559D1">
            <w:pPr>
              <w:pStyle w:val="9"/>
              <w:keepNext/>
              <w:spacing w:after="0" w:line="440" w:lineRule="exact"/>
              <w:ind w:left="63" w:right="63"/>
              <w:rPr>
                <w:rFonts w:eastAsia="仿宋_GB2312"/>
                <w:color w:val="auto"/>
                <w:kern w:val="2"/>
                <w:sz w:val="28"/>
                <w:szCs w:val="30"/>
                <w:highlight w:val="none"/>
                <w:lang w:val="en-US" w:eastAsia="zh-CN"/>
              </w:rPr>
            </w:pPr>
          </w:p>
        </w:tc>
      </w:tr>
      <w:tr w14:paraId="6B2D3D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EA24BD7">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7E00026">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3800C51">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027D748B">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6EC1E410">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9AADEB5">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26A4823C">
            <w:pPr>
              <w:pStyle w:val="9"/>
              <w:keepNext/>
              <w:spacing w:after="0" w:line="440" w:lineRule="exact"/>
              <w:ind w:left="63" w:right="63"/>
              <w:rPr>
                <w:rFonts w:eastAsia="仿宋_GB2312"/>
                <w:color w:val="auto"/>
                <w:kern w:val="2"/>
                <w:sz w:val="28"/>
                <w:szCs w:val="30"/>
                <w:highlight w:val="none"/>
                <w:lang w:val="en-US" w:eastAsia="zh-CN"/>
              </w:rPr>
            </w:pPr>
          </w:p>
        </w:tc>
      </w:tr>
    </w:tbl>
    <w:p w14:paraId="099A58E4">
      <w:pPr>
        <w:spacing w:line="440" w:lineRule="exact"/>
        <w:rPr>
          <w:rFonts w:ascii="Times New Roman" w:hAnsi="Times New Roman" w:eastAsia="仿宋_GB2312"/>
          <w:color w:val="auto"/>
          <w:sz w:val="30"/>
          <w:szCs w:val="30"/>
          <w:highlight w:val="none"/>
        </w:rPr>
      </w:pPr>
    </w:p>
    <w:p w14:paraId="362C5DF2">
      <w:pPr>
        <w:spacing w:before="156" w:beforeLines="50" w:after="156" w:afterLines="50" w:line="440" w:lineRule="exact"/>
        <w:jc w:val="center"/>
        <w:rPr>
          <w:rFonts w:ascii="Times New Roman" w:hAnsi="Times New Roman" w:eastAsia="黑体"/>
          <w:color w:val="auto"/>
          <w:sz w:val="30"/>
          <w:szCs w:val="30"/>
          <w:highlight w:val="none"/>
        </w:rPr>
      </w:pPr>
      <w:r>
        <w:rPr>
          <w:rFonts w:ascii="Times New Roman" w:hAnsi="Times New Roman" w:eastAsia="仿宋_GB2312"/>
          <w:color w:val="auto"/>
          <w:sz w:val="30"/>
          <w:szCs w:val="30"/>
          <w:highlight w:val="none"/>
        </w:rPr>
        <w:br w:type="page"/>
      </w:r>
      <w:r>
        <w:rPr>
          <w:rFonts w:ascii="Times New Roman" w:hAnsi="Times New Roman" w:eastAsia="黑体"/>
          <w:color w:val="auto"/>
          <w:sz w:val="30"/>
          <w:szCs w:val="30"/>
          <w:highlight w:val="none"/>
        </w:rPr>
        <w:t>11-3：专业工程暂估价表</w:t>
      </w:r>
    </w:p>
    <w:tbl>
      <w:tblPr>
        <w:tblStyle w:val="2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5EADF4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noWrap w:val="0"/>
            <w:vAlign w:val="top"/>
          </w:tcPr>
          <w:p w14:paraId="0B0138EB">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序号</w:t>
            </w:r>
          </w:p>
        </w:tc>
        <w:tc>
          <w:tcPr>
            <w:tcW w:w="1984" w:type="dxa"/>
            <w:tcBorders>
              <w:top w:val="single" w:color="auto" w:sz="12" w:space="0"/>
              <w:bottom w:val="double" w:color="auto" w:sz="6" w:space="0"/>
            </w:tcBorders>
            <w:noWrap w:val="0"/>
            <w:vAlign w:val="top"/>
          </w:tcPr>
          <w:p w14:paraId="5DAAB243">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专业工程名称</w:t>
            </w:r>
          </w:p>
        </w:tc>
        <w:tc>
          <w:tcPr>
            <w:tcW w:w="4678" w:type="dxa"/>
            <w:tcBorders>
              <w:top w:val="single" w:color="auto" w:sz="12" w:space="0"/>
              <w:bottom w:val="double" w:color="auto" w:sz="6" w:space="0"/>
            </w:tcBorders>
            <w:noWrap w:val="0"/>
            <w:vAlign w:val="top"/>
          </w:tcPr>
          <w:p w14:paraId="576699AD">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工程内容</w:t>
            </w:r>
          </w:p>
        </w:tc>
        <w:tc>
          <w:tcPr>
            <w:tcW w:w="1276" w:type="dxa"/>
            <w:tcBorders>
              <w:top w:val="single" w:color="auto" w:sz="12" w:space="0"/>
              <w:bottom w:val="double" w:color="auto" w:sz="6" w:space="0"/>
            </w:tcBorders>
            <w:noWrap w:val="0"/>
            <w:vAlign w:val="top"/>
          </w:tcPr>
          <w:p w14:paraId="2619E53F">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金额</w:t>
            </w:r>
          </w:p>
        </w:tc>
      </w:tr>
      <w:tr w14:paraId="1721AA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noWrap w:val="0"/>
            <w:vAlign w:val="top"/>
          </w:tcPr>
          <w:p w14:paraId="372B4588">
            <w:pPr>
              <w:pStyle w:val="9"/>
              <w:keepNext/>
              <w:spacing w:after="0" w:line="440" w:lineRule="exact"/>
              <w:ind w:left="63" w:right="63"/>
              <w:rPr>
                <w:color w:val="auto"/>
                <w:kern w:val="2"/>
                <w:sz w:val="21"/>
                <w:szCs w:val="21"/>
                <w:highlight w:val="none"/>
                <w:lang w:val="en-US" w:eastAsia="zh-CN"/>
              </w:rPr>
            </w:pPr>
          </w:p>
        </w:tc>
        <w:tc>
          <w:tcPr>
            <w:tcW w:w="1984" w:type="dxa"/>
            <w:tcBorders>
              <w:top w:val="double" w:color="auto" w:sz="6" w:space="0"/>
              <w:bottom w:val="single" w:color="auto" w:sz="6" w:space="0"/>
            </w:tcBorders>
            <w:noWrap w:val="0"/>
            <w:vAlign w:val="top"/>
          </w:tcPr>
          <w:p w14:paraId="613121C8">
            <w:pPr>
              <w:pStyle w:val="9"/>
              <w:keepNext/>
              <w:spacing w:after="0" w:line="440" w:lineRule="exact"/>
              <w:ind w:left="63" w:right="63"/>
              <w:rPr>
                <w:color w:val="auto"/>
                <w:kern w:val="2"/>
                <w:sz w:val="21"/>
                <w:szCs w:val="21"/>
                <w:highlight w:val="none"/>
                <w:lang w:val="en-US" w:eastAsia="zh-CN"/>
              </w:rPr>
            </w:pPr>
          </w:p>
        </w:tc>
        <w:tc>
          <w:tcPr>
            <w:tcW w:w="4678" w:type="dxa"/>
            <w:tcBorders>
              <w:top w:val="double" w:color="auto" w:sz="6" w:space="0"/>
              <w:bottom w:val="single" w:color="auto" w:sz="6" w:space="0"/>
            </w:tcBorders>
            <w:noWrap w:val="0"/>
            <w:vAlign w:val="top"/>
          </w:tcPr>
          <w:p w14:paraId="78F33804">
            <w:pPr>
              <w:pStyle w:val="9"/>
              <w:keepNext/>
              <w:spacing w:after="0" w:line="440" w:lineRule="exact"/>
              <w:ind w:left="63" w:right="63"/>
              <w:rPr>
                <w:color w:val="auto"/>
                <w:kern w:val="2"/>
                <w:sz w:val="21"/>
                <w:szCs w:val="21"/>
                <w:highlight w:val="none"/>
                <w:lang w:val="en-US" w:eastAsia="zh-CN"/>
              </w:rPr>
            </w:pPr>
          </w:p>
        </w:tc>
        <w:tc>
          <w:tcPr>
            <w:tcW w:w="1276" w:type="dxa"/>
            <w:tcBorders>
              <w:top w:val="double" w:color="auto" w:sz="6" w:space="0"/>
              <w:bottom w:val="single" w:color="auto" w:sz="6" w:space="0"/>
            </w:tcBorders>
            <w:noWrap w:val="0"/>
            <w:vAlign w:val="top"/>
          </w:tcPr>
          <w:p w14:paraId="388EEFCB">
            <w:pPr>
              <w:pStyle w:val="9"/>
              <w:keepNext/>
              <w:spacing w:after="0" w:line="440" w:lineRule="exact"/>
              <w:ind w:left="63" w:right="63"/>
              <w:rPr>
                <w:color w:val="auto"/>
                <w:kern w:val="2"/>
                <w:sz w:val="21"/>
                <w:szCs w:val="21"/>
                <w:highlight w:val="none"/>
                <w:lang w:val="en-US" w:eastAsia="zh-CN"/>
              </w:rPr>
            </w:pPr>
          </w:p>
        </w:tc>
      </w:tr>
      <w:tr w14:paraId="7DF691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6E68A11E">
            <w:pPr>
              <w:pStyle w:val="9"/>
              <w:keepNext/>
              <w:spacing w:after="0" w:line="440" w:lineRule="exact"/>
              <w:ind w:left="63" w:right="63"/>
              <w:rPr>
                <w:color w:val="auto"/>
                <w:kern w:val="2"/>
                <w:sz w:val="21"/>
                <w:szCs w:val="21"/>
                <w:highlight w:val="none"/>
                <w:lang w:val="en-US" w:eastAsia="zh-CN"/>
              </w:rPr>
            </w:pPr>
          </w:p>
        </w:tc>
        <w:tc>
          <w:tcPr>
            <w:tcW w:w="1984" w:type="dxa"/>
            <w:tcBorders>
              <w:top w:val="nil"/>
            </w:tcBorders>
            <w:noWrap w:val="0"/>
            <w:vAlign w:val="top"/>
          </w:tcPr>
          <w:p w14:paraId="094B660A">
            <w:pPr>
              <w:pStyle w:val="9"/>
              <w:keepNext/>
              <w:spacing w:after="0" w:line="440" w:lineRule="exact"/>
              <w:ind w:left="63" w:right="63"/>
              <w:rPr>
                <w:color w:val="auto"/>
                <w:kern w:val="2"/>
                <w:sz w:val="21"/>
                <w:szCs w:val="21"/>
                <w:highlight w:val="none"/>
                <w:lang w:val="en-US" w:eastAsia="zh-CN"/>
              </w:rPr>
            </w:pPr>
          </w:p>
        </w:tc>
        <w:tc>
          <w:tcPr>
            <w:tcW w:w="4678" w:type="dxa"/>
            <w:tcBorders>
              <w:top w:val="nil"/>
            </w:tcBorders>
            <w:noWrap w:val="0"/>
            <w:vAlign w:val="top"/>
          </w:tcPr>
          <w:p w14:paraId="3F0AEE66">
            <w:pPr>
              <w:pStyle w:val="9"/>
              <w:keepNext/>
              <w:spacing w:after="0" w:line="440" w:lineRule="exact"/>
              <w:ind w:left="63" w:right="63"/>
              <w:rPr>
                <w:color w:val="auto"/>
                <w:kern w:val="2"/>
                <w:sz w:val="21"/>
                <w:szCs w:val="21"/>
                <w:highlight w:val="none"/>
                <w:lang w:val="en-US" w:eastAsia="zh-CN"/>
              </w:rPr>
            </w:pPr>
          </w:p>
        </w:tc>
        <w:tc>
          <w:tcPr>
            <w:tcW w:w="1276" w:type="dxa"/>
            <w:tcBorders>
              <w:top w:val="nil"/>
            </w:tcBorders>
            <w:noWrap w:val="0"/>
            <w:vAlign w:val="top"/>
          </w:tcPr>
          <w:p w14:paraId="1D69EF8B">
            <w:pPr>
              <w:pStyle w:val="9"/>
              <w:keepNext/>
              <w:spacing w:after="0" w:line="440" w:lineRule="exact"/>
              <w:ind w:left="63" w:right="63"/>
              <w:rPr>
                <w:color w:val="auto"/>
                <w:kern w:val="2"/>
                <w:sz w:val="21"/>
                <w:szCs w:val="21"/>
                <w:highlight w:val="none"/>
                <w:lang w:val="en-US" w:eastAsia="zh-CN"/>
              </w:rPr>
            </w:pPr>
          </w:p>
        </w:tc>
      </w:tr>
      <w:tr w14:paraId="691D99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29BA2D87">
            <w:pPr>
              <w:pStyle w:val="9"/>
              <w:keepNext/>
              <w:spacing w:after="0" w:line="440" w:lineRule="exact"/>
              <w:ind w:left="63" w:right="63"/>
              <w:rPr>
                <w:color w:val="auto"/>
                <w:kern w:val="2"/>
                <w:sz w:val="21"/>
                <w:szCs w:val="21"/>
                <w:highlight w:val="none"/>
                <w:lang w:val="en-US" w:eastAsia="zh-CN"/>
              </w:rPr>
            </w:pPr>
          </w:p>
        </w:tc>
        <w:tc>
          <w:tcPr>
            <w:tcW w:w="1984" w:type="dxa"/>
            <w:tcBorders>
              <w:top w:val="nil"/>
            </w:tcBorders>
            <w:noWrap w:val="0"/>
            <w:vAlign w:val="top"/>
          </w:tcPr>
          <w:p w14:paraId="27E9D107">
            <w:pPr>
              <w:pStyle w:val="9"/>
              <w:keepNext/>
              <w:spacing w:after="0" w:line="440" w:lineRule="exact"/>
              <w:ind w:left="63" w:right="63"/>
              <w:rPr>
                <w:color w:val="auto"/>
                <w:kern w:val="2"/>
                <w:sz w:val="21"/>
                <w:szCs w:val="21"/>
                <w:highlight w:val="none"/>
                <w:lang w:val="en-US" w:eastAsia="zh-CN"/>
              </w:rPr>
            </w:pPr>
          </w:p>
        </w:tc>
        <w:tc>
          <w:tcPr>
            <w:tcW w:w="4678" w:type="dxa"/>
            <w:tcBorders>
              <w:top w:val="nil"/>
            </w:tcBorders>
            <w:noWrap w:val="0"/>
            <w:vAlign w:val="top"/>
          </w:tcPr>
          <w:p w14:paraId="56C811EA">
            <w:pPr>
              <w:pStyle w:val="9"/>
              <w:keepNext/>
              <w:spacing w:after="0" w:line="440" w:lineRule="exact"/>
              <w:ind w:left="63" w:right="63"/>
              <w:rPr>
                <w:color w:val="auto"/>
                <w:kern w:val="2"/>
                <w:sz w:val="21"/>
                <w:szCs w:val="21"/>
                <w:highlight w:val="none"/>
                <w:lang w:val="en-US" w:eastAsia="zh-CN"/>
              </w:rPr>
            </w:pPr>
          </w:p>
        </w:tc>
        <w:tc>
          <w:tcPr>
            <w:tcW w:w="1276" w:type="dxa"/>
            <w:tcBorders>
              <w:top w:val="nil"/>
            </w:tcBorders>
            <w:noWrap w:val="0"/>
            <w:vAlign w:val="top"/>
          </w:tcPr>
          <w:p w14:paraId="4DE9FE8C">
            <w:pPr>
              <w:pStyle w:val="9"/>
              <w:keepNext/>
              <w:spacing w:after="0" w:line="440" w:lineRule="exact"/>
              <w:ind w:left="63" w:right="63"/>
              <w:rPr>
                <w:color w:val="auto"/>
                <w:kern w:val="2"/>
                <w:sz w:val="21"/>
                <w:szCs w:val="21"/>
                <w:highlight w:val="none"/>
                <w:lang w:val="en-US" w:eastAsia="zh-CN"/>
              </w:rPr>
            </w:pPr>
          </w:p>
        </w:tc>
      </w:tr>
      <w:tr w14:paraId="3CC7B1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2BB3DC6">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3EC18640">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66562098">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6A81B8E0">
            <w:pPr>
              <w:pStyle w:val="9"/>
              <w:keepNext/>
              <w:spacing w:after="0" w:line="440" w:lineRule="exact"/>
              <w:ind w:left="63" w:right="63"/>
              <w:rPr>
                <w:color w:val="auto"/>
                <w:kern w:val="2"/>
                <w:sz w:val="21"/>
                <w:szCs w:val="21"/>
                <w:highlight w:val="none"/>
                <w:lang w:val="en-US" w:eastAsia="zh-CN"/>
              </w:rPr>
            </w:pPr>
          </w:p>
        </w:tc>
      </w:tr>
      <w:tr w14:paraId="18DCA4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812A53D">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536ED44F">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43CF4268">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4E5F49A2">
            <w:pPr>
              <w:pStyle w:val="9"/>
              <w:keepNext/>
              <w:spacing w:after="0" w:line="440" w:lineRule="exact"/>
              <w:ind w:left="63" w:right="63"/>
              <w:rPr>
                <w:color w:val="auto"/>
                <w:kern w:val="2"/>
                <w:sz w:val="21"/>
                <w:szCs w:val="21"/>
                <w:highlight w:val="none"/>
                <w:lang w:val="en-US" w:eastAsia="zh-CN"/>
              </w:rPr>
            </w:pPr>
          </w:p>
        </w:tc>
      </w:tr>
      <w:tr w14:paraId="2B2858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5105931">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319AB0F2">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703A93A6">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6D40FF3C">
            <w:pPr>
              <w:pStyle w:val="9"/>
              <w:keepNext/>
              <w:spacing w:after="0" w:line="440" w:lineRule="exact"/>
              <w:ind w:left="63" w:right="63"/>
              <w:rPr>
                <w:color w:val="auto"/>
                <w:kern w:val="2"/>
                <w:sz w:val="21"/>
                <w:szCs w:val="21"/>
                <w:highlight w:val="none"/>
                <w:lang w:val="en-US" w:eastAsia="zh-CN"/>
              </w:rPr>
            </w:pPr>
          </w:p>
        </w:tc>
      </w:tr>
      <w:tr w14:paraId="4F8BEA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BC754D4">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4D256DE9">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7BC079BB">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3BEAD1CE">
            <w:pPr>
              <w:pStyle w:val="9"/>
              <w:keepNext/>
              <w:spacing w:after="0" w:line="440" w:lineRule="exact"/>
              <w:ind w:left="63" w:right="63"/>
              <w:rPr>
                <w:color w:val="auto"/>
                <w:kern w:val="2"/>
                <w:sz w:val="21"/>
                <w:szCs w:val="21"/>
                <w:highlight w:val="none"/>
                <w:lang w:val="en-US" w:eastAsia="zh-CN"/>
              </w:rPr>
            </w:pPr>
          </w:p>
        </w:tc>
      </w:tr>
      <w:tr w14:paraId="1A532F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A88692C">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08F0DBCC">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37B178B2">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5D303172">
            <w:pPr>
              <w:pStyle w:val="9"/>
              <w:keepNext/>
              <w:spacing w:after="0" w:line="440" w:lineRule="exact"/>
              <w:ind w:left="63" w:right="63"/>
              <w:rPr>
                <w:color w:val="auto"/>
                <w:kern w:val="2"/>
                <w:sz w:val="21"/>
                <w:szCs w:val="21"/>
                <w:highlight w:val="none"/>
                <w:lang w:val="en-US" w:eastAsia="zh-CN"/>
              </w:rPr>
            </w:pPr>
          </w:p>
        </w:tc>
      </w:tr>
      <w:tr w14:paraId="2AAB6A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428DDB7">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1DB35C27">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047247EA">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1896F4F4">
            <w:pPr>
              <w:pStyle w:val="9"/>
              <w:keepNext/>
              <w:spacing w:after="0" w:line="440" w:lineRule="exact"/>
              <w:ind w:left="63" w:right="63"/>
              <w:rPr>
                <w:color w:val="auto"/>
                <w:kern w:val="2"/>
                <w:sz w:val="21"/>
                <w:szCs w:val="21"/>
                <w:highlight w:val="none"/>
                <w:lang w:val="en-US" w:eastAsia="zh-CN"/>
              </w:rPr>
            </w:pPr>
          </w:p>
        </w:tc>
      </w:tr>
      <w:tr w14:paraId="3D4547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855B7BF">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41E7FD2D">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586E1B2E">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2BC7D8ED">
            <w:pPr>
              <w:pStyle w:val="9"/>
              <w:keepNext/>
              <w:spacing w:after="0" w:line="440" w:lineRule="exact"/>
              <w:ind w:left="63" w:right="63"/>
              <w:rPr>
                <w:color w:val="auto"/>
                <w:kern w:val="2"/>
                <w:sz w:val="21"/>
                <w:szCs w:val="21"/>
                <w:highlight w:val="none"/>
                <w:lang w:val="en-US" w:eastAsia="zh-CN"/>
              </w:rPr>
            </w:pPr>
          </w:p>
        </w:tc>
      </w:tr>
      <w:tr w14:paraId="419A5E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9D67E75">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400C2AD0">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22F44F57">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3F787A54">
            <w:pPr>
              <w:pStyle w:val="9"/>
              <w:keepNext/>
              <w:spacing w:after="0" w:line="440" w:lineRule="exact"/>
              <w:ind w:left="63" w:right="63"/>
              <w:rPr>
                <w:color w:val="auto"/>
                <w:kern w:val="2"/>
                <w:sz w:val="21"/>
                <w:szCs w:val="21"/>
                <w:highlight w:val="none"/>
                <w:lang w:val="en-US" w:eastAsia="zh-CN"/>
              </w:rPr>
            </w:pPr>
          </w:p>
        </w:tc>
      </w:tr>
      <w:tr w14:paraId="717AA5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CAEF7C7">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14D9304F">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1A852A0F">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2066D42A">
            <w:pPr>
              <w:pStyle w:val="9"/>
              <w:keepNext/>
              <w:spacing w:after="0" w:line="440" w:lineRule="exact"/>
              <w:ind w:left="63" w:right="63"/>
              <w:rPr>
                <w:color w:val="auto"/>
                <w:kern w:val="2"/>
                <w:sz w:val="21"/>
                <w:szCs w:val="21"/>
                <w:highlight w:val="none"/>
                <w:lang w:val="en-US" w:eastAsia="zh-CN"/>
              </w:rPr>
            </w:pPr>
          </w:p>
        </w:tc>
      </w:tr>
      <w:tr w14:paraId="5A250A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7F025EC">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345F3EEB">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713699FB">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38D50232">
            <w:pPr>
              <w:pStyle w:val="9"/>
              <w:keepNext/>
              <w:spacing w:after="0" w:line="440" w:lineRule="exact"/>
              <w:ind w:left="63" w:right="63"/>
              <w:rPr>
                <w:color w:val="auto"/>
                <w:kern w:val="2"/>
                <w:sz w:val="21"/>
                <w:szCs w:val="21"/>
                <w:highlight w:val="none"/>
                <w:lang w:val="en-US" w:eastAsia="zh-CN"/>
              </w:rPr>
            </w:pPr>
          </w:p>
        </w:tc>
      </w:tr>
      <w:tr w14:paraId="509788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BAEFC6C">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0342EB4F">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669ACB25">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155BD4BA">
            <w:pPr>
              <w:pStyle w:val="9"/>
              <w:keepNext/>
              <w:spacing w:after="0" w:line="440" w:lineRule="exact"/>
              <w:ind w:left="63" w:right="63"/>
              <w:rPr>
                <w:color w:val="auto"/>
                <w:kern w:val="2"/>
                <w:sz w:val="21"/>
                <w:szCs w:val="21"/>
                <w:highlight w:val="none"/>
                <w:lang w:val="en-US" w:eastAsia="zh-CN"/>
              </w:rPr>
            </w:pPr>
          </w:p>
        </w:tc>
      </w:tr>
      <w:tr w14:paraId="4F6AB8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3E27E61">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7E2E9187">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2CF914F2">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2DCE37C9">
            <w:pPr>
              <w:pStyle w:val="9"/>
              <w:keepNext/>
              <w:spacing w:after="0" w:line="440" w:lineRule="exact"/>
              <w:ind w:left="63" w:right="63"/>
              <w:rPr>
                <w:color w:val="auto"/>
                <w:kern w:val="2"/>
                <w:sz w:val="21"/>
                <w:szCs w:val="21"/>
                <w:highlight w:val="none"/>
                <w:lang w:val="en-US" w:eastAsia="zh-CN"/>
              </w:rPr>
            </w:pPr>
          </w:p>
        </w:tc>
      </w:tr>
      <w:tr w14:paraId="432C01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4A858AB">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55976DED">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4CFDECCD">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5B80E526">
            <w:pPr>
              <w:pStyle w:val="9"/>
              <w:keepNext/>
              <w:spacing w:after="0" w:line="440" w:lineRule="exact"/>
              <w:ind w:left="63" w:right="63"/>
              <w:rPr>
                <w:color w:val="auto"/>
                <w:kern w:val="2"/>
                <w:sz w:val="21"/>
                <w:szCs w:val="21"/>
                <w:highlight w:val="none"/>
                <w:lang w:val="en-US" w:eastAsia="zh-CN"/>
              </w:rPr>
            </w:pPr>
          </w:p>
        </w:tc>
      </w:tr>
      <w:tr w14:paraId="3D77C8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49EFAE3">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43510413">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338BF179">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67757BAB">
            <w:pPr>
              <w:pStyle w:val="9"/>
              <w:keepNext/>
              <w:spacing w:after="0" w:line="440" w:lineRule="exact"/>
              <w:ind w:left="63" w:right="63"/>
              <w:rPr>
                <w:color w:val="auto"/>
                <w:kern w:val="2"/>
                <w:sz w:val="21"/>
                <w:szCs w:val="21"/>
                <w:highlight w:val="none"/>
                <w:lang w:val="en-US" w:eastAsia="zh-CN"/>
              </w:rPr>
            </w:pPr>
          </w:p>
        </w:tc>
      </w:tr>
      <w:tr w14:paraId="5A66E6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37949D5">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02F2A92F">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0D049C76">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6080C288">
            <w:pPr>
              <w:pStyle w:val="9"/>
              <w:keepNext/>
              <w:spacing w:after="0" w:line="440" w:lineRule="exact"/>
              <w:ind w:left="63" w:right="63"/>
              <w:rPr>
                <w:color w:val="auto"/>
                <w:kern w:val="2"/>
                <w:sz w:val="21"/>
                <w:szCs w:val="21"/>
                <w:highlight w:val="none"/>
                <w:lang w:val="en-US" w:eastAsia="zh-CN"/>
              </w:rPr>
            </w:pPr>
          </w:p>
        </w:tc>
      </w:tr>
      <w:tr w14:paraId="2CBC4D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D6F6825">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4022BA66">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3C791C3A">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1DE0D112">
            <w:pPr>
              <w:pStyle w:val="9"/>
              <w:keepNext/>
              <w:spacing w:after="0" w:line="440" w:lineRule="exact"/>
              <w:ind w:left="63" w:right="63"/>
              <w:rPr>
                <w:color w:val="auto"/>
                <w:kern w:val="2"/>
                <w:sz w:val="21"/>
                <w:szCs w:val="21"/>
                <w:highlight w:val="none"/>
                <w:lang w:val="en-US" w:eastAsia="zh-CN"/>
              </w:rPr>
            </w:pPr>
          </w:p>
        </w:tc>
      </w:tr>
      <w:tr w14:paraId="7C23E5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3E52552">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169589C3">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30C5BB02">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0778FA29">
            <w:pPr>
              <w:pStyle w:val="9"/>
              <w:keepNext/>
              <w:spacing w:after="0" w:line="440" w:lineRule="exact"/>
              <w:ind w:left="63" w:right="63"/>
              <w:rPr>
                <w:color w:val="auto"/>
                <w:kern w:val="2"/>
                <w:sz w:val="21"/>
                <w:szCs w:val="21"/>
                <w:highlight w:val="none"/>
                <w:lang w:val="en-US" w:eastAsia="zh-CN"/>
              </w:rPr>
            </w:pPr>
          </w:p>
        </w:tc>
      </w:tr>
      <w:tr w14:paraId="1F8223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4ED7F76">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4BF1ED12">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567B1E6C">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582F3929">
            <w:pPr>
              <w:pStyle w:val="9"/>
              <w:keepNext/>
              <w:spacing w:after="0" w:line="440" w:lineRule="exact"/>
              <w:ind w:left="63" w:right="63"/>
              <w:rPr>
                <w:color w:val="auto"/>
                <w:kern w:val="2"/>
                <w:sz w:val="21"/>
                <w:szCs w:val="21"/>
                <w:highlight w:val="none"/>
                <w:lang w:val="en-US" w:eastAsia="zh-CN"/>
              </w:rPr>
            </w:pPr>
          </w:p>
        </w:tc>
      </w:tr>
      <w:tr w14:paraId="3E9B21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0B68EA1">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0C7C1268">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42898C24">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541A8F92">
            <w:pPr>
              <w:pStyle w:val="9"/>
              <w:keepNext/>
              <w:spacing w:after="0" w:line="440" w:lineRule="exact"/>
              <w:ind w:left="63" w:right="63"/>
              <w:rPr>
                <w:color w:val="auto"/>
                <w:kern w:val="2"/>
                <w:sz w:val="21"/>
                <w:szCs w:val="21"/>
                <w:highlight w:val="none"/>
                <w:lang w:val="en-US" w:eastAsia="zh-CN"/>
              </w:rPr>
            </w:pPr>
          </w:p>
        </w:tc>
      </w:tr>
      <w:tr w14:paraId="2AF083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253FD4E">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5B1CBD3E">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30F033CF">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57979D19">
            <w:pPr>
              <w:pStyle w:val="9"/>
              <w:keepNext/>
              <w:spacing w:after="0" w:line="440" w:lineRule="exact"/>
              <w:ind w:left="63" w:right="63"/>
              <w:rPr>
                <w:color w:val="auto"/>
                <w:kern w:val="2"/>
                <w:sz w:val="21"/>
                <w:szCs w:val="21"/>
                <w:highlight w:val="none"/>
                <w:lang w:val="en-US" w:eastAsia="zh-CN"/>
              </w:rPr>
            </w:pPr>
          </w:p>
        </w:tc>
      </w:tr>
      <w:tr w14:paraId="49210B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D4F4F52">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02B6BA6F">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7EF07234">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10A95797">
            <w:pPr>
              <w:pStyle w:val="9"/>
              <w:keepNext/>
              <w:spacing w:after="0" w:line="440" w:lineRule="exact"/>
              <w:ind w:left="63" w:right="63"/>
              <w:rPr>
                <w:color w:val="auto"/>
                <w:kern w:val="2"/>
                <w:sz w:val="21"/>
                <w:szCs w:val="21"/>
                <w:highlight w:val="none"/>
                <w:lang w:val="en-US" w:eastAsia="zh-CN"/>
              </w:rPr>
            </w:pPr>
          </w:p>
        </w:tc>
      </w:tr>
      <w:tr w14:paraId="274A79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5B82FCF">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71C94694">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6EE25F19">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2A7FAEA2">
            <w:pPr>
              <w:pStyle w:val="9"/>
              <w:keepNext/>
              <w:spacing w:after="0" w:line="440" w:lineRule="exact"/>
              <w:ind w:left="63" w:right="63"/>
              <w:rPr>
                <w:color w:val="auto"/>
                <w:kern w:val="2"/>
                <w:sz w:val="21"/>
                <w:szCs w:val="21"/>
                <w:highlight w:val="none"/>
                <w:lang w:val="en-US" w:eastAsia="zh-CN"/>
              </w:rPr>
            </w:pPr>
          </w:p>
        </w:tc>
      </w:tr>
      <w:tr w14:paraId="6D8870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0A2A0DD">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487AA91D">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06B9C730">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21E044F8">
            <w:pPr>
              <w:pStyle w:val="9"/>
              <w:keepNext/>
              <w:spacing w:after="0" w:line="440" w:lineRule="exact"/>
              <w:ind w:left="63" w:right="63"/>
              <w:rPr>
                <w:color w:val="auto"/>
                <w:kern w:val="2"/>
                <w:sz w:val="21"/>
                <w:szCs w:val="21"/>
                <w:highlight w:val="none"/>
                <w:lang w:val="en-US" w:eastAsia="zh-CN"/>
              </w:rPr>
            </w:pPr>
          </w:p>
        </w:tc>
      </w:tr>
      <w:tr w14:paraId="6670DF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noWrap w:val="0"/>
            <w:vAlign w:val="top"/>
          </w:tcPr>
          <w:p w14:paraId="0BC09B00">
            <w:pPr>
              <w:pStyle w:val="9"/>
              <w:keepNext/>
              <w:spacing w:after="0" w:line="440" w:lineRule="exact"/>
              <w:ind w:left="63" w:right="63"/>
              <w:rPr>
                <w:color w:val="auto"/>
                <w:kern w:val="2"/>
                <w:sz w:val="21"/>
                <w:szCs w:val="21"/>
                <w:highlight w:val="none"/>
                <w:lang w:val="en-US" w:eastAsia="zh-CN"/>
              </w:rPr>
            </w:pPr>
            <w:r>
              <w:rPr>
                <w:rFonts w:eastAsia="仿宋_GB2312"/>
                <w:color w:val="auto"/>
                <w:kern w:val="2"/>
                <w:sz w:val="28"/>
                <w:szCs w:val="30"/>
                <w:highlight w:val="none"/>
                <w:lang w:val="en-US" w:eastAsia="zh-CN"/>
              </w:rPr>
              <w:t>小计：</w:t>
            </w:r>
          </w:p>
        </w:tc>
      </w:tr>
    </w:tbl>
    <w:p w14:paraId="0578BB63">
      <w:pPr>
        <w:rPr>
          <w:rFonts w:ascii="Times New Roman" w:hAnsi="Times New Roman"/>
          <w:color w:val="auto"/>
          <w:highlight w:val="none"/>
        </w:rPr>
      </w:pPr>
    </w:p>
    <w:p w14:paraId="30FDD43C">
      <w:pPr>
        <w:keepNext w:val="0"/>
        <w:keepLines w:val="0"/>
        <w:pageBreakBefore w:val="0"/>
        <w:widowControl w:val="0"/>
        <w:kinsoku/>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rPr>
        <w:sectPr>
          <w:pgSz w:w="11906" w:h="16838"/>
          <w:pgMar w:top="1418" w:right="1555" w:bottom="1418" w:left="1531" w:header="851" w:footer="992" w:gutter="0"/>
          <w:pgNumType w:fmt="decimal"/>
          <w:cols w:space="720" w:num="1"/>
          <w:titlePg/>
          <w:docGrid w:type="lines" w:linePitch="312" w:charSpace="0"/>
        </w:sectPr>
      </w:pPr>
    </w:p>
    <w:p w14:paraId="1732C9AC">
      <w:pPr>
        <w:pStyle w:val="2"/>
        <w:spacing w:line="360" w:lineRule="auto"/>
        <w:jc w:val="center"/>
        <w:rPr>
          <w:rFonts w:eastAsia="黑体"/>
          <w:color w:val="auto"/>
          <w:sz w:val="32"/>
          <w:szCs w:val="32"/>
          <w:highlight w:val="none"/>
        </w:rPr>
      </w:pPr>
    </w:p>
    <w:p w14:paraId="41C8C395">
      <w:pPr>
        <w:pStyle w:val="2"/>
        <w:spacing w:line="360" w:lineRule="auto"/>
        <w:jc w:val="center"/>
        <w:rPr>
          <w:rFonts w:eastAsia="黑体"/>
          <w:color w:val="auto"/>
          <w:sz w:val="32"/>
          <w:szCs w:val="32"/>
          <w:highlight w:val="none"/>
        </w:rPr>
      </w:pPr>
    </w:p>
    <w:p w14:paraId="339B2FC4">
      <w:pPr>
        <w:pStyle w:val="2"/>
        <w:spacing w:line="360" w:lineRule="auto"/>
        <w:jc w:val="center"/>
        <w:rPr>
          <w:rFonts w:eastAsia="黑体"/>
          <w:color w:val="auto"/>
          <w:sz w:val="32"/>
          <w:szCs w:val="32"/>
          <w:highlight w:val="none"/>
        </w:rPr>
      </w:pPr>
    </w:p>
    <w:p w14:paraId="03A5AF6C">
      <w:pPr>
        <w:pStyle w:val="2"/>
        <w:spacing w:line="360" w:lineRule="auto"/>
        <w:jc w:val="center"/>
        <w:rPr>
          <w:rFonts w:eastAsia="黑体"/>
          <w:color w:val="auto"/>
          <w:sz w:val="32"/>
          <w:szCs w:val="32"/>
          <w:highlight w:val="none"/>
        </w:rPr>
      </w:pPr>
    </w:p>
    <w:p w14:paraId="708C8410">
      <w:pPr>
        <w:pStyle w:val="2"/>
        <w:spacing w:line="360" w:lineRule="auto"/>
        <w:jc w:val="center"/>
        <w:rPr>
          <w:rFonts w:eastAsia="黑体"/>
          <w:color w:val="auto"/>
          <w:sz w:val="52"/>
          <w:szCs w:val="52"/>
          <w:highlight w:val="none"/>
        </w:rPr>
      </w:pPr>
      <w:bookmarkStart w:id="1594" w:name="_Toc14590"/>
      <w:r>
        <w:rPr>
          <w:rFonts w:eastAsia="黑体"/>
          <w:color w:val="auto"/>
          <w:sz w:val="52"/>
          <w:szCs w:val="52"/>
          <w:highlight w:val="none"/>
        </w:rPr>
        <w:t>第五章  工程量清单</w:t>
      </w:r>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594"/>
    </w:p>
    <w:p w14:paraId="51DAA0C1">
      <w:pPr>
        <w:pStyle w:val="2"/>
        <w:spacing w:line="360" w:lineRule="auto"/>
        <w:jc w:val="center"/>
        <w:rPr>
          <w:color w:val="auto"/>
          <w:highlight w:val="none"/>
        </w:rPr>
      </w:pPr>
      <w:r>
        <w:rPr>
          <w:rFonts w:eastAsia="黑体"/>
          <w:color w:val="auto"/>
          <w:sz w:val="32"/>
          <w:szCs w:val="32"/>
          <w:highlight w:val="none"/>
        </w:rPr>
        <w:br w:type="page"/>
      </w:r>
    </w:p>
    <w:p w14:paraId="37AA200C">
      <w:pPr>
        <w:spacing w:line="360" w:lineRule="auto"/>
        <w:ind w:firstLine="480" w:firstLineChars="200"/>
        <w:outlineLvl w:val="3"/>
        <w:rPr>
          <w:rFonts w:hint="eastAsia" w:ascii="仿宋" w:hAnsi="仿宋" w:eastAsia="仿宋" w:cs="仿宋"/>
          <w:color w:val="auto"/>
          <w:sz w:val="24"/>
          <w:highlight w:val="none"/>
        </w:rPr>
      </w:pPr>
      <w:r>
        <w:rPr>
          <w:rFonts w:hint="eastAsia" w:ascii="仿宋" w:hAnsi="仿宋" w:eastAsia="仿宋" w:cs="仿宋"/>
          <w:color w:val="auto"/>
          <w:sz w:val="24"/>
          <w:highlight w:val="none"/>
        </w:rPr>
        <w:t>1. 工程量清单说明</w:t>
      </w:r>
    </w:p>
    <w:p w14:paraId="0D57046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 本工程量清单是依据《建设工程工程量清单计价标准》（GB/T 50500-2024）《房屋建筑与装饰工程工程量计算标准》（GB/T50854-2024）《通用安装工程工程量计算标准》（GB/T50856-2024）</w:t>
      </w:r>
      <w:bookmarkStart w:id="1595" w:name="OLE_LINK20"/>
      <w:bookmarkStart w:id="1596" w:name="OLE_LINK19"/>
      <w:r>
        <w:rPr>
          <w:rFonts w:hint="eastAsia" w:ascii="仿宋" w:hAnsi="仿宋" w:eastAsia="仿宋" w:cs="仿宋"/>
          <w:color w:val="auto"/>
          <w:sz w:val="24"/>
          <w:highlight w:val="none"/>
        </w:rPr>
        <w:t>等国家计价计算标准</w:t>
      </w:r>
      <w:bookmarkEnd w:id="1595"/>
      <w:bookmarkEnd w:id="1596"/>
      <w:r>
        <w:rPr>
          <w:rFonts w:hint="eastAsia" w:ascii="仿宋" w:hAnsi="仿宋" w:eastAsia="仿宋" w:cs="仿宋"/>
          <w:color w:val="auto"/>
          <w:sz w:val="24"/>
          <w:highlight w:val="none"/>
        </w:rPr>
        <w:t>（以下简称“国家计价计算标准”）以及招标文件中包括的图纸等编制。国家计价计算标准中规定的工程量计算规则中没有的项目，应在本章第1.4款约定；国家计价计算标准中规定的工程量计算规则中没有且本章第1.4款也未约定的，双方协商确定。</w:t>
      </w:r>
    </w:p>
    <w:p w14:paraId="5D5A409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 本工程量清单应与招标文件中的投标人须知、通用合同条款、专用合同条款、技术标准和要求及图纸等章节内容一起阅读和理解。</w:t>
      </w:r>
    </w:p>
    <w:p w14:paraId="0EA7A17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1.3 本工程量清单仅是投标报价的共同基础，竣工结算的工程量按合同约定确定。合同价格的确定以及价款支付应遵循合同条款（包括通用合同条款和专用合同条款）、技术标准和要求以及本章的有关约定。</w:t>
      </w:r>
    </w:p>
    <w:p w14:paraId="3774D0E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 补充项目的项目特征、计量单位、工程量计算规则及工作内容说明如下：</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w:t>
      </w:r>
    </w:p>
    <w:p w14:paraId="15804A0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1.5 本条第1.1款中约定的计量和计价规则适用于合同履约过程中工程量计量与价款支付、工程变更、索赔和工程结算。</w:t>
      </w:r>
    </w:p>
    <w:p w14:paraId="77C36F2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1.6 本条与下述第2条和第3条的说明内容是构成合同文件的已标价工程量清单的组成部分。</w:t>
      </w:r>
    </w:p>
    <w:p w14:paraId="43F87735">
      <w:pPr>
        <w:spacing w:line="360" w:lineRule="auto"/>
        <w:ind w:firstLine="480" w:firstLineChars="200"/>
        <w:outlineLvl w:val="3"/>
        <w:rPr>
          <w:rFonts w:hint="eastAsia" w:ascii="仿宋" w:hAnsi="仿宋" w:eastAsia="仿宋" w:cs="仿宋"/>
          <w:color w:val="auto"/>
          <w:sz w:val="24"/>
          <w:highlight w:val="none"/>
        </w:rPr>
      </w:pPr>
      <w:r>
        <w:rPr>
          <w:rFonts w:hint="eastAsia" w:ascii="仿宋" w:hAnsi="仿宋" w:eastAsia="仿宋" w:cs="仿宋"/>
          <w:color w:val="auto"/>
          <w:sz w:val="24"/>
          <w:highlight w:val="none"/>
        </w:rPr>
        <w:t>2. 投标报价说明</w:t>
      </w:r>
    </w:p>
    <w:p w14:paraId="2013F334">
      <w:pPr>
        <w:spacing w:line="360" w:lineRule="auto"/>
        <w:ind w:firstLine="480" w:firstLineChars="200"/>
        <w:outlineLvl w:val="4"/>
        <w:rPr>
          <w:rFonts w:hint="eastAsia" w:ascii="仿宋" w:hAnsi="仿宋" w:eastAsia="仿宋" w:cs="仿宋"/>
          <w:color w:val="auto"/>
          <w:sz w:val="24"/>
          <w:highlight w:val="none"/>
        </w:rPr>
      </w:pPr>
      <w:r>
        <w:rPr>
          <w:rFonts w:hint="eastAsia" w:ascii="仿宋" w:hAnsi="仿宋" w:eastAsia="仿宋" w:cs="仿宋"/>
          <w:color w:val="auto"/>
          <w:sz w:val="24"/>
          <w:highlight w:val="none"/>
        </w:rPr>
        <w:t>2.1  投标报价应根据招标文件中的有关计价要求自主报价，并符合下列规定：</w:t>
      </w:r>
    </w:p>
    <w:p w14:paraId="6E4E6C0A">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国家计价计算标准和相关工程国家及行业工程量计算标准；</w:t>
      </w:r>
    </w:p>
    <w:p w14:paraId="7C4DF562">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招标文件(包括招标工程量清单、合同条款、招标图纸、技术标准规范等)及其补遗、答疑、异议澄清或修正；</w:t>
      </w:r>
    </w:p>
    <w:p w14:paraId="203E3ADE">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国家及省级、行业建设主管部门颁发的工程计量与计价相关规定，以及根据工程需要补充的工程量计算规则；</w:t>
      </w:r>
    </w:p>
    <w:p w14:paraId="67FCA6D5">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与招标工程相关的技术标准规范等技术资料；</w:t>
      </w:r>
    </w:p>
    <w:p w14:paraId="1A4563A1">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工程特点及交付标准、地勘水文资料、现场踏勘情况；</w:t>
      </w:r>
    </w:p>
    <w:p w14:paraId="0749A38B">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投标人的工程实施方案及投标工期；</w:t>
      </w:r>
    </w:p>
    <w:p w14:paraId="726F7825">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投标人企业定额、工程造价数据、市场价格信息及价格变动预期、装备及管理水平、造价资讯等；</w:t>
      </w:r>
    </w:p>
    <w:p w14:paraId="01704398">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其他相关资料。</w:t>
      </w:r>
    </w:p>
    <w:p w14:paraId="12109252">
      <w:pPr>
        <w:spacing w:line="360" w:lineRule="auto"/>
        <w:ind w:firstLine="480" w:firstLineChars="200"/>
        <w:outlineLvl w:val="4"/>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2.2 有关投标报价的其他说明：</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w:t>
      </w:r>
    </w:p>
    <w:p w14:paraId="3F259886">
      <w:pPr>
        <w:spacing w:line="360" w:lineRule="auto"/>
        <w:ind w:firstLine="480" w:firstLineChars="200"/>
        <w:outlineLvl w:val="3"/>
        <w:rPr>
          <w:rFonts w:hint="eastAsia" w:ascii="仿宋" w:hAnsi="仿宋" w:eastAsia="仿宋" w:cs="仿宋"/>
          <w:color w:val="auto"/>
          <w:sz w:val="24"/>
          <w:highlight w:val="none"/>
        </w:rPr>
      </w:pPr>
      <w:r>
        <w:rPr>
          <w:rFonts w:hint="eastAsia" w:ascii="仿宋" w:hAnsi="仿宋" w:eastAsia="仿宋" w:cs="仿宋"/>
          <w:color w:val="auto"/>
          <w:sz w:val="24"/>
          <w:highlight w:val="none"/>
        </w:rPr>
        <w:t>3. 其他说明</w:t>
      </w:r>
    </w:p>
    <w:p w14:paraId="466FC024">
      <w:pPr>
        <w:wordWrap w:val="0"/>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 其他补充说明 ：</w:t>
      </w:r>
      <w:r>
        <w:rPr>
          <w:rFonts w:hint="eastAsia" w:ascii="仿宋" w:hAnsi="仿宋" w:eastAsia="仿宋" w:cs="仿宋"/>
          <w:color w:val="auto"/>
          <w:sz w:val="24"/>
          <w:highlight w:val="none"/>
          <w:u w:val="single"/>
        </w:rPr>
        <w:t>工程量清单请见附件</w:t>
      </w:r>
      <w:r>
        <w:rPr>
          <w:rFonts w:hint="eastAsia" w:ascii="仿宋" w:hAnsi="仿宋" w:eastAsia="仿宋" w:cs="仿宋"/>
          <w:color w:val="auto"/>
          <w:sz w:val="24"/>
          <w:highlight w:val="none"/>
        </w:rPr>
        <w:t>。</w:t>
      </w:r>
    </w:p>
    <w:p w14:paraId="5D618F7B">
      <w:pPr>
        <w:wordWrap w:val="0"/>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3.2 设备采购清单：</w:t>
      </w:r>
    </w:p>
    <w:p w14:paraId="3522CDC2">
      <w:pPr>
        <w:rPr>
          <w:rFonts w:hint="eastAsia" w:ascii="等线" w:hAnsi="等线" w:eastAsia="等线" w:cs="等线"/>
          <w:b/>
          <w:bCs/>
          <w:color w:val="auto"/>
          <w:kern w:val="0"/>
          <w:sz w:val="28"/>
          <w:szCs w:val="28"/>
          <w:highlight w:val="none"/>
          <w:lang w:val="en-US" w:eastAsia="zh-CN" w:bidi="ar"/>
        </w:rPr>
      </w:pPr>
      <w:r>
        <w:rPr>
          <w:rFonts w:hint="eastAsia" w:ascii="方正小标宋简体" w:hAnsi="方正小标宋简体" w:eastAsia="方正小标宋简体"/>
          <w:color w:val="auto"/>
          <w:sz w:val="36"/>
          <w:szCs w:val="36"/>
          <w:highlight w:val="none"/>
          <w:u w:val="none"/>
          <w:lang w:eastAsia="zh-CN"/>
        </w:rPr>
        <w:br w:type="page"/>
      </w:r>
    </w:p>
    <w:p w14:paraId="392A9404">
      <w:pPr>
        <w:rPr>
          <w:rFonts w:hint="eastAsia" w:ascii="等线" w:hAnsi="等线" w:eastAsia="等线" w:cs="等线"/>
          <w:b/>
          <w:bCs/>
          <w:color w:val="auto"/>
          <w:kern w:val="0"/>
          <w:sz w:val="28"/>
          <w:szCs w:val="28"/>
          <w:highlight w:val="none"/>
          <w:lang w:val="en-US" w:eastAsia="zh-CN" w:bidi="ar"/>
        </w:rPr>
      </w:pPr>
      <w:r>
        <w:rPr>
          <w:rFonts w:hint="eastAsia" w:ascii="等线" w:hAnsi="等线" w:eastAsia="等线" w:cs="等线"/>
          <w:b/>
          <w:bCs/>
          <w:color w:val="auto"/>
          <w:kern w:val="0"/>
          <w:sz w:val="28"/>
          <w:szCs w:val="28"/>
          <w:highlight w:val="none"/>
          <w:lang w:val="en-US" w:eastAsia="zh-CN" w:bidi="ar"/>
        </w:rPr>
        <w:drawing>
          <wp:inline distT="0" distB="0" distL="114300" distR="114300">
            <wp:extent cx="5920740" cy="8380730"/>
            <wp:effectExtent l="0" t="0" r="3810" b="1270"/>
            <wp:docPr id="11" name="图片 11" descr="驻马店中医院病房改造及能力提升项目采购设备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驻马店中医院病房改造及能力提升项目采购设备清单_01"/>
                    <pic:cNvPicPr>
                      <a:picLocks noChangeAspect="1"/>
                    </pic:cNvPicPr>
                  </pic:nvPicPr>
                  <pic:blipFill>
                    <a:blip r:embed="rId17"/>
                    <a:stretch>
                      <a:fillRect/>
                    </a:stretch>
                  </pic:blipFill>
                  <pic:spPr>
                    <a:xfrm>
                      <a:off x="0" y="0"/>
                      <a:ext cx="5920740" cy="8380730"/>
                    </a:xfrm>
                    <a:prstGeom prst="rect">
                      <a:avLst/>
                    </a:prstGeom>
                  </pic:spPr>
                </pic:pic>
              </a:graphicData>
            </a:graphic>
          </wp:inline>
        </w:drawing>
      </w:r>
      <w:r>
        <w:rPr>
          <w:rFonts w:hint="eastAsia" w:ascii="等线" w:hAnsi="等线" w:eastAsia="等线" w:cs="等线"/>
          <w:b/>
          <w:bCs/>
          <w:color w:val="auto"/>
          <w:kern w:val="0"/>
          <w:sz w:val="28"/>
          <w:szCs w:val="28"/>
          <w:highlight w:val="none"/>
          <w:lang w:val="en-US" w:eastAsia="zh-CN" w:bidi="ar"/>
        </w:rPr>
        <w:drawing>
          <wp:inline distT="0" distB="0" distL="114300" distR="114300">
            <wp:extent cx="6021705" cy="8523605"/>
            <wp:effectExtent l="0" t="0" r="17145" b="10795"/>
            <wp:docPr id="12" name="图片 12" descr="驻马店中医院病房改造及能力提升项目采购设备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驻马店中医院病房改造及能力提升项目采购设备清单_02"/>
                    <pic:cNvPicPr>
                      <a:picLocks noChangeAspect="1"/>
                    </pic:cNvPicPr>
                  </pic:nvPicPr>
                  <pic:blipFill>
                    <a:blip r:embed="rId18"/>
                    <a:stretch>
                      <a:fillRect/>
                    </a:stretch>
                  </pic:blipFill>
                  <pic:spPr>
                    <a:xfrm>
                      <a:off x="0" y="0"/>
                      <a:ext cx="6021705" cy="8523605"/>
                    </a:xfrm>
                    <a:prstGeom prst="rect">
                      <a:avLst/>
                    </a:prstGeom>
                  </pic:spPr>
                </pic:pic>
              </a:graphicData>
            </a:graphic>
          </wp:inline>
        </w:drawing>
      </w:r>
    </w:p>
    <w:p w14:paraId="53D57FC6">
      <w:pPr>
        <w:rPr>
          <w:rFonts w:hint="eastAsia" w:ascii="等线" w:hAnsi="等线" w:eastAsia="等线" w:cs="等线"/>
          <w:b/>
          <w:bCs/>
          <w:color w:val="auto"/>
          <w:kern w:val="0"/>
          <w:sz w:val="28"/>
          <w:szCs w:val="28"/>
          <w:highlight w:val="none"/>
          <w:lang w:val="en-US" w:eastAsia="zh-CN" w:bidi="ar"/>
        </w:rPr>
      </w:pPr>
      <w:r>
        <w:rPr>
          <w:rFonts w:hint="eastAsia" w:ascii="等线" w:hAnsi="等线" w:eastAsia="等线" w:cs="等线"/>
          <w:b/>
          <w:bCs/>
          <w:color w:val="auto"/>
          <w:kern w:val="0"/>
          <w:sz w:val="28"/>
          <w:szCs w:val="28"/>
          <w:highlight w:val="none"/>
          <w:lang w:val="en-US" w:eastAsia="zh-CN" w:bidi="ar"/>
        </w:rPr>
        <w:drawing>
          <wp:inline distT="0" distB="0" distL="114300" distR="114300">
            <wp:extent cx="6033135" cy="8539480"/>
            <wp:effectExtent l="0" t="0" r="5715" b="13970"/>
            <wp:docPr id="13" name="图片 13" descr="驻马店中医院病房改造及能力提升项目采购设备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驻马店中医院病房改造及能力提升项目采购设备清单_03"/>
                    <pic:cNvPicPr>
                      <a:picLocks noChangeAspect="1"/>
                    </pic:cNvPicPr>
                  </pic:nvPicPr>
                  <pic:blipFill>
                    <a:blip r:embed="rId19"/>
                    <a:stretch>
                      <a:fillRect/>
                    </a:stretch>
                  </pic:blipFill>
                  <pic:spPr>
                    <a:xfrm>
                      <a:off x="0" y="0"/>
                      <a:ext cx="6033135" cy="8539480"/>
                    </a:xfrm>
                    <a:prstGeom prst="rect">
                      <a:avLst/>
                    </a:prstGeom>
                  </pic:spPr>
                </pic:pic>
              </a:graphicData>
            </a:graphic>
          </wp:inline>
        </w:drawing>
      </w:r>
      <w:r>
        <w:rPr>
          <w:rFonts w:hint="eastAsia" w:ascii="等线" w:hAnsi="等线" w:eastAsia="等线" w:cs="等线"/>
          <w:b/>
          <w:bCs/>
          <w:color w:val="auto"/>
          <w:kern w:val="0"/>
          <w:sz w:val="28"/>
          <w:szCs w:val="28"/>
          <w:highlight w:val="none"/>
          <w:lang w:val="en-US" w:eastAsia="zh-CN" w:bidi="ar"/>
        </w:rPr>
        <w:drawing>
          <wp:inline distT="0" distB="0" distL="114300" distR="114300">
            <wp:extent cx="5954395" cy="8428355"/>
            <wp:effectExtent l="0" t="0" r="8255" b="10795"/>
            <wp:docPr id="14" name="图片 14" descr="驻马店中医院病房改造及能力提升项目采购设备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驻马店中医院病房改造及能力提升项目采购设备清单_04"/>
                    <pic:cNvPicPr>
                      <a:picLocks noChangeAspect="1"/>
                    </pic:cNvPicPr>
                  </pic:nvPicPr>
                  <pic:blipFill>
                    <a:blip r:embed="rId20"/>
                    <a:stretch>
                      <a:fillRect/>
                    </a:stretch>
                  </pic:blipFill>
                  <pic:spPr>
                    <a:xfrm>
                      <a:off x="0" y="0"/>
                      <a:ext cx="5954395" cy="8428355"/>
                    </a:xfrm>
                    <a:prstGeom prst="rect">
                      <a:avLst/>
                    </a:prstGeom>
                  </pic:spPr>
                </pic:pic>
              </a:graphicData>
            </a:graphic>
          </wp:inline>
        </w:drawing>
      </w:r>
      <w:r>
        <w:rPr>
          <w:rFonts w:hint="eastAsia" w:ascii="等线" w:hAnsi="等线" w:eastAsia="等线" w:cs="等线"/>
          <w:b/>
          <w:bCs/>
          <w:color w:val="auto"/>
          <w:kern w:val="0"/>
          <w:sz w:val="28"/>
          <w:szCs w:val="28"/>
          <w:highlight w:val="none"/>
          <w:lang w:val="en-US" w:eastAsia="zh-CN" w:bidi="ar"/>
        </w:rPr>
        <w:drawing>
          <wp:inline distT="0" distB="0" distL="114300" distR="114300">
            <wp:extent cx="5977255" cy="8460105"/>
            <wp:effectExtent l="0" t="0" r="4445" b="17145"/>
            <wp:docPr id="15" name="图片 15" descr="驻马店中医院病房改造及能力提升项目采购设备清单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驻马店中医院病房改造及能力提升项目采购设备清单_05"/>
                    <pic:cNvPicPr>
                      <a:picLocks noChangeAspect="1"/>
                    </pic:cNvPicPr>
                  </pic:nvPicPr>
                  <pic:blipFill>
                    <a:blip r:embed="rId21"/>
                    <a:stretch>
                      <a:fillRect/>
                    </a:stretch>
                  </pic:blipFill>
                  <pic:spPr>
                    <a:xfrm>
                      <a:off x="0" y="0"/>
                      <a:ext cx="5977255" cy="8460105"/>
                    </a:xfrm>
                    <a:prstGeom prst="rect">
                      <a:avLst/>
                    </a:prstGeom>
                  </pic:spPr>
                </pic:pic>
              </a:graphicData>
            </a:graphic>
          </wp:inline>
        </w:drawing>
      </w:r>
    </w:p>
    <w:p w14:paraId="1E824386">
      <w:pPr>
        <w:pStyle w:val="25"/>
        <w:rPr>
          <w:rFonts w:hint="eastAsia"/>
          <w:color w:val="auto"/>
          <w:highlight w:val="none"/>
          <w:lang w:val="en-US" w:eastAsia="zh-CN"/>
        </w:rPr>
      </w:pPr>
    </w:p>
    <w:p w14:paraId="1AEDE33B">
      <w:pPr>
        <w:pStyle w:val="2"/>
        <w:spacing w:before="0" w:after="0" w:line="240" w:lineRule="auto"/>
        <w:rPr>
          <w:rFonts w:hint="eastAsia"/>
          <w:color w:val="auto"/>
          <w:sz w:val="32"/>
          <w:szCs w:val="32"/>
          <w:highlight w:val="none"/>
        </w:rPr>
      </w:pPr>
      <w:bookmarkStart w:id="1597" w:name="_Toc804"/>
    </w:p>
    <w:p w14:paraId="5A6BEAAC">
      <w:pPr>
        <w:rPr>
          <w:rFonts w:hint="eastAsia"/>
          <w:color w:val="auto"/>
          <w:sz w:val="32"/>
          <w:szCs w:val="32"/>
          <w:highlight w:val="none"/>
        </w:rPr>
      </w:pPr>
    </w:p>
    <w:p w14:paraId="1EE0794C">
      <w:pPr>
        <w:rPr>
          <w:rFonts w:hint="eastAsia"/>
          <w:color w:val="auto"/>
          <w:sz w:val="32"/>
          <w:szCs w:val="32"/>
          <w:highlight w:val="none"/>
        </w:rPr>
      </w:pPr>
    </w:p>
    <w:p w14:paraId="737E4379">
      <w:pPr>
        <w:pStyle w:val="27"/>
        <w:spacing w:after="0" w:line="240" w:lineRule="auto"/>
        <w:ind w:left="0" w:leftChars="0" w:firstLine="0" w:firstLineChars="0"/>
        <w:rPr>
          <w:rFonts w:hint="eastAsia" w:eastAsia="宋体"/>
          <w:color w:val="auto"/>
          <w:highlight w:val="none"/>
          <w:lang w:eastAsia="zh-CN"/>
        </w:rPr>
      </w:pPr>
      <w:r>
        <w:rPr>
          <w:rFonts w:hint="eastAsia" w:eastAsia="宋体"/>
          <w:color w:val="auto"/>
          <w:highlight w:val="none"/>
          <w:lang w:eastAsia="zh-CN"/>
        </w:rPr>
        <w:drawing>
          <wp:inline distT="0" distB="0" distL="114300" distR="114300">
            <wp:extent cx="5742305" cy="8127365"/>
            <wp:effectExtent l="0" t="0" r="10795" b="6985"/>
            <wp:docPr id="10" name="图片 10" descr="驻马店中医院病房改造及能力提升项目采购设备清单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驻马店中医院病房改造及能力提升项目采购设备清单_14"/>
                    <pic:cNvPicPr>
                      <a:picLocks noChangeAspect="1"/>
                    </pic:cNvPicPr>
                  </pic:nvPicPr>
                  <pic:blipFill>
                    <a:blip r:embed="rId22"/>
                    <a:stretch>
                      <a:fillRect/>
                    </a:stretch>
                  </pic:blipFill>
                  <pic:spPr>
                    <a:xfrm>
                      <a:off x="0" y="0"/>
                      <a:ext cx="5742305" cy="8127365"/>
                    </a:xfrm>
                    <a:prstGeom prst="rect">
                      <a:avLst/>
                    </a:prstGeom>
                  </pic:spPr>
                </pic:pic>
              </a:graphicData>
            </a:graphic>
          </wp:inline>
        </w:drawing>
      </w:r>
    </w:p>
    <w:bookmarkEnd w:id="1597"/>
    <w:p w14:paraId="47B80431">
      <w:pPr>
        <w:spacing w:before="88" w:line="218" w:lineRule="auto"/>
        <w:rPr>
          <w:rFonts w:hint="eastAsia" w:ascii="宋体" w:hAnsi="宋体" w:eastAsia="宋体" w:cs="宋体"/>
          <w:color w:val="auto"/>
          <w:spacing w:val="2"/>
          <w:sz w:val="27"/>
          <w:szCs w:val="27"/>
          <w:highlight w:val="none"/>
          <w:lang w:val="en-US" w:eastAsia="zh-CN"/>
        </w:rPr>
      </w:pPr>
      <w:bookmarkStart w:id="1598" w:name="_Toc12919"/>
      <w:bookmarkStart w:id="1599" w:name="_Toc9973"/>
      <w:bookmarkStart w:id="1600" w:name="_Toc26990"/>
      <w:bookmarkStart w:id="1601" w:name="_Toc28594"/>
      <w:bookmarkStart w:id="1602" w:name="_Toc24692"/>
      <w:bookmarkStart w:id="1603" w:name="_Toc29026"/>
      <w:bookmarkStart w:id="1604" w:name="_Toc17399"/>
      <w:bookmarkStart w:id="1605" w:name="_Toc10131"/>
      <w:bookmarkStart w:id="1606" w:name="_Toc31898"/>
      <w:bookmarkStart w:id="1607" w:name="_Toc15669"/>
      <w:bookmarkStart w:id="1608" w:name="_Toc16106"/>
      <w:bookmarkStart w:id="1609" w:name="_Toc20661"/>
      <w:bookmarkStart w:id="1610" w:name="_Toc13401"/>
      <w:bookmarkStart w:id="1611" w:name="_Toc31936"/>
      <w:bookmarkStart w:id="1612" w:name="_Toc2572"/>
      <w:bookmarkStart w:id="1613" w:name="_Toc28692"/>
    </w:p>
    <w:p w14:paraId="4C5F5834">
      <w:pPr>
        <w:spacing w:before="88" w:line="218" w:lineRule="auto"/>
        <w:rPr>
          <w:rFonts w:hint="eastAsia" w:ascii="宋体" w:hAnsi="宋体" w:eastAsia="宋体" w:cs="宋体"/>
          <w:color w:val="auto"/>
          <w:spacing w:val="2"/>
          <w:sz w:val="27"/>
          <w:szCs w:val="27"/>
          <w:highlight w:val="none"/>
          <w:lang w:val="en-US" w:eastAsia="zh-CN"/>
        </w:rPr>
      </w:pPr>
    </w:p>
    <w:p w14:paraId="0BAE8E22">
      <w:pPr>
        <w:spacing w:before="88" w:line="218" w:lineRule="auto"/>
        <w:rPr>
          <w:rFonts w:ascii="宋体" w:hAnsi="宋体" w:eastAsia="宋体" w:cs="宋体"/>
          <w:color w:val="auto"/>
          <w:sz w:val="27"/>
          <w:szCs w:val="27"/>
          <w:highlight w:val="none"/>
        </w:rPr>
      </w:pPr>
      <w:r>
        <w:rPr>
          <w:rFonts w:hint="eastAsia" w:ascii="宋体" w:hAnsi="宋体" w:eastAsia="宋体" w:cs="宋体"/>
          <w:color w:val="auto"/>
          <w:spacing w:val="2"/>
          <w:sz w:val="27"/>
          <w:szCs w:val="27"/>
          <w:highlight w:val="none"/>
          <w:lang w:val="en-US" w:eastAsia="zh-CN"/>
        </w:rPr>
        <w:t>3.3</w:t>
      </w:r>
      <w:r>
        <w:rPr>
          <w:rFonts w:ascii="宋体" w:hAnsi="宋体" w:eastAsia="宋体" w:cs="宋体"/>
          <w:color w:val="auto"/>
          <w:spacing w:val="2"/>
          <w:sz w:val="27"/>
          <w:szCs w:val="27"/>
          <w:highlight w:val="none"/>
        </w:rPr>
        <w:t>材料暂估价表</w:t>
      </w:r>
    </w:p>
    <w:p w14:paraId="1897BD0C">
      <w:pPr>
        <w:spacing w:line="37" w:lineRule="exact"/>
        <w:rPr>
          <w:color w:val="auto"/>
          <w:highlight w:val="none"/>
        </w:rPr>
      </w:pPr>
    </w:p>
    <w:tbl>
      <w:tblPr>
        <w:tblStyle w:val="84"/>
        <w:tblW w:w="88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4"/>
        <w:gridCol w:w="90"/>
        <w:gridCol w:w="2837"/>
        <w:gridCol w:w="2417"/>
        <w:gridCol w:w="939"/>
        <w:gridCol w:w="1793"/>
      </w:tblGrid>
      <w:tr w14:paraId="67AAF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814" w:type="dxa"/>
            <w:gridSpan w:val="2"/>
            <w:vAlign w:val="top"/>
          </w:tcPr>
          <w:p w14:paraId="145574D3">
            <w:pPr>
              <w:pStyle w:val="81"/>
              <w:spacing w:before="168" w:line="221" w:lineRule="auto"/>
              <w:ind w:left="11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8"/>
                <w:sz w:val="21"/>
                <w:szCs w:val="21"/>
                <w:highlight w:val="none"/>
              </w:rPr>
              <w:t>序号</w:t>
            </w:r>
          </w:p>
        </w:tc>
        <w:tc>
          <w:tcPr>
            <w:tcW w:w="2837" w:type="dxa"/>
            <w:vAlign w:val="top"/>
          </w:tcPr>
          <w:p w14:paraId="35044DB9">
            <w:pPr>
              <w:pStyle w:val="81"/>
              <w:spacing w:before="206" w:line="221" w:lineRule="auto"/>
              <w:ind w:left="123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名称</w:t>
            </w:r>
          </w:p>
        </w:tc>
        <w:tc>
          <w:tcPr>
            <w:tcW w:w="2417" w:type="dxa"/>
            <w:vAlign w:val="top"/>
          </w:tcPr>
          <w:p w14:paraId="66AD68FB">
            <w:pPr>
              <w:pStyle w:val="81"/>
              <w:spacing w:before="203" w:line="219" w:lineRule="auto"/>
              <w:ind w:left="78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规格型号</w:t>
            </w:r>
          </w:p>
        </w:tc>
        <w:tc>
          <w:tcPr>
            <w:tcW w:w="939" w:type="dxa"/>
            <w:vAlign w:val="top"/>
          </w:tcPr>
          <w:p w14:paraId="5527937C">
            <w:pPr>
              <w:pStyle w:val="81"/>
              <w:spacing w:before="167" w:line="220" w:lineRule="auto"/>
              <w:ind w:left="18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单位</w:t>
            </w:r>
          </w:p>
        </w:tc>
        <w:tc>
          <w:tcPr>
            <w:tcW w:w="1793" w:type="dxa"/>
            <w:vAlign w:val="top"/>
          </w:tcPr>
          <w:p w14:paraId="2DB92C57">
            <w:pPr>
              <w:pStyle w:val="81"/>
              <w:spacing w:before="201" w:line="218" w:lineRule="auto"/>
              <w:ind w:left="4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材料暂估单价(元)</w:t>
            </w:r>
          </w:p>
        </w:tc>
      </w:tr>
      <w:tr w14:paraId="05623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57053791">
            <w:pPr>
              <w:pStyle w:val="81"/>
              <w:spacing w:before="100" w:line="227" w:lineRule="auto"/>
              <w:ind w:left="3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2837" w:type="dxa"/>
            <w:vAlign w:val="top"/>
          </w:tcPr>
          <w:p w14:paraId="01E80ABD">
            <w:pPr>
              <w:pStyle w:val="81"/>
              <w:spacing w:before="79"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成品管卡</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2"/>
                <w:sz w:val="21"/>
                <w:szCs w:val="21"/>
                <w:highlight w:val="none"/>
              </w:rPr>
              <w:t>32</w:t>
            </w:r>
          </w:p>
        </w:tc>
        <w:tc>
          <w:tcPr>
            <w:tcW w:w="2417" w:type="dxa"/>
            <w:vAlign w:val="top"/>
          </w:tcPr>
          <w:p w14:paraId="598E08C5">
            <w:pPr>
              <w:pStyle w:val="81"/>
              <w:spacing w:before="79" w:line="219" w:lineRule="auto"/>
              <w:ind w:left="41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公称直径32m</w:t>
            </w:r>
            <w:r>
              <w:rPr>
                <w:rFonts w:hint="eastAsia" w:asciiTheme="minorEastAsia" w:hAnsiTheme="minorEastAsia" w:eastAsiaTheme="minorEastAsia" w:cstheme="minorEastAsia"/>
                <w:color w:val="auto"/>
                <w:spacing w:val="2"/>
                <w:sz w:val="21"/>
                <w:szCs w:val="21"/>
                <w:highlight w:val="none"/>
                <w:lang w:val="en-US" w:eastAsia="zh-CN"/>
              </w:rPr>
              <w:t>m</w:t>
            </w:r>
            <w:r>
              <w:rPr>
                <w:rFonts w:hint="eastAsia" w:asciiTheme="minorEastAsia" w:hAnsiTheme="minorEastAsia" w:eastAsiaTheme="minorEastAsia" w:cstheme="minorEastAsia"/>
                <w:color w:val="auto"/>
                <w:spacing w:val="2"/>
                <w:sz w:val="21"/>
                <w:szCs w:val="21"/>
                <w:highlight w:val="none"/>
              </w:rPr>
              <w:t>以内</w:t>
            </w:r>
          </w:p>
        </w:tc>
        <w:tc>
          <w:tcPr>
            <w:tcW w:w="939" w:type="dxa"/>
            <w:vAlign w:val="top"/>
          </w:tcPr>
          <w:p w14:paraId="3B264707">
            <w:pPr>
              <w:pStyle w:val="81"/>
              <w:spacing w:before="80"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3FA9919E">
            <w:pPr>
              <w:pStyle w:val="81"/>
              <w:spacing w:before="100" w:line="227" w:lineRule="auto"/>
              <w:ind w:left="67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1.25</w:t>
            </w:r>
          </w:p>
        </w:tc>
      </w:tr>
      <w:tr w14:paraId="0F001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4551D692">
            <w:pPr>
              <w:pStyle w:val="81"/>
              <w:spacing w:before="101" w:line="226" w:lineRule="auto"/>
              <w:ind w:left="3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2837" w:type="dxa"/>
            <w:vAlign w:val="top"/>
          </w:tcPr>
          <w:p w14:paraId="182C7EA6">
            <w:pPr>
              <w:pStyle w:val="81"/>
              <w:spacing w:before="80"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风管止回阀1000*400</w:t>
            </w:r>
          </w:p>
        </w:tc>
        <w:tc>
          <w:tcPr>
            <w:tcW w:w="2417" w:type="dxa"/>
            <w:vAlign w:val="top"/>
          </w:tcPr>
          <w:p w14:paraId="00783A98">
            <w:pPr>
              <w:pStyle w:val="81"/>
              <w:spacing w:before="84" w:line="222" w:lineRule="auto"/>
              <w:ind w:left="674"/>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pacing w:val="-2"/>
                <w:sz w:val="21"/>
                <w:szCs w:val="21"/>
                <w:highlight w:val="none"/>
              </w:rPr>
              <w:t>周长</w:t>
            </w:r>
            <w:r>
              <w:rPr>
                <w:rFonts w:hint="eastAsia" w:asciiTheme="minorEastAsia" w:hAnsiTheme="minorEastAsia" w:eastAsiaTheme="minorEastAsia" w:cstheme="minorEastAsia"/>
                <w:color w:val="auto"/>
                <w:spacing w:val="-2"/>
                <w:sz w:val="21"/>
                <w:szCs w:val="21"/>
                <w:highlight w:val="none"/>
                <w:lang w:val="en-US" w:eastAsia="zh-CN"/>
              </w:rPr>
              <w:t>≤</w:t>
            </w:r>
            <w:r>
              <w:rPr>
                <w:rFonts w:hint="eastAsia" w:asciiTheme="minorEastAsia" w:hAnsiTheme="minorEastAsia" w:eastAsiaTheme="minorEastAsia" w:cstheme="minorEastAsia"/>
                <w:color w:val="auto"/>
                <w:spacing w:val="-2"/>
                <w:sz w:val="21"/>
                <w:szCs w:val="21"/>
                <w:highlight w:val="none"/>
              </w:rPr>
              <w:t>3200m</w:t>
            </w:r>
            <w:r>
              <w:rPr>
                <w:rFonts w:hint="eastAsia" w:asciiTheme="minorEastAsia" w:hAnsiTheme="minorEastAsia" w:eastAsiaTheme="minorEastAsia" w:cstheme="minorEastAsia"/>
                <w:color w:val="auto"/>
                <w:spacing w:val="-2"/>
                <w:sz w:val="21"/>
                <w:szCs w:val="21"/>
                <w:highlight w:val="none"/>
                <w:lang w:val="en-US" w:eastAsia="zh-CN"/>
              </w:rPr>
              <w:t>m</w:t>
            </w:r>
          </w:p>
        </w:tc>
        <w:tc>
          <w:tcPr>
            <w:tcW w:w="939" w:type="dxa"/>
            <w:vAlign w:val="top"/>
          </w:tcPr>
          <w:p w14:paraId="3A02B8FC">
            <w:pPr>
              <w:pStyle w:val="81"/>
              <w:spacing w:before="80" w:line="219"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5F7797C5">
            <w:pPr>
              <w:pStyle w:val="81"/>
              <w:spacing w:before="101" w:line="226" w:lineRule="auto"/>
              <w:ind w:left="57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148.21</w:t>
            </w:r>
          </w:p>
        </w:tc>
      </w:tr>
      <w:tr w14:paraId="22C6A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04F19B64">
            <w:pPr>
              <w:pStyle w:val="81"/>
              <w:spacing w:before="103" w:line="225" w:lineRule="auto"/>
              <w:ind w:left="3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p>
        </w:tc>
        <w:tc>
          <w:tcPr>
            <w:tcW w:w="2837" w:type="dxa"/>
            <w:vAlign w:val="top"/>
          </w:tcPr>
          <w:p w14:paraId="0CC87EA7">
            <w:pPr>
              <w:pStyle w:val="81"/>
              <w:spacing w:before="81"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成品管卡</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40</w:t>
            </w:r>
          </w:p>
        </w:tc>
        <w:tc>
          <w:tcPr>
            <w:tcW w:w="2417" w:type="dxa"/>
            <w:vAlign w:val="top"/>
          </w:tcPr>
          <w:p w14:paraId="13CC22AE">
            <w:pPr>
              <w:pStyle w:val="81"/>
              <w:spacing w:before="81" w:line="219" w:lineRule="auto"/>
              <w:ind w:left="41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公称直径40m</w:t>
            </w:r>
            <w:r>
              <w:rPr>
                <w:rFonts w:hint="eastAsia" w:asciiTheme="minorEastAsia" w:hAnsiTheme="minorEastAsia" w:eastAsiaTheme="minorEastAsia" w:cstheme="minorEastAsia"/>
                <w:color w:val="auto"/>
                <w:spacing w:val="2"/>
                <w:sz w:val="21"/>
                <w:szCs w:val="21"/>
                <w:highlight w:val="none"/>
                <w:lang w:val="en-US" w:eastAsia="zh-CN"/>
              </w:rPr>
              <w:t>m</w:t>
            </w:r>
            <w:r>
              <w:rPr>
                <w:rFonts w:hint="eastAsia" w:asciiTheme="minorEastAsia" w:hAnsiTheme="minorEastAsia" w:eastAsiaTheme="minorEastAsia" w:cstheme="minorEastAsia"/>
                <w:color w:val="auto"/>
                <w:spacing w:val="2"/>
                <w:sz w:val="21"/>
                <w:szCs w:val="21"/>
                <w:highlight w:val="none"/>
              </w:rPr>
              <w:t>以内</w:t>
            </w:r>
          </w:p>
        </w:tc>
        <w:tc>
          <w:tcPr>
            <w:tcW w:w="939" w:type="dxa"/>
            <w:vAlign w:val="top"/>
          </w:tcPr>
          <w:p w14:paraId="4D114B66">
            <w:pPr>
              <w:pStyle w:val="81"/>
              <w:spacing w:before="82"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36B20542">
            <w:pPr>
              <w:pStyle w:val="81"/>
              <w:spacing w:before="103" w:line="225" w:lineRule="auto"/>
              <w:ind w:left="67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1.25</w:t>
            </w:r>
          </w:p>
        </w:tc>
      </w:tr>
      <w:tr w14:paraId="7397C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7881DE3D">
            <w:pPr>
              <w:pStyle w:val="81"/>
              <w:spacing w:before="103" w:line="225" w:lineRule="auto"/>
              <w:ind w:left="3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w:t>
            </w:r>
          </w:p>
        </w:tc>
        <w:tc>
          <w:tcPr>
            <w:tcW w:w="2837" w:type="dxa"/>
            <w:vAlign w:val="top"/>
          </w:tcPr>
          <w:p w14:paraId="1089A559">
            <w:pPr>
              <w:pStyle w:val="81"/>
              <w:spacing w:before="81"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热镀锌钢管管件</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100</w:t>
            </w:r>
          </w:p>
        </w:tc>
        <w:tc>
          <w:tcPr>
            <w:tcW w:w="2417" w:type="dxa"/>
            <w:vAlign w:val="top"/>
          </w:tcPr>
          <w:p w14:paraId="0BC0A801">
            <w:pPr>
              <w:pStyle w:val="81"/>
              <w:spacing w:before="82" w:line="219" w:lineRule="auto"/>
              <w:ind w:left="78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9"/>
                <w:sz w:val="21"/>
                <w:szCs w:val="21"/>
                <w:highlight w:val="none"/>
              </w:rPr>
              <w:t>(含胶圈)</w:t>
            </w:r>
          </w:p>
        </w:tc>
        <w:tc>
          <w:tcPr>
            <w:tcW w:w="939" w:type="dxa"/>
            <w:vAlign w:val="top"/>
          </w:tcPr>
          <w:p w14:paraId="02645FEB">
            <w:pPr>
              <w:pStyle w:val="81"/>
              <w:spacing w:before="83"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20BDDF4D">
            <w:pPr>
              <w:pStyle w:val="81"/>
              <w:spacing w:before="103" w:line="225" w:lineRule="auto"/>
              <w:ind w:left="67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12.2</w:t>
            </w:r>
          </w:p>
        </w:tc>
      </w:tr>
      <w:tr w14:paraId="73472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7B52548B">
            <w:pPr>
              <w:pStyle w:val="81"/>
              <w:spacing w:before="104" w:line="224" w:lineRule="auto"/>
              <w:ind w:left="3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w:t>
            </w:r>
          </w:p>
        </w:tc>
        <w:tc>
          <w:tcPr>
            <w:tcW w:w="2837" w:type="dxa"/>
            <w:vAlign w:val="top"/>
          </w:tcPr>
          <w:p w14:paraId="33CC0B09">
            <w:pPr>
              <w:pStyle w:val="81"/>
              <w:spacing w:before="82"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热镀锌钢管管件</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80</w:t>
            </w:r>
          </w:p>
        </w:tc>
        <w:tc>
          <w:tcPr>
            <w:tcW w:w="2417" w:type="dxa"/>
            <w:vAlign w:val="top"/>
          </w:tcPr>
          <w:p w14:paraId="27A5CACD">
            <w:pPr>
              <w:pStyle w:val="81"/>
              <w:spacing w:before="83" w:line="219" w:lineRule="auto"/>
              <w:ind w:left="78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9"/>
                <w:sz w:val="21"/>
                <w:szCs w:val="21"/>
                <w:highlight w:val="none"/>
              </w:rPr>
              <w:t>(含胶圈)</w:t>
            </w:r>
          </w:p>
        </w:tc>
        <w:tc>
          <w:tcPr>
            <w:tcW w:w="939" w:type="dxa"/>
            <w:vAlign w:val="top"/>
          </w:tcPr>
          <w:p w14:paraId="489674BF">
            <w:pPr>
              <w:pStyle w:val="81"/>
              <w:spacing w:before="84"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5701F8EE">
            <w:pPr>
              <w:pStyle w:val="81"/>
              <w:spacing w:before="104" w:line="224" w:lineRule="auto"/>
              <w:ind w:left="67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8.69</w:t>
            </w:r>
          </w:p>
        </w:tc>
      </w:tr>
      <w:tr w14:paraId="321E8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763B1769">
            <w:pPr>
              <w:pStyle w:val="81"/>
              <w:spacing w:before="105" w:line="224" w:lineRule="auto"/>
              <w:ind w:left="3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w:t>
            </w:r>
          </w:p>
        </w:tc>
        <w:tc>
          <w:tcPr>
            <w:tcW w:w="2837" w:type="dxa"/>
            <w:vAlign w:val="top"/>
          </w:tcPr>
          <w:p w14:paraId="4CBCF96C">
            <w:pPr>
              <w:pStyle w:val="81"/>
              <w:spacing w:before="84"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成品管卡</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2"/>
                <w:sz w:val="21"/>
                <w:szCs w:val="21"/>
                <w:highlight w:val="none"/>
              </w:rPr>
              <w:t>65</w:t>
            </w:r>
          </w:p>
        </w:tc>
        <w:tc>
          <w:tcPr>
            <w:tcW w:w="2417" w:type="dxa"/>
            <w:vAlign w:val="top"/>
          </w:tcPr>
          <w:p w14:paraId="26514BF4">
            <w:pPr>
              <w:pStyle w:val="81"/>
              <w:spacing w:before="84" w:line="219" w:lineRule="auto"/>
              <w:ind w:left="41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公称直径80m</w:t>
            </w:r>
            <w:r>
              <w:rPr>
                <w:rFonts w:hint="eastAsia" w:asciiTheme="minorEastAsia" w:hAnsiTheme="minorEastAsia" w:eastAsiaTheme="minorEastAsia" w:cstheme="minorEastAsia"/>
                <w:color w:val="auto"/>
                <w:spacing w:val="2"/>
                <w:sz w:val="21"/>
                <w:szCs w:val="21"/>
                <w:highlight w:val="none"/>
                <w:lang w:val="en-US" w:eastAsia="zh-CN"/>
              </w:rPr>
              <w:t>m</w:t>
            </w:r>
            <w:r>
              <w:rPr>
                <w:rFonts w:hint="eastAsia" w:asciiTheme="minorEastAsia" w:hAnsiTheme="minorEastAsia" w:eastAsiaTheme="minorEastAsia" w:cstheme="minorEastAsia"/>
                <w:color w:val="auto"/>
                <w:spacing w:val="2"/>
                <w:sz w:val="21"/>
                <w:szCs w:val="21"/>
                <w:highlight w:val="none"/>
              </w:rPr>
              <w:t>以内</w:t>
            </w:r>
          </w:p>
        </w:tc>
        <w:tc>
          <w:tcPr>
            <w:tcW w:w="939" w:type="dxa"/>
            <w:vAlign w:val="top"/>
          </w:tcPr>
          <w:p w14:paraId="4E7A662A">
            <w:pPr>
              <w:pStyle w:val="81"/>
              <w:spacing w:before="85"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16CD8C02">
            <w:pPr>
              <w:pStyle w:val="81"/>
              <w:spacing w:before="105" w:line="224" w:lineRule="auto"/>
              <w:ind w:left="67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3.18</w:t>
            </w:r>
          </w:p>
        </w:tc>
      </w:tr>
      <w:tr w14:paraId="15F2B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46B72E67">
            <w:pPr>
              <w:pStyle w:val="81"/>
              <w:spacing w:before="105" w:line="223" w:lineRule="auto"/>
              <w:ind w:left="3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w:t>
            </w:r>
          </w:p>
        </w:tc>
        <w:tc>
          <w:tcPr>
            <w:tcW w:w="2837" w:type="dxa"/>
            <w:vAlign w:val="top"/>
          </w:tcPr>
          <w:p w14:paraId="21FDC9AA">
            <w:pPr>
              <w:pStyle w:val="81"/>
              <w:spacing w:before="84"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成品管卡</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2"/>
                <w:sz w:val="21"/>
                <w:szCs w:val="21"/>
                <w:highlight w:val="none"/>
              </w:rPr>
              <w:t>25</w:t>
            </w:r>
          </w:p>
        </w:tc>
        <w:tc>
          <w:tcPr>
            <w:tcW w:w="2417" w:type="dxa"/>
            <w:vAlign w:val="top"/>
          </w:tcPr>
          <w:p w14:paraId="754BA0E2">
            <w:pPr>
              <w:pStyle w:val="81"/>
              <w:spacing w:before="84" w:line="219" w:lineRule="auto"/>
              <w:ind w:left="41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公称直径32m</w:t>
            </w:r>
            <w:r>
              <w:rPr>
                <w:rFonts w:hint="eastAsia" w:asciiTheme="minorEastAsia" w:hAnsiTheme="minorEastAsia" w:eastAsiaTheme="minorEastAsia" w:cstheme="minorEastAsia"/>
                <w:color w:val="auto"/>
                <w:spacing w:val="2"/>
                <w:sz w:val="21"/>
                <w:szCs w:val="21"/>
                <w:highlight w:val="none"/>
                <w:lang w:val="en-US" w:eastAsia="zh-CN"/>
              </w:rPr>
              <w:t>m</w:t>
            </w:r>
            <w:r>
              <w:rPr>
                <w:rFonts w:hint="eastAsia" w:asciiTheme="minorEastAsia" w:hAnsiTheme="minorEastAsia" w:eastAsiaTheme="minorEastAsia" w:cstheme="minorEastAsia"/>
                <w:color w:val="auto"/>
                <w:spacing w:val="2"/>
                <w:sz w:val="21"/>
                <w:szCs w:val="21"/>
                <w:highlight w:val="none"/>
              </w:rPr>
              <w:t>以内</w:t>
            </w:r>
          </w:p>
        </w:tc>
        <w:tc>
          <w:tcPr>
            <w:tcW w:w="939" w:type="dxa"/>
            <w:vAlign w:val="top"/>
          </w:tcPr>
          <w:p w14:paraId="4E23AE4B">
            <w:pPr>
              <w:pStyle w:val="81"/>
              <w:spacing w:before="85"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1E0991E4">
            <w:pPr>
              <w:pStyle w:val="81"/>
              <w:spacing w:before="105" w:line="223" w:lineRule="auto"/>
              <w:ind w:left="62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0.469</w:t>
            </w:r>
          </w:p>
        </w:tc>
      </w:tr>
      <w:tr w14:paraId="645B9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14" w:type="dxa"/>
            <w:gridSpan w:val="2"/>
            <w:vAlign w:val="top"/>
          </w:tcPr>
          <w:p w14:paraId="7AB69AC0">
            <w:pPr>
              <w:pStyle w:val="81"/>
              <w:spacing w:before="116" w:line="222" w:lineRule="auto"/>
              <w:ind w:left="3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w:t>
            </w:r>
          </w:p>
        </w:tc>
        <w:tc>
          <w:tcPr>
            <w:tcW w:w="2837" w:type="dxa"/>
            <w:vAlign w:val="top"/>
          </w:tcPr>
          <w:p w14:paraId="4FBD4E03">
            <w:pPr>
              <w:pStyle w:val="81"/>
              <w:spacing w:before="95"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卡箍连接件(含胶圈)</w:t>
            </w:r>
          </w:p>
        </w:tc>
        <w:tc>
          <w:tcPr>
            <w:tcW w:w="2417" w:type="dxa"/>
            <w:vAlign w:val="top"/>
          </w:tcPr>
          <w:p w14:paraId="743B7DA7">
            <w:pPr>
              <w:pStyle w:val="81"/>
              <w:spacing w:before="95" w:line="219" w:lineRule="auto"/>
              <w:ind w:left="30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公称直径150</w:t>
            </w:r>
            <w:r>
              <w:rPr>
                <w:rFonts w:hint="eastAsia" w:asciiTheme="minorEastAsia" w:hAnsiTheme="minorEastAsia" w:eastAsiaTheme="minorEastAsia" w:cstheme="minorEastAsia"/>
                <w:color w:val="auto"/>
                <w:sz w:val="21"/>
                <w:szCs w:val="21"/>
                <w:highlight w:val="none"/>
              </w:rPr>
              <w:t>mm</w:t>
            </w:r>
            <w:r>
              <w:rPr>
                <w:rFonts w:hint="eastAsia" w:asciiTheme="minorEastAsia" w:hAnsiTheme="minorEastAsia" w:eastAsiaTheme="minorEastAsia" w:cstheme="minorEastAsia"/>
                <w:color w:val="auto"/>
                <w:spacing w:val="3"/>
                <w:sz w:val="21"/>
                <w:szCs w:val="21"/>
                <w:highlight w:val="none"/>
              </w:rPr>
              <w:t>以内</w:t>
            </w:r>
          </w:p>
        </w:tc>
        <w:tc>
          <w:tcPr>
            <w:tcW w:w="939" w:type="dxa"/>
            <w:vAlign w:val="top"/>
          </w:tcPr>
          <w:p w14:paraId="5CAA1670">
            <w:pPr>
              <w:pStyle w:val="81"/>
              <w:spacing w:before="96"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14A6DFDF">
            <w:pPr>
              <w:pStyle w:val="81"/>
              <w:spacing w:before="116" w:line="222" w:lineRule="auto"/>
              <w:ind w:left="62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23.34</w:t>
            </w:r>
          </w:p>
        </w:tc>
      </w:tr>
      <w:tr w14:paraId="12A3E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3EADB7FE">
            <w:pPr>
              <w:pStyle w:val="81"/>
              <w:spacing w:before="107" w:line="222" w:lineRule="auto"/>
              <w:ind w:left="3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w:t>
            </w:r>
          </w:p>
        </w:tc>
        <w:tc>
          <w:tcPr>
            <w:tcW w:w="2837" w:type="dxa"/>
            <w:vAlign w:val="top"/>
          </w:tcPr>
          <w:p w14:paraId="572E314D">
            <w:pPr>
              <w:pStyle w:val="81"/>
              <w:spacing w:before="85"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热镀锌钢管管件</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65</w:t>
            </w:r>
          </w:p>
        </w:tc>
        <w:tc>
          <w:tcPr>
            <w:tcW w:w="2417" w:type="dxa"/>
            <w:vAlign w:val="top"/>
          </w:tcPr>
          <w:p w14:paraId="2D541218">
            <w:pPr>
              <w:pStyle w:val="81"/>
              <w:spacing w:before="86" w:line="219" w:lineRule="auto"/>
              <w:ind w:left="78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9"/>
                <w:sz w:val="21"/>
                <w:szCs w:val="21"/>
                <w:highlight w:val="none"/>
              </w:rPr>
              <w:t>(含胶圈)</w:t>
            </w:r>
          </w:p>
        </w:tc>
        <w:tc>
          <w:tcPr>
            <w:tcW w:w="939" w:type="dxa"/>
            <w:vAlign w:val="top"/>
          </w:tcPr>
          <w:p w14:paraId="6606FA75">
            <w:pPr>
              <w:pStyle w:val="81"/>
              <w:spacing w:before="87"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3D28E0BB">
            <w:pPr>
              <w:pStyle w:val="81"/>
              <w:spacing w:before="107" w:line="222" w:lineRule="auto"/>
              <w:ind w:left="67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7.29</w:t>
            </w:r>
          </w:p>
        </w:tc>
      </w:tr>
      <w:tr w14:paraId="1A969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0A9A7F16">
            <w:pPr>
              <w:pStyle w:val="81"/>
              <w:spacing w:before="107" w:line="221" w:lineRule="auto"/>
              <w:ind w:left="29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10</w:t>
            </w:r>
          </w:p>
        </w:tc>
        <w:tc>
          <w:tcPr>
            <w:tcW w:w="2837" w:type="dxa"/>
            <w:vAlign w:val="top"/>
          </w:tcPr>
          <w:p w14:paraId="22EC43F9">
            <w:pPr>
              <w:pStyle w:val="81"/>
              <w:spacing w:before="86"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钢塑复合管管件DN32</w:t>
            </w:r>
          </w:p>
        </w:tc>
        <w:tc>
          <w:tcPr>
            <w:tcW w:w="2417" w:type="dxa"/>
            <w:vAlign w:val="top"/>
          </w:tcPr>
          <w:p w14:paraId="73F99AE8">
            <w:pPr>
              <w:pStyle w:val="81"/>
              <w:spacing w:before="86" w:line="219" w:lineRule="auto"/>
              <w:ind w:left="41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公称直径32m</w:t>
            </w:r>
            <w:r>
              <w:rPr>
                <w:rFonts w:hint="eastAsia" w:asciiTheme="minorEastAsia" w:hAnsiTheme="minorEastAsia" w:eastAsiaTheme="minorEastAsia" w:cstheme="minorEastAsia"/>
                <w:color w:val="auto"/>
                <w:spacing w:val="2"/>
                <w:sz w:val="21"/>
                <w:szCs w:val="21"/>
                <w:highlight w:val="none"/>
                <w:lang w:val="en-US" w:eastAsia="zh-CN"/>
              </w:rPr>
              <w:t>m</w:t>
            </w:r>
            <w:r>
              <w:rPr>
                <w:rFonts w:hint="eastAsia" w:asciiTheme="minorEastAsia" w:hAnsiTheme="minorEastAsia" w:eastAsiaTheme="minorEastAsia" w:cstheme="minorEastAsia"/>
                <w:color w:val="auto"/>
                <w:spacing w:val="2"/>
                <w:sz w:val="21"/>
                <w:szCs w:val="21"/>
                <w:highlight w:val="none"/>
              </w:rPr>
              <w:t>以内</w:t>
            </w:r>
          </w:p>
        </w:tc>
        <w:tc>
          <w:tcPr>
            <w:tcW w:w="939" w:type="dxa"/>
            <w:vAlign w:val="top"/>
          </w:tcPr>
          <w:p w14:paraId="11F6761E">
            <w:pPr>
              <w:pStyle w:val="81"/>
              <w:spacing w:before="86" w:line="219"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2FDD79FD">
            <w:pPr>
              <w:pStyle w:val="81"/>
              <w:spacing w:before="107" w:line="221" w:lineRule="auto"/>
              <w:ind w:left="67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8.11</w:t>
            </w:r>
          </w:p>
        </w:tc>
      </w:tr>
      <w:tr w14:paraId="564470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2B163FA5">
            <w:pPr>
              <w:pStyle w:val="81"/>
              <w:spacing w:before="108" w:line="220" w:lineRule="auto"/>
              <w:ind w:left="29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11</w:t>
            </w:r>
          </w:p>
        </w:tc>
        <w:tc>
          <w:tcPr>
            <w:tcW w:w="2837" w:type="dxa"/>
            <w:vAlign w:val="top"/>
          </w:tcPr>
          <w:p w14:paraId="41019427">
            <w:pPr>
              <w:pStyle w:val="81"/>
              <w:spacing w:before="87"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水表</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3"/>
                <w:sz w:val="21"/>
                <w:szCs w:val="21"/>
                <w:highlight w:val="none"/>
              </w:rPr>
              <w:t>65</w:t>
            </w:r>
          </w:p>
        </w:tc>
        <w:tc>
          <w:tcPr>
            <w:tcW w:w="2417" w:type="dxa"/>
            <w:vAlign w:val="top"/>
          </w:tcPr>
          <w:p w14:paraId="389CA5F2">
            <w:pPr>
              <w:pStyle w:val="81"/>
              <w:spacing w:before="87" w:line="219" w:lineRule="auto"/>
              <w:ind w:left="36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公称直径50</w:t>
            </w:r>
            <w:r>
              <w:rPr>
                <w:rFonts w:hint="eastAsia" w:asciiTheme="minorEastAsia" w:hAnsiTheme="minorEastAsia" w:eastAsiaTheme="minorEastAsia" w:cstheme="minorEastAsia"/>
                <w:color w:val="auto"/>
                <w:sz w:val="21"/>
                <w:szCs w:val="21"/>
                <w:highlight w:val="none"/>
              </w:rPr>
              <w:t>mm</w:t>
            </w:r>
            <w:r>
              <w:rPr>
                <w:rFonts w:hint="eastAsia" w:asciiTheme="minorEastAsia" w:hAnsiTheme="minorEastAsia" w:eastAsiaTheme="minorEastAsia" w:cstheme="minorEastAsia"/>
                <w:color w:val="auto"/>
                <w:spacing w:val="3"/>
                <w:sz w:val="21"/>
                <w:szCs w:val="21"/>
                <w:highlight w:val="none"/>
              </w:rPr>
              <w:t>以内</w:t>
            </w:r>
          </w:p>
        </w:tc>
        <w:tc>
          <w:tcPr>
            <w:tcW w:w="939" w:type="dxa"/>
            <w:vAlign w:val="top"/>
          </w:tcPr>
          <w:p w14:paraId="3692F84C">
            <w:pPr>
              <w:pStyle w:val="81"/>
              <w:spacing w:before="87" w:line="219"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0DD1E94A">
            <w:pPr>
              <w:pStyle w:val="81"/>
              <w:spacing w:before="108" w:line="220" w:lineRule="auto"/>
              <w:ind w:left="72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250</w:t>
            </w:r>
          </w:p>
        </w:tc>
      </w:tr>
      <w:tr w14:paraId="3B113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14" w:type="dxa"/>
            <w:gridSpan w:val="2"/>
            <w:vAlign w:val="top"/>
          </w:tcPr>
          <w:p w14:paraId="669A2AA6">
            <w:pPr>
              <w:pStyle w:val="81"/>
              <w:spacing w:before="109" w:line="224" w:lineRule="auto"/>
              <w:ind w:left="29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12</w:t>
            </w:r>
          </w:p>
        </w:tc>
        <w:tc>
          <w:tcPr>
            <w:tcW w:w="2837" w:type="dxa"/>
            <w:vAlign w:val="top"/>
          </w:tcPr>
          <w:p w14:paraId="7E4E7626">
            <w:pPr>
              <w:pStyle w:val="81"/>
              <w:spacing w:before="87"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镀锌钢管管件DN40</w:t>
            </w:r>
          </w:p>
        </w:tc>
        <w:tc>
          <w:tcPr>
            <w:tcW w:w="2417" w:type="dxa"/>
            <w:vAlign w:val="top"/>
          </w:tcPr>
          <w:p w14:paraId="0234FFB3">
            <w:pPr>
              <w:pStyle w:val="81"/>
              <w:spacing w:before="88" w:line="219" w:lineRule="auto"/>
              <w:ind w:left="57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公称直径40mm</w:t>
            </w:r>
          </w:p>
        </w:tc>
        <w:tc>
          <w:tcPr>
            <w:tcW w:w="939" w:type="dxa"/>
            <w:vAlign w:val="top"/>
          </w:tcPr>
          <w:p w14:paraId="69DC0455">
            <w:pPr>
              <w:pStyle w:val="81"/>
              <w:spacing w:before="88" w:line="219"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503B4218">
            <w:pPr>
              <w:pStyle w:val="81"/>
              <w:spacing w:before="109" w:line="224" w:lineRule="auto"/>
              <w:ind w:left="67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6.17</w:t>
            </w:r>
          </w:p>
        </w:tc>
      </w:tr>
      <w:tr w14:paraId="5FCE1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14" w:type="dxa"/>
            <w:gridSpan w:val="2"/>
            <w:vAlign w:val="top"/>
          </w:tcPr>
          <w:p w14:paraId="0054297D">
            <w:pPr>
              <w:pStyle w:val="81"/>
              <w:spacing w:before="111"/>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13</w:t>
            </w:r>
          </w:p>
        </w:tc>
        <w:tc>
          <w:tcPr>
            <w:tcW w:w="2837" w:type="dxa"/>
            <w:vAlign w:val="top"/>
          </w:tcPr>
          <w:p w14:paraId="28488FA3">
            <w:pPr>
              <w:pStyle w:val="81"/>
              <w:spacing w:before="92"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成品管卡DN20</w:t>
            </w:r>
          </w:p>
        </w:tc>
        <w:tc>
          <w:tcPr>
            <w:tcW w:w="2417" w:type="dxa"/>
            <w:vAlign w:val="top"/>
          </w:tcPr>
          <w:p w14:paraId="22BA5D8C">
            <w:pPr>
              <w:pStyle w:val="81"/>
              <w:spacing w:before="92" w:line="219" w:lineRule="auto"/>
              <w:ind w:left="49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公称直径20</w:t>
            </w:r>
            <w:r>
              <w:rPr>
                <w:rFonts w:hint="eastAsia" w:asciiTheme="minorEastAsia" w:hAnsiTheme="minorEastAsia" w:eastAsiaTheme="minorEastAsia" w:cstheme="minorEastAsia"/>
                <w:color w:val="auto"/>
                <w:sz w:val="21"/>
                <w:szCs w:val="21"/>
                <w:highlight w:val="none"/>
              </w:rPr>
              <w:t>mm</w:t>
            </w:r>
            <w:r>
              <w:rPr>
                <w:rFonts w:hint="eastAsia" w:asciiTheme="minorEastAsia" w:hAnsiTheme="minorEastAsia" w:eastAsiaTheme="minorEastAsia" w:cstheme="minorEastAsia"/>
                <w:color w:val="auto"/>
                <w:spacing w:val="3"/>
                <w:sz w:val="21"/>
                <w:szCs w:val="21"/>
                <w:highlight w:val="none"/>
              </w:rPr>
              <w:t>以内</w:t>
            </w:r>
          </w:p>
        </w:tc>
        <w:tc>
          <w:tcPr>
            <w:tcW w:w="939" w:type="dxa"/>
            <w:vAlign w:val="top"/>
          </w:tcPr>
          <w:p w14:paraId="44C9A40E">
            <w:pPr>
              <w:pStyle w:val="81"/>
              <w:spacing w:before="93"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684EAF6E">
            <w:pPr>
              <w:pStyle w:val="81"/>
              <w:spacing w:before="111" w:line="239" w:lineRule="auto"/>
              <w:ind w:left="68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0.469</w:t>
            </w:r>
          </w:p>
        </w:tc>
      </w:tr>
      <w:tr w14:paraId="30CC1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4477F954">
            <w:pPr>
              <w:pStyle w:val="81"/>
              <w:spacing w:before="107" w:line="241" w:lineRule="auto"/>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14</w:t>
            </w:r>
          </w:p>
        </w:tc>
        <w:tc>
          <w:tcPr>
            <w:tcW w:w="2837" w:type="dxa"/>
            <w:vAlign w:val="top"/>
          </w:tcPr>
          <w:p w14:paraId="7AF44CEA">
            <w:pPr>
              <w:pStyle w:val="81"/>
              <w:spacing w:before="87"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热镀锌钢管管件</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40</w:t>
            </w:r>
          </w:p>
        </w:tc>
        <w:tc>
          <w:tcPr>
            <w:tcW w:w="2417" w:type="dxa"/>
            <w:vAlign w:val="top"/>
          </w:tcPr>
          <w:p w14:paraId="3B83CB35">
            <w:pPr>
              <w:pStyle w:val="81"/>
              <w:spacing w:before="137" w:line="183" w:lineRule="auto"/>
              <w:ind w:left="106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DN40</w:t>
            </w:r>
          </w:p>
        </w:tc>
        <w:tc>
          <w:tcPr>
            <w:tcW w:w="939" w:type="dxa"/>
            <w:vAlign w:val="top"/>
          </w:tcPr>
          <w:p w14:paraId="26852435">
            <w:pPr>
              <w:pStyle w:val="81"/>
              <w:spacing w:before="88"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2E817702">
            <w:pPr>
              <w:pStyle w:val="81"/>
              <w:spacing w:before="107" w:line="239" w:lineRule="auto"/>
              <w:ind w:left="73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6.17</w:t>
            </w:r>
          </w:p>
        </w:tc>
      </w:tr>
      <w:tr w14:paraId="73AF8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814" w:type="dxa"/>
            <w:gridSpan w:val="2"/>
            <w:vAlign w:val="top"/>
          </w:tcPr>
          <w:p w14:paraId="4B6ABA82">
            <w:pPr>
              <w:pStyle w:val="81"/>
              <w:spacing w:before="117"/>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15</w:t>
            </w:r>
          </w:p>
        </w:tc>
        <w:tc>
          <w:tcPr>
            <w:tcW w:w="2837" w:type="dxa"/>
            <w:vAlign w:val="top"/>
          </w:tcPr>
          <w:p w14:paraId="2D2C05EF">
            <w:pPr>
              <w:pStyle w:val="81"/>
              <w:spacing w:before="97"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热镀锌钢管管件</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150</w:t>
            </w:r>
          </w:p>
        </w:tc>
        <w:tc>
          <w:tcPr>
            <w:tcW w:w="2417" w:type="dxa"/>
            <w:vAlign w:val="top"/>
          </w:tcPr>
          <w:p w14:paraId="24BD0331">
            <w:pPr>
              <w:pStyle w:val="81"/>
              <w:spacing w:before="98" w:line="219" w:lineRule="auto"/>
              <w:ind w:left="91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pacing w:val="5"/>
                <w:sz w:val="21"/>
                <w:szCs w:val="21"/>
                <w:highlight w:val="none"/>
              </w:rPr>
              <w:t>(含胶圈</w:t>
            </w:r>
            <w:r>
              <w:rPr>
                <w:rFonts w:hint="eastAsia" w:asciiTheme="minorEastAsia" w:hAnsiTheme="minorEastAsia" w:eastAsiaTheme="minorEastAsia" w:cstheme="minorEastAsia"/>
                <w:color w:val="auto"/>
                <w:spacing w:val="5"/>
                <w:sz w:val="21"/>
                <w:szCs w:val="21"/>
                <w:highlight w:val="none"/>
                <w:lang w:eastAsia="zh-CN"/>
              </w:rPr>
              <w:t>）</w:t>
            </w:r>
          </w:p>
        </w:tc>
        <w:tc>
          <w:tcPr>
            <w:tcW w:w="939" w:type="dxa"/>
            <w:vAlign w:val="top"/>
          </w:tcPr>
          <w:p w14:paraId="06CE6993">
            <w:pPr>
              <w:pStyle w:val="81"/>
              <w:spacing w:before="99"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6903BA43">
            <w:pPr>
              <w:pStyle w:val="81"/>
              <w:spacing w:before="117" w:line="239" w:lineRule="auto"/>
              <w:ind w:left="68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16.15</w:t>
            </w:r>
          </w:p>
        </w:tc>
      </w:tr>
      <w:tr w14:paraId="214E0E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71329E6E">
            <w:pPr>
              <w:pStyle w:val="81"/>
              <w:spacing w:before="107"/>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16</w:t>
            </w:r>
          </w:p>
        </w:tc>
        <w:tc>
          <w:tcPr>
            <w:tcW w:w="2837" w:type="dxa"/>
            <w:vAlign w:val="top"/>
          </w:tcPr>
          <w:p w14:paraId="6040C519">
            <w:pPr>
              <w:pStyle w:val="81"/>
              <w:spacing w:before="91" w:line="221"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Y型过滤器DN40</w:t>
            </w:r>
          </w:p>
        </w:tc>
        <w:tc>
          <w:tcPr>
            <w:tcW w:w="2417" w:type="dxa"/>
            <w:vAlign w:val="top"/>
          </w:tcPr>
          <w:p w14:paraId="1198FB99">
            <w:pPr>
              <w:pStyle w:val="81"/>
              <w:spacing w:before="88" w:line="219" w:lineRule="auto"/>
              <w:ind w:left="53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公称直径40m</w:t>
            </w:r>
            <w:r>
              <w:rPr>
                <w:rFonts w:hint="eastAsia" w:asciiTheme="minorEastAsia" w:hAnsiTheme="minorEastAsia" w:eastAsiaTheme="minorEastAsia" w:cstheme="minorEastAsia"/>
                <w:color w:val="auto"/>
                <w:spacing w:val="3"/>
                <w:sz w:val="21"/>
                <w:szCs w:val="21"/>
                <w:highlight w:val="none"/>
                <w:lang w:val="en-US" w:eastAsia="zh-CN"/>
              </w:rPr>
              <w:t>m</w:t>
            </w:r>
            <w:r>
              <w:rPr>
                <w:rFonts w:hint="eastAsia" w:asciiTheme="minorEastAsia" w:hAnsiTheme="minorEastAsia" w:eastAsiaTheme="minorEastAsia" w:cstheme="minorEastAsia"/>
                <w:color w:val="auto"/>
                <w:spacing w:val="3"/>
                <w:sz w:val="21"/>
                <w:szCs w:val="21"/>
                <w:highlight w:val="none"/>
              </w:rPr>
              <w:t>以内</w:t>
            </w:r>
          </w:p>
        </w:tc>
        <w:tc>
          <w:tcPr>
            <w:tcW w:w="939" w:type="dxa"/>
            <w:vAlign w:val="top"/>
          </w:tcPr>
          <w:p w14:paraId="71FEA2BF">
            <w:pPr>
              <w:pStyle w:val="81"/>
              <w:spacing w:before="88"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0EB15461">
            <w:pPr>
              <w:pStyle w:val="81"/>
              <w:spacing w:before="107" w:line="239" w:lineRule="auto"/>
              <w:ind w:left="68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69.51</w:t>
            </w:r>
          </w:p>
        </w:tc>
      </w:tr>
      <w:tr w14:paraId="7168B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3D068F4A">
            <w:pPr>
              <w:pStyle w:val="81"/>
              <w:spacing w:before="107"/>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17</w:t>
            </w:r>
          </w:p>
        </w:tc>
        <w:tc>
          <w:tcPr>
            <w:tcW w:w="2837" w:type="dxa"/>
            <w:vAlign w:val="top"/>
          </w:tcPr>
          <w:p w14:paraId="5B9F294A">
            <w:pPr>
              <w:pStyle w:val="81"/>
              <w:spacing w:before="88"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卡箍连接件(含胶圈)</w:t>
            </w:r>
          </w:p>
        </w:tc>
        <w:tc>
          <w:tcPr>
            <w:tcW w:w="2417" w:type="dxa"/>
            <w:vAlign w:val="top"/>
          </w:tcPr>
          <w:p w14:paraId="6EB31C64">
            <w:pPr>
              <w:pStyle w:val="81"/>
              <w:spacing w:before="88" w:line="219" w:lineRule="auto"/>
              <w:ind w:left="49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公称直径100m以内</w:t>
            </w:r>
          </w:p>
        </w:tc>
        <w:tc>
          <w:tcPr>
            <w:tcW w:w="939" w:type="dxa"/>
            <w:vAlign w:val="top"/>
          </w:tcPr>
          <w:p w14:paraId="18C69EB1">
            <w:pPr>
              <w:pStyle w:val="81"/>
              <w:spacing w:before="89"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1F5E95AA">
            <w:pPr>
              <w:pStyle w:val="81"/>
              <w:spacing w:before="107" w:line="239" w:lineRule="auto"/>
              <w:ind w:left="68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12.19</w:t>
            </w:r>
          </w:p>
        </w:tc>
      </w:tr>
      <w:tr w14:paraId="13F7E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0A4FF40C">
            <w:pPr>
              <w:pStyle w:val="81"/>
              <w:spacing w:before="118"/>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18</w:t>
            </w:r>
          </w:p>
        </w:tc>
        <w:tc>
          <w:tcPr>
            <w:tcW w:w="2837" w:type="dxa"/>
            <w:vAlign w:val="top"/>
          </w:tcPr>
          <w:p w14:paraId="372485D2">
            <w:pPr>
              <w:pStyle w:val="81"/>
              <w:spacing w:before="99"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成品管卡</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15</w:t>
            </w:r>
          </w:p>
        </w:tc>
        <w:tc>
          <w:tcPr>
            <w:tcW w:w="2417" w:type="dxa"/>
            <w:vAlign w:val="top"/>
          </w:tcPr>
          <w:p w14:paraId="7C229670">
            <w:pPr>
              <w:pStyle w:val="81"/>
              <w:spacing w:before="99" w:line="219" w:lineRule="auto"/>
              <w:ind w:left="53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公称直径20m</w:t>
            </w:r>
            <w:r>
              <w:rPr>
                <w:rFonts w:hint="eastAsia" w:asciiTheme="minorEastAsia" w:hAnsiTheme="minorEastAsia" w:eastAsiaTheme="minorEastAsia" w:cstheme="minorEastAsia"/>
                <w:color w:val="auto"/>
                <w:spacing w:val="3"/>
                <w:sz w:val="21"/>
                <w:szCs w:val="21"/>
                <w:highlight w:val="none"/>
                <w:lang w:val="en-US" w:eastAsia="zh-CN"/>
              </w:rPr>
              <w:t>m</w:t>
            </w:r>
            <w:r>
              <w:rPr>
                <w:rFonts w:hint="eastAsia" w:asciiTheme="minorEastAsia" w:hAnsiTheme="minorEastAsia" w:eastAsiaTheme="minorEastAsia" w:cstheme="minorEastAsia"/>
                <w:color w:val="auto"/>
                <w:spacing w:val="3"/>
                <w:sz w:val="21"/>
                <w:szCs w:val="21"/>
                <w:highlight w:val="none"/>
              </w:rPr>
              <w:t>以内</w:t>
            </w:r>
          </w:p>
        </w:tc>
        <w:tc>
          <w:tcPr>
            <w:tcW w:w="939" w:type="dxa"/>
            <w:vAlign w:val="top"/>
          </w:tcPr>
          <w:p w14:paraId="7ECB6DE4">
            <w:pPr>
              <w:pStyle w:val="81"/>
              <w:spacing w:before="100"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305458A4">
            <w:pPr>
              <w:pStyle w:val="81"/>
              <w:spacing w:before="118" w:line="239" w:lineRule="auto"/>
              <w:ind w:left="68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0.469</w:t>
            </w:r>
          </w:p>
        </w:tc>
      </w:tr>
      <w:tr w14:paraId="6B1C1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096714C2">
            <w:pPr>
              <w:pStyle w:val="81"/>
              <w:spacing w:before="118"/>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19</w:t>
            </w:r>
          </w:p>
        </w:tc>
        <w:tc>
          <w:tcPr>
            <w:tcW w:w="2837" w:type="dxa"/>
            <w:vAlign w:val="top"/>
          </w:tcPr>
          <w:p w14:paraId="27BA30F2">
            <w:pPr>
              <w:pStyle w:val="81"/>
              <w:spacing w:before="99"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钢塑复合管管件DN40</w:t>
            </w:r>
          </w:p>
        </w:tc>
        <w:tc>
          <w:tcPr>
            <w:tcW w:w="2417" w:type="dxa"/>
            <w:vAlign w:val="top"/>
          </w:tcPr>
          <w:p w14:paraId="411E9422">
            <w:pPr>
              <w:pStyle w:val="81"/>
              <w:spacing w:before="99" w:line="219" w:lineRule="auto"/>
              <w:ind w:left="53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公称直径40m</w:t>
            </w:r>
            <w:r>
              <w:rPr>
                <w:rFonts w:hint="eastAsia" w:asciiTheme="minorEastAsia" w:hAnsiTheme="minorEastAsia" w:eastAsiaTheme="minorEastAsia" w:cstheme="minorEastAsia"/>
                <w:color w:val="auto"/>
                <w:spacing w:val="3"/>
                <w:sz w:val="21"/>
                <w:szCs w:val="21"/>
                <w:highlight w:val="none"/>
                <w:lang w:val="en-US" w:eastAsia="zh-CN"/>
              </w:rPr>
              <w:t>m</w:t>
            </w:r>
            <w:r>
              <w:rPr>
                <w:rFonts w:hint="eastAsia" w:asciiTheme="minorEastAsia" w:hAnsiTheme="minorEastAsia" w:eastAsiaTheme="minorEastAsia" w:cstheme="minorEastAsia"/>
                <w:color w:val="auto"/>
                <w:spacing w:val="3"/>
                <w:sz w:val="21"/>
                <w:szCs w:val="21"/>
                <w:highlight w:val="none"/>
              </w:rPr>
              <w:t>以内</w:t>
            </w:r>
          </w:p>
        </w:tc>
        <w:tc>
          <w:tcPr>
            <w:tcW w:w="939" w:type="dxa"/>
            <w:vAlign w:val="top"/>
          </w:tcPr>
          <w:p w14:paraId="1D6A4CD2">
            <w:pPr>
              <w:pStyle w:val="81"/>
              <w:spacing w:before="99"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106EC40C">
            <w:pPr>
              <w:pStyle w:val="81"/>
              <w:spacing w:before="118" w:line="239" w:lineRule="auto"/>
              <w:ind w:left="68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14.36</w:t>
            </w:r>
          </w:p>
        </w:tc>
      </w:tr>
      <w:tr w14:paraId="5E9BD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08C14A94">
            <w:pPr>
              <w:pStyle w:val="81"/>
              <w:spacing w:before="108"/>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20</w:t>
            </w:r>
          </w:p>
        </w:tc>
        <w:tc>
          <w:tcPr>
            <w:tcW w:w="2837" w:type="dxa"/>
            <w:vAlign w:val="top"/>
          </w:tcPr>
          <w:p w14:paraId="7F83BD4A">
            <w:pPr>
              <w:pStyle w:val="81"/>
              <w:spacing w:before="89"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医废设备操作卡</w:t>
            </w:r>
          </w:p>
        </w:tc>
        <w:tc>
          <w:tcPr>
            <w:tcW w:w="2417" w:type="dxa"/>
            <w:vAlign w:val="top"/>
          </w:tcPr>
          <w:p w14:paraId="2341C19F">
            <w:pPr>
              <w:rPr>
                <w:rFonts w:hint="eastAsia" w:asciiTheme="minorEastAsia" w:hAnsiTheme="minorEastAsia" w:eastAsiaTheme="minorEastAsia" w:cstheme="minorEastAsia"/>
                <w:color w:val="auto"/>
                <w:sz w:val="21"/>
                <w:szCs w:val="21"/>
                <w:highlight w:val="none"/>
              </w:rPr>
            </w:pPr>
          </w:p>
        </w:tc>
        <w:tc>
          <w:tcPr>
            <w:tcW w:w="939" w:type="dxa"/>
            <w:vAlign w:val="top"/>
          </w:tcPr>
          <w:p w14:paraId="1ED4D6F5">
            <w:pPr>
              <w:pStyle w:val="81"/>
              <w:spacing w:before="92" w:line="221"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张</w:t>
            </w:r>
          </w:p>
        </w:tc>
        <w:tc>
          <w:tcPr>
            <w:tcW w:w="1793" w:type="dxa"/>
            <w:vAlign w:val="top"/>
          </w:tcPr>
          <w:p w14:paraId="7D3FEF5E">
            <w:pPr>
              <w:pStyle w:val="81"/>
              <w:spacing w:before="108" w:line="239" w:lineRule="auto"/>
              <w:ind w:left="58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1460.18</w:t>
            </w:r>
          </w:p>
        </w:tc>
      </w:tr>
      <w:tr w14:paraId="1D34B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14" w:type="dxa"/>
            <w:gridSpan w:val="2"/>
            <w:vAlign w:val="top"/>
          </w:tcPr>
          <w:p w14:paraId="6A7D00CA">
            <w:pPr>
              <w:pStyle w:val="81"/>
              <w:spacing w:before="118" w:line="241" w:lineRule="auto"/>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21</w:t>
            </w:r>
          </w:p>
        </w:tc>
        <w:tc>
          <w:tcPr>
            <w:tcW w:w="2837" w:type="dxa"/>
            <w:vAlign w:val="top"/>
          </w:tcPr>
          <w:p w14:paraId="0443E332">
            <w:pPr>
              <w:pStyle w:val="81"/>
              <w:spacing w:before="98"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热镀锌钢管管件</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50</w:t>
            </w:r>
          </w:p>
        </w:tc>
        <w:tc>
          <w:tcPr>
            <w:tcW w:w="2417" w:type="dxa"/>
            <w:vAlign w:val="top"/>
          </w:tcPr>
          <w:p w14:paraId="4DDC3824">
            <w:pPr>
              <w:pStyle w:val="81"/>
              <w:spacing w:before="148" w:line="183" w:lineRule="auto"/>
              <w:ind w:left="106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DN50</w:t>
            </w:r>
          </w:p>
        </w:tc>
        <w:tc>
          <w:tcPr>
            <w:tcW w:w="939" w:type="dxa"/>
            <w:vAlign w:val="top"/>
          </w:tcPr>
          <w:p w14:paraId="709C3CB2">
            <w:pPr>
              <w:pStyle w:val="81"/>
              <w:spacing w:before="99"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5E290BF4">
            <w:pPr>
              <w:pStyle w:val="81"/>
              <w:spacing w:before="118" w:line="239" w:lineRule="auto"/>
              <w:ind w:left="73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6.55</w:t>
            </w:r>
          </w:p>
        </w:tc>
      </w:tr>
      <w:tr w14:paraId="69CD5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326ABEA9">
            <w:pPr>
              <w:pStyle w:val="81"/>
              <w:spacing w:before="109" w:line="241" w:lineRule="auto"/>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22</w:t>
            </w:r>
          </w:p>
        </w:tc>
        <w:tc>
          <w:tcPr>
            <w:tcW w:w="2837" w:type="dxa"/>
            <w:vAlign w:val="top"/>
          </w:tcPr>
          <w:p w14:paraId="60C4C124">
            <w:pPr>
              <w:pStyle w:val="81"/>
              <w:spacing w:before="89"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热镀锌钢管管件</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100</w:t>
            </w:r>
          </w:p>
        </w:tc>
        <w:tc>
          <w:tcPr>
            <w:tcW w:w="2417" w:type="dxa"/>
            <w:vAlign w:val="top"/>
          </w:tcPr>
          <w:p w14:paraId="295AAB48">
            <w:pPr>
              <w:pStyle w:val="81"/>
              <w:spacing w:before="90" w:line="219" w:lineRule="auto"/>
              <w:ind w:left="87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8"/>
                <w:sz w:val="21"/>
                <w:szCs w:val="21"/>
                <w:highlight w:val="none"/>
              </w:rPr>
              <w:t>(含胶圈)</w:t>
            </w:r>
          </w:p>
        </w:tc>
        <w:tc>
          <w:tcPr>
            <w:tcW w:w="939" w:type="dxa"/>
            <w:vAlign w:val="top"/>
          </w:tcPr>
          <w:p w14:paraId="3FD27311">
            <w:pPr>
              <w:pStyle w:val="81"/>
              <w:spacing w:before="91"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7898AA71">
            <w:pPr>
              <w:pStyle w:val="81"/>
              <w:spacing w:before="109" w:line="239" w:lineRule="auto"/>
              <w:ind w:left="73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12.2</w:t>
            </w:r>
          </w:p>
        </w:tc>
      </w:tr>
      <w:tr w14:paraId="3F998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65336E6F">
            <w:pPr>
              <w:pStyle w:val="81"/>
              <w:spacing w:before="119"/>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23</w:t>
            </w:r>
          </w:p>
        </w:tc>
        <w:tc>
          <w:tcPr>
            <w:tcW w:w="2837" w:type="dxa"/>
            <w:vAlign w:val="top"/>
          </w:tcPr>
          <w:p w14:paraId="198B8943">
            <w:pPr>
              <w:pStyle w:val="81"/>
              <w:spacing w:before="100"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银粉漆</w:t>
            </w:r>
          </w:p>
        </w:tc>
        <w:tc>
          <w:tcPr>
            <w:tcW w:w="2417" w:type="dxa"/>
            <w:vAlign w:val="top"/>
          </w:tcPr>
          <w:p w14:paraId="7C5C15DB">
            <w:pPr>
              <w:rPr>
                <w:rFonts w:hint="eastAsia" w:asciiTheme="minorEastAsia" w:hAnsiTheme="minorEastAsia" w:eastAsiaTheme="minorEastAsia" w:cstheme="minorEastAsia"/>
                <w:color w:val="auto"/>
                <w:sz w:val="21"/>
                <w:szCs w:val="21"/>
                <w:highlight w:val="none"/>
              </w:rPr>
            </w:pPr>
          </w:p>
        </w:tc>
        <w:tc>
          <w:tcPr>
            <w:tcW w:w="939" w:type="dxa"/>
            <w:vAlign w:val="top"/>
          </w:tcPr>
          <w:p w14:paraId="35477B99">
            <w:pPr>
              <w:pStyle w:val="81"/>
              <w:spacing w:before="94" w:line="214"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kg</w:t>
            </w:r>
          </w:p>
        </w:tc>
        <w:tc>
          <w:tcPr>
            <w:tcW w:w="1793" w:type="dxa"/>
            <w:vAlign w:val="top"/>
          </w:tcPr>
          <w:p w14:paraId="290518C2">
            <w:pPr>
              <w:pStyle w:val="81"/>
              <w:spacing w:before="119" w:line="239" w:lineRule="auto"/>
              <w:ind w:left="68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13.98</w:t>
            </w:r>
          </w:p>
        </w:tc>
      </w:tr>
      <w:tr w14:paraId="58D0B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0D1019D6">
            <w:pPr>
              <w:pStyle w:val="81"/>
              <w:spacing w:before="109" w:line="241" w:lineRule="auto"/>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24</w:t>
            </w:r>
          </w:p>
        </w:tc>
        <w:tc>
          <w:tcPr>
            <w:tcW w:w="2837" w:type="dxa"/>
            <w:vAlign w:val="top"/>
          </w:tcPr>
          <w:p w14:paraId="4B6EF6D8">
            <w:pPr>
              <w:pStyle w:val="81"/>
              <w:spacing w:before="90"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总线隔离模块</w:t>
            </w:r>
          </w:p>
        </w:tc>
        <w:tc>
          <w:tcPr>
            <w:tcW w:w="2417" w:type="dxa"/>
            <w:vAlign w:val="top"/>
          </w:tcPr>
          <w:p w14:paraId="304B4ADE">
            <w:pPr>
              <w:rPr>
                <w:rFonts w:hint="eastAsia" w:asciiTheme="minorEastAsia" w:hAnsiTheme="minorEastAsia" w:eastAsiaTheme="minorEastAsia" w:cstheme="minorEastAsia"/>
                <w:color w:val="auto"/>
                <w:sz w:val="21"/>
                <w:szCs w:val="21"/>
                <w:highlight w:val="none"/>
              </w:rPr>
            </w:pPr>
          </w:p>
        </w:tc>
        <w:tc>
          <w:tcPr>
            <w:tcW w:w="939" w:type="dxa"/>
            <w:vAlign w:val="top"/>
          </w:tcPr>
          <w:p w14:paraId="7BD999DF">
            <w:pPr>
              <w:pStyle w:val="81"/>
              <w:spacing w:before="90"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5CB6BE5F">
            <w:pPr>
              <w:pStyle w:val="81"/>
              <w:spacing w:before="109"/>
              <w:ind w:left="82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90</w:t>
            </w:r>
          </w:p>
        </w:tc>
      </w:tr>
      <w:tr w14:paraId="01A25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3A7A3D21">
            <w:pPr>
              <w:pStyle w:val="81"/>
              <w:spacing w:before="120"/>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25</w:t>
            </w:r>
          </w:p>
        </w:tc>
        <w:tc>
          <w:tcPr>
            <w:tcW w:w="2837" w:type="dxa"/>
            <w:vAlign w:val="top"/>
          </w:tcPr>
          <w:p w14:paraId="4F02F278">
            <w:pPr>
              <w:pStyle w:val="81"/>
              <w:spacing w:before="101"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钢塑复合管管件DN25</w:t>
            </w:r>
          </w:p>
        </w:tc>
        <w:tc>
          <w:tcPr>
            <w:tcW w:w="2417" w:type="dxa"/>
            <w:vAlign w:val="top"/>
          </w:tcPr>
          <w:p w14:paraId="5CA4577E">
            <w:pPr>
              <w:pStyle w:val="81"/>
              <w:spacing w:before="101" w:line="219" w:lineRule="auto"/>
              <w:ind w:left="53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公称直径25</w:t>
            </w:r>
            <w:r>
              <w:rPr>
                <w:rFonts w:hint="eastAsia" w:asciiTheme="minorEastAsia" w:hAnsiTheme="minorEastAsia" w:eastAsiaTheme="minorEastAsia" w:cstheme="minorEastAsia"/>
                <w:color w:val="auto"/>
                <w:spacing w:val="3"/>
                <w:sz w:val="21"/>
                <w:szCs w:val="21"/>
                <w:highlight w:val="none"/>
                <w:lang w:val="en-US" w:eastAsia="zh-CN"/>
              </w:rPr>
              <w:t>m</w:t>
            </w:r>
            <w:r>
              <w:rPr>
                <w:rFonts w:hint="eastAsia" w:asciiTheme="minorEastAsia" w:hAnsiTheme="minorEastAsia" w:eastAsiaTheme="minorEastAsia" w:cstheme="minorEastAsia"/>
                <w:color w:val="auto"/>
                <w:spacing w:val="3"/>
                <w:sz w:val="21"/>
                <w:szCs w:val="21"/>
                <w:highlight w:val="none"/>
              </w:rPr>
              <w:t>m以内</w:t>
            </w:r>
          </w:p>
        </w:tc>
        <w:tc>
          <w:tcPr>
            <w:tcW w:w="939" w:type="dxa"/>
            <w:vAlign w:val="top"/>
          </w:tcPr>
          <w:p w14:paraId="5901D678">
            <w:pPr>
              <w:pStyle w:val="81"/>
              <w:spacing w:before="101"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13782C8A">
            <w:pPr>
              <w:pStyle w:val="81"/>
              <w:spacing w:before="120" w:line="239" w:lineRule="auto"/>
              <w:ind w:left="73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4.83</w:t>
            </w:r>
          </w:p>
        </w:tc>
      </w:tr>
      <w:tr w14:paraId="77FF3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4C962EA4">
            <w:pPr>
              <w:pStyle w:val="81"/>
              <w:spacing w:before="120"/>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26</w:t>
            </w:r>
          </w:p>
        </w:tc>
        <w:tc>
          <w:tcPr>
            <w:tcW w:w="2837" w:type="dxa"/>
            <w:vAlign w:val="top"/>
          </w:tcPr>
          <w:p w14:paraId="23E08822">
            <w:pPr>
              <w:pStyle w:val="81"/>
              <w:spacing w:before="100"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热镀锌钢管管件</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32</w:t>
            </w:r>
          </w:p>
        </w:tc>
        <w:tc>
          <w:tcPr>
            <w:tcW w:w="2417" w:type="dxa"/>
            <w:vAlign w:val="top"/>
          </w:tcPr>
          <w:p w14:paraId="5E10FDD3">
            <w:pPr>
              <w:pStyle w:val="81"/>
              <w:spacing w:before="150" w:line="183" w:lineRule="auto"/>
              <w:ind w:left="106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DN32</w:t>
            </w:r>
          </w:p>
        </w:tc>
        <w:tc>
          <w:tcPr>
            <w:tcW w:w="939" w:type="dxa"/>
            <w:vAlign w:val="top"/>
          </w:tcPr>
          <w:p w14:paraId="7F3AA72B">
            <w:pPr>
              <w:pStyle w:val="81"/>
              <w:spacing w:before="101"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63CFEA10">
            <w:pPr>
              <w:pStyle w:val="81"/>
              <w:spacing w:before="120" w:line="239" w:lineRule="auto"/>
              <w:ind w:left="73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5.38</w:t>
            </w:r>
          </w:p>
        </w:tc>
      </w:tr>
      <w:tr w14:paraId="3CD03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321C0F0A">
            <w:pPr>
              <w:pStyle w:val="81"/>
              <w:spacing w:before="120"/>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27</w:t>
            </w:r>
          </w:p>
        </w:tc>
        <w:tc>
          <w:tcPr>
            <w:tcW w:w="2837" w:type="dxa"/>
            <w:vAlign w:val="top"/>
          </w:tcPr>
          <w:p w14:paraId="30A91801">
            <w:pPr>
              <w:pStyle w:val="81"/>
              <w:spacing w:before="100"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热镀锌钢管管件</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25</w:t>
            </w:r>
          </w:p>
        </w:tc>
        <w:tc>
          <w:tcPr>
            <w:tcW w:w="2417" w:type="dxa"/>
            <w:vAlign w:val="top"/>
          </w:tcPr>
          <w:p w14:paraId="4CFF3CBB">
            <w:pPr>
              <w:pStyle w:val="81"/>
              <w:spacing w:before="150" w:line="183" w:lineRule="auto"/>
              <w:ind w:left="106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DN25</w:t>
            </w:r>
          </w:p>
        </w:tc>
        <w:tc>
          <w:tcPr>
            <w:tcW w:w="939" w:type="dxa"/>
            <w:vAlign w:val="top"/>
          </w:tcPr>
          <w:p w14:paraId="43CE6C7B">
            <w:pPr>
              <w:pStyle w:val="81"/>
              <w:spacing w:before="101"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44E2B1B5">
            <w:pPr>
              <w:pStyle w:val="81"/>
              <w:spacing w:before="120" w:line="239" w:lineRule="auto"/>
              <w:ind w:left="73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4.62</w:t>
            </w:r>
          </w:p>
        </w:tc>
      </w:tr>
      <w:tr w14:paraId="5A8FD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6B56E434">
            <w:pPr>
              <w:pStyle w:val="81"/>
              <w:spacing w:before="120"/>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28</w:t>
            </w:r>
          </w:p>
        </w:tc>
        <w:tc>
          <w:tcPr>
            <w:tcW w:w="2837" w:type="dxa"/>
            <w:vAlign w:val="top"/>
          </w:tcPr>
          <w:p w14:paraId="09493C5A">
            <w:pPr>
              <w:pStyle w:val="81"/>
              <w:spacing w:before="101"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成品管卡</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2"/>
                <w:sz w:val="21"/>
                <w:szCs w:val="21"/>
                <w:highlight w:val="none"/>
              </w:rPr>
              <w:t>100</w:t>
            </w:r>
          </w:p>
        </w:tc>
        <w:tc>
          <w:tcPr>
            <w:tcW w:w="2417" w:type="dxa"/>
            <w:vAlign w:val="top"/>
          </w:tcPr>
          <w:p w14:paraId="41FA56D7">
            <w:pPr>
              <w:pStyle w:val="81"/>
              <w:spacing w:before="101" w:line="219" w:lineRule="auto"/>
              <w:ind w:left="49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公称直径100m以内</w:t>
            </w:r>
          </w:p>
        </w:tc>
        <w:tc>
          <w:tcPr>
            <w:tcW w:w="939" w:type="dxa"/>
            <w:vAlign w:val="top"/>
          </w:tcPr>
          <w:p w14:paraId="03BB92DB">
            <w:pPr>
              <w:pStyle w:val="81"/>
              <w:spacing w:before="102"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2FCE7228">
            <w:pPr>
              <w:pStyle w:val="81"/>
              <w:spacing w:before="120" w:line="239" w:lineRule="auto"/>
              <w:ind w:left="73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4.62</w:t>
            </w:r>
          </w:p>
        </w:tc>
      </w:tr>
      <w:tr w14:paraId="31C26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7756D774">
            <w:pPr>
              <w:pStyle w:val="81"/>
              <w:spacing w:before="110"/>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29</w:t>
            </w:r>
          </w:p>
        </w:tc>
        <w:tc>
          <w:tcPr>
            <w:tcW w:w="2837" w:type="dxa"/>
            <w:vAlign w:val="top"/>
          </w:tcPr>
          <w:p w14:paraId="46763C8F">
            <w:pPr>
              <w:pStyle w:val="81"/>
              <w:spacing w:before="91"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成品管卡DN50</w:t>
            </w:r>
          </w:p>
        </w:tc>
        <w:tc>
          <w:tcPr>
            <w:tcW w:w="2417" w:type="dxa"/>
            <w:vAlign w:val="top"/>
          </w:tcPr>
          <w:p w14:paraId="4B12841F">
            <w:pPr>
              <w:pStyle w:val="81"/>
              <w:spacing w:before="91" w:line="219" w:lineRule="auto"/>
              <w:ind w:left="49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公称直径50</w:t>
            </w:r>
            <w:r>
              <w:rPr>
                <w:rFonts w:hint="eastAsia" w:asciiTheme="minorEastAsia" w:hAnsiTheme="minorEastAsia" w:eastAsiaTheme="minorEastAsia" w:cstheme="minorEastAsia"/>
                <w:color w:val="auto"/>
                <w:sz w:val="21"/>
                <w:szCs w:val="21"/>
                <w:highlight w:val="none"/>
              </w:rPr>
              <w:t>mm</w:t>
            </w:r>
            <w:r>
              <w:rPr>
                <w:rFonts w:hint="eastAsia" w:asciiTheme="minorEastAsia" w:hAnsiTheme="minorEastAsia" w:eastAsiaTheme="minorEastAsia" w:cstheme="minorEastAsia"/>
                <w:color w:val="auto"/>
                <w:spacing w:val="3"/>
                <w:sz w:val="21"/>
                <w:szCs w:val="21"/>
                <w:highlight w:val="none"/>
              </w:rPr>
              <w:t>以内</w:t>
            </w:r>
          </w:p>
        </w:tc>
        <w:tc>
          <w:tcPr>
            <w:tcW w:w="939" w:type="dxa"/>
            <w:vAlign w:val="top"/>
          </w:tcPr>
          <w:p w14:paraId="1DE408DE">
            <w:pPr>
              <w:pStyle w:val="81"/>
              <w:spacing w:before="92"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5D81E1C9">
            <w:pPr>
              <w:pStyle w:val="81"/>
              <w:spacing w:before="110" w:line="239" w:lineRule="auto"/>
              <w:ind w:left="73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2.79</w:t>
            </w:r>
          </w:p>
        </w:tc>
      </w:tr>
      <w:tr w14:paraId="4BF08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49C3C62A">
            <w:pPr>
              <w:pStyle w:val="81"/>
              <w:spacing w:before="110"/>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30</w:t>
            </w:r>
          </w:p>
        </w:tc>
        <w:tc>
          <w:tcPr>
            <w:tcW w:w="2837" w:type="dxa"/>
            <w:vAlign w:val="top"/>
          </w:tcPr>
          <w:p w14:paraId="383FE029">
            <w:pPr>
              <w:pStyle w:val="81"/>
              <w:spacing w:before="91"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lang w:val="en-US" w:eastAsia="zh-CN"/>
              </w:rPr>
              <w:t>干</w:t>
            </w:r>
            <w:r>
              <w:rPr>
                <w:rFonts w:hint="eastAsia" w:asciiTheme="minorEastAsia" w:hAnsiTheme="minorEastAsia" w:eastAsiaTheme="minorEastAsia" w:cstheme="minorEastAsia"/>
                <w:color w:val="auto"/>
                <w:spacing w:val="-2"/>
                <w:sz w:val="21"/>
                <w:szCs w:val="21"/>
                <w:highlight w:val="none"/>
              </w:rPr>
              <w:t>混界面砂浆</w:t>
            </w:r>
          </w:p>
        </w:tc>
        <w:tc>
          <w:tcPr>
            <w:tcW w:w="2417" w:type="dxa"/>
            <w:vAlign w:val="top"/>
          </w:tcPr>
          <w:p w14:paraId="5D09F4EF">
            <w:pPr>
              <w:pStyle w:val="81"/>
              <w:spacing w:before="139" w:line="184" w:lineRule="auto"/>
              <w:ind w:left="91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DIT M10</w:t>
            </w:r>
          </w:p>
        </w:tc>
        <w:tc>
          <w:tcPr>
            <w:tcW w:w="939" w:type="dxa"/>
            <w:vAlign w:val="top"/>
          </w:tcPr>
          <w:p w14:paraId="48001955">
            <w:pPr>
              <w:pStyle w:val="81"/>
              <w:spacing w:before="110"/>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m3</w:t>
            </w:r>
          </w:p>
        </w:tc>
        <w:tc>
          <w:tcPr>
            <w:tcW w:w="1793" w:type="dxa"/>
            <w:vAlign w:val="top"/>
          </w:tcPr>
          <w:p w14:paraId="2C83B027">
            <w:pPr>
              <w:pStyle w:val="81"/>
              <w:spacing w:before="110" w:line="239" w:lineRule="auto"/>
              <w:ind w:left="63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539.82</w:t>
            </w:r>
          </w:p>
        </w:tc>
      </w:tr>
      <w:tr w14:paraId="609BA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3F2C0442">
            <w:pPr>
              <w:pStyle w:val="81"/>
              <w:spacing w:before="111"/>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31</w:t>
            </w:r>
          </w:p>
        </w:tc>
        <w:tc>
          <w:tcPr>
            <w:tcW w:w="2837" w:type="dxa"/>
            <w:vAlign w:val="top"/>
          </w:tcPr>
          <w:p w14:paraId="7EE17F77">
            <w:pPr>
              <w:pStyle w:val="81"/>
              <w:spacing w:before="91"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24U弱电机柜</w:t>
            </w:r>
          </w:p>
        </w:tc>
        <w:tc>
          <w:tcPr>
            <w:tcW w:w="2417" w:type="dxa"/>
            <w:vAlign w:val="top"/>
          </w:tcPr>
          <w:p w14:paraId="27DBAC21">
            <w:pPr>
              <w:pStyle w:val="81"/>
              <w:spacing w:before="93" w:line="221" w:lineRule="auto"/>
              <w:ind w:left="96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落地式</w:t>
            </w:r>
          </w:p>
        </w:tc>
        <w:tc>
          <w:tcPr>
            <w:tcW w:w="939" w:type="dxa"/>
            <w:vAlign w:val="top"/>
          </w:tcPr>
          <w:p w14:paraId="016D9D15">
            <w:pPr>
              <w:pStyle w:val="81"/>
              <w:spacing w:before="92"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02BE3DE1">
            <w:pPr>
              <w:pStyle w:val="81"/>
              <w:spacing w:before="111" w:line="239" w:lineRule="auto"/>
              <w:ind w:left="63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1638.9</w:t>
            </w:r>
          </w:p>
        </w:tc>
      </w:tr>
      <w:tr w14:paraId="67644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3DE4EB95">
            <w:pPr>
              <w:pStyle w:val="81"/>
              <w:spacing w:before="121"/>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32</w:t>
            </w:r>
          </w:p>
        </w:tc>
        <w:tc>
          <w:tcPr>
            <w:tcW w:w="2837" w:type="dxa"/>
            <w:vAlign w:val="top"/>
          </w:tcPr>
          <w:p w14:paraId="57EC4D95">
            <w:pPr>
              <w:pStyle w:val="81"/>
              <w:spacing w:before="101"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12U弱电机柜</w:t>
            </w:r>
          </w:p>
        </w:tc>
        <w:tc>
          <w:tcPr>
            <w:tcW w:w="2417" w:type="dxa"/>
            <w:vAlign w:val="top"/>
          </w:tcPr>
          <w:p w14:paraId="4928762A">
            <w:pPr>
              <w:pStyle w:val="81"/>
              <w:spacing w:before="103" w:line="221" w:lineRule="auto"/>
              <w:ind w:left="96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落地式</w:t>
            </w:r>
          </w:p>
        </w:tc>
        <w:tc>
          <w:tcPr>
            <w:tcW w:w="939" w:type="dxa"/>
            <w:vAlign w:val="top"/>
          </w:tcPr>
          <w:p w14:paraId="3240BAB7">
            <w:pPr>
              <w:pStyle w:val="81"/>
              <w:spacing w:before="102"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27288B3E">
            <w:pPr>
              <w:pStyle w:val="81"/>
              <w:spacing w:before="121" w:line="239" w:lineRule="auto"/>
              <w:ind w:left="58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1488.05</w:t>
            </w:r>
          </w:p>
        </w:tc>
      </w:tr>
      <w:tr w14:paraId="23FC1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486E180D">
            <w:pPr>
              <w:pStyle w:val="81"/>
              <w:spacing w:before="111"/>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33</w:t>
            </w:r>
          </w:p>
        </w:tc>
        <w:tc>
          <w:tcPr>
            <w:tcW w:w="2837" w:type="dxa"/>
            <w:vAlign w:val="top"/>
          </w:tcPr>
          <w:p w14:paraId="2806E24D">
            <w:pPr>
              <w:pStyle w:val="81"/>
              <w:spacing w:before="93" w:line="220"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配电柜</w:t>
            </w:r>
          </w:p>
        </w:tc>
        <w:tc>
          <w:tcPr>
            <w:tcW w:w="2417" w:type="dxa"/>
            <w:vAlign w:val="top"/>
          </w:tcPr>
          <w:p w14:paraId="619F624E">
            <w:pPr>
              <w:rPr>
                <w:rFonts w:hint="eastAsia" w:asciiTheme="minorEastAsia" w:hAnsiTheme="minorEastAsia" w:eastAsiaTheme="minorEastAsia" w:cstheme="minorEastAsia"/>
                <w:color w:val="auto"/>
                <w:sz w:val="21"/>
                <w:szCs w:val="21"/>
                <w:highlight w:val="none"/>
              </w:rPr>
            </w:pPr>
          </w:p>
        </w:tc>
        <w:tc>
          <w:tcPr>
            <w:tcW w:w="939" w:type="dxa"/>
            <w:vAlign w:val="top"/>
          </w:tcPr>
          <w:p w14:paraId="7ADFC32C">
            <w:pPr>
              <w:pStyle w:val="81"/>
              <w:spacing w:before="95" w:line="221"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台</w:t>
            </w:r>
          </w:p>
        </w:tc>
        <w:tc>
          <w:tcPr>
            <w:tcW w:w="1793" w:type="dxa"/>
            <w:vAlign w:val="top"/>
          </w:tcPr>
          <w:p w14:paraId="7E015FBB">
            <w:pPr>
              <w:pStyle w:val="81"/>
              <w:spacing w:before="111"/>
              <w:ind w:left="68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15769</w:t>
            </w:r>
          </w:p>
        </w:tc>
      </w:tr>
      <w:tr w14:paraId="730BE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52BAC26E">
            <w:pPr>
              <w:pStyle w:val="81"/>
              <w:spacing w:before="122"/>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34</w:t>
            </w:r>
          </w:p>
        </w:tc>
        <w:tc>
          <w:tcPr>
            <w:tcW w:w="2837" w:type="dxa"/>
            <w:vAlign w:val="top"/>
          </w:tcPr>
          <w:p w14:paraId="03E54637">
            <w:pPr>
              <w:pStyle w:val="81"/>
              <w:spacing w:before="103"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卫生间防水按钮</w:t>
            </w:r>
          </w:p>
        </w:tc>
        <w:tc>
          <w:tcPr>
            <w:tcW w:w="2417" w:type="dxa"/>
            <w:vAlign w:val="top"/>
          </w:tcPr>
          <w:p w14:paraId="35EC058D">
            <w:pPr>
              <w:rPr>
                <w:rFonts w:hint="eastAsia" w:asciiTheme="minorEastAsia" w:hAnsiTheme="minorEastAsia" w:eastAsiaTheme="minorEastAsia" w:cstheme="minorEastAsia"/>
                <w:color w:val="auto"/>
                <w:sz w:val="21"/>
                <w:szCs w:val="21"/>
                <w:highlight w:val="none"/>
              </w:rPr>
            </w:pPr>
          </w:p>
        </w:tc>
        <w:tc>
          <w:tcPr>
            <w:tcW w:w="939" w:type="dxa"/>
            <w:vAlign w:val="top"/>
          </w:tcPr>
          <w:p w14:paraId="5BC98A9A">
            <w:pPr>
              <w:pStyle w:val="81"/>
              <w:spacing w:before="103"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27B056B8">
            <w:pPr>
              <w:pStyle w:val="81"/>
              <w:spacing w:before="122"/>
              <w:ind w:left="82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45</w:t>
            </w:r>
          </w:p>
        </w:tc>
      </w:tr>
      <w:tr w14:paraId="60014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2F92C22B">
            <w:pPr>
              <w:pStyle w:val="81"/>
              <w:spacing w:before="112"/>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35</w:t>
            </w:r>
          </w:p>
        </w:tc>
        <w:tc>
          <w:tcPr>
            <w:tcW w:w="2837" w:type="dxa"/>
            <w:vAlign w:val="top"/>
          </w:tcPr>
          <w:p w14:paraId="5A7DD4E4">
            <w:pPr>
              <w:pStyle w:val="81"/>
              <w:spacing w:before="92"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9U弱电机柜</w:t>
            </w:r>
          </w:p>
        </w:tc>
        <w:tc>
          <w:tcPr>
            <w:tcW w:w="2417" w:type="dxa"/>
            <w:vAlign w:val="top"/>
          </w:tcPr>
          <w:p w14:paraId="0BEFDD29">
            <w:pPr>
              <w:pStyle w:val="81"/>
              <w:spacing w:before="94" w:line="221" w:lineRule="auto"/>
              <w:ind w:left="96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落地式</w:t>
            </w:r>
          </w:p>
        </w:tc>
        <w:tc>
          <w:tcPr>
            <w:tcW w:w="939" w:type="dxa"/>
            <w:vAlign w:val="top"/>
          </w:tcPr>
          <w:p w14:paraId="0D21A555">
            <w:pPr>
              <w:pStyle w:val="81"/>
              <w:spacing w:before="93"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6CFF30CB">
            <w:pPr>
              <w:pStyle w:val="81"/>
              <w:spacing w:before="112" w:line="239" w:lineRule="auto"/>
              <w:ind w:left="58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1093.81</w:t>
            </w:r>
          </w:p>
        </w:tc>
      </w:tr>
      <w:tr w14:paraId="13D39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14" w:type="dxa"/>
            <w:gridSpan w:val="2"/>
            <w:vAlign w:val="top"/>
          </w:tcPr>
          <w:p w14:paraId="1F9A75F3">
            <w:pPr>
              <w:pStyle w:val="81"/>
              <w:spacing w:before="123" w:line="239" w:lineRule="auto"/>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36</w:t>
            </w:r>
          </w:p>
        </w:tc>
        <w:tc>
          <w:tcPr>
            <w:tcW w:w="2837" w:type="dxa"/>
            <w:vAlign w:val="top"/>
          </w:tcPr>
          <w:p w14:paraId="24ABF35F">
            <w:pPr>
              <w:pStyle w:val="81"/>
              <w:spacing w:before="103"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0"/>
                <w:sz w:val="21"/>
                <w:szCs w:val="21"/>
                <w:highlight w:val="none"/>
              </w:rPr>
              <w:t>护士站台—康复楼</w:t>
            </w:r>
          </w:p>
        </w:tc>
        <w:tc>
          <w:tcPr>
            <w:tcW w:w="2417" w:type="dxa"/>
            <w:vAlign w:val="top"/>
          </w:tcPr>
          <w:p w14:paraId="7A1FB707">
            <w:pPr>
              <w:rPr>
                <w:rFonts w:hint="eastAsia" w:asciiTheme="minorEastAsia" w:hAnsiTheme="minorEastAsia" w:eastAsiaTheme="minorEastAsia" w:cstheme="minorEastAsia"/>
                <w:color w:val="auto"/>
                <w:sz w:val="21"/>
                <w:szCs w:val="21"/>
                <w:highlight w:val="none"/>
              </w:rPr>
            </w:pPr>
          </w:p>
        </w:tc>
        <w:tc>
          <w:tcPr>
            <w:tcW w:w="939" w:type="dxa"/>
            <w:vAlign w:val="top"/>
          </w:tcPr>
          <w:p w14:paraId="735671C8">
            <w:pPr>
              <w:pStyle w:val="81"/>
              <w:spacing w:before="123" w:line="23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m2</w:t>
            </w:r>
          </w:p>
        </w:tc>
        <w:tc>
          <w:tcPr>
            <w:tcW w:w="1793" w:type="dxa"/>
            <w:vAlign w:val="top"/>
          </w:tcPr>
          <w:p w14:paraId="48CE5317">
            <w:pPr>
              <w:pStyle w:val="81"/>
              <w:spacing w:before="122" w:line="239" w:lineRule="auto"/>
              <w:ind w:left="58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1588.86</w:t>
            </w:r>
          </w:p>
        </w:tc>
      </w:tr>
      <w:tr w14:paraId="413B8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814" w:type="dxa"/>
            <w:gridSpan w:val="2"/>
            <w:vAlign w:val="top"/>
          </w:tcPr>
          <w:p w14:paraId="4D9725CD">
            <w:pPr>
              <w:pStyle w:val="81"/>
              <w:spacing w:before="303"/>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37</w:t>
            </w:r>
          </w:p>
        </w:tc>
        <w:tc>
          <w:tcPr>
            <w:tcW w:w="2837" w:type="dxa"/>
            <w:vAlign w:val="top"/>
          </w:tcPr>
          <w:p w14:paraId="588BDE36">
            <w:pPr>
              <w:pStyle w:val="81"/>
              <w:spacing w:before="284"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室内消火栓</w:t>
            </w:r>
          </w:p>
        </w:tc>
        <w:tc>
          <w:tcPr>
            <w:tcW w:w="2417" w:type="dxa"/>
            <w:vAlign w:val="top"/>
          </w:tcPr>
          <w:p w14:paraId="06B7BB20">
            <w:pPr>
              <w:pStyle w:val="81"/>
              <w:spacing w:before="94" w:line="313" w:lineRule="auto"/>
              <w:ind w:left="1064" w:right="45" w:hanging="99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(暗装)普通公称直径65m</w:t>
            </w:r>
            <w:r>
              <w:rPr>
                <w:rFonts w:hint="eastAsia" w:asciiTheme="minorEastAsia" w:hAnsiTheme="minorEastAsia" w:eastAsiaTheme="minorEastAsia" w:cstheme="minorEastAsia"/>
                <w:color w:val="auto"/>
                <w:spacing w:val="1"/>
                <w:sz w:val="21"/>
                <w:szCs w:val="21"/>
                <w:highlight w:val="none"/>
                <w:lang w:val="en-US" w:eastAsia="zh-CN"/>
              </w:rPr>
              <w:t>m</w:t>
            </w:r>
            <w:r>
              <w:rPr>
                <w:rFonts w:hint="eastAsia" w:asciiTheme="minorEastAsia" w:hAnsiTheme="minorEastAsia" w:eastAsiaTheme="minorEastAsia" w:cstheme="minorEastAsia"/>
                <w:color w:val="auto"/>
                <w:spacing w:val="1"/>
                <w:sz w:val="21"/>
                <w:szCs w:val="21"/>
                <w:highlight w:val="none"/>
              </w:rPr>
              <w:t>以内</w:t>
            </w:r>
            <w:r>
              <w:rPr>
                <w:rFonts w:hint="eastAsia" w:asciiTheme="minorEastAsia" w:hAnsiTheme="minorEastAsia" w:eastAsiaTheme="minorEastAsia" w:cstheme="minorEastAsia"/>
                <w:color w:val="auto"/>
                <w:spacing w:val="5"/>
                <w:sz w:val="21"/>
                <w:szCs w:val="21"/>
                <w:highlight w:val="none"/>
              </w:rPr>
              <w:t xml:space="preserve"> </w:t>
            </w:r>
            <w:r>
              <w:rPr>
                <w:rFonts w:hint="eastAsia" w:asciiTheme="minorEastAsia" w:hAnsiTheme="minorEastAsia" w:eastAsiaTheme="minorEastAsia" w:cstheme="minorEastAsia"/>
                <w:color w:val="auto"/>
                <w:spacing w:val="-3"/>
                <w:sz w:val="21"/>
                <w:szCs w:val="21"/>
                <w:highlight w:val="none"/>
              </w:rPr>
              <w:t>单栓</w:t>
            </w:r>
          </w:p>
        </w:tc>
        <w:tc>
          <w:tcPr>
            <w:tcW w:w="939" w:type="dxa"/>
            <w:vAlign w:val="top"/>
          </w:tcPr>
          <w:p w14:paraId="7E102B60">
            <w:pPr>
              <w:pStyle w:val="81"/>
              <w:spacing w:before="285"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3414E764">
            <w:pPr>
              <w:rPr>
                <w:rFonts w:hint="eastAsia" w:asciiTheme="minorEastAsia" w:hAnsiTheme="minorEastAsia" w:eastAsiaTheme="minorEastAsia" w:cstheme="minorEastAsia"/>
                <w:color w:val="auto"/>
                <w:sz w:val="21"/>
                <w:szCs w:val="21"/>
                <w:highlight w:val="none"/>
              </w:rPr>
            </w:pPr>
          </w:p>
          <w:p w14:paraId="3F87F633">
            <w:pPr>
              <w:pStyle w:val="81"/>
              <w:spacing w:before="61" w:line="239" w:lineRule="auto"/>
              <w:ind w:left="63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560.38</w:t>
            </w:r>
          </w:p>
        </w:tc>
      </w:tr>
      <w:tr w14:paraId="31E64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14" w:type="dxa"/>
            <w:gridSpan w:val="2"/>
            <w:vAlign w:val="top"/>
          </w:tcPr>
          <w:p w14:paraId="2AC14DEE">
            <w:pPr>
              <w:pStyle w:val="81"/>
              <w:spacing w:before="125" w:line="237" w:lineRule="auto"/>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38</w:t>
            </w:r>
          </w:p>
        </w:tc>
        <w:tc>
          <w:tcPr>
            <w:tcW w:w="2837" w:type="dxa"/>
            <w:vAlign w:val="top"/>
          </w:tcPr>
          <w:p w14:paraId="6571B15F">
            <w:pPr>
              <w:pStyle w:val="81"/>
              <w:spacing w:before="105"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岩棉</w:t>
            </w:r>
          </w:p>
        </w:tc>
        <w:tc>
          <w:tcPr>
            <w:tcW w:w="2417" w:type="dxa"/>
            <w:vAlign w:val="top"/>
          </w:tcPr>
          <w:p w14:paraId="1F92E678">
            <w:pPr>
              <w:pStyle w:val="81"/>
              <w:spacing w:before="125" w:line="237" w:lineRule="auto"/>
              <w:ind w:left="101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2"/>
                <w:sz w:val="21"/>
                <w:szCs w:val="21"/>
                <w:highlight w:val="none"/>
              </w:rPr>
              <w:t>δ100</w:t>
            </w:r>
          </w:p>
        </w:tc>
        <w:tc>
          <w:tcPr>
            <w:tcW w:w="939" w:type="dxa"/>
            <w:vAlign w:val="top"/>
          </w:tcPr>
          <w:p w14:paraId="68BC2977">
            <w:pPr>
              <w:pStyle w:val="81"/>
              <w:spacing w:before="125" w:line="237"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m2</w:t>
            </w:r>
          </w:p>
        </w:tc>
        <w:tc>
          <w:tcPr>
            <w:tcW w:w="1793" w:type="dxa"/>
            <w:vAlign w:val="top"/>
          </w:tcPr>
          <w:p w14:paraId="4A7F1AAB">
            <w:pPr>
              <w:pStyle w:val="81"/>
              <w:spacing w:before="125" w:line="237" w:lineRule="auto"/>
              <w:ind w:left="73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33.2</w:t>
            </w:r>
          </w:p>
        </w:tc>
      </w:tr>
      <w:tr w14:paraId="4C669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11560EAF">
            <w:pPr>
              <w:pStyle w:val="81"/>
              <w:spacing w:before="116" w:line="237" w:lineRule="auto"/>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39</w:t>
            </w:r>
          </w:p>
        </w:tc>
        <w:tc>
          <w:tcPr>
            <w:tcW w:w="2837" w:type="dxa"/>
            <w:vAlign w:val="top"/>
          </w:tcPr>
          <w:p w14:paraId="24DE8F12">
            <w:pPr>
              <w:pStyle w:val="81"/>
              <w:spacing w:before="96"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智慧病房信息交互服务器</w:t>
            </w:r>
          </w:p>
        </w:tc>
        <w:tc>
          <w:tcPr>
            <w:tcW w:w="2417" w:type="dxa"/>
            <w:vAlign w:val="top"/>
          </w:tcPr>
          <w:p w14:paraId="1902425C">
            <w:pPr>
              <w:rPr>
                <w:rFonts w:hint="eastAsia" w:asciiTheme="minorEastAsia" w:hAnsiTheme="minorEastAsia" w:eastAsiaTheme="minorEastAsia" w:cstheme="minorEastAsia"/>
                <w:color w:val="auto"/>
                <w:sz w:val="21"/>
                <w:szCs w:val="21"/>
                <w:highlight w:val="none"/>
              </w:rPr>
            </w:pPr>
          </w:p>
        </w:tc>
        <w:tc>
          <w:tcPr>
            <w:tcW w:w="939" w:type="dxa"/>
            <w:vAlign w:val="top"/>
          </w:tcPr>
          <w:p w14:paraId="6B98E003">
            <w:pPr>
              <w:pStyle w:val="81"/>
              <w:spacing w:before="97"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25EA0D6F">
            <w:pPr>
              <w:pStyle w:val="81"/>
              <w:spacing w:before="116" w:line="237" w:lineRule="auto"/>
              <w:ind w:left="58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23219.2</w:t>
            </w:r>
          </w:p>
        </w:tc>
      </w:tr>
      <w:tr w14:paraId="75CBC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814" w:type="dxa"/>
            <w:gridSpan w:val="2"/>
            <w:vAlign w:val="top"/>
          </w:tcPr>
          <w:p w14:paraId="17D53226">
            <w:pPr>
              <w:spacing w:line="251" w:lineRule="auto"/>
              <w:rPr>
                <w:rFonts w:hint="eastAsia" w:asciiTheme="minorEastAsia" w:hAnsiTheme="minorEastAsia" w:eastAsiaTheme="minorEastAsia" w:cstheme="minorEastAsia"/>
                <w:color w:val="auto"/>
                <w:sz w:val="21"/>
                <w:szCs w:val="21"/>
                <w:highlight w:val="none"/>
              </w:rPr>
            </w:pPr>
          </w:p>
          <w:p w14:paraId="77FBB79C">
            <w:pPr>
              <w:pStyle w:val="81"/>
              <w:spacing w:before="62"/>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40</w:t>
            </w:r>
          </w:p>
        </w:tc>
        <w:tc>
          <w:tcPr>
            <w:tcW w:w="2837" w:type="dxa"/>
            <w:vAlign w:val="top"/>
          </w:tcPr>
          <w:p w14:paraId="03B94ADA">
            <w:pPr>
              <w:pStyle w:val="81"/>
              <w:spacing w:before="86" w:line="322"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3"/>
                <w:sz w:val="21"/>
                <w:szCs w:val="21"/>
                <w:highlight w:val="none"/>
              </w:rPr>
              <w:t>护士站台一老门诊</w:t>
            </w:r>
            <w:r>
              <w:rPr>
                <w:rFonts w:hint="eastAsia" w:asciiTheme="minorEastAsia" w:hAnsiTheme="minorEastAsia" w:eastAsiaTheme="minorEastAsia" w:cstheme="minorEastAsia"/>
                <w:color w:val="auto"/>
                <w:spacing w:val="-22"/>
                <w:sz w:val="21"/>
                <w:szCs w:val="21"/>
                <w:highlight w:val="none"/>
              </w:rPr>
              <w:t>楼、儿科综合楼、</w:t>
            </w:r>
            <w:r>
              <w:rPr>
                <w:rFonts w:hint="eastAsia" w:asciiTheme="minorEastAsia" w:hAnsiTheme="minorEastAsia" w:eastAsiaTheme="minorEastAsia" w:cstheme="minorEastAsia"/>
                <w:color w:val="auto"/>
                <w:spacing w:val="-14"/>
                <w:sz w:val="21"/>
                <w:szCs w:val="21"/>
                <w:highlight w:val="none"/>
              </w:rPr>
              <w:t>急</w:t>
            </w:r>
            <w:r>
              <w:rPr>
                <w:rFonts w:hint="eastAsia" w:asciiTheme="minorEastAsia" w:hAnsiTheme="minorEastAsia" w:eastAsiaTheme="minorEastAsia" w:cstheme="minorEastAsia"/>
                <w:color w:val="auto"/>
                <w:spacing w:val="-2"/>
                <w:sz w:val="21"/>
                <w:szCs w:val="21"/>
                <w:highlight w:val="none"/>
              </w:rPr>
              <w:t>诊楼、放射楼</w:t>
            </w:r>
          </w:p>
        </w:tc>
        <w:tc>
          <w:tcPr>
            <w:tcW w:w="2417" w:type="dxa"/>
            <w:vAlign w:val="top"/>
          </w:tcPr>
          <w:p w14:paraId="0E4CD0E4">
            <w:pPr>
              <w:rPr>
                <w:rFonts w:hint="eastAsia" w:asciiTheme="minorEastAsia" w:hAnsiTheme="minorEastAsia" w:eastAsiaTheme="minorEastAsia" w:cstheme="minorEastAsia"/>
                <w:color w:val="auto"/>
                <w:sz w:val="21"/>
                <w:szCs w:val="21"/>
                <w:highlight w:val="none"/>
              </w:rPr>
            </w:pPr>
          </w:p>
        </w:tc>
        <w:tc>
          <w:tcPr>
            <w:tcW w:w="939" w:type="dxa"/>
            <w:vAlign w:val="top"/>
          </w:tcPr>
          <w:p w14:paraId="71D8FB76">
            <w:pPr>
              <w:spacing w:line="252" w:lineRule="auto"/>
              <w:rPr>
                <w:rFonts w:hint="eastAsia" w:asciiTheme="minorEastAsia" w:hAnsiTheme="minorEastAsia" w:eastAsiaTheme="minorEastAsia" w:cstheme="minorEastAsia"/>
                <w:color w:val="auto"/>
                <w:sz w:val="21"/>
                <w:szCs w:val="21"/>
                <w:highlight w:val="none"/>
              </w:rPr>
            </w:pPr>
          </w:p>
          <w:p w14:paraId="7D6CF7DA">
            <w:pPr>
              <w:pStyle w:val="81"/>
              <w:spacing w:before="62" w:line="241"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m2</w:t>
            </w:r>
          </w:p>
        </w:tc>
        <w:tc>
          <w:tcPr>
            <w:tcW w:w="1793" w:type="dxa"/>
            <w:vAlign w:val="top"/>
          </w:tcPr>
          <w:p w14:paraId="6274CA76">
            <w:pPr>
              <w:spacing w:line="252" w:lineRule="auto"/>
              <w:rPr>
                <w:rFonts w:hint="eastAsia" w:asciiTheme="minorEastAsia" w:hAnsiTheme="minorEastAsia" w:eastAsiaTheme="minorEastAsia" w:cstheme="minorEastAsia"/>
                <w:color w:val="auto"/>
                <w:sz w:val="21"/>
                <w:szCs w:val="21"/>
                <w:highlight w:val="none"/>
              </w:rPr>
            </w:pPr>
          </w:p>
          <w:p w14:paraId="72E0C0D3">
            <w:pPr>
              <w:pStyle w:val="81"/>
              <w:spacing w:before="61" w:line="239" w:lineRule="auto"/>
              <w:ind w:left="58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1510.03</w:t>
            </w:r>
          </w:p>
        </w:tc>
      </w:tr>
      <w:tr w14:paraId="00509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4F390D43">
            <w:pPr>
              <w:pStyle w:val="81"/>
              <w:spacing w:before="117" w:line="236" w:lineRule="auto"/>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41</w:t>
            </w:r>
          </w:p>
        </w:tc>
        <w:tc>
          <w:tcPr>
            <w:tcW w:w="2837" w:type="dxa"/>
            <w:vAlign w:val="top"/>
          </w:tcPr>
          <w:p w14:paraId="50448E43">
            <w:pPr>
              <w:pStyle w:val="81"/>
              <w:spacing w:before="98" w:line="220"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护士站液晶显示屏</w:t>
            </w:r>
          </w:p>
        </w:tc>
        <w:tc>
          <w:tcPr>
            <w:tcW w:w="2417" w:type="dxa"/>
            <w:vAlign w:val="top"/>
          </w:tcPr>
          <w:p w14:paraId="49AC5674">
            <w:pPr>
              <w:rPr>
                <w:rFonts w:hint="eastAsia" w:asciiTheme="minorEastAsia" w:hAnsiTheme="minorEastAsia" w:eastAsiaTheme="minorEastAsia" w:cstheme="minorEastAsia"/>
                <w:color w:val="auto"/>
                <w:sz w:val="21"/>
                <w:szCs w:val="21"/>
                <w:highlight w:val="none"/>
              </w:rPr>
            </w:pPr>
          </w:p>
        </w:tc>
        <w:tc>
          <w:tcPr>
            <w:tcW w:w="939" w:type="dxa"/>
            <w:vAlign w:val="top"/>
          </w:tcPr>
          <w:p w14:paraId="652B0AF0">
            <w:pPr>
              <w:pStyle w:val="81"/>
              <w:spacing w:before="100" w:line="221"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台</w:t>
            </w:r>
          </w:p>
        </w:tc>
        <w:tc>
          <w:tcPr>
            <w:tcW w:w="1793" w:type="dxa"/>
            <w:vAlign w:val="top"/>
          </w:tcPr>
          <w:p w14:paraId="3DF5BE63">
            <w:pPr>
              <w:pStyle w:val="81"/>
              <w:spacing w:before="117" w:line="236" w:lineRule="auto"/>
              <w:ind w:left="58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2214.16</w:t>
            </w:r>
          </w:p>
        </w:tc>
      </w:tr>
      <w:tr w14:paraId="650D2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814" w:type="dxa"/>
            <w:gridSpan w:val="2"/>
            <w:vAlign w:val="top"/>
          </w:tcPr>
          <w:p w14:paraId="2C3CD9BE">
            <w:pPr>
              <w:pStyle w:val="81"/>
              <w:spacing w:before="126" w:line="241" w:lineRule="auto"/>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42</w:t>
            </w:r>
          </w:p>
        </w:tc>
        <w:tc>
          <w:tcPr>
            <w:tcW w:w="2837" w:type="dxa"/>
            <w:vAlign w:val="top"/>
          </w:tcPr>
          <w:p w14:paraId="12836B3A">
            <w:pPr>
              <w:pStyle w:val="81"/>
              <w:spacing w:before="106"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加药机</w:t>
            </w:r>
          </w:p>
        </w:tc>
        <w:tc>
          <w:tcPr>
            <w:tcW w:w="2417" w:type="dxa"/>
            <w:vAlign w:val="top"/>
          </w:tcPr>
          <w:p w14:paraId="7E3D0AE6">
            <w:pPr>
              <w:rPr>
                <w:rFonts w:hint="eastAsia" w:asciiTheme="minorEastAsia" w:hAnsiTheme="minorEastAsia" w:eastAsiaTheme="minorEastAsia" w:cstheme="minorEastAsia"/>
                <w:color w:val="auto"/>
                <w:sz w:val="21"/>
                <w:szCs w:val="21"/>
                <w:highlight w:val="none"/>
              </w:rPr>
            </w:pPr>
          </w:p>
        </w:tc>
        <w:tc>
          <w:tcPr>
            <w:tcW w:w="939" w:type="dxa"/>
            <w:vAlign w:val="top"/>
          </w:tcPr>
          <w:p w14:paraId="69283943">
            <w:pPr>
              <w:pStyle w:val="81"/>
              <w:spacing w:before="110" w:line="221"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台</w:t>
            </w:r>
          </w:p>
        </w:tc>
        <w:tc>
          <w:tcPr>
            <w:tcW w:w="1793" w:type="dxa"/>
            <w:vAlign w:val="top"/>
          </w:tcPr>
          <w:p w14:paraId="03B40E7B">
            <w:pPr>
              <w:pStyle w:val="81"/>
              <w:spacing w:before="126" w:line="239" w:lineRule="auto"/>
              <w:ind w:left="54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42477.88</w:t>
            </w:r>
          </w:p>
        </w:tc>
      </w:tr>
      <w:tr w14:paraId="08F3D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814" w:type="dxa"/>
            <w:gridSpan w:val="2"/>
            <w:vAlign w:val="top"/>
          </w:tcPr>
          <w:p w14:paraId="51DFB236">
            <w:pPr>
              <w:pStyle w:val="81"/>
              <w:spacing w:before="117"/>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43</w:t>
            </w:r>
          </w:p>
        </w:tc>
        <w:tc>
          <w:tcPr>
            <w:tcW w:w="2837" w:type="dxa"/>
            <w:vAlign w:val="top"/>
          </w:tcPr>
          <w:p w14:paraId="32AD59B1">
            <w:pPr>
              <w:pStyle w:val="81"/>
              <w:spacing w:before="98"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医护对讲信息系统管理软件</w:t>
            </w:r>
          </w:p>
        </w:tc>
        <w:tc>
          <w:tcPr>
            <w:tcW w:w="2417" w:type="dxa"/>
            <w:vAlign w:val="top"/>
          </w:tcPr>
          <w:p w14:paraId="07BDDC80">
            <w:pPr>
              <w:rPr>
                <w:rFonts w:hint="eastAsia" w:asciiTheme="minorEastAsia" w:hAnsiTheme="minorEastAsia" w:eastAsiaTheme="minorEastAsia" w:cstheme="minorEastAsia"/>
                <w:color w:val="auto"/>
                <w:sz w:val="21"/>
                <w:szCs w:val="21"/>
                <w:highlight w:val="none"/>
              </w:rPr>
            </w:pPr>
          </w:p>
        </w:tc>
        <w:tc>
          <w:tcPr>
            <w:tcW w:w="939" w:type="dxa"/>
            <w:vAlign w:val="top"/>
          </w:tcPr>
          <w:p w14:paraId="404AB8FA">
            <w:pPr>
              <w:pStyle w:val="81"/>
              <w:spacing w:before="99"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2EC9EBBE">
            <w:pPr>
              <w:pStyle w:val="81"/>
              <w:spacing w:before="117" w:line="239" w:lineRule="auto"/>
              <w:ind w:left="54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21186.73</w:t>
            </w:r>
          </w:p>
        </w:tc>
      </w:tr>
      <w:tr w14:paraId="15564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24" w:type="dxa"/>
            <w:vAlign w:val="top"/>
          </w:tcPr>
          <w:p w14:paraId="3D2D5AFD">
            <w:pPr>
              <w:pStyle w:val="81"/>
              <w:spacing w:before="112" w:line="235" w:lineRule="auto"/>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44</w:t>
            </w:r>
          </w:p>
        </w:tc>
        <w:tc>
          <w:tcPr>
            <w:tcW w:w="2927" w:type="dxa"/>
            <w:gridSpan w:val="2"/>
            <w:vAlign w:val="top"/>
          </w:tcPr>
          <w:p w14:paraId="7C9B59F4">
            <w:pPr>
              <w:pStyle w:val="81"/>
              <w:spacing w:before="92" w:line="219"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轻钢龙骨不上人型(平面</w:t>
            </w:r>
            <w:r>
              <w:rPr>
                <w:rFonts w:hint="eastAsia" w:asciiTheme="minorEastAsia" w:hAnsiTheme="minorEastAsia" w:eastAsiaTheme="minorEastAsia" w:cstheme="minorEastAsia"/>
                <w:color w:val="auto"/>
                <w:spacing w:val="-1"/>
                <w:sz w:val="21"/>
                <w:szCs w:val="21"/>
                <w:highlight w:val="none"/>
                <w:lang w:eastAsia="zh-CN"/>
              </w:rPr>
              <w:t>）</w:t>
            </w:r>
            <w:r>
              <w:rPr>
                <w:rFonts w:hint="eastAsia" w:asciiTheme="minorEastAsia" w:hAnsiTheme="minorEastAsia" w:eastAsiaTheme="minorEastAsia" w:cstheme="minorEastAsia"/>
                <w:color w:val="auto"/>
                <w:spacing w:val="-1"/>
                <w:sz w:val="21"/>
                <w:szCs w:val="21"/>
                <w:highlight w:val="none"/>
              </w:rPr>
              <w:t>600*600</w:t>
            </w:r>
          </w:p>
        </w:tc>
        <w:tc>
          <w:tcPr>
            <w:tcW w:w="2417" w:type="dxa"/>
            <w:vAlign w:val="top"/>
          </w:tcPr>
          <w:p w14:paraId="748FE446">
            <w:pPr>
              <w:rPr>
                <w:rFonts w:hint="eastAsia" w:asciiTheme="minorEastAsia" w:hAnsiTheme="minorEastAsia" w:eastAsiaTheme="minorEastAsia" w:cstheme="minorEastAsia"/>
                <w:color w:val="auto"/>
                <w:sz w:val="21"/>
                <w:szCs w:val="21"/>
                <w:highlight w:val="none"/>
              </w:rPr>
            </w:pPr>
          </w:p>
        </w:tc>
        <w:tc>
          <w:tcPr>
            <w:tcW w:w="939" w:type="dxa"/>
            <w:vAlign w:val="top"/>
          </w:tcPr>
          <w:p w14:paraId="151A08ED">
            <w:pPr>
              <w:pStyle w:val="81"/>
              <w:spacing w:before="112" w:line="235"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m2</w:t>
            </w:r>
          </w:p>
        </w:tc>
        <w:tc>
          <w:tcPr>
            <w:tcW w:w="1793" w:type="dxa"/>
            <w:vAlign w:val="top"/>
          </w:tcPr>
          <w:p w14:paraId="20BDDA38">
            <w:pPr>
              <w:pStyle w:val="81"/>
              <w:spacing w:before="112" w:line="235" w:lineRule="auto"/>
              <w:ind w:left="6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9.12</w:t>
            </w:r>
          </w:p>
        </w:tc>
      </w:tr>
      <w:tr w14:paraId="6AC2D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724" w:type="dxa"/>
            <w:vAlign w:val="top"/>
          </w:tcPr>
          <w:p w14:paraId="45858E6F">
            <w:pPr>
              <w:pStyle w:val="81"/>
              <w:spacing w:before="107"/>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45</w:t>
            </w:r>
          </w:p>
        </w:tc>
        <w:tc>
          <w:tcPr>
            <w:tcW w:w="2927" w:type="dxa"/>
            <w:gridSpan w:val="2"/>
            <w:vAlign w:val="top"/>
          </w:tcPr>
          <w:p w14:paraId="1775A8EE">
            <w:pPr>
              <w:pStyle w:val="81"/>
              <w:spacing w:before="89" w:line="220"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走廊显示屏</w:t>
            </w:r>
          </w:p>
        </w:tc>
        <w:tc>
          <w:tcPr>
            <w:tcW w:w="2417" w:type="dxa"/>
            <w:vAlign w:val="top"/>
          </w:tcPr>
          <w:p w14:paraId="1F05CE84">
            <w:pPr>
              <w:rPr>
                <w:rFonts w:hint="eastAsia" w:asciiTheme="minorEastAsia" w:hAnsiTheme="minorEastAsia" w:eastAsiaTheme="minorEastAsia" w:cstheme="minorEastAsia"/>
                <w:color w:val="auto"/>
                <w:sz w:val="21"/>
                <w:szCs w:val="21"/>
                <w:highlight w:val="none"/>
              </w:rPr>
            </w:pPr>
          </w:p>
        </w:tc>
        <w:tc>
          <w:tcPr>
            <w:tcW w:w="939" w:type="dxa"/>
            <w:vAlign w:val="top"/>
          </w:tcPr>
          <w:p w14:paraId="1EBCA27F">
            <w:pPr>
              <w:pStyle w:val="81"/>
              <w:spacing w:before="91" w:line="221"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台</w:t>
            </w:r>
          </w:p>
        </w:tc>
        <w:tc>
          <w:tcPr>
            <w:tcW w:w="1793" w:type="dxa"/>
            <w:vAlign w:val="top"/>
          </w:tcPr>
          <w:p w14:paraId="6F758606">
            <w:pPr>
              <w:pStyle w:val="81"/>
              <w:spacing w:before="107" w:line="239" w:lineRule="auto"/>
              <w:ind w:left="51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2473.45</w:t>
            </w:r>
          </w:p>
        </w:tc>
      </w:tr>
      <w:tr w14:paraId="60CB8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724" w:type="dxa"/>
            <w:vAlign w:val="top"/>
          </w:tcPr>
          <w:p w14:paraId="308AD31E">
            <w:pPr>
              <w:pStyle w:val="81"/>
              <w:spacing w:before="109" w:line="233" w:lineRule="auto"/>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46</w:t>
            </w:r>
          </w:p>
        </w:tc>
        <w:tc>
          <w:tcPr>
            <w:tcW w:w="2927" w:type="dxa"/>
            <w:gridSpan w:val="2"/>
            <w:vAlign w:val="top"/>
          </w:tcPr>
          <w:p w14:paraId="22086CE3">
            <w:pPr>
              <w:pStyle w:val="81"/>
              <w:spacing w:before="88" w:line="219"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医护对讲主机</w:t>
            </w:r>
          </w:p>
        </w:tc>
        <w:tc>
          <w:tcPr>
            <w:tcW w:w="2417" w:type="dxa"/>
            <w:vAlign w:val="top"/>
          </w:tcPr>
          <w:p w14:paraId="02A7AE7B">
            <w:pPr>
              <w:rPr>
                <w:rFonts w:hint="eastAsia" w:asciiTheme="minorEastAsia" w:hAnsiTheme="minorEastAsia" w:eastAsiaTheme="minorEastAsia" w:cstheme="minorEastAsia"/>
                <w:color w:val="auto"/>
                <w:sz w:val="21"/>
                <w:szCs w:val="21"/>
                <w:highlight w:val="none"/>
              </w:rPr>
            </w:pPr>
          </w:p>
        </w:tc>
        <w:tc>
          <w:tcPr>
            <w:tcW w:w="939" w:type="dxa"/>
            <w:vAlign w:val="top"/>
          </w:tcPr>
          <w:p w14:paraId="1BCDC26A">
            <w:pPr>
              <w:pStyle w:val="81"/>
              <w:spacing w:before="90"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76A64693">
            <w:pPr>
              <w:pStyle w:val="81"/>
              <w:spacing w:before="109" w:line="233" w:lineRule="auto"/>
              <w:ind w:left="6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4270</w:t>
            </w:r>
          </w:p>
        </w:tc>
      </w:tr>
      <w:tr w14:paraId="5C7188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724" w:type="dxa"/>
            <w:vAlign w:val="top"/>
          </w:tcPr>
          <w:p w14:paraId="7348E48F">
            <w:pPr>
              <w:pStyle w:val="81"/>
              <w:spacing w:before="109"/>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47</w:t>
            </w:r>
          </w:p>
        </w:tc>
        <w:tc>
          <w:tcPr>
            <w:tcW w:w="2927" w:type="dxa"/>
            <w:gridSpan w:val="2"/>
            <w:vAlign w:val="top"/>
          </w:tcPr>
          <w:p w14:paraId="24B3FE30">
            <w:pPr>
              <w:pStyle w:val="81"/>
              <w:spacing w:before="89" w:line="219"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护士站台一外科楼</w:t>
            </w:r>
          </w:p>
        </w:tc>
        <w:tc>
          <w:tcPr>
            <w:tcW w:w="2417" w:type="dxa"/>
            <w:vAlign w:val="top"/>
          </w:tcPr>
          <w:p w14:paraId="3D844371">
            <w:pPr>
              <w:rPr>
                <w:rFonts w:hint="eastAsia" w:asciiTheme="minorEastAsia" w:hAnsiTheme="minorEastAsia" w:eastAsiaTheme="minorEastAsia" w:cstheme="minorEastAsia"/>
                <w:color w:val="auto"/>
                <w:sz w:val="21"/>
                <w:szCs w:val="21"/>
                <w:highlight w:val="none"/>
              </w:rPr>
            </w:pPr>
          </w:p>
        </w:tc>
        <w:tc>
          <w:tcPr>
            <w:tcW w:w="939" w:type="dxa"/>
            <w:vAlign w:val="top"/>
          </w:tcPr>
          <w:p w14:paraId="0A12532C">
            <w:pPr>
              <w:pStyle w:val="81"/>
              <w:spacing w:before="109" w:line="241"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m2</w:t>
            </w:r>
          </w:p>
        </w:tc>
        <w:tc>
          <w:tcPr>
            <w:tcW w:w="1793" w:type="dxa"/>
            <w:vAlign w:val="top"/>
          </w:tcPr>
          <w:p w14:paraId="0A3D1499">
            <w:pPr>
              <w:pStyle w:val="81"/>
              <w:spacing w:before="109" w:line="239" w:lineRule="auto"/>
              <w:ind w:left="51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1342.76</w:t>
            </w:r>
          </w:p>
        </w:tc>
      </w:tr>
      <w:tr w14:paraId="2AB48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724" w:type="dxa"/>
            <w:vAlign w:val="top"/>
          </w:tcPr>
          <w:p w14:paraId="1FC59B29">
            <w:pPr>
              <w:pStyle w:val="81"/>
              <w:spacing w:before="110"/>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48</w:t>
            </w:r>
          </w:p>
        </w:tc>
        <w:tc>
          <w:tcPr>
            <w:tcW w:w="2927" w:type="dxa"/>
            <w:gridSpan w:val="2"/>
            <w:vAlign w:val="top"/>
          </w:tcPr>
          <w:p w14:paraId="2A88C4E5">
            <w:pPr>
              <w:pStyle w:val="81"/>
              <w:spacing w:before="91" w:line="219"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医护对讲系统管理软件</w:t>
            </w:r>
          </w:p>
        </w:tc>
        <w:tc>
          <w:tcPr>
            <w:tcW w:w="2417" w:type="dxa"/>
            <w:vAlign w:val="top"/>
          </w:tcPr>
          <w:p w14:paraId="28A5F5E8">
            <w:pPr>
              <w:rPr>
                <w:rFonts w:hint="eastAsia" w:asciiTheme="minorEastAsia" w:hAnsiTheme="minorEastAsia" w:eastAsiaTheme="minorEastAsia" w:cstheme="minorEastAsia"/>
                <w:color w:val="auto"/>
                <w:sz w:val="21"/>
                <w:szCs w:val="21"/>
                <w:highlight w:val="none"/>
              </w:rPr>
            </w:pPr>
          </w:p>
        </w:tc>
        <w:tc>
          <w:tcPr>
            <w:tcW w:w="939" w:type="dxa"/>
            <w:vAlign w:val="top"/>
          </w:tcPr>
          <w:p w14:paraId="266FC8BC">
            <w:pPr>
              <w:pStyle w:val="81"/>
              <w:spacing w:before="92"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36636A10">
            <w:pPr>
              <w:pStyle w:val="81"/>
              <w:spacing w:before="110" w:line="239" w:lineRule="auto"/>
              <w:ind w:left="51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4324.78</w:t>
            </w:r>
          </w:p>
        </w:tc>
      </w:tr>
      <w:tr w14:paraId="3C74C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724" w:type="dxa"/>
            <w:vAlign w:val="top"/>
          </w:tcPr>
          <w:p w14:paraId="653E6C5E">
            <w:pPr>
              <w:pStyle w:val="81"/>
              <w:spacing w:before="111" w:line="231" w:lineRule="auto"/>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49</w:t>
            </w:r>
          </w:p>
        </w:tc>
        <w:tc>
          <w:tcPr>
            <w:tcW w:w="2927" w:type="dxa"/>
            <w:gridSpan w:val="2"/>
            <w:vAlign w:val="top"/>
          </w:tcPr>
          <w:p w14:paraId="6296951A">
            <w:pPr>
              <w:pStyle w:val="81"/>
              <w:spacing w:before="90" w:line="219"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护士站台一内科楼、体检楼</w:t>
            </w:r>
          </w:p>
        </w:tc>
        <w:tc>
          <w:tcPr>
            <w:tcW w:w="2417" w:type="dxa"/>
            <w:vAlign w:val="top"/>
          </w:tcPr>
          <w:p w14:paraId="08E1FEFB">
            <w:pPr>
              <w:rPr>
                <w:rFonts w:hint="eastAsia" w:asciiTheme="minorEastAsia" w:hAnsiTheme="minorEastAsia" w:eastAsiaTheme="minorEastAsia" w:cstheme="minorEastAsia"/>
                <w:color w:val="auto"/>
                <w:sz w:val="21"/>
                <w:szCs w:val="21"/>
                <w:highlight w:val="none"/>
              </w:rPr>
            </w:pPr>
          </w:p>
        </w:tc>
        <w:tc>
          <w:tcPr>
            <w:tcW w:w="939" w:type="dxa"/>
            <w:vAlign w:val="top"/>
          </w:tcPr>
          <w:p w14:paraId="47FE59F8">
            <w:pPr>
              <w:pStyle w:val="81"/>
              <w:spacing w:before="111" w:line="231"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m2</w:t>
            </w:r>
          </w:p>
        </w:tc>
        <w:tc>
          <w:tcPr>
            <w:tcW w:w="1793" w:type="dxa"/>
            <w:vAlign w:val="top"/>
          </w:tcPr>
          <w:p w14:paraId="2E7A4DEC">
            <w:pPr>
              <w:pStyle w:val="81"/>
              <w:spacing w:before="111" w:line="231" w:lineRule="auto"/>
              <w:ind w:left="5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1389.4</w:t>
            </w:r>
          </w:p>
        </w:tc>
      </w:tr>
      <w:tr w14:paraId="58A97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724" w:type="dxa"/>
            <w:vAlign w:val="top"/>
          </w:tcPr>
          <w:p w14:paraId="20F77F2B">
            <w:pPr>
              <w:pStyle w:val="81"/>
              <w:spacing w:before="111"/>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50</w:t>
            </w:r>
          </w:p>
        </w:tc>
        <w:tc>
          <w:tcPr>
            <w:tcW w:w="2927" w:type="dxa"/>
            <w:gridSpan w:val="2"/>
            <w:vAlign w:val="top"/>
          </w:tcPr>
          <w:p w14:paraId="10DA731F">
            <w:pPr>
              <w:pStyle w:val="81"/>
              <w:spacing w:before="93" w:line="220"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交流电梯</w:t>
            </w:r>
          </w:p>
        </w:tc>
        <w:tc>
          <w:tcPr>
            <w:tcW w:w="2417" w:type="dxa"/>
            <w:vAlign w:val="top"/>
          </w:tcPr>
          <w:p w14:paraId="7028D3AE">
            <w:pPr>
              <w:pStyle w:val="81"/>
              <w:spacing w:before="92" w:line="219" w:lineRule="auto"/>
              <w:ind w:left="92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1-4层</w:t>
            </w:r>
          </w:p>
        </w:tc>
        <w:tc>
          <w:tcPr>
            <w:tcW w:w="939" w:type="dxa"/>
            <w:vAlign w:val="top"/>
          </w:tcPr>
          <w:p w14:paraId="67ABC121">
            <w:pPr>
              <w:pStyle w:val="81"/>
              <w:spacing w:before="92" w:line="219"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部</w:t>
            </w:r>
          </w:p>
        </w:tc>
        <w:tc>
          <w:tcPr>
            <w:tcW w:w="1793" w:type="dxa"/>
            <w:vAlign w:val="top"/>
          </w:tcPr>
          <w:p w14:paraId="61A027C9">
            <w:pPr>
              <w:pStyle w:val="81"/>
              <w:spacing w:before="111"/>
              <w:ind w:left="5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360000</w:t>
            </w:r>
          </w:p>
        </w:tc>
      </w:tr>
      <w:tr w14:paraId="1CD0E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724" w:type="dxa"/>
            <w:vAlign w:val="top"/>
          </w:tcPr>
          <w:p w14:paraId="5033809A">
            <w:pPr>
              <w:pStyle w:val="81"/>
              <w:spacing w:before="111" w:line="231" w:lineRule="auto"/>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51</w:t>
            </w:r>
          </w:p>
        </w:tc>
        <w:tc>
          <w:tcPr>
            <w:tcW w:w="2927" w:type="dxa"/>
            <w:gridSpan w:val="2"/>
            <w:vAlign w:val="top"/>
          </w:tcPr>
          <w:p w14:paraId="7AD771C4">
            <w:pPr>
              <w:pStyle w:val="81"/>
              <w:spacing w:before="91" w:line="219"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48口交换机</w:t>
            </w:r>
          </w:p>
        </w:tc>
        <w:tc>
          <w:tcPr>
            <w:tcW w:w="2417" w:type="dxa"/>
            <w:vAlign w:val="top"/>
          </w:tcPr>
          <w:p w14:paraId="0648B64C">
            <w:pPr>
              <w:rPr>
                <w:rFonts w:hint="eastAsia" w:asciiTheme="minorEastAsia" w:hAnsiTheme="minorEastAsia" w:eastAsiaTheme="minorEastAsia" w:cstheme="minorEastAsia"/>
                <w:color w:val="auto"/>
                <w:sz w:val="21"/>
                <w:szCs w:val="21"/>
                <w:highlight w:val="none"/>
              </w:rPr>
            </w:pPr>
          </w:p>
        </w:tc>
        <w:tc>
          <w:tcPr>
            <w:tcW w:w="939" w:type="dxa"/>
            <w:vAlign w:val="top"/>
          </w:tcPr>
          <w:p w14:paraId="10FE00A8">
            <w:pPr>
              <w:pStyle w:val="81"/>
              <w:spacing w:before="95" w:line="221"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台</w:t>
            </w:r>
          </w:p>
        </w:tc>
        <w:tc>
          <w:tcPr>
            <w:tcW w:w="1793" w:type="dxa"/>
            <w:vAlign w:val="top"/>
          </w:tcPr>
          <w:p w14:paraId="7B7A6472">
            <w:pPr>
              <w:pStyle w:val="81"/>
              <w:spacing w:before="111" w:line="231" w:lineRule="auto"/>
              <w:ind w:left="6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6880</w:t>
            </w:r>
          </w:p>
        </w:tc>
      </w:tr>
      <w:tr w14:paraId="29B48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24" w:type="dxa"/>
            <w:vAlign w:val="top"/>
          </w:tcPr>
          <w:p w14:paraId="57475A23">
            <w:pPr>
              <w:pStyle w:val="81"/>
              <w:spacing w:before="102" w:line="230" w:lineRule="auto"/>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52</w:t>
            </w:r>
          </w:p>
        </w:tc>
        <w:tc>
          <w:tcPr>
            <w:tcW w:w="2927" w:type="dxa"/>
            <w:gridSpan w:val="2"/>
            <w:vAlign w:val="top"/>
          </w:tcPr>
          <w:p w14:paraId="480BDF2C">
            <w:pPr>
              <w:pStyle w:val="81"/>
              <w:spacing w:before="83" w:line="219"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室外消防水池+泵房</w:t>
            </w:r>
          </w:p>
        </w:tc>
        <w:tc>
          <w:tcPr>
            <w:tcW w:w="2417" w:type="dxa"/>
            <w:vAlign w:val="top"/>
          </w:tcPr>
          <w:p w14:paraId="60F9AEEF">
            <w:pPr>
              <w:rPr>
                <w:rFonts w:hint="eastAsia" w:asciiTheme="minorEastAsia" w:hAnsiTheme="minorEastAsia" w:eastAsiaTheme="minorEastAsia" w:cstheme="minorEastAsia"/>
                <w:color w:val="auto"/>
                <w:sz w:val="21"/>
                <w:szCs w:val="21"/>
                <w:highlight w:val="none"/>
              </w:rPr>
            </w:pPr>
          </w:p>
        </w:tc>
        <w:tc>
          <w:tcPr>
            <w:tcW w:w="939" w:type="dxa"/>
            <w:vAlign w:val="top"/>
          </w:tcPr>
          <w:p w14:paraId="6B5E36EC">
            <w:pPr>
              <w:pStyle w:val="81"/>
              <w:spacing w:before="84"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242CB99E">
            <w:pPr>
              <w:pStyle w:val="81"/>
              <w:spacing w:before="102" w:line="230" w:lineRule="auto"/>
              <w:ind w:left="5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750000</w:t>
            </w:r>
          </w:p>
        </w:tc>
      </w:tr>
      <w:tr w14:paraId="134F0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724" w:type="dxa"/>
            <w:vAlign w:val="top"/>
          </w:tcPr>
          <w:p w14:paraId="54A52A4A">
            <w:pPr>
              <w:pStyle w:val="81"/>
              <w:spacing w:before="113" w:line="230" w:lineRule="auto"/>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53</w:t>
            </w:r>
          </w:p>
        </w:tc>
        <w:tc>
          <w:tcPr>
            <w:tcW w:w="2927" w:type="dxa"/>
            <w:gridSpan w:val="2"/>
            <w:vAlign w:val="top"/>
          </w:tcPr>
          <w:p w14:paraId="22CC0352">
            <w:pPr>
              <w:pStyle w:val="81"/>
              <w:spacing w:before="95" w:line="220"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交流电梯</w:t>
            </w:r>
          </w:p>
        </w:tc>
        <w:tc>
          <w:tcPr>
            <w:tcW w:w="2417" w:type="dxa"/>
            <w:vAlign w:val="top"/>
          </w:tcPr>
          <w:p w14:paraId="1A75475D">
            <w:pPr>
              <w:pStyle w:val="81"/>
              <w:spacing w:before="94" w:line="219" w:lineRule="auto"/>
              <w:ind w:left="92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1-6层</w:t>
            </w:r>
          </w:p>
        </w:tc>
        <w:tc>
          <w:tcPr>
            <w:tcW w:w="939" w:type="dxa"/>
            <w:vAlign w:val="top"/>
          </w:tcPr>
          <w:p w14:paraId="48C1D1B4">
            <w:pPr>
              <w:pStyle w:val="81"/>
              <w:spacing w:before="94" w:line="219"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部</w:t>
            </w:r>
          </w:p>
        </w:tc>
        <w:tc>
          <w:tcPr>
            <w:tcW w:w="1793" w:type="dxa"/>
            <w:vAlign w:val="top"/>
          </w:tcPr>
          <w:p w14:paraId="42B33F76">
            <w:pPr>
              <w:pStyle w:val="81"/>
              <w:spacing w:before="113" w:line="230" w:lineRule="auto"/>
              <w:ind w:left="5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400000</w:t>
            </w:r>
          </w:p>
        </w:tc>
      </w:tr>
      <w:tr w14:paraId="17FC9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24" w:type="dxa"/>
            <w:vAlign w:val="top"/>
          </w:tcPr>
          <w:p w14:paraId="4FC3C452">
            <w:pPr>
              <w:pStyle w:val="81"/>
              <w:spacing w:before="103" w:line="229" w:lineRule="auto"/>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54</w:t>
            </w:r>
          </w:p>
        </w:tc>
        <w:tc>
          <w:tcPr>
            <w:tcW w:w="2927" w:type="dxa"/>
            <w:gridSpan w:val="2"/>
            <w:vAlign w:val="top"/>
          </w:tcPr>
          <w:p w14:paraId="0F05E60E">
            <w:pPr>
              <w:pStyle w:val="81"/>
              <w:spacing w:before="83" w:line="219"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病房门口机</w:t>
            </w:r>
          </w:p>
        </w:tc>
        <w:tc>
          <w:tcPr>
            <w:tcW w:w="2417" w:type="dxa"/>
            <w:vAlign w:val="top"/>
          </w:tcPr>
          <w:p w14:paraId="15E2CE0C">
            <w:pPr>
              <w:rPr>
                <w:rFonts w:hint="eastAsia" w:asciiTheme="minorEastAsia" w:hAnsiTheme="minorEastAsia" w:eastAsiaTheme="minorEastAsia" w:cstheme="minorEastAsia"/>
                <w:color w:val="auto"/>
                <w:sz w:val="21"/>
                <w:szCs w:val="21"/>
                <w:highlight w:val="none"/>
              </w:rPr>
            </w:pPr>
          </w:p>
        </w:tc>
        <w:tc>
          <w:tcPr>
            <w:tcW w:w="939" w:type="dxa"/>
            <w:vAlign w:val="top"/>
          </w:tcPr>
          <w:p w14:paraId="35797F9F">
            <w:pPr>
              <w:pStyle w:val="81"/>
              <w:spacing w:before="85"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5058CFF6">
            <w:pPr>
              <w:pStyle w:val="81"/>
              <w:spacing w:before="103" w:line="229" w:lineRule="auto"/>
              <w:ind w:left="6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1912</w:t>
            </w:r>
          </w:p>
        </w:tc>
      </w:tr>
      <w:tr w14:paraId="10BC3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724" w:type="dxa"/>
            <w:vAlign w:val="top"/>
          </w:tcPr>
          <w:p w14:paraId="39E8A1D3">
            <w:pPr>
              <w:pStyle w:val="81"/>
              <w:spacing w:before="284"/>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55</w:t>
            </w:r>
          </w:p>
        </w:tc>
        <w:tc>
          <w:tcPr>
            <w:tcW w:w="2927" w:type="dxa"/>
            <w:gridSpan w:val="2"/>
            <w:vAlign w:val="top"/>
          </w:tcPr>
          <w:p w14:paraId="014F479B">
            <w:pPr>
              <w:pStyle w:val="81"/>
              <w:spacing w:before="71" w:line="305" w:lineRule="auto"/>
              <w:ind w:left="70" w:firstLine="2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同质透芯pvc卷材楼地面+自流平界面剂</w:t>
            </w:r>
          </w:p>
        </w:tc>
        <w:tc>
          <w:tcPr>
            <w:tcW w:w="2417" w:type="dxa"/>
            <w:vAlign w:val="top"/>
          </w:tcPr>
          <w:p w14:paraId="46FCFCC4">
            <w:pPr>
              <w:rPr>
                <w:rFonts w:hint="eastAsia" w:asciiTheme="minorEastAsia" w:hAnsiTheme="minorEastAsia" w:eastAsiaTheme="minorEastAsia" w:cstheme="minorEastAsia"/>
                <w:color w:val="auto"/>
                <w:sz w:val="21"/>
                <w:szCs w:val="21"/>
                <w:highlight w:val="none"/>
              </w:rPr>
            </w:pPr>
          </w:p>
        </w:tc>
        <w:tc>
          <w:tcPr>
            <w:tcW w:w="939" w:type="dxa"/>
            <w:vAlign w:val="top"/>
          </w:tcPr>
          <w:p w14:paraId="6745B7FB">
            <w:pPr>
              <w:pStyle w:val="81"/>
              <w:spacing w:before="284" w:line="241"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m2</w:t>
            </w:r>
          </w:p>
        </w:tc>
        <w:tc>
          <w:tcPr>
            <w:tcW w:w="1793" w:type="dxa"/>
            <w:vAlign w:val="top"/>
          </w:tcPr>
          <w:p w14:paraId="19B2CCCB">
            <w:pPr>
              <w:pStyle w:val="81"/>
              <w:spacing w:before="284" w:line="239" w:lineRule="auto"/>
              <w:ind w:left="61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96.33</w:t>
            </w:r>
          </w:p>
        </w:tc>
      </w:tr>
      <w:tr w14:paraId="09170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724" w:type="dxa"/>
            <w:vAlign w:val="top"/>
          </w:tcPr>
          <w:p w14:paraId="594DBADD">
            <w:pPr>
              <w:pStyle w:val="81"/>
              <w:spacing w:before="115" w:line="227" w:lineRule="auto"/>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56</w:t>
            </w:r>
          </w:p>
        </w:tc>
        <w:tc>
          <w:tcPr>
            <w:tcW w:w="2927" w:type="dxa"/>
            <w:gridSpan w:val="2"/>
            <w:vAlign w:val="top"/>
          </w:tcPr>
          <w:p w14:paraId="75DE7B7E">
            <w:pPr>
              <w:pStyle w:val="81"/>
              <w:spacing w:before="97" w:line="220"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交流电梯</w:t>
            </w:r>
          </w:p>
        </w:tc>
        <w:tc>
          <w:tcPr>
            <w:tcW w:w="2417" w:type="dxa"/>
            <w:vAlign w:val="top"/>
          </w:tcPr>
          <w:p w14:paraId="0E3BD8BE">
            <w:pPr>
              <w:pStyle w:val="81"/>
              <w:spacing w:before="97" w:line="219" w:lineRule="auto"/>
              <w:ind w:left="78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-1至13层</w:t>
            </w:r>
          </w:p>
        </w:tc>
        <w:tc>
          <w:tcPr>
            <w:tcW w:w="939" w:type="dxa"/>
            <w:vAlign w:val="top"/>
          </w:tcPr>
          <w:p w14:paraId="1E2636F4">
            <w:pPr>
              <w:pStyle w:val="81"/>
              <w:spacing w:before="97" w:line="219"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部</w:t>
            </w:r>
          </w:p>
        </w:tc>
        <w:tc>
          <w:tcPr>
            <w:tcW w:w="1793" w:type="dxa"/>
            <w:vAlign w:val="top"/>
          </w:tcPr>
          <w:p w14:paraId="55673DA6">
            <w:pPr>
              <w:pStyle w:val="81"/>
              <w:spacing w:before="115" w:line="227" w:lineRule="auto"/>
              <w:ind w:left="5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460000</w:t>
            </w:r>
          </w:p>
        </w:tc>
      </w:tr>
      <w:tr w14:paraId="12445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24" w:type="dxa"/>
            <w:vAlign w:val="top"/>
          </w:tcPr>
          <w:p w14:paraId="3BBAAD3C">
            <w:pPr>
              <w:pStyle w:val="81"/>
              <w:spacing w:before="117" w:line="230" w:lineRule="auto"/>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57</w:t>
            </w:r>
          </w:p>
        </w:tc>
        <w:tc>
          <w:tcPr>
            <w:tcW w:w="2927" w:type="dxa"/>
            <w:gridSpan w:val="2"/>
            <w:vAlign w:val="top"/>
          </w:tcPr>
          <w:p w14:paraId="6B904B29">
            <w:pPr>
              <w:pStyle w:val="81"/>
              <w:spacing w:before="96" w:line="219"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病床分机</w:t>
            </w:r>
          </w:p>
        </w:tc>
        <w:tc>
          <w:tcPr>
            <w:tcW w:w="2417" w:type="dxa"/>
            <w:vAlign w:val="top"/>
          </w:tcPr>
          <w:p w14:paraId="7D312ABC">
            <w:pPr>
              <w:rPr>
                <w:rFonts w:hint="eastAsia" w:asciiTheme="minorEastAsia" w:hAnsiTheme="minorEastAsia" w:eastAsiaTheme="minorEastAsia" w:cstheme="minorEastAsia"/>
                <w:color w:val="auto"/>
                <w:sz w:val="21"/>
                <w:szCs w:val="21"/>
                <w:highlight w:val="none"/>
              </w:rPr>
            </w:pPr>
          </w:p>
        </w:tc>
        <w:tc>
          <w:tcPr>
            <w:tcW w:w="939" w:type="dxa"/>
            <w:vAlign w:val="top"/>
          </w:tcPr>
          <w:p w14:paraId="0B857C7F">
            <w:pPr>
              <w:pStyle w:val="81"/>
              <w:spacing w:before="98"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67844122">
            <w:pPr>
              <w:pStyle w:val="81"/>
              <w:spacing w:before="117" w:line="230" w:lineRule="auto"/>
              <w:ind w:left="6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1745</w:t>
            </w:r>
          </w:p>
        </w:tc>
      </w:tr>
    </w:tbl>
    <w:p w14:paraId="3DEBD2B7">
      <w:pPr>
        <w:bidi w:val="0"/>
        <w:jc w:val="left"/>
        <w:rPr>
          <w:rFonts w:ascii="Times New Roman" w:hAnsi="Times New Roman" w:eastAsia="宋体" w:cs="Times New Roman"/>
          <w:color w:val="auto"/>
          <w:kern w:val="2"/>
          <w:sz w:val="21"/>
          <w:szCs w:val="24"/>
          <w:highlight w:val="none"/>
          <w:lang w:val="en-US" w:eastAsia="zh-CN" w:bidi="ar-SA"/>
        </w:rPr>
      </w:pPr>
    </w:p>
    <w:p w14:paraId="1E8209DD">
      <w:pPr>
        <w:rPr>
          <w:rFonts w:eastAsia="黑体"/>
          <w:color w:val="auto"/>
          <w:sz w:val="52"/>
          <w:szCs w:val="52"/>
          <w:highlight w:val="none"/>
        </w:rPr>
      </w:pPr>
      <w:r>
        <w:rPr>
          <w:rFonts w:eastAsia="黑体"/>
          <w:color w:val="auto"/>
          <w:sz w:val="52"/>
          <w:szCs w:val="52"/>
          <w:highlight w:val="none"/>
        </w:rPr>
        <w:br w:type="page"/>
      </w:r>
    </w:p>
    <w:p w14:paraId="1A9D8684">
      <w:pPr>
        <w:jc w:val="center"/>
        <w:outlineLvl w:val="0"/>
        <w:rPr>
          <w:rFonts w:eastAsia="黑体"/>
          <w:color w:val="auto"/>
          <w:sz w:val="52"/>
          <w:szCs w:val="52"/>
          <w:highlight w:val="none"/>
        </w:rPr>
      </w:pPr>
      <w:r>
        <w:rPr>
          <w:rFonts w:eastAsia="黑体"/>
          <w:color w:val="auto"/>
          <w:sz w:val="52"/>
          <w:szCs w:val="52"/>
          <w:highlight w:val="none"/>
        </w:rPr>
        <w:t>第二卷</w:t>
      </w:r>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p>
    <w:p w14:paraId="199B5CCE">
      <w:pPr>
        <w:jc w:val="center"/>
        <w:rPr>
          <w:rFonts w:eastAsia="黑体"/>
          <w:color w:val="auto"/>
          <w:sz w:val="44"/>
          <w:szCs w:val="44"/>
          <w:highlight w:val="none"/>
        </w:rPr>
      </w:pPr>
      <w:r>
        <w:rPr>
          <w:rFonts w:eastAsia="黑体"/>
          <w:color w:val="auto"/>
          <w:sz w:val="44"/>
          <w:szCs w:val="44"/>
          <w:highlight w:val="none"/>
        </w:rPr>
        <w:t xml:space="preserve"> </w:t>
      </w:r>
    </w:p>
    <w:p w14:paraId="2B11E39A">
      <w:pPr>
        <w:jc w:val="center"/>
        <w:outlineLvl w:val="0"/>
        <w:rPr>
          <w:rFonts w:eastAsia="黑体"/>
          <w:color w:val="auto"/>
          <w:sz w:val="44"/>
          <w:szCs w:val="44"/>
          <w:highlight w:val="none"/>
        </w:rPr>
      </w:pPr>
      <w:r>
        <w:rPr>
          <w:rFonts w:eastAsia="黑体"/>
          <w:color w:val="auto"/>
          <w:sz w:val="44"/>
          <w:szCs w:val="44"/>
          <w:highlight w:val="none"/>
        </w:rPr>
        <w:br w:type="page"/>
      </w:r>
      <w:bookmarkStart w:id="1614" w:name="_Toc16337"/>
      <w:bookmarkStart w:id="1615" w:name="_Toc1454"/>
      <w:bookmarkStart w:id="1616" w:name="_Toc12096"/>
      <w:bookmarkStart w:id="1617" w:name="_Toc16995"/>
      <w:bookmarkStart w:id="1618" w:name="_Toc23792"/>
      <w:bookmarkStart w:id="1619" w:name="_Toc24213"/>
      <w:bookmarkStart w:id="1620" w:name="_Toc320"/>
      <w:bookmarkStart w:id="1621" w:name="_Toc17391"/>
      <w:bookmarkStart w:id="1622" w:name="_Toc18907"/>
      <w:bookmarkStart w:id="1623" w:name="_Toc30960"/>
      <w:bookmarkStart w:id="1624" w:name="_Toc23081"/>
      <w:bookmarkStart w:id="1625" w:name="_Toc21766"/>
      <w:bookmarkStart w:id="1626" w:name="_Toc25930"/>
    </w:p>
    <w:p w14:paraId="60C70675">
      <w:pPr>
        <w:jc w:val="center"/>
        <w:outlineLvl w:val="0"/>
        <w:rPr>
          <w:rFonts w:eastAsia="黑体"/>
          <w:color w:val="auto"/>
          <w:sz w:val="44"/>
          <w:szCs w:val="44"/>
          <w:highlight w:val="none"/>
        </w:rPr>
      </w:pPr>
    </w:p>
    <w:p w14:paraId="62F00080">
      <w:pPr>
        <w:jc w:val="center"/>
        <w:outlineLvl w:val="0"/>
        <w:rPr>
          <w:rFonts w:eastAsia="黑体"/>
          <w:color w:val="auto"/>
          <w:sz w:val="44"/>
          <w:szCs w:val="44"/>
          <w:highlight w:val="none"/>
        </w:rPr>
      </w:pPr>
    </w:p>
    <w:p w14:paraId="35177BD9">
      <w:pPr>
        <w:jc w:val="center"/>
        <w:outlineLvl w:val="0"/>
        <w:rPr>
          <w:rFonts w:eastAsia="黑体"/>
          <w:color w:val="auto"/>
          <w:sz w:val="44"/>
          <w:szCs w:val="44"/>
          <w:highlight w:val="none"/>
        </w:rPr>
      </w:pPr>
    </w:p>
    <w:p w14:paraId="47B004BA">
      <w:pPr>
        <w:jc w:val="center"/>
        <w:outlineLvl w:val="0"/>
        <w:rPr>
          <w:rFonts w:eastAsia="黑体"/>
          <w:color w:val="auto"/>
          <w:sz w:val="44"/>
          <w:szCs w:val="44"/>
          <w:highlight w:val="none"/>
        </w:rPr>
      </w:pPr>
    </w:p>
    <w:p w14:paraId="093C9B4F">
      <w:pPr>
        <w:jc w:val="center"/>
        <w:outlineLvl w:val="0"/>
        <w:rPr>
          <w:rFonts w:eastAsia="黑体"/>
          <w:color w:val="auto"/>
          <w:sz w:val="44"/>
          <w:szCs w:val="44"/>
          <w:highlight w:val="none"/>
        </w:rPr>
      </w:pPr>
    </w:p>
    <w:p w14:paraId="1FB7064E">
      <w:pPr>
        <w:jc w:val="center"/>
        <w:outlineLvl w:val="0"/>
        <w:rPr>
          <w:rFonts w:eastAsia="黑体"/>
          <w:color w:val="auto"/>
          <w:sz w:val="44"/>
          <w:szCs w:val="44"/>
          <w:highlight w:val="none"/>
        </w:rPr>
      </w:pPr>
    </w:p>
    <w:p w14:paraId="651EC4A3">
      <w:pPr>
        <w:jc w:val="center"/>
        <w:outlineLvl w:val="0"/>
        <w:rPr>
          <w:rFonts w:eastAsia="黑体"/>
          <w:color w:val="auto"/>
          <w:sz w:val="44"/>
          <w:szCs w:val="44"/>
          <w:highlight w:val="none"/>
        </w:rPr>
      </w:pPr>
    </w:p>
    <w:p w14:paraId="1B3247A6">
      <w:pPr>
        <w:jc w:val="center"/>
        <w:outlineLvl w:val="0"/>
        <w:rPr>
          <w:rFonts w:eastAsia="黑体"/>
          <w:color w:val="auto"/>
          <w:sz w:val="32"/>
          <w:szCs w:val="32"/>
          <w:highlight w:val="none"/>
        </w:rPr>
      </w:pPr>
      <w:bookmarkStart w:id="1627" w:name="_Toc8601"/>
      <w:r>
        <w:rPr>
          <w:rFonts w:eastAsia="黑体"/>
          <w:color w:val="auto"/>
          <w:sz w:val="52"/>
          <w:szCs w:val="52"/>
          <w:highlight w:val="none"/>
        </w:rPr>
        <w:t>第六章  图  纸</w:t>
      </w:r>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p>
    <w:p w14:paraId="495E87D2">
      <w:pPr>
        <w:spacing w:after="240" w:afterLines="100"/>
        <w:rPr>
          <w:rFonts w:eastAsia="黑体"/>
          <w:color w:val="auto"/>
          <w:sz w:val="24"/>
          <w:highlight w:val="none"/>
        </w:rPr>
      </w:pPr>
      <w:r>
        <w:rPr>
          <w:rFonts w:eastAsia="黑体"/>
          <w:color w:val="auto"/>
          <w:sz w:val="24"/>
          <w:highlight w:val="none"/>
        </w:rPr>
        <w:br w:type="page"/>
      </w:r>
      <w:r>
        <w:rPr>
          <w:rFonts w:hint="eastAsia" w:ascii="仿宋" w:hAnsi="仿宋" w:eastAsia="仿宋" w:cs="仿宋"/>
          <w:color w:val="auto"/>
          <w:sz w:val="24"/>
          <w:highlight w:val="none"/>
        </w:rPr>
        <w:t>1．图纸目录</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3"/>
        <w:gridCol w:w="1453"/>
        <w:gridCol w:w="1453"/>
        <w:gridCol w:w="1453"/>
        <w:gridCol w:w="1454"/>
        <w:gridCol w:w="1454"/>
      </w:tblGrid>
      <w:tr w14:paraId="21724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453" w:type="dxa"/>
            <w:noWrap w:val="0"/>
            <w:vAlign w:val="center"/>
          </w:tcPr>
          <w:p w14:paraId="52ACCA4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453" w:type="dxa"/>
            <w:noWrap w:val="0"/>
            <w:vAlign w:val="center"/>
          </w:tcPr>
          <w:p w14:paraId="2EE7C33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图名</w:t>
            </w:r>
          </w:p>
        </w:tc>
        <w:tc>
          <w:tcPr>
            <w:tcW w:w="1453" w:type="dxa"/>
            <w:noWrap w:val="0"/>
            <w:vAlign w:val="center"/>
          </w:tcPr>
          <w:p w14:paraId="177DBAC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图号</w:t>
            </w:r>
          </w:p>
        </w:tc>
        <w:tc>
          <w:tcPr>
            <w:tcW w:w="1453" w:type="dxa"/>
            <w:noWrap w:val="0"/>
            <w:vAlign w:val="center"/>
          </w:tcPr>
          <w:p w14:paraId="7DB6FF3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版本</w:t>
            </w:r>
          </w:p>
        </w:tc>
        <w:tc>
          <w:tcPr>
            <w:tcW w:w="1454" w:type="dxa"/>
            <w:noWrap w:val="0"/>
            <w:vAlign w:val="center"/>
          </w:tcPr>
          <w:p w14:paraId="2F769C3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出图日期</w:t>
            </w:r>
          </w:p>
        </w:tc>
        <w:tc>
          <w:tcPr>
            <w:tcW w:w="1454" w:type="dxa"/>
            <w:noWrap w:val="0"/>
            <w:vAlign w:val="center"/>
          </w:tcPr>
          <w:p w14:paraId="135AEA97">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629A6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453" w:type="dxa"/>
            <w:noWrap w:val="0"/>
            <w:vAlign w:val="center"/>
          </w:tcPr>
          <w:p w14:paraId="297C997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453" w:type="dxa"/>
            <w:noWrap w:val="0"/>
            <w:vAlign w:val="center"/>
          </w:tcPr>
          <w:p w14:paraId="33F86AD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453" w:type="dxa"/>
            <w:noWrap w:val="0"/>
            <w:vAlign w:val="center"/>
          </w:tcPr>
          <w:p w14:paraId="7E031A2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453" w:type="dxa"/>
            <w:noWrap w:val="0"/>
            <w:vAlign w:val="center"/>
          </w:tcPr>
          <w:p w14:paraId="7A4ED60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454" w:type="dxa"/>
            <w:noWrap w:val="0"/>
            <w:vAlign w:val="center"/>
          </w:tcPr>
          <w:p w14:paraId="2F1273D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454" w:type="dxa"/>
            <w:noWrap w:val="0"/>
            <w:vAlign w:val="center"/>
          </w:tcPr>
          <w:p w14:paraId="2EC4559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bl>
    <w:p w14:paraId="72AD006E">
      <w:pPr>
        <w:rPr>
          <w:rFonts w:eastAsia="黑体"/>
          <w:color w:val="auto"/>
          <w:sz w:val="24"/>
          <w:highlight w:val="none"/>
        </w:rPr>
      </w:pPr>
    </w:p>
    <w:p w14:paraId="27B1D70E">
      <w:pPr>
        <w:adjustRightInd w:val="0"/>
        <w:snapToGrid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2.图纸</w:t>
      </w:r>
      <w:r>
        <w:rPr>
          <w:rFonts w:hint="eastAsia" w:ascii="仿宋" w:hAnsi="仿宋" w:eastAsia="仿宋" w:cs="仿宋"/>
          <w:b/>
          <w:bCs/>
          <w:color w:val="auto"/>
          <w:sz w:val="24"/>
          <w:highlight w:val="none"/>
        </w:rPr>
        <w:t>:详见附件</w:t>
      </w:r>
      <w:r>
        <w:rPr>
          <w:rFonts w:hint="eastAsia" w:ascii="仿宋" w:hAnsi="仿宋" w:eastAsia="仿宋" w:cs="仿宋"/>
          <w:color w:val="auto"/>
          <w:sz w:val="24"/>
          <w:highlight w:val="none"/>
        </w:rPr>
        <w:t>。</w:t>
      </w:r>
    </w:p>
    <w:p w14:paraId="23C22CC2">
      <w:pPr>
        <w:spacing w:line="420" w:lineRule="exact"/>
        <w:jc w:val="center"/>
        <w:rPr>
          <w:rFonts w:eastAsia="楷体_GB2312"/>
          <w:color w:val="auto"/>
          <w:highlight w:val="none"/>
        </w:rPr>
      </w:pPr>
    </w:p>
    <w:p w14:paraId="021B33E7">
      <w:pPr>
        <w:pStyle w:val="14"/>
        <w:rPr>
          <w:rFonts w:ascii="Times New Roman" w:hAnsi="Times New Roman" w:cs="Times New Roman"/>
          <w:color w:val="auto"/>
          <w:highlight w:val="none"/>
        </w:rPr>
      </w:pPr>
      <w:r>
        <w:rPr>
          <w:rFonts w:ascii="Times New Roman" w:hAnsi="Times New Roman" w:cs="Times New Roman"/>
          <w:color w:val="auto"/>
          <w:highlight w:val="none"/>
        </w:rPr>
        <w:br w:type="page"/>
      </w:r>
    </w:p>
    <w:p w14:paraId="04794669">
      <w:pPr>
        <w:pStyle w:val="14"/>
        <w:rPr>
          <w:rFonts w:ascii="Times New Roman" w:hAnsi="Times New Roman" w:cs="Times New Roman"/>
          <w:color w:val="auto"/>
          <w:highlight w:val="none"/>
        </w:rPr>
      </w:pPr>
    </w:p>
    <w:p w14:paraId="031876C5">
      <w:pPr>
        <w:pStyle w:val="14"/>
        <w:rPr>
          <w:rFonts w:ascii="Times New Roman" w:hAnsi="Times New Roman" w:cs="Times New Roman"/>
          <w:color w:val="auto"/>
          <w:highlight w:val="none"/>
        </w:rPr>
      </w:pPr>
    </w:p>
    <w:p w14:paraId="0968C06E">
      <w:pPr>
        <w:pStyle w:val="14"/>
        <w:rPr>
          <w:rFonts w:ascii="Times New Roman" w:hAnsi="Times New Roman" w:cs="Times New Roman"/>
          <w:color w:val="auto"/>
          <w:highlight w:val="none"/>
        </w:rPr>
      </w:pPr>
    </w:p>
    <w:p w14:paraId="611EBA4F">
      <w:pPr>
        <w:pStyle w:val="14"/>
        <w:rPr>
          <w:rFonts w:ascii="Times New Roman" w:hAnsi="Times New Roman" w:cs="Times New Roman"/>
          <w:color w:val="auto"/>
          <w:highlight w:val="none"/>
        </w:rPr>
      </w:pPr>
    </w:p>
    <w:p w14:paraId="483B60C9">
      <w:pPr>
        <w:pStyle w:val="14"/>
        <w:rPr>
          <w:rFonts w:ascii="Times New Roman" w:hAnsi="Times New Roman" w:cs="Times New Roman"/>
          <w:color w:val="auto"/>
          <w:highlight w:val="none"/>
        </w:rPr>
      </w:pPr>
    </w:p>
    <w:p w14:paraId="76EEE697">
      <w:pPr>
        <w:pStyle w:val="14"/>
        <w:ind w:left="0" w:leftChars="0"/>
        <w:rPr>
          <w:rFonts w:ascii="Times New Roman" w:hAnsi="Times New Roman" w:cs="Times New Roman"/>
          <w:color w:val="auto"/>
          <w:highlight w:val="none"/>
        </w:rPr>
      </w:pPr>
    </w:p>
    <w:p w14:paraId="6B7702CD">
      <w:pPr>
        <w:spacing w:line="420" w:lineRule="exact"/>
        <w:jc w:val="center"/>
        <w:rPr>
          <w:rFonts w:eastAsia="楷体_GB2312"/>
          <w:color w:val="auto"/>
          <w:highlight w:val="none"/>
        </w:rPr>
      </w:pPr>
    </w:p>
    <w:p w14:paraId="5933DC03">
      <w:pPr>
        <w:jc w:val="center"/>
        <w:outlineLvl w:val="0"/>
        <w:rPr>
          <w:rFonts w:eastAsia="黑体"/>
          <w:color w:val="auto"/>
          <w:sz w:val="52"/>
          <w:szCs w:val="52"/>
          <w:highlight w:val="none"/>
        </w:rPr>
      </w:pPr>
      <w:bookmarkStart w:id="1628" w:name="_Toc12453"/>
      <w:bookmarkStart w:id="1629" w:name="_Toc20354"/>
      <w:bookmarkStart w:id="1630" w:name="_Toc5372"/>
      <w:bookmarkStart w:id="1631" w:name="_Toc25398"/>
      <w:bookmarkStart w:id="1632" w:name="_Toc20112"/>
      <w:bookmarkStart w:id="1633" w:name="_Toc444"/>
      <w:bookmarkStart w:id="1634" w:name="_Toc14210"/>
      <w:bookmarkStart w:id="1635" w:name="_Toc16862"/>
      <w:bookmarkStart w:id="1636" w:name="_Toc18595"/>
      <w:bookmarkStart w:id="1637" w:name="_Toc9193"/>
      <w:bookmarkStart w:id="1638" w:name="_Toc9377"/>
      <w:bookmarkStart w:id="1639" w:name="_Toc14532"/>
      <w:bookmarkStart w:id="1640" w:name="_Toc22978"/>
      <w:bookmarkStart w:id="1641" w:name="_Toc9862"/>
      <w:bookmarkStart w:id="1642" w:name="_Toc12460"/>
      <w:r>
        <w:rPr>
          <w:rFonts w:eastAsia="黑体"/>
          <w:color w:val="auto"/>
          <w:sz w:val="52"/>
          <w:szCs w:val="52"/>
          <w:highlight w:val="none"/>
        </w:rPr>
        <w:t>第三卷</w:t>
      </w:r>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p>
    <w:p w14:paraId="63C7ED6C">
      <w:pPr>
        <w:spacing w:before="240" w:beforeLines="100" w:after="240" w:afterLines="100"/>
        <w:jc w:val="center"/>
        <w:outlineLvl w:val="0"/>
        <w:rPr>
          <w:rFonts w:eastAsia="黑体"/>
          <w:color w:val="auto"/>
          <w:sz w:val="28"/>
          <w:szCs w:val="28"/>
          <w:highlight w:val="none"/>
        </w:rPr>
      </w:pPr>
      <w:r>
        <w:rPr>
          <w:rFonts w:eastAsia="黑体"/>
          <w:color w:val="auto"/>
          <w:sz w:val="28"/>
          <w:szCs w:val="28"/>
          <w:highlight w:val="none"/>
        </w:rPr>
        <w:br w:type="page"/>
      </w:r>
      <w:bookmarkStart w:id="1643" w:name="_Toc20292"/>
      <w:bookmarkStart w:id="1644" w:name="_Toc12798"/>
      <w:bookmarkStart w:id="1645" w:name="_Toc12702"/>
      <w:bookmarkStart w:id="1646" w:name="_Toc7015"/>
      <w:bookmarkStart w:id="1647" w:name="_Toc22768"/>
      <w:bookmarkStart w:id="1648" w:name="_Toc1717"/>
      <w:bookmarkStart w:id="1649" w:name="_Toc17030"/>
      <w:bookmarkStart w:id="1650" w:name="_Toc17721"/>
      <w:bookmarkStart w:id="1651" w:name="_Toc366"/>
      <w:bookmarkStart w:id="1652" w:name="_Toc30375"/>
      <w:bookmarkStart w:id="1653" w:name="_Toc6214"/>
      <w:bookmarkStart w:id="1654" w:name="_Toc5110"/>
      <w:bookmarkStart w:id="1655" w:name="_Toc30882"/>
    </w:p>
    <w:p w14:paraId="17E7BB51">
      <w:pPr>
        <w:spacing w:before="240" w:beforeLines="100" w:after="240" w:afterLines="100"/>
        <w:jc w:val="center"/>
        <w:outlineLvl w:val="0"/>
        <w:rPr>
          <w:rFonts w:eastAsia="黑体"/>
          <w:color w:val="auto"/>
          <w:sz w:val="28"/>
          <w:szCs w:val="28"/>
          <w:highlight w:val="none"/>
        </w:rPr>
      </w:pPr>
    </w:p>
    <w:p w14:paraId="54507762">
      <w:pPr>
        <w:spacing w:before="240" w:beforeLines="100" w:after="240" w:afterLines="100"/>
        <w:jc w:val="center"/>
        <w:outlineLvl w:val="0"/>
        <w:rPr>
          <w:rFonts w:eastAsia="黑体"/>
          <w:color w:val="auto"/>
          <w:sz w:val="28"/>
          <w:szCs w:val="28"/>
          <w:highlight w:val="none"/>
        </w:rPr>
      </w:pPr>
    </w:p>
    <w:p w14:paraId="4B924158">
      <w:pPr>
        <w:numPr>
          <w:ilvl w:val="0"/>
          <w:numId w:val="13"/>
        </w:numPr>
        <w:spacing w:before="240" w:beforeLines="100" w:after="240" w:afterLines="100"/>
        <w:jc w:val="center"/>
        <w:outlineLvl w:val="0"/>
        <w:rPr>
          <w:rFonts w:eastAsia="黑体"/>
          <w:color w:val="auto"/>
          <w:sz w:val="52"/>
          <w:szCs w:val="52"/>
          <w:highlight w:val="none"/>
        </w:rPr>
      </w:pPr>
      <w:r>
        <w:rPr>
          <w:rFonts w:eastAsia="黑体"/>
          <w:color w:val="auto"/>
          <w:sz w:val="52"/>
          <w:szCs w:val="52"/>
          <w:highlight w:val="none"/>
        </w:rPr>
        <w:t xml:space="preserve"> </w:t>
      </w:r>
      <w:bookmarkStart w:id="1656" w:name="_Toc8419"/>
      <w:r>
        <w:rPr>
          <w:rFonts w:eastAsia="黑体"/>
          <w:color w:val="auto"/>
          <w:sz w:val="52"/>
          <w:szCs w:val="52"/>
          <w:highlight w:val="none"/>
        </w:rPr>
        <w:t>技术标准和要求</w:t>
      </w:r>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p>
    <w:p w14:paraId="2E588252">
      <w:pPr>
        <w:numPr>
          <w:ilvl w:val="0"/>
          <w:numId w:val="0"/>
        </w:numPr>
        <w:spacing w:before="240" w:beforeLines="100" w:after="240" w:afterLines="100"/>
        <w:jc w:val="both"/>
        <w:outlineLvl w:val="0"/>
        <w:rPr>
          <w:rFonts w:ascii="宋体" w:hAnsi="宋体" w:eastAsia="宋体" w:cs="宋体"/>
          <w:color w:val="auto"/>
          <w:sz w:val="28"/>
          <w:szCs w:val="28"/>
          <w:highlight w:val="none"/>
        </w:rPr>
      </w:pPr>
      <w:bookmarkStart w:id="1657" w:name="_Toc18938"/>
      <w:r>
        <w:rPr>
          <w:rFonts w:ascii="宋体" w:hAnsi="宋体" w:eastAsia="宋体" w:cs="宋体"/>
          <w:color w:val="auto"/>
          <w:spacing w:val="8"/>
          <w:sz w:val="28"/>
          <w:szCs w:val="28"/>
          <w:highlight w:val="none"/>
        </w:rPr>
        <w:t>1、依据设计文件的要求，本招标工程项目的材料、设备、施工须达到现行中华人民共和国以及省、</w:t>
      </w:r>
      <w:r>
        <w:rPr>
          <w:rFonts w:ascii="宋体" w:hAnsi="宋体" w:eastAsia="宋体" w:cs="宋体"/>
          <w:color w:val="auto"/>
          <w:spacing w:val="-45"/>
          <w:sz w:val="28"/>
          <w:szCs w:val="28"/>
          <w:highlight w:val="none"/>
        </w:rPr>
        <w:t xml:space="preserve"> </w:t>
      </w:r>
      <w:r>
        <w:rPr>
          <w:rFonts w:ascii="宋体" w:hAnsi="宋体" w:eastAsia="宋体" w:cs="宋体"/>
          <w:color w:val="auto"/>
          <w:spacing w:val="8"/>
          <w:sz w:val="28"/>
          <w:szCs w:val="28"/>
          <w:highlight w:val="none"/>
        </w:rPr>
        <w:t>自治区、直</w:t>
      </w:r>
      <w:r>
        <w:rPr>
          <w:rFonts w:ascii="宋体" w:hAnsi="宋体" w:eastAsia="宋体" w:cs="宋体"/>
          <w:color w:val="auto"/>
          <w:spacing w:val="9"/>
          <w:sz w:val="28"/>
          <w:szCs w:val="28"/>
          <w:highlight w:val="none"/>
        </w:rPr>
        <w:t>辖市或行业的工程建设标准、规范的要求。</w:t>
      </w:r>
      <w:bookmarkEnd w:id="1657"/>
    </w:p>
    <w:p w14:paraId="3F980513">
      <w:pPr>
        <w:spacing w:before="1" w:line="390" w:lineRule="auto"/>
        <w:ind w:left="23" w:right="28" w:hanging="20"/>
        <w:rPr>
          <w:rFonts w:ascii="宋体" w:hAnsi="宋体" w:eastAsia="宋体" w:cs="宋体"/>
          <w:color w:val="auto"/>
          <w:sz w:val="28"/>
          <w:szCs w:val="28"/>
          <w:highlight w:val="none"/>
        </w:rPr>
      </w:pPr>
      <w:r>
        <w:rPr>
          <w:rFonts w:ascii="宋体" w:hAnsi="宋体" w:eastAsia="宋体" w:cs="宋体"/>
          <w:color w:val="auto"/>
          <w:spacing w:val="9"/>
          <w:sz w:val="28"/>
          <w:szCs w:val="28"/>
          <w:highlight w:val="none"/>
        </w:rPr>
        <w:t>2、其他与本工程有关的现行工程技术、质量评定标准、施工验收标准及规范、</w:t>
      </w:r>
      <w:r>
        <w:rPr>
          <w:rFonts w:ascii="宋体" w:hAnsi="宋体" w:eastAsia="宋体" w:cs="宋体"/>
          <w:color w:val="auto"/>
          <w:spacing w:val="8"/>
          <w:sz w:val="28"/>
          <w:szCs w:val="28"/>
          <w:highlight w:val="none"/>
        </w:rPr>
        <w:t>标准图集等以上规范如有变化，</w:t>
      </w:r>
      <w:r>
        <w:rPr>
          <w:rFonts w:ascii="宋体" w:hAnsi="宋体" w:eastAsia="宋体" w:cs="宋体"/>
          <w:color w:val="auto"/>
          <w:spacing w:val="5"/>
          <w:sz w:val="28"/>
          <w:szCs w:val="28"/>
          <w:highlight w:val="none"/>
        </w:rPr>
        <w:t>以最新发布的为准。</w:t>
      </w:r>
    </w:p>
    <w:p w14:paraId="7A0A6C50">
      <w:pPr>
        <w:spacing w:line="360" w:lineRule="auto"/>
        <w:ind w:firstLine="480" w:firstLineChars="200"/>
        <w:jc w:val="left"/>
        <w:rPr>
          <w:rFonts w:hint="eastAsia" w:ascii="仿宋" w:hAnsi="仿宋" w:eastAsia="仿宋" w:cs="仿宋"/>
          <w:color w:val="auto"/>
          <w:sz w:val="24"/>
          <w:highlight w:val="none"/>
        </w:rPr>
      </w:pPr>
    </w:p>
    <w:p w14:paraId="1C52D2BA">
      <w:pPr>
        <w:spacing w:line="360" w:lineRule="auto"/>
        <w:jc w:val="left"/>
        <w:rPr>
          <w:color w:val="auto"/>
          <w:szCs w:val="21"/>
          <w:highlight w:val="none"/>
        </w:rPr>
      </w:pPr>
    </w:p>
    <w:p w14:paraId="49E9D080">
      <w:pPr>
        <w:pStyle w:val="14"/>
        <w:rPr>
          <w:rFonts w:ascii="Times New Roman" w:hAnsi="Times New Roman" w:cs="Times New Roman"/>
          <w:color w:val="auto"/>
          <w:highlight w:val="none"/>
        </w:rPr>
      </w:pPr>
      <w:r>
        <w:rPr>
          <w:rFonts w:ascii="Times New Roman" w:hAnsi="Times New Roman" w:cs="Times New Roman"/>
          <w:color w:val="auto"/>
          <w:highlight w:val="none"/>
        </w:rPr>
        <w:br w:type="page"/>
      </w:r>
    </w:p>
    <w:p w14:paraId="7033DCC7">
      <w:pPr>
        <w:pStyle w:val="14"/>
        <w:rPr>
          <w:rFonts w:ascii="Times New Roman" w:hAnsi="Times New Roman" w:cs="Times New Roman"/>
          <w:color w:val="auto"/>
          <w:highlight w:val="none"/>
        </w:rPr>
      </w:pPr>
    </w:p>
    <w:p w14:paraId="144BBD6A">
      <w:pPr>
        <w:pStyle w:val="14"/>
        <w:rPr>
          <w:rFonts w:ascii="Times New Roman" w:hAnsi="Times New Roman" w:cs="Times New Roman"/>
          <w:color w:val="auto"/>
          <w:highlight w:val="none"/>
        </w:rPr>
      </w:pPr>
    </w:p>
    <w:p w14:paraId="5B6B55B5">
      <w:pPr>
        <w:pStyle w:val="14"/>
        <w:rPr>
          <w:rFonts w:ascii="Times New Roman" w:hAnsi="Times New Roman" w:cs="Times New Roman"/>
          <w:color w:val="auto"/>
          <w:highlight w:val="none"/>
        </w:rPr>
      </w:pPr>
    </w:p>
    <w:p w14:paraId="43CC69EE">
      <w:pPr>
        <w:jc w:val="center"/>
        <w:outlineLvl w:val="0"/>
        <w:rPr>
          <w:rFonts w:eastAsia="黑体"/>
          <w:color w:val="auto"/>
          <w:sz w:val="52"/>
          <w:szCs w:val="52"/>
          <w:highlight w:val="none"/>
        </w:rPr>
      </w:pPr>
      <w:bookmarkStart w:id="1658" w:name="_Toc26117"/>
      <w:bookmarkStart w:id="1659" w:name="_Toc16047"/>
      <w:bookmarkStart w:id="1660" w:name="_Toc7309"/>
      <w:bookmarkStart w:id="1661" w:name="_Toc2496"/>
      <w:bookmarkStart w:id="1662" w:name="_Toc11105"/>
      <w:bookmarkStart w:id="1663" w:name="_Toc19888"/>
      <w:bookmarkStart w:id="1664" w:name="_Toc21401"/>
      <w:bookmarkStart w:id="1665" w:name="_Toc614"/>
      <w:bookmarkStart w:id="1666" w:name="_Toc16270"/>
      <w:bookmarkStart w:id="1667" w:name="_Toc6459"/>
      <w:bookmarkStart w:id="1668" w:name="_Toc28538"/>
      <w:bookmarkStart w:id="1669" w:name="_Toc18121"/>
      <w:bookmarkStart w:id="1670" w:name="_Toc19765"/>
      <w:r>
        <w:rPr>
          <w:rFonts w:eastAsia="黑体"/>
          <w:color w:val="auto"/>
          <w:sz w:val="52"/>
          <w:szCs w:val="52"/>
          <w:highlight w:val="none"/>
        </w:rPr>
        <w:t>第四卷</w:t>
      </w:r>
      <w:bookmarkEnd w:id="1658"/>
      <w:bookmarkEnd w:id="1659"/>
      <w:bookmarkEnd w:id="1660"/>
      <w:bookmarkEnd w:id="1661"/>
      <w:bookmarkEnd w:id="1662"/>
      <w:bookmarkEnd w:id="1663"/>
      <w:bookmarkEnd w:id="1664"/>
      <w:bookmarkEnd w:id="1665"/>
      <w:bookmarkEnd w:id="1666"/>
      <w:bookmarkEnd w:id="1667"/>
      <w:bookmarkEnd w:id="1668"/>
      <w:bookmarkEnd w:id="1669"/>
      <w:bookmarkEnd w:id="1670"/>
    </w:p>
    <w:p w14:paraId="7DBB90FF">
      <w:pPr>
        <w:rPr>
          <w:color w:val="auto"/>
          <w:highlight w:val="none"/>
        </w:rPr>
      </w:pPr>
    </w:p>
    <w:p w14:paraId="37929B11">
      <w:pPr>
        <w:rPr>
          <w:color w:val="auto"/>
          <w:highlight w:val="none"/>
        </w:rPr>
      </w:pPr>
    </w:p>
    <w:p w14:paraId="03B739B1">
      <w:pPr>
        <w:rPr>
          <w:color w:val="auto"/>
          <w:highlight w:val="none"/>
        </w:rPr>
      </w:pPr>
    </w:p>
    <w:p w14:paraId="1B996F13">
      <w:pPr>
        <w:rPr>
          <w:color w:val="auto"/>
          <w:highlight w:val="none"/>
        </w:rPr>
      </w:pPr>
    </w:p>
    <w:p w14:paraId="1ED47A16">
      <w:pPr>
        <w:rPr>
          <w:color w:val="auto"/>
          <w:highlight w:val="none"/>
        </w:rPr>
      </w:pPr>
    </w:p>
    <w:p w14:paraId="52DBE9DB">
      <w:pPr>
        <w:rPr>
          <w:color w:val="auto"/>
          <w:highlight w:val="none"/>
        </w:rPr>
      </w:pPr>
    </w:p>
    <w:p w14:paraId="6E682118">
      <w:pPr>
        <w:rPr>
          <w:color w:val="auto"/>
          <w:highlight w:val="none"/>
        </w:rPr>
      </w:pPr>
    </w:p>
    <w:p w14:paraId="6F6B687B">
      <w:pPr>
        <w:rPr>
          <w:color w:val="auto"/>
          <w:highlight w:val="none"/>
        </w:rPr>
      </w:pPr>
    </w:p>
    <w:p w14:paraId="22F538D8">
      <w:pPr>
        <w:rPr>
          <w:color w:val="auto"/>
          <w:highlight w:val="none"/>
        </w:rPr>
      </w:pPr>
    </w:p>
    <w:p w14:paraId="71EB30F6">
      <w:pPr>
        <w:rPr>
          <w:color w:val="auto"/>
          <w:highlight w:val="none"/>
        </w:rPr>
      </w:pPr>
    </w:p>
    <w:p w14:paraId="08511F8D">
      <w:pPr>
        <w:rPr>
          <w:color w:val="auto"/>
          <w:highlight w:val="none"/>
        </w:rPr>
      </w:pPr>
    </w:p>
    <w:p w14:paraId="6D47BB9B">
      <w:pPr>
        <w:rPr>
          <w:color w:val="auto"/>
          <w:highlight w:val="none"/>
        </w:rPr>
      </w:pPr>
    </w:p>
    <w:p w14:paraId="0B6B000B">
      <w:pPr>
        <w:rPr>
          <w:color w:val="auto"/>
          <w:highlight w:val="none"/>
        </w:rPr>
      </w:pPr>
    </w:p>
    <w:p w14:paraId="3245C2E5">
      <w:pPr>
        <w:rPr>
          <w:color w:val="auto"/>
          <w:highlight w:val="none"/>
        </w:rPr>
      </w:pPr>
    </w:p>
    <w:p w14:paraId="39F7EFD1">
      <w:pPr>
        <w:rPr>
          <w:color w:val="auto"/>
          <w:highlight w:val="none"/>
        </w:rPr>
      </w:pPr>
    </w:p>
    <w:p w14:paraId="5216BDDC">
      <w:pPr>
        <w:rPr>
          <w:color w:val="auto"/>
          <w:highlight w:val="none"/>
        </w:rPr>
      </w:pPr>
    </w:p>
    <w:p w14:paraId="1EACA41D">
      <w:pPr>
        <w:rPr>
          <w:color w:val="auto"/>
          <w:highlight w:val="none"/>
        </w:rPr>
      </w:pPr>
    </w:p>
    <w:p w14:paraId="532AEAC7">
      <w:pPr>
        <w:rPr>
          <w:color w:val="auto"/>
          <w:highlight w:val="none"/>
        </w:rPr>
      </w:pPr>
    </w:p>
    <w:p w14:paraId="061458B5">
      <w:pPr>
        <w:rPr>
          <w:color w:val="auto"/>
          <w:highlight w:val="none"/>
        </w:rPr>
      </w:pPr>
    </w:p>
    <w:p w14:paraId="3F02CED7">
      <w:pPr>
        <w:rPr>
          <w:color w:val="auto"/>
          <w:highlight w:val="none"/>
        </w:rPr>
      </w:pPr>
    </w:p>
    <w:p w14:paraId="749F76AC">
      <w:pPr>
        <w:rPr>
          <w:color w:val="auto"/>
          <w:highlight w:val="none"/>
        </w:rPr>
      </w:pPr>
    </w:p>
    <w:p w14:paraId="6F8F4335">
      <w:pPr>
        <w:rPr>
          <w:color w:val="auto"/>
          <w:highlight w:val="none"/>
        </w:rPr>
      </w:pPr>
    </w:p>
    <w:p w14:paraId="080A848A">
      <w:pPr>
        <w:rPr>
          <w:color w:val="auto"/>
          <w:highlight w:val="none"/>
        </w:rPr>
      </w:pPr>
    </w:p>
    <w:p w14:paraId="6BA10ACA">
      <w:pPr>
        <w:rPr>
          <w:color w:val="auto"/>
          <w:highlight w:val="none"/>
        </w:rPr>
      </w:pPr>
    </w:p>
    <w:p w14:paraId="3E2BA9A9">
      <w:pPr>
        <w:rPr>
          <w:color w:val="auto"/>
          <w:highlight w:val="none"/>
        </w:rPr>
      </w:pPr>
    </w:p>
    <w:p w14:paraId="0293A6F2">
      <w:pPr>
        <w:rPr>
          <w:color w:val="auto"/>
          <w:highlight w:val="none"/>
        </w:rPr>
      </w:pPr>
    </w:p>
    <w:p w14:paraId="248B5B06">
      <w:pPr>
        <w:rPr>
          <w:color w:val="auto"/>
          <w:highlight w:val="none"/>
        </w:rPr>
      </w:pPr>
    </w:p>
    <w:p w14:paraId="23780023">
      <w:pPr>
        <w:rPr>
          <w:color w:val="auto"/>
          <w:highlight w:val="none"/>
        </w:rPr>
      </w:pPr>
    </w:p>
    <w:p w14:paraId="3AD819CE">
      <w:pPr>
        <w:rPr>
          <w:color w:val="auto"/>
          <w:highlight w:val="none"/>
        </w:rPr>
      </w:pPr>
    </w:p>
    <w:p w14:paraId="06AB3CCA">
      <w:pPr>
        <w:rPr>
          <w:color w:val="auto"/>
          <w:highlight w:val="none"/>
        </w:rPr>
      </w:pPr>
    </w:p>
    <w:p w14:paraId="5F3E71E8">
      <w:pPr>
        <w:rPr>
          <w:color w:val="auto"/>
          <w:highlight w:val="none"/>
        </w:rPr>
      </w:pPr>
    </w:p>
    <w:p w14:paraId="55C0E192">
      <w:pPr>
        <w:rPr>
          <w:color w:val="auto"/>
          <w:highlight w:val="none"/>
        </w:rPr>
      </w:pPr>
    </w:p>
    <w:p w14:paraId="17AFD188">
      <w:pPr>
        <w:rPr>
          <w:color w:val="auto"/>
          <w:highlight w:val="none"/>
        </w:rPr>
      </w:pPr>
    </w:p>
    <w:p w14:paraId="12EFAB02">
      <w:pPr>
        <w:pStyle w:val="56"/>
        <w:rPr>
          <w:color w:val="auto"/>
          <w:highlight w:val="none"/>
        </w:rPr>
      </w:pPr>
    </w:p>
    <w:p w14:paraId="426840D3">
      <w:pPr>
        <w:pStyle w:val="56"/>
        <w:rPr>
          <w:color w:val="auto"/>
          <w:highlight w:val="none"/>
        </w:rPr>
      </w:pPr>
    </w:p>
    <w:p w14:paraId="15467175">
      <w:pPr>
        <w:pStyle w:val="56"/>
        <w:rPr>
          <w:color w:val="auto"/>
          <w:highlight w:val="none"/>
        </w:rPr>
      </w:pPr>
    </w:p>
    <w:p w14:paraId="129518A2">
      <w:pPr>
        <w:pStyle w:val="56"/>
        <w:rPr>
          <w:color w:val="auto"/>
          <w:highlight w:val="none"/>
        </w:rPr>
      </w:pPr>
    </w:p>
    <w:p w14:paraId="442C5624">
      <w:pPr>
        <w:pStyle w:val="56"/>
        <w:rPr>
          <w:color w:val="auto"/>
          <w:highlight w:val="none"/>
        </w:rPr>
      </w:pPr>
    </w:p>
    <w:p w14:paraId="29C0D9F2">
      <w:pPr>
        <w:pStyle w:val="56"/>
        <w:rPr>
          <w:color w:val="auto"/>
          <w:highlight w:val="none"/>
        </w:rPr>
      </w:pPr>
    </w:p>
    <w:p w14:paraId="2B6F0DC9">
      <w:pPr>
        <w:pStyle w:val="56"/>
        <w:rPr>
          <w:color w:val="auto"/>
          <w:highlight w:val="none"/>
        </w:rPr>
      </w:pPr>
    </w:p>
    <w:p w14:paraId="4ABE72A0">
      <w:pPr>
        <w:pStyle w:val="56"/>
        <w:rPr>
          <w:color w:val="auto"/>
          <w:highlight w:val="none"/>
        </w:rPr>
      </w:pPr>
    </w:p>
    <w:p w14:paraId="4FDB3864">
      <w:pPr>
        <w:pStyle w:val="56"/>
        <w:rPr>
          <w:color w:val="auto"/>
          <w:highlight w:val="none"/>
        </w:rPr>
      </w:pPr>
    </w:p>
    <w:p w14:paraId="3819C5D8">
      <w:pPr>
        <w:pStyle w:val="56"/>
        <w:rPr>
          <w:color w:val="auto"/>
          <w:highlight w:val="none"/>
        </w:rPr>
      </w:pPr>
    </w:p>
    <w:p w14:paraId="4DB2BE54">
      <w:pPr>
        <w:pStyle w:val="56"/>
        <w:rPr>
          <w:color w:val="auto"/>
          <w:highlight w:val="none"/>
        </w:rPr>
      </w:pPr>
    </w:p>
    <w:p w14:paraId="2DB50BC6">
      <w:pPr>
        <w:pStyle w:val="56"/>
        <w:rPr>
          <w:color w:val="auto"/>
          <w:highlight w:val="none"/>
        </w:rPr>
      </w:pPr>
    </w:p>
    <w:p w14:paraId="56287613">
      <w:pPr>
        <w:pStyle w:val="56"/>
        <w:rPr>
          <w:color w:val="auto"/>
          <w:highlight w:val="none"/>
        </w:rPr>
      </w:pPr>
    </w:p>
    <w:p w14:paraId="56628AEB">
      <w:pPr>
        <w:pStyle w:val="56"/>
        <w:rPr>
          <w:color w:val="auto"/>
          <w:highlight w:val="none"/>
        </w:rPr>
      </w:pPr>
    </w:p>
    <w:p w14:paraId="6DB07930">
      <w:pPr>
        <w:pStyle w:val="56"/>
        <w:rPr>
          <w:color w:val="auto"/>
          <w:highlight w:val="none"/>
        </w:rPr>
      </w:pPr>
    </w:p>
    <w:p w14:paraId="29647CBD">
      <w:pPr>
        <w:pStyle w:val="56"/>
        <w:rPr>
          <w:color w:val="auto"/>
          <w:highlight w:val="none"/>
        </w:rPr>
      </w:pPr>
    </w:p>
    <w:p w14:paraId="1EFEE87F">
      <w:pPr>
        <w:pStyle w:val="56"/>
        <w:rPr>
          <w:color w:val="auto"/>
          <w:highlight w:val="none"/>
        </w:rPr>
      </w:pPr>
    </w:p>
    <w:p w14:paraId="7BCF8B4D">
      <w:pPr>
        <w:numPr>
          <w:ilvl w:val="0"/>
          <w:numId w:val="14"/>
        </w:numPr>
        <w:jc w:val="center"/>
        <w:outlineLvl w:val="0"/>
        <w:rPr>
          <w:rFonts w:eastAsia="黑体"/>
          <w:color w:val="auto"/>
          <w:sz w:val="52"/>
          <w:szCs w:val="52"/>
          <w:highlight w:val="none"/>
        </w:rPr>
      </w:pPr>
      <w:bookmarkStart w:id="1671" w:name="_Toc30011"/>
      <w:bookmarkStart w:id="1672" w:name="_Toc10252"/>
      <w:bookmarkStart w:id="1673" w:name="_Toc27542"/>
      <w:bookmarkStart w:id="1674" w:name="_Toc11109"/>
      <w:bookmarkStart w:id="1675" w:name="_Toc31990"/>
      <w:bookmarkStart w:id="1676" w:name="_Toc23191"/>
      <w:bookmarkStart w:id="1677" w:name="_Toc28067"/>
      <w:bookmarkStart w:id="1678" w:name="_Toc29225"/>
      <w:bookmarkStart w:id="1679" w:name="_Toc20424"/>
      <w:bookmarkStart w:id="1680" w:name="_Toc2914"/>
      <w:bookmarkStart w:id="1681" w:name="_Toc28140"/>
      <w:bookmarkStart w:id="1682" w:name="_Toc6447"/>
      <w:bookmarkStart w:id="1683" w:name="_Toc19424"/>
      <w:bookmarkStart w:id="1684" w:name="_Toc9740"/>
      <w:bookmarkStart w:id="1685" w:name="_Toc30456"/>
      <w:bookmarkStart w:id="1686" w:name="_Toc17758"/>
      <w:r>
        <w:rPr>
          <w:rFonts w:eastAsia="黑体"/>
          <w:color w:val="auto"/>
          <w:sz w:val="52"/>
          <w:szCs w:val="52"/>
          <w:highlight w:val="none"/>
        </w:rPr>
        <w:t>投标文件格式</w:t>
      </w:r>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p>
    <w:p w14:paraId="416823C0">
      <w:pPr>
        <w:autoSpaceDE w:val="0"/>
        <w:autoSpaceDN w:val="0"/>
        <w:adjustRightInd w:val="0"/>
        <w:spacing w:line="400" w:lineRule="exact"/>
        <w:ind w:right="-34" w:rightChars="-16" w:firstLine="1920" w:firstLineChars="600"/>
        <w:jc w:val="left"/>
        <w:rPr>
          <w:rFonts w:eastAsia="黑体"/>
          <w:color w:val="auto"/>
          <w:sz w:val="32"/>
          <w:szCs w:val="32"/>
          <w:highlight w:val="none"/>
        </w:rPr>
      </w:pPr>
      <w:r>
        <w:rPr>
          <w:rFonts w:eastAsia="黑体"/>
          <w:color w:val="auto"/>
          <w:sz w:val="32"/>
          <w:szCs w:val="32"/>
          <w:highlight w:val="none"/>
        </w:rPr>
        <w:br w:type="page"/>
      </w:r>
    </w:p>
    <w:p w14:paraId="1C6A4F85">
      <w:pPr>
        <w:autoSpaceDE w:val="0"/>
        <w:autoSpaceDN w:val="0"/>
        <w:adjustRightInd w:val="0"/>
        <w:spacing w:line="400" w:lineRule="exact"/>
        <w:ind w:right="-34" w:rightChars="-16" w:firstLine="1920" w:firstLineChars="600"/>
        <w:jc w:val="left"/>
        <w:rPr>
          <w:rFonts w:eastAsia="黑体"/>
          <w:color w:val="auto"/>
          <w:sz w:val="32"/>
          <w:szCs w:val="32"/>
          <w:highlight w:val="none"/>
        </w:rPr>
      </w:pPr>
    </w:p>
    <w:p w14:paraId="0A264656">
      <w:pPr>
        <w:autoSpaceDE w:val="0"/>
        <w:autoSpaceDN w:val="0"/>
        <w:adjustRightInd w:val="0"/>
        <w:spacing w:line="400" w:lineRule="exact"/>
        <w:ind w:right="-34" w:rightChars="-16" w:firstLine="1920" w:firstLineChars="600"/>
        <w:jc w:val="left"/>
        <w:rPr>
          <w:rFonts w:eastAsia="黑体"/>
          <w:color w:val="auto"/>
          <w:sz w:val="32"/>
          <w:szCs w:val="32"/>
          <w:highlight w:val="none"/>
        </w:rPr>
      </w:pPr>
    </w:p>
    <w:p w14:paraId="7E9DE32D">
      <w:pPr>
        <w:autoSpaceDE w:val="0"/>
        <w:autoSpaceDN w:val="0"/>
        <w:adjustRightInd w:val="0"/>
        <w:spacing w:line="400" w:lineRule="exact"/>
        <w:ind w:right="-34" w:rightChars="-16" w:firstLine="1920" w:firstLineChars="600"/>
        <w:jc w:val="left"/>
        <w:rPr>
          <w:rFonts w:eastAsia="黑体"/>
          <w:color w:val="auto"/>
          <w:sz w:val="32"/>
          <w:szCs w:val="32"/>
          <w:highlight w:val="none"/>
        </w:rPr>
      </w:pPr>
    </w:p>
    <w:p w14:paraId="7D4D4625">
      <w:pPr>
        <w:autoSpaceDE w:val="0"/>
        <w:autoSpaceDN w:val="0"/>
        <w:adjustRightInd w:val="0"/>
        <w:spacing w:line="400" w:lineRule="exact"/>
        <w:ind w:right="-34" w:rightChars="-16" w:firstLine="1920" w:firstLineChars="600"/>
        <w:jc w:val="left"/>
        <w:rPr>
          <w:rFonts w:eastAsia="黑体"/>
          <w:color w:val="auto"/>
          <w:sz w:val="32"/>
          <w:szCs w:val="32"/>
          <w:highlight w:val="none"/>
        </w:rPr>
      </w:pPr>
    </w:p>
    <w:p w14:paraId="6146EFF7">
      <w:pPr>
        <w:autoSpaceDE w:val="0"/>
        <w:autoSpaceDN w:val="0"/>
        <w:adjustRightInd w:val="0"/>
        <w:spacing w:line="240" w:lineRule="auto"/>
        <w:ind w:right="0" w:rightChars="0" w:firstLine="0" w:firstLineChars="0"/>
        <w:jc w:val="left"/>
        <w:rPr>
          <w:rFonts w:hint="eastAsia" w:ascii="宋体" w:hAnsi="宋体" w:eastAsia="宋体" w:cs="宋体"/>
          <w:color w:val="auto"/>
          <w:spacing w:val="0"/>
          <w:kern w:val="0"/>
          <w:position w:val="0"/>
          <w:sz w:val="48"/>
          <w:szCs w:val="44"/>
          <w:highlight w:val="none"/>
        </w:rPr>
      </w:pPr>
      <w:r>
        <w:rPr>
          <w:rFonts w:hint="eastAsia" w:ascii="宋体" w:hAnsi="宋体" w:eastAsia="宋体" w:cs="宋体"/>
          <w:color w:val="auto"/>
          <w:spacing w:val="0"/>
          <w:position w:val="0"/>
          <w:sz w:val="48"/>
          <w:szCs w:val="44"/>
          <w:highlight w:val="none"/>
          <w:u w:val="single"/>
        </w:rPr>
        <w:t xml:space="preserve">   </w:t>
      </w:r>
      <w:r>
        <w:rPr>
          <w:rFonts w:hint="eastAsia" w:ascii="宋体" w:hAnsi="宋体" w:eastAsia="宋体" w:cs="宋体"/>
          <w:color w:val="auto"/>
          <w:spacing w:val="0"/>
          <w:position w:val="0"/>
          <w:sz w:val="48"/>
          <w:szCs w:val="44"/>
          <w:highlight w:val="none"/>
          <w:u w:val="single"/>
          <w:lang w:val="en-US" w:eastAsia="zh-CN"/>
        </w:rPr>
        <w:t xml:space="preserve">     </w:t>
      </w:r>
      <w:r>
        <w:rPr>
          <w:rFonts w:hint="eastAsia" w:ascii="宋体" w:hAnsi="宋体" w:eastAsia="宋体" w:cs="宋体"/>
          <w:color w:val="auto"/>
          <w:spacing w:val="0"/>
          <w:position w:val="0"/>
          <w:sz w:val="48"/>
          <w:szCs w:val="44"/>
          <w:highlight w:val="none"/>
          <w:u w:val="single"/>
        </w:rPr>
        <w:t xml:space="preserve">  </w:t>
      </w:r>
      <w:r>
        <w:rPr>
          <w:rFonts w:hint="eastAsia" w:ascii="宋体" w:hAnsi="宋体" w:eastAsia="宋体" w:cs="宋体"/>
          <w:color w:val="auto"/>
          <w:spacing w:val="0"/>
          <w:position w:val="0"/>
          <w:sz w:val="48"/>
          <w:szCs w:val="44"/>
          <w:highlight w:val="none"/>
          <w:u w:val="single"/>
          <w:lang w:val="en-US" w:eastAsia="zh-CN"/>
        </w:rPr>
        <w:t xml:space="preserve"> </w:t>
      </w:r>
      <w:r>
        <w:rPr>
          <w:rFonts w:hint="eastAsia" w:ascii="宋体" w:hAnsi="宋体" w:eastAsia="宋体" w:cs="宋体"/>
          <w:color w:val="auto"/>
          <w:spacing w:val="0"/>
          <w:position w:val="0"/>
          <w:sz w:val="48"/>
          <w:szCs w:val="44"/>
          <w:highlight w:val="none"/>
        </w:rPr>
        <w:t>（项目名称</w:t>
      </w:r>
      <w:r>
        <w:rPr>
          <w:rFonts w:hint="eastAsia" w:ascii="宋体" w:hAnsi="宋体" w:eastAsia="宋体" w:cs="宋体"/>
          <w:color w:val="auto"/>
          <w:spacing w:val="0"/>
          <w:position w:val="0"/>
          <w:sz w:val="48"/>
          <w:szCs w:val="44"/>
          <w:highlight w:val="none"/>
          <w:lang w:val="en-US" w:eastAsia="zh-CN"/>
        </w:rPr>
        <w:t>及标段</w:t>
      </w:r>
      <w:r>
        <w:rPr>
          <w:rFonts w:hint="eastAsia" w:ascii="宋体" w:hAnsi="宋体" w:eastAsia="宋体" w:cs="宋体"/>
          <w:color w:val="auto"/>
          <w:spacing w:val="0"/>
          <w:position w:val="0"/>
          <w:sz w:val="48"/>
          <w:szCs w:val="44"/>
          <w:highlight w:val="none"/>
        </w:rPr>
        <w:t>）施工招标</w:t>
      </w:r>
    </w:p>
    <w:p w14:paraId="14EB5A6F">
      <w:pPr>
        <w:autoSpaceDE w:val="0"/>
        <w:autoSpaceDN w:val="0"/>
        <w:spacing w:line="720" w:lineRule="exact"/>
        <w:jc w:val="center"/>
        <w:rPr>
          <w:rFonts w:hint="eastAsia" w:ascii="仿宋" w:hAnsi="仿宋" w:eastAsia="仿宋" w:cs="仿宋"/>
          <w:b/>
          <w:bCs/>
          <w:color w:val="auto"/>
          <w:sz w:val="48"/>
          <w:szCs w:val="48"/>
          <w:highlight w:val="none"/>
        </w:rPr>
      </w:pPr>
    </w:p>
    <w:p w14:paraId="171A4A57">
      <w:pPr>
        <w:spacing w:line="360" w:lineRule="auto"/>
        <w:ind w:firstLine="420" w:firstLineChars="200"/>
        <w:rPr>
          <w:color w:val="auto"/>
          <w:szCs w:val="21"/>
          <w:highlight w:val="none"/>
        </w:rPr>
      </w:pPr>
    </w:p>
    <w:p w14:paraId="5AF4094F">
      <w:pPr>
        <w:spacing w:line="360" w:lineRule="auto"/>
        <w:ind w:firstLine="420" w:firstLineChars="200"/>
        <w:rPr>
          <w:color w:val="auto"/>
          <w:szCs w:val="21"/>
          <w:highlight w:val="none"/>
        </w:rPr>
      </w:pPr>
    </w:p>
    <w:p w14:paraId="3326F7C4">
      <w:pPr>
        <w:spacing w:line="360" w:lineRule="auto"/>
        <w:ind w:firstLine="420" w:firstLineChars="200"/>
        <w:rPr>
          <w:color w:val="auto"/>
          <w:szCs w:val="21"/>
          <w:highlight w:val="none"/>
        </w:rPr>
      </w:pPr>
    </w:p>
    <w:p w14:paraId="002E9F0D">
      <w:pPr>
        <w:pStyle w:val="48"/>
        <w:rPr>
          <w:color w:val="auto"/>
          <w:szCs w:val="21"/>
          <w:highlight w:val="none"/>
        </w:rPr>
      </w:pPr>
    </w:p>
    <w:p w14:paraId="4AA109C6">
      <w:pPr>
        <w:pStyle w:val="48"/>
        <w:rPr>
          <w:color w:val="auto"/>
          <w:szCs w:val="21"/>
          <w:highlight w:val="none"/>
        </w:rPr>
      </w:pPr>
    </w:p>
    <w:p w14:paraId="3AED8AEC">
      <w:pPr>
        <w:pStyle w:val="48"/>
        <w:rPr>
          <w:color w:val="auto"/>
          <w:szCs w:val="21"/>
          <w:highlight w:val="none"/>
        </w:rPr>
      </w:pPr>
    </w:p>
    <w:p w14:paraId="2672B836">
      <w:pPr>
        <w:pStyle w:val="48"/>
        <w:rPr>
          <w:color w:val="auto"/>
          <w:szCs w:val="21"/>
          <w:highlight w:val="none"/>
        </w:rPr>
      </w:pPr>
    </w:p>
    <w:p w14:paraId="33F90BDF">
      <w:pPr>
        <w:pStyle w:val="48"/>
        <w:rPr>
          <w:color w:val="auto"/>
          <w:szCs w:val="21"/>
          <w:highlight w:val="none"/>
        </w:rPr>
      </w:pPr>
    </w:p>
    <w:p w14:paraId="016CD224">
      <w:pPr>
        <w:spacing w:line="360" w:lineRule="auto"/>
        <w:ind w:firstLine="420" w:firstLineChars="200"/>
        <w:rPr>
          <w:color w:val="auto"/>
          <w:szCs w:val="21"/>
          <w:highlight w:val="none"/>
        </w:rPr>
      </w:pPr>
    </w:p>
    <w:p w14:paraId="0A99D549">
      <w:pPr>
        <w:spacing w:line="360" w:lineRule="auto"/>
        <w:jc w:val="center"/>
        <w:rPr>
          <w:rFonts w:hint="eastAsia"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rPr>
        <w:t>投 标 文 件</w:t>
      </w:r>
    </w:p>
    <w:p w14:paraId="479A6384">
      <w:pPr>
        <w:spacing w:line="360" w:lineRule="auto"/>
        <w:ind w:firstLine="420" w:firstLineChars="200"/>
        <w:rPr>
          <w:color w:val="auto"/>
          <w:szCs w:val="21"/>
          <w:highlight w:val="none"/>
        </w:rPr>
      </w:pPr>
    </w:p>
    <w:p w14:paraId="69511660">
      <w:pPr>
        <w:jc w:val="center"/>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2"/>
          <w:szCs w:val="32"/>
          <w:highlight w:val="none"/>
          <w:lang w:eastAsia="zh-CN"/>
        </w:rPr>
        <w:t>项目编号</w:t>
      </w:r>
      <w:r>
        <w:rPr>
          <w:rFonts w:hint="eastAsia" w:ascii="仿宋" w:hAnsi="仿宋" w:eastAsia="仿宋" w:cs="仿宋"/>
          <w:b/>
          <w:bCs/>
          <w:color w:val="auto"/>
          <w:sz w:val="32"/>
          <w:szCs w:val="32"/>
          <w:highlight w:val="none"/>
        </w:rPr>
        <w:t>：</w:t>
      </w:r>
    </w:p>
    <w:p w14:paraId="3EE1374D">
      <w:pPr>
        <w:spacing w:line="360" w:lineRule="auto"/>
        <w:ind w:firstLine="2880" w:firstLineChars="900"/>
        <w:rPr>
          <w:rFonts w:hint="eastAsia" w:ascii="仿宋" w:hAnsi="仿宋" w:eastAsia="仿宋" w:cs="仿宋"/>
          <w:color w:val="auto"/>
          <w:sz w:val="32"/>
          <w:szCs w:val="32"/>
          <w:highlight w:val="none"/>
          <w:u w:val="single"/>
        </w:rPr>
      </w:pPr>
    </w:p>
    <w:p w14:paraId="288C30CC">
      <w:pPr>
        <w:spacing w:line="360" w:lineRule="auto"/>
        <w:ind w:firstLine="420" w:firstLineChars="200"/>
        <w:jc w:val="center"/>
        <w:rPr>
          <w:color w:val="auto"/>
          <w:szCs w:val="21"/>
          <w:highlight w:val="none"/>
        </w:rPr>
      </w:pPr>
    </w:p>
    <w:p w14:paraId="5896DAD8">
      <w:pPr>
        <w:spacing w:line="360" w:lineRule="auto"/>
        <w:ind w:firstLine="420" w:firstLineChars="200"/>
        <w:rPr>
          <w:color w:val="auto"/>
          <w:szCs w:val="21"/>
          <w:highlight w:val="none"/>
        </w:rPr>
      </w:pPr>
    </w:p>
    <w:p w14:paraId="4E2ED559">
      <w:pPr>
        <w:spacing w:line="360" w:lineRule="auto"/>
        <w:rPr>
          <w:color w:val="auto"/>
          <w:szCs w:val="21"/>
          <w:highlight w:val="none"/>
        </w:rPr>
      </w:pPr>
    </w:p>
    <w:p w14:paraId="1B231FA1">
      <w:pPr>
        <w:pStyle w:val="48"/>
        <w:rPr>
          <w:color w:val="auto"/>
          <w:szCs w:val="21"/>
          <w:highlight w:val="none"/>
        </w:rPr>
      </w:pPr>
    </w:p>
    <w:p w14:paraId="203AF26B">
      <w:pPr>
        <w:pStyle w:val="48"/>
        <w:rPr>
          <w:color w:val="auto"/>
          <w:szCs w:val="21"/>
          <w:highlight w:val="none"/>
        </w:rPr>
      </w:pPr>
    </w:p>
    <w:p w14:paraId="5644C151">
      <w:pPr>
        <w:spacing w:line="360" w:lineRule="auto"/>
        <w:ind w:firstLine="420" w:firstLineChars="200"/>
        <w:rPr>
          <w:color w:val="auto"/>
          <w:szCs w:val="21"/>
          <w:highlight w:val="none"/>
        </w:rPr>
      </w:pPr>
    </w:p>
    <w:p w14:paraId="0B4117F2">
      <w:pPr>
        <w:spacing w:line="360" w:lineRule="auto"/>
        <w:ind w:firstLine="1680" w:firstLineChars="6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（单位电子签章）</w:t>
      </w:r>
    </w:p>
    <w:p w14:paraId="6A8319A2">
      <w:pPr>
        <w:spacing w:line="360" w:lineRule="auto"/>
        <w:ind w:firstLine="560" w:firstLineChars="200"/>
        <w:rPr>
          <w:rFonts w:hint="eastAsia" w:ascii="仿宋" w:hAnsi="仿宋" w:eastAsia="仿宋" w:cs="仿宋"/>
          <w:color w:val="auto"/>
          <w:sz w:val="28"/>
          <w:szCs w:val="28"/>
          <w:highlight w:val="none"/>
        </w:rPr>
      </w:pPr>
    </w:p>
    <w:p w14:paraId="1BA9A992">
      <w:pPr>
        <w:spacing w:line="360" w:lineRule="auto"/>
        <w:ind w:firstLine="1680" w:firstLineChars="6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（签字或盖章）</w:t>
      </w:r>
    </w:p>
    <w:p w14:paraId="3778E14C">
      <w:pPr>
        <w:spacing w:line="360" w:lineRule="auto"/>
        <w:jc w:val="center"/>
        <w:rPr>
          <w:color w:val="auto"/>
          <w:szCs w:val="21"/>
          <w:highlight w:val="none"/>
          <w:u w:val="single"/>
        </w:rPr>
      </w:pPr>
    </w:p>
    <w:p w14:paraId="27843254">
      <w:pPr>
        <w:spacing w:line="360" w:lineRule="auto"/>
        <w:jc w:val="center"/>
        <w:rPr>
          <w:color w:val="auto"/>
          <w:sz w:val="28"/>
          <w:szCs w:val="28"/>
          <w:highlight w:val="none"/>
        </w:rPr>
      </w:pPr>
      <w:r>
        <w:rPr>
          <w:color w:val="auto"/>
          <w:szCs w:val="21"/>
          <w:highlight w:val="none"/>
          <w:u w:val="single"/>
        </w:rPr>
        <w:t xml:space="preserve">         </w:t>
      </w:r>
      <w:r>
        <w:rPr>
          <w:color w:val="auto"/>
          <w:sz w:val="28"/>
          <w:szCs w:val="28"/>
          <w:highlight w:val="none"/>
        </w:rPr>
        <w:t>年</w:t>
      </w:r>
      <w:r>
        <w:rPr>
          <w:color w:val="auto"/>
          <w:sz w:val="28"/>
          <w:szCs w:val="28"/>
          <w:highlight w:val="none"/>
          <w:u w:val="single"/>
        </w:rPr>
        <w:t xml:space="preserve">    </w:t>
      </w:r>
      <w:r>
        <w:rPr>
          <w:color w:val="auto"/>
          <w:sz w:val="28"/>
          <w:szCs w:val="28"/>
          <w:highlight w:val="none"/>
        </w:rPr>
        <w:t>月</w:t>
      </w:r>
      <w:r>
        <w:rPr>
          <w:color w:val="auto"/>
          <w:sz w:val="28"/>
          <w:szCs w:val="28"/>
          <w:highlight w:val="none"/>
          <w:u w:val="single"/>
        </w:rPr>
        <w:t xml:space="preserve">    </w:t>
      </w:r>
      <w:r>
        <w:rPr>
          <w:color w:val="auto"/>
          <w:sz w:val="28"/>
          <w:szCs w:val="28"/>
          <w:highlight w:val="none"/>
        </w:rPr>
        <w:t>日</w:t>
      </w:r>
      <w:r>
        <w:rPr>
          <w:color w:val="auto"/>
          <w:sz w:val="28"/>
          <w:szCs w:val="28"/>
          <w:highlight w:val="none"/>
        </w:rPr>
        <w:br w:type="page"/>
      </w:r>
    </w:p>
    <w:p w14:paraId="75BDD9D0">
      <w:pPr>
        <w:keepNext/>
        <w:keepLines/>
        <w:spacing w:line="360" w:lineRule="auto"/>
        <w:jc w:val="center"/>
        <w:rPr>
          <w:rFonts w:hint="eastAsia" w:ascii="仿宋" w:hAnsi="仿宋" w:eastAsia="仿宋" w:cs="仿宋"/>
          <w:color w:val="auto"/>
          <w:sz w:val="28"/>
          <w:szCs w:val="28"/>
          <w:highlight w:val="none"/>
        </w:rPr>
      </w:pPr>
      <w:bookmarkStart w:id="1687" w:name="_Toc422814245"/>
      <w:bookmarkStart w:id="1688" w:name="_Toc428370631"/>
      <w:bookmarkStart w:id="1689" w:name="_Toc464031373"/>
      <w:bookmarkStart w:id="1690" w:name="_Toc426965275"/>
      <w:r>
        <w:rPr>
          <w:rFonts w:hint="eastAsia" w:ascii="仿宋" w:hAnsi="仿宋" w:eastAsia="仿宋" w:cs="仿宋"/>
          <w:color w:val="auto"/>
          <w:sz w:val="28"/>
          <w:szCs w:val="28"/>
          <w:highlight w:val="none"/>
        </w:rPr>
        <w:t>目  录</w:t>
      </w:r>
      <w:bookmarkEnd w:id="1687"/>
      <w:bookmarkEnd w:id="1688"/>
      <w:bookmarkEnd w:id="1689"/>
      <w:bookmarkEnd w:id="1690"/>
    </w:p>
    <w:p w14:paraId="6A3C3942">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投标函及投标函附录</w:t>
      </w:r>
    </w:p>
    <w:p w14:paraId="5F12C19C">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法定代表人身份证明</w:t>
      </w:r>
      <w:r>
        <w:rPr>
          <w:rFonts w:hint="eastAsia" w:ascii="仿宋" w:hAnsi="仿宋" w:eastAsia="仿宋" w:cs="仿宋"/>
          <w:color w:val="auto"/>
          <w:kern w:val="0"/>
          <w:sz w:val="24"/>
          <w:highlight w:val="none"/>
        </w:rPr>
        <w:t>（适</w:t>
      </w:r>
      <w:r>
        <w:rPr>
          <w:rFonts w:hint="eastAsia" w:ascii="仿宋" w:hAnsi="仿宋" w:eastAsia="仿宋" w:cs="仿宋"/>
          <w:color w:val="auto"/>
          <w:spacing w:val="-2"/>
          <w:kern w:val="0"/>
          <w:sz w:val="24"/>
          <w:highlight w:val="none"/>
        </w:rPr>
        <w:t>用</w:t>
      </w:r>
      <w:r>
        <w:rPr>
          <w:rFonts w:hint="eastAsia" w:ascii="仿宋" w:hAnsi="仿宋" w:eastAsia="仿宋" w:cs="仿宋"/>
          <w:color w:val="auto"/>
          <w:kern w:val="0"/>
          <w:sz w:val="24"/>
          <w:highlight w:val="none"/>
        </w:rPr>
        <w:t>于</w:t>
      </w:r>
      <w:r>
        <w:rPr>
          <w:rFonts w:hint="eastAsia" w:ascii="仿宋" w:hAnsi="仿宋" w:eastAsia="仿宋" w:cs="仿宋"/>
          <w:color w:val="auto"/>
          <w:spacing w:val="-2"/>
          <w:kern w:val="0"/>
          <w:sz w:val="24"/>
          <w:highlight w:val="none"/>
        </w:rPr>
        <w:t>无</w:t>
      </w:r>
      <w:r>
        <w:rPr>
          <w:rFonts w:hint="eastAsia" w:ascii="仿宋" w:hAnsi="仿宋" w:eastAsia="仿宋" w:cs="仿宋"/>
          <w:color w:val="auto"/>
          <w:kern w:val="0"/>
          <w:sz w:val="24"/>
          <w:highlight w:val="none"/>
        </w:rPr>
        <w:t>委</w:t>
      </w:r>
      <w:r>
        <w:rPr>
          <w:rFonts w:hint="eastAsia" w:ascii="仿宋" w:hAnsi="仿宋" w:eastAsia="仿宋" w:cs="仿宋"/>
          <w:color w:val="auto"/>
          <w:spacing w:val="-2"/>
          <w:kern w:val="0"/>
          <w:sz w:val="24"/>
          <w:highlight w:val="none"/>
        </w:rPr>
        <w:t>托</w:t>
      </w:r>
      <w:r>
        <w:rPr>
          <w:rFonts w:hint="eastAsia" w:ascii="仿宋" w:hAnsi="仿宋" w:eastAsia="仿宋" w:cs="仿宋"/>
          <w:color w:val="auto"/>
          <w:kern w:val="0"/>
          <w:sz w:val="24"/>
          <w:highlight w:val="none"/>
        </w:rPr>
        <w:t>代</w:t>
      </w:r>
      <w:r>
        <w:rPr>
          <w:rFonts w:hint="eastAsia" w:ascii="仿宋" w:hAnsi="仿宋" w:eastAsia="仿宋" w:cs="仿宋"/>
          <w:color w:val="auto"/>
          <w:spacing w:val="-2"/>
          <w:kern w:val="0"/>
          <w:sz w:val="24"/>
          <w:highlight w:val="none"/>
        </w:rPr>
        <w:t>理</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情况）</w:t>
      </w:r>
    </w:p>
    <w:p w14:paraId="1A331C33">
      <w:pPr>
        <w:numPr>
          <w:ilvl w:val="0"/>
          <w:numId w:val="16"/>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授权委托书</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适</w:t>
      </w:r>
      <w:r>
        <w:rPr>
          <w:rFonts w:hint="eastAsia" w:ascii="仿宋" w:hAnsi="仿宋" w:eastAsia="仿宋" w:cs="仿宋"/>
          <w:color w:val="auto"/>
          <w:kern w:val="0"/>
          <w:sz w:val="24"/>
          <w:highlight w:val="none"/>
        </w:rPr>
        <w:t>用</w:t>
      </w:r>
      <w:r>
        <w:rPr>
          <w:rFonts w:hint="eastAsia" w:ascii="仿宋" w:hAnsi="仿宋" w:eastAsia="仿宋" w:cs="仿宋"/>
          <w:color w:val="auto"/>
          <w:spacing w:val="-2"/>
          <w:kern w:val="0"/>
          <w:sz w:val="24"/>
          <w:highlight w:val="none"/>
        </w:rPr>
        <w:t>于</w:t>
      </w:r>
      <w:r>
        <w:rPr>
          <w:rFonts w:hint="eastAsia" w:ascii="仿宋" w:hAnsi="仿宋" w:eastAsia="仿宋" w:cs="仿宋"/>
          <w:color w:val="auto"/>
          <w:kern w:val="0"/>
          <w:sz w:val="24"/>
          <w:highlight w:val="none"/>
        </w:rPr>
        <w:t>有委</w:t>
      </w:r>
      <w:r>
        <w:rPr>
          <w:rFonts w:hint="eastAsia" w:ascii="仿宋" w:hAnsi="仿宋" w:eastAsia="仿宋" w:cs="仿宋"/>
          <w:color w:val="auto"/>
          <w:spacing w:val="-2"/>
          <w:kern w:val="0"/>
          <w:sz w:val="24"/>
          <w:highlight w:val="none"/>
        </w:rPr>
        <w:t>托</w:t>
      </w:r>
      <w:r>
        <w:rPr>
          <w:rFonts w:hint="eastAsia" w:ascii="仿宋" w:hAnsi="仿宋" w:eastAsia="仿宋" w:cs="仿宋"/>
          <w:color w:val="auto"/>
          <w:kern w:val="0"/>
          <w:sz w:val="24"/>
          <w:highlight w:val="none"/>
        </w:rPr>
        <w:t>代</w:t>
      </w:r>
      <w:r>
        <w:rPr>
          <w:rFonts w:hint="eastAsia" w:ascii="仿宋" w:hAnsi="仿宋" w:eastAsia="仿宋" w:cs="仿宋"/>
          <w:color w:val="auto"/>
          <w:spacing w:val="-2"/>
          <w:kern w:val="0"/>
          <w:sz w:val="24"/>
          <w:highlight w:val="none"/>
        </w:rPr>
        <w:t>理</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情</w:t>
      </w:r>
      <w:r>
        <w:rPr>
          <w:rFonts w:hint="eastAsia" w:ascii="仿宋" w:hAnsi="仿宋" w:eastAsia="仿宋" w:cs="仿宋"/>
          <w:color w:val="auto"/>
          <w:spacing w:val="-2"/>
          <w:kern w:val="0"/>
          <w:sz w:val="24"/>
          <w:highlight w:val="none"/>
        </w:rPr>
        <w:t>况</w:t>
      </w:r>
      <w:r>
        <w:rPr>
          <w:rFonts w:hint="eastAsia" w:ascii="仿宋" w:hAnsi="仿宋" w:eastAsia="仿宋" w:cs="仿宋"/>
          <w:color w:val="auto"/>
          <w:kern w:val="0"/>
          <w:sz w:val="24"/>
          <w:highlight w:val="none"/>
        </w:rPr>
        <w:t>）</w:t>
      </w:r>
    </w:p>
    <w:p w14:paraId="2414D202">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投标保证金</w:t>
      </w:r>
    </w:p>
    <w:p w14:paraId="436B4755">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已标价工程量清单</w:t>
      </w:r>
    </w:p>
    <w:p w14:paraId="058CDAD2">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施工组织设计</w:t>
      </w:r>
    </w:p>
    <w:p w14:paraId="4104761D">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项目管理机构</w:t>
      </w:r>
    </w:p>
    <w:p w14:paraId="320AFA2E">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资格审查资料</w:t>
      </w:r>
    </w:p>
    <w:p w14:paraId="5BF847D4">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其他资料</w:t>
      </w:r>
    </w:p>
    <w:p w14:paraId="460366D7">
      <w:pPr>
        <w:spacing w:line="360" w:lineRule="auto"/>
        <w:rPr>
          <w:color w:val="auto"/>
          <w:szCs w:val="21"/>
          <w:highlight w:val="none"/>
        </w:rPr>
      </w:pPr>
    </w:p>
    <w:p w14:paraId="787FC6E7">
      <w:pPr>
        <w:spacing w:line="360" w:lineRule="auto"/>
        <w:rPr>
          <w:color w:val="auto"/>
          <w:szCs w:val="21"/>
          <w:highlight w:val="none"/>
        </w:rPr>
      </w:pPr>
    </w:p>
    <w:p w14:paraId="7B8E5228">
      <w:pPr>
        <w:spacing w:before="240" w:beforeLines="100" w:line="360" w:lineRule="auto"/>
        <w:ind w:left="420"/>
        <w:jc w:val="center"/>
        <w:outlineLvl w:val="1"/>
        <w:rPr>
          <w:b/>
          <w:bCs/>
          <w:color w:val="auto"/>
          <w:sz w:val="28"/>
          <w:szCs w:val="28"/>
          <w:highlight w:val="none"/>
        </w:rPr>
      </w:pPr>
      <w:r>
        <w:rPr>
          <w:color w:val="auto"/>
          <w:szCs w:val="21"/>
          <w:highlight w:val="none"/>
        </w:rPr>
        <w:br w:type="page"/>
      </w:r>
      <w:bookmarkStart w:id="1691" w:name="_Toc5971"/>
      <w:bookmarkStart w:id="1692" w:name="_Toc17313"/>
      <w:bookmarkStart w:id="1693" w:name="_Toc25821"/>
      <w:bookmarkStart w:id="1694" w:name="_Toc29463"/>
      <w:bookmarkStart w:id="1695" w:name="_Toc25467"/>
      <w:bookmarkStart w:id="1696" w:name="_Toc25002"/>
      <w:bookmarkStart w:id="1697" w:name="_Toc32225"/>
      <w:bookmarkStart w:id="1698" w:name="_Toc13637"/>
      <w:bookmarkStart w:id="1699" w:name="_Toc25402"/>
      <w:bookmarkStart w:id="1700" w:name="_Toc5066"/>
      <w:bookmarkStart w:id="1701" w:name="_Toc26263"/>
      <w:bookmarkStart w:id="1702" w:name="_Toc4011"/>
      <w:bookmarkStart w:id="1703" w:name="_Toc17452"/>
      <w:bookmarkStart w:id="1704" w:name="_Toc18107"/>
      <w:bookmarkStart w:id="1705" w:name="_Toc29574"/>
      <w:bookmarkStart w:id="1706" w:name="_Toc10994"/>
      <w:bookmarkStart w:id="1707" w:name="_Toc12651"/>
      <w:bookmarkStart w:id="1708" w:name="_Toc32767"/>
      <w:bookmarkStart w:id="1709" w:name="_Toc5477"/>
      <w:bookmarkStart w:id="1710" w:name="_Toc22110"/>
      <w:bookmarkStart w:id="1711" w:name="_Toc10523"/>
      <w:bookmarkStart w:id="1712" w:name="_Toc13518"/>
      <w:bookmarkStart w:id="1713" w:name="_Toc14839"/>
      <w:r>
        <w:rPr>
          <w:rFonts w:hint="eastAsia" w:ascii="仿宋" w:hAnsi="仿宋" w:eastAsia="仿宋" w:cs="仿宋"/>
          <w:b/>
          <w:bCs/>
          <w:color w:val="auto"/>
          <w:sz w:val="28"/>
          <w:szCs w:val="28"/>
          <w:highlight w:val="none"/>
        </w:rPr>
        <w:t>一、投标函及投标函附录</w:t>
      </w:r>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p>
    <w:p w14:paraId="33CE45C2">
      <w:pPr>
        <w:pStyle w:val="4"/>
        <w:jc w:val="center"/>
        <w:rPr>
          <w:rFonts w:hint="eastAsia" w:ascii="仿宋" w:hAnsi="仿宋" w:eastAsia="仿宋" w:cs="仿宋"/>
          <w:color w:val="auto"/>
          <w:szCs w:val="24"/>
          <w:highlight w:val="none"/>
        </w:rPr>
      </w:pPr>
      <w:bookmarkStart w:id="1714" w:name="_Toc9538"/>
      <w:bookmarkStart w:id="1715" w:name="_Toc17757"/>
      <w:bookmarkStart w:id="1716" w:name="_Toc25803"/>
      <w:bookmarkStart w:id="1717" w:name="_Toc32545"/>
      <w:bookmarkStart w:id="1718" w:name="_Toc6471"/>
      <w:bookmarkStart w:id="1719" w:name="_Toc27266"/>
      <w:bookmarkStart w:id="1720" w:name="_Toc15539"/>
      <w:bookmarkStart w:id="1721" w:name="_Toc31680"/>
      <w:bookmarkStart w:id="1722" w:name="_Toc31204"/>
      <w:bookmarkStart w:id="1723" w:name="_Toc7762"/>
      <w:bookmarkStart w:id="1724" w:name="_Toc23114"/>
      <w:bookmarkStart w:id="1725" w:name="_Toc21564"/>
      <w:bookmarkStart w:id="1726" w:name="_Toc26768"/>
      <w:bookmarkStart w:id="1727" w:name="_Toc27789"/>
      <w:bookmarkStart w:id="1728" w:name="_Toc10894"/>
      <w:bookmarkStart w:id="1729" w:name="_Toc5448"/>
      <w:bookmarkStart w:id="1730" w:name="_Toc30026"/>
      <w:bookmarkStart w:id="1731" w:name="_Toc27578"/>
      <w:bookmarkStart w:id="1732" w:name="_Toc12195"/>
      <w:bookmarkStart w:id="1733" w:name="_Toc17533"/>
      <w:r>
        <w:rPr>
          <w:rFonts w:hint="eastAsia" w:ascii="仿宋" w:hAnsi="仿宋" w:eastAsia="仿宋" w:cs="仿宋"/>
          <w:color w:val="auto"/>
          <w:szCs w:val="24"/>
          <w:highlight w:val="none"/>
        </w:rPr>
        <w:t>（一）投标函</w:t>
      </w:r>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p>
    <w:p w14:paraId="485C9F59">
      <w:pPr>
        <w:tabs>
          <w:tab w:val="left" w:pos="1980"/>
        </w:tabs>
        <w:autoSpaceDE w:val="0"/>
        <w:autoSpaceDN w:val="0"/>
        <w:adjustRightInd w:val="0"/>
        <w:spacing w:line="360" w:lineRule="auto"/>
        <w:ind w:left="100"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position w:val="-4"/>
          <w:sz w:val="24"/>
          <w:highlight w:val="none"/>
        </w:rPr>
        <w:t>（</w:t>
      </w:r>
      <w:r>
        <w:rPr>
          <w:rFonts w:hint="eastAsia" w:ascii="仿宋" w:hAnsi="仿宋" w:eastAsia="仿宋" w:cs="仿宋"/>
          <w:color w:val="auto"/>
          <w:spacing w:val="-2"/>
          <w:kern w:val="0"/>
          <w:position w:val="-4"/>
          <w:sz w:val="24"/>
          <w:highlight w:val="none"/>
        </w:rPr>
        <w:t>招</w:t>
      </w:r>
      <w:r>
        <w:rPr>
          <w:rFonts w:hint="eastAsia" w:ascii="仿宋" w:hAnsi="仿宋" w:eastAsia="仿宋" w:cs="仿宋"/>
          <w:color w:val="auto"/>
          <w:kern w:val="0"/>
          <w:position w:val="-4"/>
          <w:sz w:val="24"/>
          <w:highlight w:val="none"/>
        </w:rPr>
        <w:t>标人</w:t>
      </w:r>
      <w:r>
        <w:rPr>
          <w:rFonts w:hint="eastAsia" w:ascii="仿宋" w:hAnsi="仿宋" w:eastAsia="仿宋" w:cs="仿宋"/>
          <w:color w:val="auto"/>
          <w:spacing w:val="-2"/>
          <w:kern w:val="0"/>
          <w:position w:val="-4"/>
          <w:sz w:val="24"/>
          <w:highlight w:val="none"/>
        </w:rPr>
        <w:t>名</w:t>
      </w:r>
      <w:r>
        <w:rPr>
          <w:rFonts w:hint="eastAsia" w:ascii="仿宋" w:hAnsi="仿宋" w:eastAsia="仿宋" w:cs="仿宋"/>
          <w:color w:val="auto"/>
          <w:kern w:val="0"/>
          <w:position w:val="-4"/>
          <w:sz w:val="24"/>
          <w:highlight w:val="none"/>
        </w:rPr>
        <w:t>称</w:t>
      </w:r>
      <w:r>
        <w:rPr>
          <w:rFonts w:hint="eastAsia" w:ascii="仿宋" w:hAnsi="仿宋" w:eastAsia="仿宋" w:cs="仿宋"/>
          <w:color w:val="auto"/>
          <w:spacing w:val="-108"/>
          <w:kern w:val="0"/>
          <w:position w:val="-4"/>
          <w:sz w:val="24"/>
          <w:highlight w:val="none"/>
        </w:rPr>
        <w:t>）</w:t>
      </w:r>
      <w:r>
        <w:rPr>
          <w:rFonts w:hint="eastAsia" w:ascii="仿宋" w:hAnsi="仿宋" w:eastAsia="仿宋" w:cs="仿宋"/>
          <w:color w:val="auto"/>
          <w:kern w:val="0"/>
          <w:position w:val="-4"/>
          <w:sz w:val="24"/>
          <w:highlight w:val="none"/>
        </w:rPr>
        <w:t>：</w:t>
      </w:r>
    </w:p>
    <w:p w14:paraId="3BE6F126">
      <w:pPr>
        <w:tabs>
          <w:tab w:val="left" w:pos="4200"/>
        </w:tabs>
        <w:autoSpaceDE w:val="0"/>
        <w:autoSpaceDN w:val="0"/>
        <w:adjustRightInd w:val="0"/>
        <w:spacing w:line="360" w:lineRule="auto"/>
        <w:ind w:firstLine="480" w:firstLineChars="200"/>
        <w:rPr>
          <w:rFonts w:hint="eastAsia" w:ascii="仿宋" w:hAnsi="仿宋" w:eastAsia="仿宋" w:cs="仿宋"/>
          <w:color w:val="auto"/>
          <w:kern w:val="0"/>
          <w:position w:val="-2"/>
          <w:sz w:val="24"/>
          <w:highlight w:val="none"/>
        </w:rPr>
      </w:pPr>
      <w:r>
        <w:rPr>
          <w:rFonts w:hint="eastAsia" w:ascii="仿宋" w:hAnsi="仿宋" w:eastAsia="仿宋" w:cs="仿宋"/>
          <w:color w:val="auto"/>
          <w:kern w:val="0"/>
          <w:sz w:val="24"/>
          <w:highlight w:val="none"/>
        </w:rPr>
        <w:t>1．我方已仔细研究了</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rPr>
        <w:tab/>
      </w:r>
      <w:r>
        <w:rPr>
          <w:rFonts w:hint="eastAsia" w:ascii="仿宋" w:hAnsi="仿宋" w:eastAsia="仿宋" w:cs="仿宋"/>
          <w:color w:val="auto"/>
          <w:kern w:val="0"/>
          <w:sz w:val="24"/>
          <w:highlight w:val="none"/>
        </w:rPr>
        <w:t>（项目名称）</w:t>
      </w:r>
      <w:r>
        <w:rPr>
          <w:rFonts w:hint="eastAsia" w:ascii="仿宋" w:hAnsi="仿宋" w:eastAsia="仿宋" w:cs="仿宋"/>
          <w:color w:val="auto"/>
          <w:kern w:val="0"/>
          <w:sz w:val="24"/>
          <w:highlight w:val="none"/>
          <w:u w:val="single"/>
          <w:lang w:val="en-US" w:eastAsia="zh-CN"/>
        </w:rPr>
        <w:t xml:space="preserve">    </w:t>
      </w:r>
      <w:r>
        <w:rPr>
          <w:rFonts w:hint="eastAsia" w:ascii="仿宋" w:hAnsi="仿宋" w:eastAsia="仿宋" w:cs="仿宋"/>
          <w:color w:val="auto"/>
          <w:kern w:val="0"/>
          <w:sz w:val="24"/>
          <w:highlight w:val="none"/>
        </w:rPr>
        <w:t>标段施工招标项目招标文件的全部内容，愿意以人民币（大写）</w:t>
      </w:r>
      <w:r>
        <w:rPr>
          <w:rFonts w:hint="eastAsia" w:ascii="仿宋" w:hAnsi="仿宋" w:eastAsia="仿宋" w:cs="仿宋"/>
          <w:color w:val="auto"/>
          <w:spacing w:val="-2"/>
          <w:kern w:val="0"/>
          <w:sz w:val="24"/>
          <w:highlight w:val="none"/>
          <w:u w:val="single"/>
        </w:rPr>
        <w:t xml:space="preserve">         </w:t>
      </w:r>
      <w:r>
        <w:rPr>
          <w:rFonts w:hint="eastAsia" w:ascii="仿宋" w:hAnsi="仿宋" w:eastAsia="仿宋" w:cs="仿宋"/>
          <w:color w:val="auto"/>
          <w:kern w:val="0"/>
          <w:position w:val="-3"/>
          <w:sz w:val="24"/>
          <w:highlight w:val="none"/>
        </w:rPr>
        <w:t>（</w:t>
      </w:r>
      <w:r>
        <w:rPr>
          <w:rFonts w:hint="eastAsia" w:ascii="仿宋" w:hAnsi="仿宋" w:eastAsia="仿宋" w:cs="仿宋"/>
          <w:color w:val="auto"/>
          <w:spacing w:val="-59"/>
          <w:kern w:val="0"/>
          <w:position w:val="-3"/>
          <w:sz w:val="24"/>
          <w:highlight w:val="none"/>
        </w:rPr>
        <w:t>¥</w:t>
      </w:r>
      <w:r>
        <w:rPr>
          <w:rFonts w:hint="eastAsia" w:ascii="仿宋" w:hAnsi="仿宋" w:eastAsia="仿宋" w:cs="仿宋"/>
          <w:color w:val="auto"/>
          <w:spacing w:val="43"/>
          <w:kern w:val="0"/>
          <w:position w:val="-3"/>
          <w:sz w:val="24"/>
          <w:highlight w:val="none"/>
          <w:u w:val="single"/>
        </w:rPr>
        <w:t xml:space="preserve">    </w:t>
      </w:r>
      <w:r>
        <w:rPr>
          <w:rFonts w:hint="eastAsia" w:ascii="仿宋" w:hAnsi="仿宋" w:eastAsia="仿宋" w:cs="仿宋"/>
          <w:color w:val="auto"/>
          <w:spacing w:val="43"/>
          <w:kern w:val="0"/>
          <w:position w:val="-3"/>
          <w:sz w:val="24"/>
          <w:highlight w:val="none"/>
        </w:rPr>
        <w:t>元</w:t>
      </w:r>
      <w:r>
        <w:rPr>
          <w:rFonts w:hint="eastAsia" w:ascii="仿宋" w:hAnsi="仿宋" w:eastAsia="仿宋" w:cs="仿宋"/>
          <w:color w:val="auto"/>
          <w:spacing w:val="-14"/>
          <w:kern w:val="0"/>
          <w:position w:val="-3"/>
          <w:sz w:val="24"/>
          <w:highlight w:val="none"/>
        </w:rPr>
        <w:t>）</w:t>
      </w:r>
      <w:r>
        <w:rPr>
          <w:rFonts w:hint="eastAsia" w:ascii="仿宋" w:hAnsi="仿宋" w:eastAsia="仿宋" w:cs="仿宋"/>
          <w:color w:val="auto"/>
          <w:kern w:val="0"/>
          <w:position w:val="-3"/>
          <w:sz w:val="24"/>
          <w:highlight w:val="none"/>
        </w:rPr>
        <w:t>的</w:t>
      </w:r>
      <w:r>
        <w:rPr>
          <w:rFonts w:hint="eastAsia" w:ascii="仿宋" w:hAnsi="仿宋" w:eastAsia="仿宋" w:cs="仿宋"/>
          <w:color w:val="auto"/>
          <w:spacing w:val="-2"/>
          <w:kern w:val="0"/>
          <w:position w:val="-3"/>
          <w:sz w:val="24"/>
          <w:highlight w:val="none"/>
        </w:rPr>
        <w:t>投</w:t>
      </w:r>
      <w:r>
        <w:rPr>
          <w:rFonts w:hint="eastAsia" w:ascii="仿宋" w:hAnsi="仿宋" w:eastAsia="仿宋" w:cs="仿宋"/>
          <w:color w:val="auto"/>
          <w:kern w:val="0"/>
          <w:position w:val="-3"/>
          <w:sz w:val="24"/>
          <w:highlight w:val="none"/>
        </w:rPr>
        <w:t>标</w:t>
      </w:r>
      <w:r>
        <w:rPr>
          <w:rFonts w:hint="eastAsia" w:ascii="仿宋" w:hAnsi="仿宋" w:eastAsia="仿宋" w:cs="仿宋"/>
          <w:color w:val="auto"/>
          <w:spacing w:val="-2"/>
          <w:kern w:val="0"/>
          <w:position w:val="-3"/>
          <w:sz w:val="24"/>
          <w:highlight w:val="none"/>
        </w:rPr>
        <w:t>总</w:t>
      </w:r>
      <w:r>
        <w:rPr>
          <w:rFonts w:hint="eastAsia" w:ascii="仿宋" w:hAnsi="仿宋" w:eastAsia="仿宋" w:cs="仿宋"/>
          <w:color w:val="auto"/>
          <w:kern w:val="0"/>
          <w:position w:val="-3"/>
          <w:sz w:val="24"/>
          <w:highlight w:val="none"/>
        </w:rPr>
        <w:t>报</w:t>
      </w:r>
      <w:r>
        <w:rPr>
          <w:rFonts w:hint="eastAsia" w:ascii="仿宋" w:hAnsi="仿宋" w:eastAsia="仿宋" w:cs="仿宋"/>
          <w:color w:val="auto"/>
          <w:spacing w:val="-14"/>
          <w:kern w:val="0"/>
          <w:position w:val="-3"/>
          <w:sz w:val="24"/>
          <w:highlight w:val="none"/>
        </w:rPr>
        <w:t>价</w:t>
      </w:r>
      <w:r>
        <w:rPr>
          <w:rFonts w:hint="eastAsia" w:ascii="仿宋" w:hAnsi="仿宋" w:eastAsia="仿宋" w:cs="仿宋"/>
          <w:color w:val="auto"/>
          <w:spacing w:val="-2"/>
          <w:kern w:val="0"/>
          <w:position w:val="-3"/>
          <w:sz w:val="24"/>
          <w:highlight w:val="none"/>
        </w:rPr>
        <w:t>（</w:t>
      </w:r>
      <w:r>
        <w:rPr>
          <w:rFonts w:hint="eastAsia" w:ascii="仿宋" w:hAnsi="仿宋" w:eastAsia="仿宋" w:cs="仿宋"/>
          <w:color w:val="auto"/>
          <w:kern w:val="0"/>
          <w:position w:val="-3"/>
          <w:sz w:val="24"/>
          <w:highlight w:val="none"/>
        </w:rPr>
        <w:t>其</w:t>
      </w:r>
      <w:r>
        <w:rPr>
          <w:rFonts w:hint="eastAsia" w:ascii="仿宋" w:hAnsi="仿宋" w:eastAsia="仿宋" w:cs="仿宋"/>
          <w:color w:val="auto"/>
          <w:spacing w:val="-2"/>
          <w:kern w:val="0"/>
          <w:position w:val="-3"/>
          <w:sz w:val="24"/>
          <w:highlight w:val="none"/>
        </w:rPr>
        <w:t>中</w:t>
      </w:r>
      <w:r>
        <w:rPr>
          <w:rFonts w:hint="eastAsia" w:ascii="仿宋" w:hAnsi="仿宋" w:eastAsia="仿宋" w:cs="仿宋"/>
          <w:color w:val="auto"/>
          <w:spacing w:val="-12"/>
          <w:kern w:val="0"/>
          <w:position w:val="-3"/>
          <w:sz w:val="24"/>
          <w:highlight w:val="none"/>
        </w:rPr>
        <w:t>，增值税税率按照国家有关规定执</w:t>
      </w:r>
      <w:r>
        <w:rPr>
          <w:rFonts w:hint="eastAsia" w:ascii="仿宋" w:hAnsi="仿宋" w:eastAsia="仿宋" w:cs="仿宋"/>
          <w:color w:val="auto"/>
          <w:spacing w:val="-2"/>
          <w:kern w:val="0"/>
          <w:position w:val="-3"/>
          <w:sz w:val="24"/>
          <w:highlight w:val="none"/>
        </w:rPr>
        <w:t>行）</w:t>
      </w:r>
      <w:r>
        <w:rPr>
          <w:rFonts w:hint="eastAsia" w:ascii="仿宋" w:hAnsi="仿宋" w:eastAsia="仿宋" w:cs="仿宋"/>
          <w:color w:val="auto"/>
          <w:kern w:val="0"/>
          <w:sz w:val="24"/>
          <w:highlight w:val="none"/>
        </w:rPr>
        <w:t>，工期：</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日历天，按合同约定完成承包工程。</w:t>
      </w:r>
    </w:p>
    <w:p w14:paraId="5F571641">
      <w:pPr>
        <w:tabs>
          <w:tab w:val="left" w:pos="0"/>
        </w:tabs>
        <w:autoSpaceDE w:val="0"/>
        <w:autoSpaceDN w:val="0"/>
        <w:adjustRightInd w:val="0"/>
        <w:spacing w:line="360" w:lineRule="auto"/>
        <w:ind w:right="-20"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2. </w:t>
      </w:r>
      <w:r>
        <w:rPr>
          <w:rFonts w:hint="eastAsia" w:ascii="仿宋" w:hAnsi="仿宋" w:eastAsia="仿宋" w:cs="仿宋"/>
          <w:color w:val="auto"/>
          <w:spacing w:val="-2"/>
          <w:kern w:val="0"/>
          <w:sz w:val="24"/>
          <w:highlight w:val="none"/>
        </w:rPr>
        <w:t>我</w:t>
      </w:r>
      <w:r>
        <w:rPr>
          <w:rFonts w:hint="eastAsia" w:ascii="仿宋" w:hAnsi="仿宋" w:eastAsia="仿宋" w:cs="仿宋"/>
          <w:color w:val="auto"/>
          <w:kern w:val="0"/>
          <w:sz w:val="24"/>
          <w:highlight w:val="none"/>
        </w:rPr>
        <w:t>方</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文</w:t>
      </w:r>
      <w:r>
        <w:rPr>
          <w:rFonts w:hint="eastAsia" w:ascii="仿宋" w:hAnsi="仿宋" w:eastAsia="仿宋" w:cs="仿宋"/>
          <w:color w:val="auto"/>
          <w:spacing w:val="-2"/>
          <w:kern w:val="0"/>
          <w:sz w:val="24"/>
          <w:highlight w:val="none"/>
        </w:rPr>
        <w:t>件</w:t>
      </w:r>
      <w:r>
        <w:rPr>
          <w:rFonts w:hint="eastAsia" w:ascii="仿宋" w:hAnsi="仿宋" w:eastAsia="仿宋" w:cs="仿宋"/>
          <w:color w:val="auto"/>
          <w:kern w:val="0"/>
          <w:sz w:val="24"/>
          <w:highlight w:val="none"/>
        </w:rPr>
        <w:t>包</w:t>
      </w:r>
      <w:r>
        <w:rPr>
          <w:rFonts w:hint="eastAsia" w:ascii="仿宋" w:hAnsi="仿宋" w:eastAsia="仿宋" w:cs="仿宋"/>
          <w:color w:val="auto"/>
          <w:spacing w:val="-2"/>
          <w:kern w:val="0"/>
          <w:sz w:val="24"/>
          <w:highlight w:val="none"/>
        </w:rPr>
        <w:t>括下</w:t>
      </w:r>
      <w:r>
        <w:rPr>
          <w:rFonts w:hint="eastAsia" w:ascii="仿宋" w:hAnsi="仿宋" w:eastAsia="仿宋" w:cs="仿宋"/>
          <w:color w:val="auto"/>
          <w:kern w:val="0"/>
          <w:sz w:val="24"/>
          <w:highlight w:val="none"/>
        </w:rPr>
        <w:t>列内</w:t>
      </w:r>
      <w:r>
        <w:rPr>
          <w:rFonts w:hint="eastAsia" w:ascii="仿宋" w:hAnsi="仿宋" w:eastAsia="仿宋" w:cs="仿宋"/>
          <w:color w:val="auto"/>
          <w:spacing w:val="-2"/>
          <w:kern w:val="0"/>
          <w:sz w:val="24"/>
          <w:highlight w:val="none"/>
        </w:rPr>
        <w:t>容</w:t>
      </w:r>
      <w:r>
        <w:rPr>
          <w:rFonts w:hint="eastAsia" w:ascii="仿宋" w:hAnsi="仿宋" w:eastAsia="仿宋" w:cs="仿宋"/>
          <w:color w:val="auto"/>
          <w:kern w:val="0"/>
          <w:sz w:val="24"/>
          <w:highlight w:val="none"/>
        </w:rPr>
        <w:t>：</w:t>
      </w:r>
    </w:p>
    <w:p w14:paraId="48DBFDC3">
      <w:pPr>
        <w:autoSpaceDE w:val="0"/>
        <w:autoSpaceDN w:val="0"/>
        <w:adjustRightInd w:val="0"/>
        <w:spacing w:line="360" w:lineRule="auto"/>
        <w:ind w:left="506"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函</w:t>
      </w:r>
      <w:r>
        <w:rPr>
          <w:rFonts w:hint="eastAsia" w:ascii="仿宋" w:hAnsi="仿宋" w:eastAsia="仿宋" w:cs="仿宋"/>
          <w:color w:val="auto"/>
          <w:spacing w:val="-2"/>
          <w:kern w:val="0"/>
          <w:sz w:val="24"/>
          <w:highlight w:val="none"/>
        </w:rPr>
        <w:t>及</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函</w:t>
      </w:r>
      <w:r>
        <w:rPr>
          <w:rFonts w:hint="eastAsia" w:ascii="仿宋" w:hAnsi="仿宋" w:eastAsia="仿宋" w:cs="仿宋"/>
          <w:color w:val="auto"/>
          <w:spacing w:val="-2"/>
          <w:kern w:val="0"/>
          <w:sz w:val="24"/>
          <w:highlight w:val="none"/>
        </w:rPr>
        <w:t>附录</w:t>
      </w:r>
      <w:r>
        <w:rPr>
          <w:rFonts w:hint="eastAsia" w:ascii="仿宋" w:hAnsi="仿宋" w:eastAsia="仿宋" w:cs="仿宋"/>
          <w:color w:val="auto"/>
          <w:kern w:val="0"/>
          <w:sz w:val="24"/>
          <w:highlight w:val="none"/>
        </w:rPr>
        <w:t>；</w:t>
      </w:r>
    </w:p>
    <w:p w14:paraId="720B2449">
      <w:pPr>
        <w:autoSpaceDE w:val="0"/>
        <w:autoSpaceDN w:val="0"/>
        <w:adjustRightInd w:val="0"/>
        <w:spacing w:line="360" w:lineRule="auto"/>
        <w:ind w:left="506"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法</w:t>
      </w:r>
      <w:r>
        <w:rPr>
          <w:rFonts w:hint="eastAsia" w:ascii="仿宋" w:hAnsi="仿宋" w:eastAsia="仿宋" w:cs="仿宋"/>
          <w:color w:val="auto"/>
          <w:spacing w:val="-2"/>
          <w:kern w:val="0"/>
          <w:sz w:val="24"/>
          <w:highlight w:val="none"/>
        </w:rPr>
        <w:t>定</w:t>
      </w:r>
      <w:r>
        <w:rPr>
          <w:rFonts w:hint="eastAsia" w:ascii="仿宋" w:hAnsi="仿宋" w:eastAsia="仿宋" w:cs="仿宋"/>
          <w:color w:val="auto"/>
          <w:kern w:val="0"/>
          <w:sz w:val="24"/>
          <w:highlight w:val="none"/>
        </w:rPr>
        <w:t>代</w:t>
      </w:r>
      <w:r>
        <w:rPr>
          <w:rFonts w:hint="eastAsia" w:ascii="仿宋" w:hAnsi="仿宋" w:eastAsia="仿宋" w:cs="仿宋"/>
          <w:color w:val="auto"/>
          <w:spacing w:val="-2"/>
          <w:kern w:val="0"/>
          <w:sz w:val="24"/>
          <w:highlight w:val="none"/>
        </w:rPr>
        <w:t>表</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身</w:t>
      </w:r>
      <w:r>
        <w:rPr>
          <w:rFonts w:hint="eastAsia" w:ascii="仿宋" w:hAnsi="仿宋" w:eastAsia="仿宋" w:cs="仿宋"/>
          <w:color w:val="auto"/>
          <w:kern w:val="0"/>
          <w:sz w:val="24"/>
          <w:highlight w:val="none"/>
        </w:rPr>
        <w:t>份</w:t>
      </w:r>
      <w:r>
        <w:rPr>
          <w:rFonts w:hint="eastAsia" w:ascii="仿宋" w:hAnsi="仿宋" w:eastAsia="仿宋" w:cs="仿宋"/>
          <w:color w:val="auto"/>
          <w:spacing w:val="-2"/>
          <w:kern w:val="0"/>
          <w:sz w:val="24"/>
          <w:highlight w:val="none"/>
        </w:rPr>
        <w:t>证明</w:t>
      </w:r>
      <w:r>
        <w:rPr>
          <w:rFonts w:hint="eastAsia" w:ascii="仿宋" w:hAnsi="仿宋" w:eastAsia="仿宋" w:cs="仿宋"/>
          <w:color w:val="auto"/>
          <w:kern w:val="0"/>
          <w:sz w:val="24"/>
          <w:highlight w:val="none"/>
        </w:rPr>
        <w:t>或授</w:t>
      </w:r>
      <w:r>
        <w:rPr>
          <w:rFonts w:hint="eastAsia" w:ascii="仿宋" w:hAnsi="仿宋" w:eastAsia="仿宋" w:cs="仿宋"/>
          <w:color w:val="auto"/>
          <w:spacing w:val="-2"/>
          <w:kern w:val="0"/>
          <w:sz w:val="24"/>
          <w:highlight w:val="none"/>
        </w:rPr>
        <w:t>权</w:t>
      </w:r>
      <w:r>
        <w:rPr>
          <w:rFonts w:hint="eastAsia" w:ascii="仿宋" w:hAnsi="仿宋" w:eastAsia="仿宋" w:cs="仿宋"/>
          <w:color w:val="auto"/>
          <w:kern w:val="0"/>
          <w:sz w:val="24"/>
          <w:highlight w:val="none"/>
        </w:rPr>
        <w:t>委</w:t>
      </w:r>
      <w:r>
        <w:rPr>
          <w:rFonts w:hint="eastAsia" w:ascii="仿宋" w:hAnsi="仿宋" w:eastAsia="仿宋" w:cs="仿宋"/>
          <w:color w:val="auto"/>
          <w:spacing w:val="-2"/>
          <w:kern w:val="0"/>
          <w:sz w:val="24"/>
          <w:highlight w:val="none"/>
        </w:rPr>
        <w:t>托</w:t>
      </w:r>
      <w:r>
        <w:rPr>
          <w:rFonts w:hint="eastAsia" w:ascii="仿宋" w:hAnsi="仿宋" w:eastAsia="仿宋" w:cs="仿宋"/>
          <w:color w:val="auto"/>
          <w:kern w:val="0"/>
          <w:sz w:val="24"/>
          <w:highlight w:val="none"/>
        </w:rPr>
        <w:t>书；</w:t>
      </w:r>
    </w:p>
    <w:p w14:paraId="20617EDB">
      <w:pPr>
        <w:autoSpaceDE w:val="0"/>
        <w:autoSpaceDN w:val="0"/>
        <w:adjustRightInd w:val="0"/>
        <w:spacing w:line="360" w:lineRule="auto"/>
        <w:ind w:left="506"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保</w:t>
      </w:r>
      <w:r>
        <w:rPr>
          <w:rFonts w:hint="eastAsia" w:ascii="仿宋" w:hAnsi="仿宋" w:eastAsia="仿宋" w:cs="仿宋"/>
          <w:color w:val="auto"/>
          <w:spacing w:val="-2"/>
          <w:kern w:val="0"/>
          <w:sz w:val="24"/>
          <w:highlight w:val="none"/>
        </w:rPr>
        <w:t>证</w:t>
      </w:r>
      <w:r>
        <w:rPr>
          <w:rFonts w:hint="eastAsia" w:ascii="仿宋" w:hAnsi="仿宋" w:eastAsia="仿宋" w:cs="仿宋"/>
          <w:color w:val="auto"/>
          <w:kern w:val="0"/>
          <w:sz w:val="24"/>
          <w:highlight w:val="none"/>
        </w:rPr>
        <w:t>金；</w:t>
      </w:r>
    </w:p>
    <w:p w14:paraId="12912087">
      <w:pPr>
        <w:autoSpaceDE w:val="0"/>
        <w:autoSpaceDN w:val="0"/>
        <w:adjustRightInd w:val="0"/>
        <w:spacing w:line="360" w:lineRule="auto"/>
        <w:ind w:left="506"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已标价工程量清单；</w:t>
      </w:r>
    </w:p>
    <w:p w14:paraId="2453D812">
      <w:pPr>
        <w:autoSpaceDE w:val="0"/>
        <w:autoSpaceDN w:val="0"/>
        <w:adjustRightInd w:val="0"/>
        <w:spacing w:line="360" w:lineRule="auto"/>
        <w:ind w:left="506"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施工组织设计；</w:t>
      </w:r>
    </w:p>
    <w:p w14:paraId="371E68BD">
      <w:pPr>
        <w:autoSpaceDE w:val="0"/>
        <w:autoSpaceDN w:val="0"/>
        <w:adjustRightInd w:val="0"/>
        <w:spacing w:line="360" w:lineRule="auto"/>
        <w:ind w:left="506"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（6</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项目管理机构；</w:t>
      </w:r>
    </w:p>
    <w:p w14:paraId="129CF93B">
      <w:pPr>
        <w:autoSpaceDE w:val="0"/>
        <w:autoSpaceDN w:val="0"/>
        <w:adjustRightInd w:val="0"/>
        <w:spacing w:line="360" w:lineRule="auto"/>
        <w:ind w:left="506" w:right="-20"/>
        <w:rPr>
          <w:rFonts w:ascii="仿宋" w:hAnsi="仿宋" w:eastAsia="仿宋" w:cs="仿宋"/>
          <w:color w:val="auto"/>
          <w:spacing w:val="-2"/>
          <w:kern w:val="0"/>
          <w:sz w:val="24"/>
          <w:highlight w:val="none"/>
        </w:rPr>
      </w:pPr>
      <w:r>
        <w:rPr>
          <w:rFonts w:hint="eastAsia" w:ascii="仿宋" w:hAnsi="仿宋" w:eastAsia="仿宋" w:cs="仿宋"/>
          <w:color w:val="auto"/>
          <w:kern w:val="0"/>
          <w:sz w:val="24"/>
          <w:highlight w:val="none"/>
        </w:rPr>
        <w:t>（7</w:t>
      </w:r>
      <w:r>
        <w:rPr>
          <w:rFonts w:hint="eastAsia" w:ascii="仿宋" w:hAnsi="仿宋" w:eastAsia="仿宋" w:cs="仿宋"/>
          <w:color w:val="auto"/>
          <w:spacing w:val="-2"/>
          <w:kern w:val="0"/>
          <w:sz w:val="24"/>
          <w:highlight w:val="none"/>
        </w:rPr>
        <w:t>）资格审查资料；</w:t>
      </w:r>
      <w:r>
        <w:rPr>
          <w:rFonts w:hint="eastAsia" w:ascii="仿宋" w:hAnsi="仿宋" w:eastAsia="仿宋" w:cs="仿宋"/>
          <w:color w:val="auto"/>
          <w:spacing w:val="-2"/>
          <w:kern w:val="0"/>
          <w:sz w:val="24"/>
          <w:highlight w:val="none"/>
        </w:rPr>
        <w:br w:type="textWrapping"/>
      </w:r>
      <w:r>
        <w:rPr>
          <w:rFonts w:hint="eastAsia" w:ascii="仿宋" w:hAnsi="仿宋" w:eastAsia="仿宋" w:cs="仿宋"/>
          <w:color w:val="auto"/>
          <w:spacing w:val="-2"/>
          <w:kern w:val="0"/>
          <w:sz w:val="24"/>
          <w:highlight w:val="none"/>
        </w:rPr>
        <w:t>（8）其他资料</w:t>
      </w:r>
    </w:p>
    <w:p w14:paraId="7F79DDDF">
      <w:pPr>
        <w:autoSpaceDE w:val="0"/>
        <w:autoSpaceDN w:val="0"/>
        <w:adjustRightInd w:val="0"/>
        <w:spacing w:line="360" w:lineRule="auto"/>
        <w:ind w:left="520"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w:t>
      </w:r>
      <w:r>
        <w:rPr>
          <w:rFonts w:hint="eastAsia" w:ascii="仿宋" w:hAnsi="仿宋" w:eastAsia="仿宋" w:cs="仿宋"/>
          <w:color w:val="auto"/>
          <w:spacing w:val="-2"/>
          <w:kern w:val="0"/>
          <w:sz w:val="24"/>
          <w:highlight w:val="none"/>
        </w:rPr>
        <w:t>文</w:t>
      </w:r>
      <w:r>
        <w:rPr>
          <w:rFonts w:hint="eastAsia" w:ascii="仿宋" w:hAnsi="仿宋" w:eastAsia="仿宋" w:cs="仿宋"/>
          <w:color w:val="auto"/>
          <w:kern w:val="0"/>
          <w:sz w:val="24"/>
          <w:highlight w:val="none"/>
        </w:rPr>
        <w:t>件</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上</w:t>
      </w:r>
      <w:r>
        <w:rPr>
          <w:rFonts w:hint="eastAsia" w:ascii="仿宋" w:hAnsi="仿宋" w:eastAsia="仿宋" w:cs="仿宋"/>
          <w:color w:val="auto"/>
          <w:spacing w:val="-2"/>
          <w:kern w:val="0"/>
          <w:sz w:val="24"/>
          <w:highlight w:val="none"/>
        </w:rPr>
        <w:t>述</w:t>
      </w:r>
      <w:r>
        <w:rPr>
          <w:rFonts w:hint="eastAsia" w:ascii="仿宋" w:hAnsi="仿宋" w:eastAsia="仿宋" w:cs="仿宋"/>
          <w:color w:val="auto"/>
          <w:kern w:val="0"/>
          <w:sz w:val="24"/>
          <w:highlight w:val="none"/>
        </w:rPr>
        <w:t>组</w:t>
      </w:r>
      <w:r>
        <w:rPr>
          <w:rFonts w:hint="eastAsia" w:ascii="仿宋" w:hAnsi="仿宋" w:eastAsia="仿宋" w:cs="仿宋"/>
          <w:color w:val="auto"/>
          <w:spacing w:val="-2"/>
          <w:kern w:val="0"/>
          <w:sz w:val="24"/>
          <w:highlight w:val="none"/>
        </w:rPr>
        <w:t>成</w:t>
      </w:r>
      <w:r>
        <w:rPr>
          <w:rFonts w:hint="eastAsia" w:ascii="仿宋" w:hAnsi="仿宋" w:eastAsia="仿宋" w:cs="仿宋"/>
          <w:color w:val="auto"/>
          <w:kern w:val="0"/>
          <w:sz w:val="24"/>
          <w:highlight w:val="none"/>
        </w:rPr>
        <w:t>部</w:t>
      </w:r>
      <w:r>
        <w:rPr>
          <w:rFonts w:hint="eastAsia" w:ascii="仿宋" w:hAnsi="仿宋" w:eastAsia="仿宋" w:cs="仿宋"/>
          <w:color w:val="auto"/>
          <w:spacing w:val="-2"/>
          <w:kern w:val="0"/>
          <w:sz w:val="24"/>
          <w:highlight w:val="none"/>
        </w:rPr>
        <w:t>分</w:t>
      </w:r>
      <w:r>
        <w:rPr>
          <w:rFonts w:hint="eastAsia" w:ascii="仿宋" w:hAnsi="仿宋" w:eastAsia="仿宋" w:cs="仿宋"/>
          <w:color w:val="auto"/>
          <w:kern w:val="0"/>
          <w:sz w:val="24"/>
          <w:highlight w:val="none"/>
        </w:rPr>
        <w:t>如存</w:t>
      </w:r>
      <w:r>
        <w:rPr>
          <w:rFonts w:hint="eastAsia" w:ascii="仿宋" w:hAnsi="仿宋" w:eastAsia="仿宋" w:cs="仿宋"/>
          <w:color w:val="auto"/>
          <w:spacing w:val="-2"/>
          <w:kern w:val="0"/>
          <w:sz w:val="24"/>
          <w:highlight w:val="none"/>
        </w:rPr>
        <w:t>在</w:t>
      </w:r>
      <w:r>
        <w:rPr>
          <w:rFonts w:hint="eastAsia" w:ascii="仿宋" w:hAnsi="仿宋" w:eastAsia="仿宋" w:cs="仿宋"/>
          <w:color w:val="auto"/>
          <w:kern w:val="0"/>
          <w:sz w:val="24"/>
          <w:highlight w:val="none"/>
        </w:rPr>
        <w:t>内</w:t>
      </w:r>
      <w:r>
        <w:rPr>
          <w:rFonts w:hint="eastAsia" w:ascii="仿宋" w:hAnsi="仿宋" w:eastAsia="仿宋" w:cs="仿宋"/>
          <w:color w:val="auto"/>
          <w:spacing w:val="-2"/>
          <w:kern w:val="0"/>
          <w:sz w:val="24"/>
          <w:highlight w:val="none"/>
        </w:rPr>
        <w:t>容</w:t>
      </w:r>
      <w:r>
        <w:rPr>
          <w:rFonts w:hint="eastAsia" w:ascii="仿宋" w:hAnsi="仿宋" w:eastAsia="仿宋" w:cs="仿宋"/>
          <w:color w:val="auto"/>
          <w:kern w:val="0"/>
          <w:sz w:val="24"/>
          <w:highlight w:val="none"/>
        </w:rPr>
        <w:t>不</w:t>
      </w:r>
      <w:r>
        <w:rPr>
          <w:rFonts w:hint="eastAsia" w:ascii="仿宋" w:hAnsi="仿宋" w:eastAsia="仿宋" w:cs="仿宋"/>
          <w:color w:val="auto"/>
          <w:spacing w:val="-2"/>
          <w:kern w:val="0"/>
          <w:sz w:val="24"/>
          <w:highlight w:val="none"/>
        </w:rPr>
        <w:t>一</w:t>
      </w:r>
      <w:r>
        <w:rPr>
          <w:rFonts w:hint="eastAsia" w:ascii="仿宋" w:hAnsi="仿宋" w:eastAsia="仿宋" w:cs="仿宋"/>
          <w:color w:val="auto"/>
          <w:kern w:val="0"/>
          <w:sz w:val="24"/>
          <w:highlight w:val="none"/>
        </w:rPr>
        <w:t>致</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以</w:t>
      </w:r>
      <w:r>
        <w:rPr>
          <w:rFonts w:hint="eastAsia" w:ascii="仿宋" w:hAnsi="仿宋" w:eastAsia="仿宋" w:cs="仿宋"/>
          <w:color w:val="auto"/>
          <w:kern w:val="0"/>
          <w:sz w:val="24"/>
          <w:highlight w:val="none"/>
        </w:rPr>
        <w:t>投标</w:t>
      </w:r>
      <w:r>
        <w:rPr>
          <w:rFonts w:hint="eastAsia" w:ascii="仿宋" w:hAnsi="仿宋" w:eastAsia="仿宋" w:cs="仿宋"/>
          <w:color w:val="auto"/>
          <w:spacing w:val="-2"/>
          <w:kern w:val="0"/>
          <w:sz w:val="24"/>
          <w:highlight w:val="none"/>
        </w:rPr>
        <w:t>函</w:t>
      </w:r>
      <w:r>
        <w:rPr>
          <w:rFonts w:hint="eastAsia" w:ascii="仿宋" w:hAnsi="仿宋" w:eastAsia="仿宋" w:cs="仿宋"/>
          <w:color w:val="auto"/>
          <w:kern w:val="0"/>
          <w:sz w:val="24"/>
          <w:highlight w:val="none"/>
        </w:rPr>
        <w:t>为</w:t>
      </w:r>
      <w:r>
        <w:rPr>
          <w:rFonts w:hint="eastAsia" w:ascii="仿宋" w:hAnsi="仿宋" w:eastAsia="仿宋" w:cs="仿宋"/>
          <w:color w:val="auto"/>
          <w:spacing w:val="-2"/>
          <w:kern w:val="0"/>
          <w:sz w:val="24"/>
          <w:highlight w:val="none"/>
        </w:rPr>
        <w:t>准</w:t>
      </w:r>
      <w:r>
        <w:rPr>
          <w:rFonts w:hint="eastAsia" w:ascii="仿宋" w:hAnsi="仿宋" w:eastAsia="仿宋" w:cs="仿宋"/>
          <w:color w:val="auto"/>
          <w:kern w:val="0"/>
          <w:sz w:val="24"/>
          <w:highlight w:val="none"/>
        </w:rPr>
        <w:t>。</w:t>
      </w:r>
    </w:p>
    <w:p w14:paraId="2E49836A">
      <w:pPr>
        <w:autoSpaceDE w:val="0"/>
        <w:autoSpaceDN w:val="0"/>
        <w:adjustRightInd w:val="0"/>
        <w:spacing w:line="360" w:lineRule="auto"/>
        <w:ind w:right="-23"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w:t>
      </w:r>
      <w:r>
        <w:rPr>
          <w:rFonts w:hint="eastAsia" w:ascii="仿宋" w:hAnsi="仿宋" w:eastAsia="仿宋" w:cs="仿宋"/>
          <w:color w:val="auto"/>
          <w:spacing w:val="-2"/>
          <w:kern w:val="0"/>
          <w:sz w:val="24"/>
          <w:highlight w:val="none"/>
        </w:rPr>
        <w:t>我</w:t>
      </w:r>
      <w:r>
        <w:rPr>
          <w:rFonts w:hint="eastAsia" w:ascii="仿宋" w:hAnsi="仿宋" w:eastAsia="仿宋" w:cs="仿宋"/>
          <w:color w:val="auto"/>
          <w:kern w:val="0"/>
          <w:sz w:val="24"/>
          <w:highlight w:val="none"/>
        </w:rPr>
        <w:t>方</w:t>
      </w:r>
      <w:r>
        <w:rPr>
          <w:rFonts w:hint="eastAsia" w:ascii="仿宋" w:hAnsi="仿宋" w:eastAsia="仿宋" w:cs="仿宋"/>
          <w:color w:val="auto"/>
          <w:spacing w:val="-2"/>
          <w:kern w:val="0"/>
          <w:sz w:val="24"/>
          <w:highlight w:val="none"/>
        </w:rPr>
        <w:t>承</w:t>
      </w:r>
      <w:r>
        <w:rPr>
          <w:rFonts w:hint="eastAsia" w:ascii="仿宋" w:hAnsi="仿宋" w:eastAsia="仿宋" w:cs="仿宋"/>
          <w:color w:val="auto"/>
          <w:kern w:val="0"/>
          <w:sz w:val="24"/>
          <w:highlight w:val="none"/>
        </w:rPr>
        <w:t>诺</w:t>
      </w:r>
      <w:r>
        <w:rPr>
          <w:rFonts w:hint="eastAsia" w:ascii="仿宋" w:hAnsi="仿宋" w:eastAsia="仿宋" w:cs="仿宋"/>
          <w:color w:val="auto"/>
          <w:spacing w:val="-2"/>
          <w:kern w:val="0"/>
          <w:sz w:val="24"/>
          <w:highlight w:val="none"/>
        </w:rPr>
        <w:t>在</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文</w:t>
      </w:r>
      <w:r>
        <w:rPr>
          <w:rFonts w:hint="eastAsia" w:ascii="仿宋" w:hAnsi="仿宋" w:eastAsia="仿宋" w:cs="仿宋"/>
          <w:color w:val="auto"/>
          <w:spacing w:val="-2"/>
          <w:kern w:val="0"/>
          <w:sz w:val="24"/>
          <w:highlight w:val="none"/>
        </w:rPr>
        <w:t>件规</w:t>
      </w:r>
      <w:r>
        <w:rPr>
          <w:rFonts w:hint="eastAsia" w:ascii="仿宋" w:hAnsi="仿宋" w:eastAsia="仿宋" w:cs="仿宋"/>
          <w:color w:val="auto"/>
          <w:kern w:val="0"/>
          <w:sz w:val="24"/>
          <w:highlight w:val="none"/>
        </w:rPr>
        <w:t>定的</w:t>
      </w:r>
      <w:r>
        <w:rPr>
          <w:rFonts w:hint="eastAsia" w:ascii="仿宋" w:hAnsi="仿宋" w:eastAsia="仿宋" w:cs="仿宋"/>
          <w:color w:val="auto"/>
          <w:spacing w:val="-2"/>
          <w:kern w:val="0"/>
          <w:sz w:val="24"/>
          <w:highlight w:val="none"/>
        </w:rPr>
        <w:t>投</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有</w:t>
      </w:r>
      <w:r>
        <w:rPr>
          <w:rFonts w:hint="eastAsia" w:ascii="仿宋" w:hAnsi="仿宋" w:eastAsia="仿宋" w:cs="仿宋"/>
          <w:color w:val="auto"/>
          <w:kern w:val="0"/>
          <w:sz w:val="24"/>
          <w:highlight w:val="none"/>
        </w:rPr>
        <w:t>效</w:t>
      </w:r>
      <w:r>
        <w:rPr>
          <w:rFonts w:hint="eastAsia" w:ascii="仿宋" w:hAnsi="仿宋" w:eastAsia="仿宋" w:cs="仿宋"/>
          <w:color w:val="auto"/>
          <w:spacing w:val="-2"/>
          <w:kern w:val="0"/>
          <w:sz w:val="24"/>
          <w:highlight w:val="none"/>
        </w:rPr>
        <w:t>期</w:t>
      </w:r>
      <w:r>
        <w:rPr>
          <w:rFonts w:hint="eastAsia" w:ascii="仿宋" w:hAnsi="仿宋" w:eastAsia="仿宋" w:cs="仿宋"/>
          <w:color w:val="auto"/>
          <w:kern w:val="0"/>
          <w:sz w:val="24"/>
          <w:highlight w:val="none"/>
        </w:rPr>
        <w:t>内</w:t>
      </w:r>
      <w:r>
        <w:rPr>
          <w:rFonts w:hint="eastAsia" w:ascii="仿宋" w:hAnsi="仿宋" w:eastAsia="仿宋" w:cs="仿宋"/>
          <w:color w:val="auto"/>
          <w:spacing w:val="-2"/>
          <w:kern w:val="0"/>
          <w:sz w:val="24"/>
          <w:highlight w:val="none"/>
        </w:rPr>
        <w:t>不</w:t>
      </w:r>
      <w:r>
        <w:rPr>
          <w:rFonts w:hint="eastAsia" w:ascii="仿宋" w:hAnsi="仿宋" w:eastAsia="仿宋" w:cs="仿宋"/>
          <w:color w:val="auto"/>
          <w:kern w:val="0"/>
          <w:sz w:val="24"/>
          <w:highlight w:val="none"/>
        </w:rPr>
        <w:t>撤</w:t>
      </w:r>
      <w:r>
        <w:rPr>
          <w:rFonts w:hint="eastAsia" w:ascii="仿宋" w:hAnsi="仿宋" w:eastAsia="仿宋" w:cs="仿宋"/>
          <w:color w:val="auto"/>
          <w:spacing w:val="-2"/>
          <w:kern w:val="0"/>
          <w:sz w:val="24"/>
          <w:highlight w:val="none"/>
        </w:rPr>
        <w:t>销</w:t>
      </w:r>
      <w:r>
        <w:rPr>
          <w:rFonts w:hint="eastAsia" w:ascii="仿宋" w:hAnsi="仿宋" w:eastAsia="仿宋" w:cs="仿宋"/>
          <w:color w:val="auto"/>
          <w:kern w:val="0"/>
          <w:sz w:val="24"/>
          <w:highlight w:val="none"/>
        </w:rPr>
        <w:t>投标</w:t>
      </w:r>
      <w:r>
        <w:rPr>
          <w:rFonts w:hint="eastAsia" w:ascii="仿宋" w:hAnsi="仿宋" w:eastAsia="仿宋" w:cs="仿宋"/>
          <w:color w:val="auto"/>
          <w:spacing w:val="-2"/>
          <w:kern w:val="0"/>
          <w:sz w:val="24"/>
          <w:highlight w:val="none"/>
        </w:rPr>
        <w:t>文</w:t>
      </w:r>
      <w:r>
        <w:rPr>
          <w:rFonts w:hint="eastAsia" w:ascii="仿宋" w:hAnsi="仿宋" w:eastAsia="仿宋" w:cs="仿宋"/>
          <w:color w:val="auto"/>
          <w:kern w:val="0"/>
          <w:sz w:val="24"/>
          <w:highlight w:val="none"/>
        </w:rPr>
        <w:t>件。</w:t>
      </w:r>
    </w:p>
    <w:p w14:paraId="2C57905E">
      <w:pPr>
        <w:autoSpaceDE w:val="0"/>
        <w:autoSpaceDN w:val="0"/>
        <w:adjustRightInd w:val="0"/>
        <w:spacing w:line="360" w:lineRule="auto"/>
        <w:ind w:right="-23"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w:t>
      </w:r>
      <w:r>
        <w:rPr>
          <w:rFonts w:hint="eastAsia" w:ascii="仿宋" w:hAnsi="仿宋" w:eastAsia="仿宋" w:cs="仿宋"/>
          <w:color w:val="auto"/>
          <w:spacing w:val="-2"/>
          <w:kern w:val="0"/>
          <w:sz w:val="24"/>
          <w:highlight w:val="none"/>
        </w:rPr>
        <w:t>如</w:t>
      </w:r>
      <w:r>
        <w:rPr>
          <w:rFonts w:hint="eastAsia" w:ascii="仿宋" w:hAnsi="仿宋" w:eastAsia="仿宋" w:cs="仿宋"/>
          <w:color w:val="auto"/>
          <w:kern w:val="0"/>
          <w:sz w:val="24"/>
          <w:highlight w:val="none"/>
        </w:rPr>
        <w:t>我</w:t>
      </w:r>
      <w:r>
        <w:rPr>
          <w:rFonts w:hint="eastAsia" w:ascii="仿宋" w:hAnsi="仿宋" w:eastAsia="仿宋" w:cs="仿宋"/>
          <w:color w:val="auto"/>
          <w:spacing w:val="-2"/>
          <w:kern w:val="0"/>
          <w:sz w:val="24"/>
          <w:highlight w:val="none"/>
        </w:rPr>
        <w:t>方</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我</w:t>
      </w:r>
      <w:r>
        <w:rPr>
          <w:rFonts w:hint="eastAsia" w:ascii="仿宋" w:hAnsi="仿宋" w:eastAsia="仿宋" w:cs="仿宋"/>
          <w:color w:val="auto"/>
          <w:kern w:val="0"/>
          <w:sz w:val="24"/>
          <w:highlight w:val="none"/>
        </w:rPr>
        <w:t>方</w:t>
      </w:r>
      <w:r>
        <w:rPr>
          <w:rFonts w:hint="eastAsia" w:ascii="仿宋" w:hAnsi="仿宋" w:eastAsia="仿宋" w:cs="仿宋"/>
          <w:color w:val="auto"/>
          <w:spacing w:val="-2"/>
          <w:kern w:val="0"/>
          <w:sz w:val="24"/>
          <w:highlight w:val="none"/>
        </w:rPr>
        <w:t>承诺</w:t>
      </w:r>
      <w:r>
        <w:rPr>
          <w:rFonts w:hint="eastAsia" w:ascii="仿宋" w:hAnsi="仿宋" w:eastAsia="仿宋" w:cs="仿宋"/>
          <w:color w:val="auto"/>
          <w:kern w:val="0"/>
          <w:sz w:val="24"/>
          <w:highlight w:val="none"/>
        </w:rPr>
        <w:t>：</w:t>
      </w:r>
    </w:p>
    <w:p w14:paraId="4B4BC81F">
      <w:pPr>
        <w:autoSpaceDE w:val="0"/>
        <w:autoSpaceDN w:val="0"/>
        <w:adjustRightInd w:val="0"/>
        <w:spacing w:line="360" w:lineRule="auto"/>
        <w:ind w:right="-23" w:firstLine="720" w:firstLineChars="3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在</w:t>
      </w:r>
      <w:r>
        <w:rPr>
          <w:rFonts w:hint="eastAsia" w:ascii="仿宋" w:hAnsi="仿宋" w:eastAsia="仿宋" w:cs="仿宋"/>
          <w:color w:val="auto"/>
          <w:spacing w:val="-2"/>
          <w:kern w:val="0"/>
          <w:sz w:val="24"/>
          <w:highlight w:val="none"/>
        </w:rPr>
        <w:t>收</w:t>
      </w:r>
      <w:r>
        <w:rPr>
          <w:rFonts w:hint="eastAsia" w:ascii="仿宋" w:hAnsi="仿宋" w:eastAsia="仿宋" w:cs="仿宋"/>
          <w:color w:val="auto"/>
          <w:kern w:val="0"/>
          <w:sz w:val="24"/>
          <w:highlight w:val="none"/>
        </w:rPr>
        <w:t>到</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通</w:t>
      </w:r>
      <w:r>
        <w:rPr>
          <w:rFonts w:hint="eastAsia" w:ascii="仿宋" w:hAnsi="仿宋" w:eastAsia="仿宋" w:cs="仿宋"/>
          <w:color w:val="auto"/>
          <w:kern w:val="0"/>
          <w:sz w:val="24"/>
          <w:highlight w:val="none"/>
        </w:rPr>
        <w:t>知</w:t>
      </w:r>
      <w:r>
        <w:rPr>
          <w:rFonts w:hint="eastAsia" w:ascii="仿宋" w:hAnsi="仿宋" w:eastAsia="仿宋" w:cs="仿宋"/>
          <w:color w:val="auto"/>
          <w:spacing w:val="-2"/>
          <w:kern w:val="0"/>
          <w:sz w:val="24"/>
          <w:highlight w:val="none"/>
        </w:rPr>
        <w:t>书后</w:t>
      </w:r>
      <w:r>
        <w:rPr>
          <w:rFonts w:hint="eastAsia" w:ascii="仿宋" w:hAnsi="仿宋" w:eastAsia="仿宋" w:cs="仿宋"/>
          <w:color w:val="auto"/>
          <w:kern w:val="0"/>
          <w:sz w:val="24"/>
          <w:highlight w:val="none"/>
        </w:rPr>
        <w:t>，在</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通</w:t>
      </w:r>
      <w:r>
        <w:rPr>
          <w:rFonts w:hint="eastAsia" w:ascii="仿宋" w:hAnsi="仿宋" w:eastAsia="仿宋" w:cs="仿宋"/>
          <w:color w:val="auto"/>
          <w:kern w:val="0"/>
          <w:sz w:val="24"/>
          <w:highlight w:val="none"/>
        </w:rPr>
        <w:t>知</w:t>
      </w:r>
      <w:r>
        <w:rPr>
          <w:rFonts w:hint="eastAsia" w:ascii="仿宋" w:hAnsi="仿宋" w:eastAsia="仿宋" w:cs="仿宋"/>
          <w:color w:val="auto"/>
          <w:spacing w:val="-2"/>
          <w:kern w:val="0"/>
          <w:sz w:val="24"/>
          <w:highlight w:val="none"/>
        </w:rPr>
        <w:t>书</w:t>
      </w:r>
      <w:r>
        <w:rPr>
          <w:rFonts w:hint="eastAsia" w:ascii="仿宋" w:hAnsi="仿宋" w:eastAsia="仿宋" w:cs="仿宋"/>
          <w:color w:val="auto"/>
          <w:kern w:val="0"/>
          <w:sz w:val="24"/>
          <w:highlight w:val="none"/>
        </w:rPr>
        <w:t>规</w:t>
      </w:r>
      <w:r>
        <w:rPr>
          <w:rFonts w:hint="eastAsia" w:ascii="仿宋" w:hAnsi="仿宋" w:eastAsia="仿宋" w:cs="仿宋"/>
          <w:color w:val="auto"/>
          <w:spacing w:val="-2"/>
          <w:kern w:val="0"/>
          <w:sz w:val="24"/>
          <w:highlight w:val="none"/>
        </w:rPr>
        <w:t>定</w:t>
      </w:r>
      <w:r>
        <w:rPr>
          <w:rFonts w:hint="eastAsia" w:ascii="仿宋" w:hAnsi="仿宋" w:eastAsia="仿宋" w:cs="仿宋"/>
          <w:color w:val="auto"/>
          <w:kern w:val="0"/>
          <w:sz w:val="24"/>
          <w:highlight w:val="none"/>
        </w:rPr>
        <w:t>的</w:t>
      </w:r>
      <w:r>
        <w:rPr>
          <w:rFonts w:hint="eastAsia" w:ascii="仿宋" w:hAnsi="仿宋" w:eastAsia="仿宋" w:cs="仿宋"/>
          <w:color w:val="auto"/>
          <w:spacing w:val="-2"/>
          <w:kern w:val="0"/>
          <w:sz w:val="24"/>
          <w:highlight w:val="none"/>
        </w:rPr>
        <w:t>期</w:t>
      </w:r>
      <w:r>
        <w:rPr>
          <w:rFonts w:hint="eastAsia" w:ascii="仿宋" w:hAnsi="仿宋" w:eastAsia="仿宋" w:cs="仿宋"/>
          <w:color w:val="auto"/>
          <w:kern w:val="0"/>
          <w:sz w:val="24"/>
          <w:highlight w:val="none"/>
        </w:rPr>
        <w:t>限内</w:t>
      </w:r>
      <w:r>
        <w:rPr>
          <w:rFonts w:hint="eastAsia" w:ascii="仿宋" w:hAnsi="仿宋" w:eastAsia="仿宋" w:cs="仿宋"/>
          <w:color w:val="auto"/>
          <w:spacing w:val="-2"/>
          <w:kern w:val="0"/>
          <w:sz w:val="24"/>
          <w:highlight w:val="none"/>
        </w:rPr>
        <w:t>与</w:t>
      </w:r>
      <w:r>
        <w:rPr>
          <w:rFonts w:hint="eastAsia" w:ascii="仿宋" w:hAnsi="仿宋" w:eastAsia="仿宋" w:cs="仿宋"/>
          <w:color w:val="auto"/>
          <w:kern w:val="0"/>
          <w:sz w:val="24"/>
          <w:highlight w:val="none"/>
        </w:rPr>
        <w:t>你</w:t>
      </w:r>
      <w:r>
        <w:rPr>
          <w:rFonts w:hint="eastAsia" w:ascii="仿宋" w:hAnsi="仿宋" w:eastAsia="仿宋" w:cs="仿宋"/>
          <w:color w:val="auto"/>
          <w:spacing w:val="-2"/>
          <w:kern w:val="0"/>
          <w:sz w:val="24"/>
          <w:highlight w:val="none"/>
        </w:rPr>
        <w:t>方</w:t>
      </w:r>
      <w:r>
        <w:rPr>
          <w:rFonts w:hint="eastAsia" w:ascii="仿宋" w:hAnsi="仿宋" w:eastAsia="仿宋" w:cs="仿宋"/>
          <w:color w:val="auto"/>
          <w:kern w:val="0"/>
          <w:sz w:val="24"/>
          <w:highlight w:val="none"/>
        </w:rPr>
        <w:t>签</w:t>
      </w:r>
      <w:r>
        <w:rPr>
          <w:rFonts w:hint="eastAsia" w:ascii="仿宋" w:hAnsi="仿宋" w:eastAsia="仿宋" w:cs="仿宋"/>
          <w:color w:val="auto"/>
          <w:spacing w:val="-2"/>
          <w:kern w:val="0"/>
          <w:sz w:val="24"/>
          <w:highlight w:val="none"/>
        </w:rPr>
        <w:t>订</w:t>
      </w:r>
      <w:r>
        <w:rPr>
          <w:rFonts w:hint="eastAsia" w:ascii="仿宋" w:hAnsi="仿宋" w:eastAsia="仿宋" w:cs="仿宋"/>
          <w:color w:val="auto"/>
          <w:kern w:val="0"/>
          <w:sz w:val="24"/>
          <w:highlight w:val="none"/>
        </w:rPr>
        <w:t>合</w:t>
      </w:r>
      <w:r>
        <w:rPr>
          <w:rFonts w:hint="eastAsia" w:ascii="仿宋" w:hAnsi="仿宋" w:eastAsia="仿宋" w:cs="仿宋"/>
          <w:color w:val="auto"/>
          <w:spacing w:val="-2"/>
          <w:kern w:val="0"/>
          <w:sz w:val="24"/>
          <w:highlight w:val="none"/>
        </w:rPr>
        <w:t>同</w:t>
      </w:r>
      <w:r>
        <w:rPr>
          <w:rFonts w:hint="eastAsia" w:ascii="仿宋" w:hAnsi="仿宋" w:eastAsia="仿宋" w:cs="仿宋"/>
          <w:color w:val="auto"/>
          <w:kern w:val="0"/>
          <w:sz w:val="24"/>
          <w:highlight w:val="none"/>
        </w:rPr>
        <w:t>；</w:t>
      </w:r>
    </w:p>
    <w:p w14:paraId="7DB1A67F">
      <w:pPr>
        <w:autoSpaceDE w:val="0"/>
        <w:autoSpaceDN w:val="0"/>
        <w:adjustRightInd w:val="0"/>
        <w:spacing w:line="360" w:lineRule="auto"/>
        <w:ind w:right="-23" w:firstLine="720" w:firstLineChars="3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在</w:t>
      </w:r>
      <w:r>
        <w:rPr>
          <w:rFonts w:hint="eastAsia" w:ascii="仿宋" w:hAnsi="仿宋" w:eastAsia="仿宋" w:cs="仿宋"/>
          <w:color w:val="auto"/>
          <w:spacing w:val="-2"/>
          <w:kern w:val="0"/>
          <w:sz w:val="24"/>
          <w:highlight w:val="none"/>
        </w:rPr>
        <w:t>签</w:t>
      </w:r>
      <w:r>
        <w:rPr>
          <w:rFonts w:hint="eastAsia" w:ascii="仿宋" w:hAnsi="仿宋" w:eastAsia="仿宋" w:cs="仿宋"/>
          <w:color w:val="auto"/>
          <w:kern w:val="0"/>
          <w:sz w:val="24"/>
          <w:highlight w:val="none"/>
        </w:rPr>
        <w:t>订</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同</w:t>
      </w:r>
      <w:r>
        <w:rPr>
          <w:rFonts w:hint="eastAsia" w:ascii="仿宋" w:hAnsi="仿宋" w:eastAsia="仿宋" w:cs="仿宋"/>
          <w:color w:val="auto"/>
          <w:spacing w:val="-2"/>
          <w:kern w:val="0"/>
          <w:sz w:val="24"/>
          <w:highlight w:val="none"/>
        </w:rPr>
        <w:t>时</w:t>
      </w:r>
      <w:r>
        <w:rPr>
          <w:rFonts w:hint="eastAsia" w:ascii="仿宋" w:hAnsi="仿宋" w:eastAsia="仿宋" w:cs="仿宋"/>
          <w:color w:val="auto"/>
          <w:kern w:val="0"/>
          <w:sz w:val="24"/>
          <w:highlight w:val="none"/>
        </w:rPr>
        <w:t>不</w:t>
      </w:r>
      <w:r>
        <w:rPr>
          <w:rFonts w:hint="eastAsia" w:ascii="仿宋" w:hAnsi="仿宋" w:eastAsia="仿宋" w:cs="仿宋"/>
          <w:color w:val="auto"/>
          <w:spacing w:val="-2"/>
          <w:kern w:val="0"/>
          <w:sz w:val="24"/>
          <w:highlight w:val="none"/>
        </w:rPr>
        <w:t>向你</w:t>
      </w:r>
      <w:r>
        <w:rPr>
          <w:rFonts w:hint="eastAsia" w:ascii="仿宋" w:hAnsi="仿宋" w:eastAsia="仿宋" w:cs="仿宋"/>
          <w:color w:val="auto"/>
          <w:kern w:val="0"/>
          <w:sz w:val="24"/>
          <w:highlight w:val="none"/>
        </w:rPr>
        <w:t>方提</w:t>
      </w:r>
      <w:r>
        <w:rPr>
          <w:rFonts w:hint="eastAsia" w:ascii="仿宋" w:hAnsi="仿宋" w:eastAsia="仿宋" w:cs="仿宋"/>
          <w:color w:val="auto"/>
          <w:spacing w:val="-2"/>
          <w:kern w:val="0"/>
          <w:sz w:val="24"/>
          <w:highlight w:val="none"/>
        </w:rPr>
        <w:t>出</w:t>
      </w:r>
      <w:r>
        <w:rPr>
          <w:rFonts w:hint="eastAsia" w:ascii="仿宋" w:hAnsi="仿宋" w:eastAsia="仿宋" w:cs="仿宋"/>
          <w:color w:val="auto"/>
          <w:kern w:val="0"/>
          <w:sz w:val="24"/>
          <w:highlight w:val="none"/>
        </w:rPr>
        <w:t>附</w:t>
      </w:r>
      <w:r>
        <w:rPr>
          <w:rFonts w:hint="eastAsia" w:ascii="仿宋" w:hAnsi="仿宋" w:eastAsia="仿宋" w:cs="仿宋"/>
          <w:color w:val="auto"/>
          <w:spacing w:val="-2"/>
          <w:kern w:val="0"/>
          <w:sz w:val="24"/>
          <w:highlight w:val="none"/>
        </w:rPr>
        <w:t>加</w:t>
      </w:r>
      <w:r>
        <w:rPr>
          <w:rFonts w:hint="eastAsia" w:ascii="仿宋" w:hAnsi="仿宋" w:eastAsia="仿宋" w:cs="仿宋"/>
          <w:color w:val="auto"/>
          <w:kern w:val="0"/>
          <w:sz w:val="24"/>
          <w:highlight w:val="none"/>
        </w:rPr>
        <w:t>条</w:t>
      </w:r>
      <w:r>
        <w:rPr>
          <w:rFonts w:hint="eastAsia" w:ascii="仿宋" w:hAnsi="仿宋" w:eastAsia="仿宋" w:cs="仿宋"/>
          <w:color w:val="auto"/>
          <w:spacing w:val="-2"/>
          <w:kern w:val="0"/>
          <w:sz w:val="24"/>
          <w:highlight w:val="none"/>
        </w:rPr>
        <w:t>件</w:t>
      </w:r>
      <w:r>
        <w:rPr>
          <w:rFonts w:hint="eastAsia" w:ascii="仿宋" w:hAnsi="仿宋" w:eastAsia="仿宋" w:cs="仿宋"/>
          <w:color w:val="auto"/>
          <w:kern w:val="0"/>
          <w:sz w:val="24"/>
          <w:highlight w:val="none"/>
        </w:rPr>
        <w:t>；</w:t>
      </w:r>
    </w:p>
    <w:p w14:paraId="1723AD12">
      <w:pPr>
        <w:autoSpaceDE w:val="0"/>
        <w:autoSpaceDN w:val="0"/>
        <w:adjustRightInd w:val="0"/>
        <w:spacing w:line="360" w:lineRule="auto"/>
        <w:ind w:right="-23" w:firstLine="720" w:firstLineChars="3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按</w:t>
      </w:r>
      <w:r>
        <w:rPr>
          <w:rFonts w:hint="eastAsia" w:ascii="仿宋" w:hAnsi="仿宋" w:eastAsia="仿宋" w:cs="仿宋"/>
          <w:color w:val="auto"/>
          <w:spacing w:val="-2"/>
          <w:kern w:val="0"/>
          <w:sz w:val="24"/>
          <w:highlight w:val="none"/>
        </w:rPr>
        <w:t>照</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文</w:t>
      </w:r>
      <w:r>
        <w:rPr>
          <w:rFonts w:hint="eastAsia" w:ascii="仿宋" w:hAnsi="仿宋" w:eastAsia="仿宋" w:cs="仿宋"/>
          <w:color w:val="auto"/>
          <w:spacing w:val="-2"/>
          <w:kern w:val="0"/>
          <w:sz w:val="24"/>
          <w:highlight w:val="none"/>
        </w:rPr>
        <w:t>件</w:t>
      </w:r>
      <w:r>
        <w:rPr>
          <w:rFonts w:hint="eastAsia" w:ascii="仿宋" w:hAnsi="仿宋" w:eastAsia="仿宋" w:cs="仿宋"/>
          <w:color w:val="auto"/>
          <w:kern w:val="0"/>
          <w:sz w:val="24"/>
          <w:highlight w:val="none"/>
        </w:rPr>
        <w:t>要</w:t>
      </w:r>
      <w:r>
        <w:rPr>
          <w:rFonts w:hint="eastAsia" w:ascii="仿宋" w:hAnsi="仿宋" w:eastAsia="仿宋" w:cs="仿宋"/>
          <w:color w:val="auto"/>
          <w:spacing w:val="-2"/>
          <w:kern w:val="0"/>
          <w:sz w:val="24"/>
          <w:highlight w:val="none"/>
        </w:rPr>
        <w:t>求提</w:t>
      </w:r>
      <w:r>
        <w:rPr>
          <w:rFonts w:hint="eastAsia" w:ascii="仿宋" w:hAnsi="仿宋" w:eastAsia="仿宋" w:cs="仿宋"/>
          <w:color w:val="auto"/>
          <w:kern w:val="0"/>
          <w:sz w:val="24"/>
          <w:highlight w:val="none"/>
        </w:rPr>
        <w:t>交履</w:t>
      </w:r>
      <w:r>
        <w:rPr>
          <w:rFonts w:hint="eastAsia" w:ascii="仿宋" w:hAnsi="仿宋" w:eastAsia="仿宋" w:cs="仿宋"/>
          <w:color w:val="auto"/>
          <w:spacing w:val="-2"/>
          <w:kern w:val="0"/>
          <w:sz w:val="24"/>
          <w:highlight w:val="none"/>
        </w:rPr>
        <w:t>约</w:t>
      </w:r>
      <w:r>
        <w:rPr>
          <w:rFonts w:hint="eastAsia" w:ascii="仿宋" w:hAnsi="仿宋" w:eastAsia="仿宋" w:cs="仿宋"/>
          <w:color w:val="auto"/>
          <w:kern w:val="0"/>
          <w:sz w:val="24"/>
          <w:highlight w:val="none"/>
        </w:rPr>
        <w:t>保</w:t>
      </w:r>
      <w:r>
        <w:rPr>
          <w:rFonts w:hint="eastAsia" w:ascii="仿宋" w:hAnsi="仿宋" w:eastAsia="仿宋" w:cs="仿宋"/>
          <w:color w:val="auto"/>
          <w:spacing w:val="-2"/>
          <w:kern w:val="0"/>
          <w:sz w:val="24"/>
          <w:highlight w:val="none"/>
        </w:rPr>
        <w:t>证</w:t>
      </w:r>
      <w:r>
        <w:rPr>
          <w:rFonts w:hint="eastAsia" w:ascii="仿宋" w:hAnsi="仿宋" w:eastAsia="仿宋" w:cs="仿宋"/>
          <w:color w:val="auto"/>
          <w:kern w:val="0"/>
          <w:sz w:val="24"/>
          <w:highlight w:val="none"/>
        </w:rPr>
        <w:t>金；</w:t>
      </w:r>
    </w:p>
    <w:p w14:paraId="46C683AE">
      <w:pPr>
        <w:autoSpaceDE w:val="0"/>
        <w:autoSpaceDN w:val="0"/>
        <w:adjustRightInd w:val="0"/>
        <w:spacing w:line="360" w:lineRule="auto"/>
        <w:ind w:right="-23" w:firstLine="720" w:firstLineChars="300"/>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（4</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在</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同</w:t>
      </w:r>
      <w:r>
        <w:rPr>
          <w:rFonts w:hint="eastAsia" w:ascii="仿宋" w:hAnsi="仿宋" w:eastAsia="仿宋" w:cs="仿宋"/>
          <w:color w:val="auto"/>
          <w:spacing w:val="-2"/>
          <w:kern w:val="0"/>
          <w:sz w:val="24"/>
          <w:highlight w:val="none"/>
        </w:rPr>
        <w:t>约</w:t>
      </w:r>
      <w:r>
        <w:rPr>
          <w:rFonts w:hint="eastAsia" w:ascii="仿宋" w:hAnsi="仿宋" w:eastAsia="仿宋" w:cs="仿宋"/>
          <w:color w:val="auto"/>
          <w:kern w:val="0"/>
          <w:sz w:val="24"/>
          <w:highlight w:val="none"/>
        </w:rPr>
        <w:t>定</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期</w:t>
      </w:r>
      <w:r>
        <w:rPr>
          <w:rFonts w:hint="eastAsia" w:ascii="仿宋" w:hAnsi="仿宋" w:eastAsia="仿宋" w:cs="仿宋"/>
          <w:color w:val="auto"/>
          <w:spacing w:val="-2"/>
          <w:kern w:val="0"/>
          <w:sz w:val="24"/>
          <w:highlight w:val="none"/>
        </w:rPr>
        <w:t>限内</w:t>
      </w:r>
      <w:r>
        <w:rPr>
          <w:rFonts w:hint="eastAsia" w:ascii="仿宋" w:hAnsi="仿宋" w:eastAsia="仿宋" w:cs="仿宋"/>
          <w:color w:val="auto"/>
          <w:kern w:val="0"/>
          <w:sz w:val="24"/>
          <w:highlight w:val="none"/>
        </w:rPr>
        <w:t>完成</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同</w:t>
      </w:r>
      <w:r>
        <w:rPr>
          <w:rFonts w:hint="eastAsia" w:ascii="仿宋" w:hAnsi="仿宋" w:eastAsia="仿宋" w:cs="仿宋"/>
          <w:color w:val="auto"/>
          <w:spacing w:val="-2"/>
          <w:kern w:val="0"/>
          <w:sz w:val="24"/>
          <w:highlight w:val="none"/>
        </w:rPr>
        <w:t>规</w:t>
      </w:r>
      <w:r>
        <w:rPr>
          <w:rFonts w:hint="eastAsia" w:ascii="仿宋" w:hAnsi="仿宋" w:eastAsia="仿宋" w:cs="仿宋"/>
          <w:color w:val="auto"/>
          <w:kern w:val="0"/>
          <w:sz w:val="24"/>
          <w:highlight w:val="none"/>
        </w:rPr>
        <w:t>定</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全</w:t>
      </w:r>
      <w:r>
        <w:rPr>
          <w:rFonts w:hint="eastAsia" w:ascii="仿宋" w:hAnsi="仿宋" w:eastAsia="仿宋" w:cs="仿宋"/>
          <w:color w:val="auto"/>
          <w:spacing w:val="-2"/>
          <w:kern w:val="0"/>
          <w:sz w:val="24"/>
          <w:highlight w:val="none"/>
        </w:rPr>
        <w:t>部</w:t>
      </w:r>
      <w:r>
        <w:rPr>
          <w:rFonts w:hint="eastAsia" w:ascii="仿宋" w:hAnsi="仿宋" w:eastAsia="仿宋" w:cs="仿宋"/>
          <w:color w:val="auto"/>
          <w:kern w:val="0"/>
          <w:sz w:val="24"/>
          <w:highlight w:val="none"/>
        </w:rPr>
        <w:t>义</w:t>
      </w:r>
      <w:r>
        <w:rPr>
          <w:rFonts w:hint="eastAsia" w:ascii="仿宋" w:hAnsi="仿宋" w:eastAsia="仿宋" w:cs="仿宋"/>
          <w:color w:val="auto"/>
          <w:spacing w:val="-2"/>
          <w:kern w:val="0"/>
          <w:sz w:val="24"/>
          <w:highlight w:val="none"/>
        </w:rPr>
        <w:t>务。</w:t>
      </w:r>
    </w:p>
    <w:p w14:paraId="6D1A9760">
      <w:pPr>
        <w:autoSpaceDE w:val="0"/>
        <w:autoSpaceDN w:val="0"/>
        <w:adjustRightInd w:val="0"/>
        <w:spacing w:line="360" w:lineRule="auto"/>
        <w:ind w:right="-23"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w:t>
      </w:r>
      <w:r>
        <w:rPr>
          <w:rFonts w:hint="eastAsia" w:ascii="仿宋" w:hAnsi="仿宋" w:eastAsia="仿宋" w:cs="仿宋"/>
          <w:color w:val="auto"/>
          <w:spacing w:val="-19"/>
          <w:kern w:val="0"/>
          <w:sz w:val="24"/>
          <w:highlight w:val="none"/>
        </w:rPr>
        <w:t>．</w:t>
      </w:r>
      <w:r>
        <w:rPr>
          <w:rFonts w:hint="eastAsia" w:ascii="仿宋" w:hAnsi="仿宋" w:eastAsia="仿宋" w:cs="仿宋"/>
          <w:color w:val="auto"/>
          <w:spacing w:val="-2"/>
          <w:kern w:val="0"/>
          <w:sz w:val="24"/>
          <w:highlight w:val="none"/>
        </w:rPr>
        <w:t>我</w:t>
      </w:r>
      <w:r>
        <w:rPr>
          <w:rFonts w:hint="eastAsia" w:ascii="仿宋" w:hAnsi="仿宋" w:eastAsia="仿宋" w:cs="仿宋"/>
          <w:color w:val="auto"/>
          <w:kern w:val="0"/>
          <w:sz w:val="24"/>
          <w:highlight w:val="none"/>
        </w:rPr>
        <w:t>方</w:t>
      </w:r>
      <w:r>
        <w:rPr>
          <w:rFonts w:hint="eastAsia" w:ascii="仿宋" w:hAnsi="仿宋" w:eastAsia="仿宋" w:cs="仿宋"/>
          <w:color w:val="auto"/>
          <w:spacing w:val="-2"/>
          <w:kern w:val="0"/>
          <w:sz w:val="24"/>
          <w:highlight w:val="none"/>
        </w:rPr>
        <w:t>在</w:t>
      </w:r>
      <w:r>
        <w:rPr>
          <w:rFonts w:hint="eastAsia" w:ascii="仿宋" w:hAnsi="仿宋" w:eastAsia="仿宋" w:cs="仿宋"/>
          <w:color w:val="auto"/>
          <w:kern w:val="0"/>
          <w:sz w:val="24"/>
          <w:highlight w:val="none"/>
        </w:rPr>
        <w:t>此</w:t>
      </w:r>
      <w:r>
        <w:rPr>
          <w:rFonts w:hint="eastAsia" w:ascii="仿宋" w:hAnsi="仿宋" w:eastAsia="仿宋" w:cs="仿宋"/>
          <w:color w:val="auto"/>
          <w:spacing w:val="-2"/>
          <w:kern w:val="0"/>
          <w:sz w:val="24"/>
          <w:highlight w:val="none"/>
        </w:rPr>
        <w:t>声</w:t>
      </w:r>
      <w:r>
        <w:rPr>
          <w:rFonts w:hint="eastAsia" w:ascii="仿宋" w:hAnsi="仿宋" w:eastAsia="仿宋" w:cs="仿宋"/>
          <w:color w:val="auto"/>
          <w:kern w:val="0"/>
          <w:sz w:val="24"/>
          <w:highlight w:val="none"/>
        </w:rPr>
        <w:t>明</w:t>
      </w:r>
      <w:r>
        <w:rPr>
          <w:rFonts w:hint="eastAsia" w:ascii="仿宋" w:hAnsi="仿宋" w:eastAsia="仿宋" w:cs="仿宋"/>
          <w:color w:val="auto"/>
          <w:spacing w:val="-19"/>
          <w:kern w:val="0"/>
          <w:sz w:val="24"/>
          <w:highlight w:val="none"/>
        </w:rPr>
        <w:t>，</w:t>
      </w:r>
      <w:r>
        <w:rPr>
          <w:rFonts w:hint="eastAsia" w:ascii="仿宋" w:hAnsi="仿宋" w:eastAsia="仿宋" w:cs="仿宋"/>
          <w:color w:val="auto"/>
          <w:spacing w:val="-2"/>
          <w:kern w:val="0"/>
          <w:sz w:val="24"/>
          <w:highlight w:val="none"/>
        </w:rPr>
        <w:t>所</w:t>
      </w:r>
      <w:r>
        <w:rPr>
          <w:rFonts w:hint="eastAsia" w:ascii="仿宋" w:hAnsi="仿宋" w:eastAsia="仿宋" w:cs="仿宋"/>
          <w:color w:val="auto"/>
          <w:kern w:val="0"/>
          <w:sz w:val="24"/>
          <w:highlight w:val="none"/>
        </w:rPr>
        <w:t>递</w:t>
      </w:r>
      <w:r>
        <w:rPr>
          <w:rFonts w:hint="eastAsia" w:ascii="仿宋" w:hAnsi="仿宋" w:eastAsia="仿宋" w:cs="仿宋"/>
          <w:color w:val="auto"/>
          <w:spacing w:val="-2"/>
          <w:kern w:val="0"/>
          <w:sz w:val="24"/>
          <w:highlight w:val="none"/>
        </w:rPr>
        <w:t>交</w:t>
      </w:r>
      <w:r>
        <w:rPr>
          <w:rFonts w:hint="eastAsia" w:ascii="仿宋" w:hAnsi="仿宋" w:eastAsia="仿宋" w:cs="仿宋"/>
          <w:color w:val="auto"/>
          <w:kern w:val="0"/>
          <w:sz w:val="24"/>
          <w:highlight w:val="none"/>
        </w:rPr>
        <w:t>的投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文</w:t>
      </w:r>
      <w:r>
        <w:rPr>
          <w:rFonts w:hint="eastAsia" w:ascii="仿宋" w:hAnsi="仿宋" w:eastAsia="仿宋" w:cs="仿宋"/>
          <w:color w:val="auto"/>
          <w:spacing w:val="-2"/>
          <w:kern w:val="0"/>
          <w:sz w:val="24"/>
          <w:highlight w:val="none"/>
        </w:rPr>
        <w:t>件</w:t>
      </w:r>
      <w:r>
        <w:rPr>
          <w:rFonts w:hint="eastAsia" w:ascii="仿宋" w:hAnsi="仿宋" w:eastAsia="仿宋" w:cs="仿宋"/>
          <w:color w:val="auto"/>
          <w:kern w:val="0"/>
          <w:sz w:val="24"/>
          <w:highlight w:val="none"/>
        </w:rPr>
        <w:t>及</w:t>
      </w:r>
      <w:r>
        <w:rPr>
          <w:rFonts w:hint="eastAsia" w:ascii="仿宋" w:hAnsi="仿宋" w:eastAsia="仿宋" w:cs="仿宋"/>
          <w:color w:val="auto"/>
          <w:spacing w:val="-2"/>
          <w:kern w:val="0"/>
          <w:sz w:val="24"/>
          <w:highlight w:val="none"/>
        </w:rPr>
        <w:t>有</w:t>
      </w:r>
      <w:r>
        <w:rPr>
          <w:rFonts w:hint="eastAsia" w:ascii="仿宋" w:hAnsi="仿宋" w:eastAsia="仿宋" w:cs="仿宋"/>
          <w:color w:val="auto"/>
          <w:kern w:val="0"/>
          <w:sz w:val="24"/>
          <w:highlight w:val="none"/>
        </w:rPr>
        <w:t>关</w:t>
      </w:r>
      <w:r>
        <w:rPr>
          <w:rFonts w:hint="eastAsia" w:ascii="仿宋" w:hAnsi="仿宋" w:eastAsia="仿宋" w:cs="仿宋"/>
          <w:color w:val="auto"/>
          <w:spacing w:val="-2"/>
          <w:kern w:val="0"/>
          <w:sz w:val="24"/>
          <w:highlight w:val="none"/>
        </w:rPr>
        <w:t>资</w:t>
      </w:r>
      <w:r>
        <w:rPr>
          <w:rFonts w:hint="eastAsia" w:ascii="仿宋" w:hAnsi="仿宋" w:eastAsia="仿宋" w:cs="仿宋"/>
          <w:color w:val="auto"/>
          <w:kern w:val="0"/>
          <w:sz w:val="24"/>
          <w:highlight w:val="none"/>
        </w:rPr>
        <w:t>料</w:t>
      </w:r>
      <w:r>
        <w:rPr>
          <w:rFonts w:hint="eastAsia" w:ascii="仿宋" w:hAnsi="仿宋" w:eastAsia="仿宋" w:cs="仿宋"/>
          <w:color w:val="auto"/>
          <w:spacing w:val="-2"/>
          <w:kern w:val="0"/>
          <w:sz w:val="24"/>
          <w:highlight w:val="none"/>
        </w:rPr>
        <w:t>内</w:t>
      </w:r>
      <w:r>
        <w:rPr>
          <w:rFonts w:hint="eastAsia" w:ascii="仿宋" w:hAnsi="仿宋" w:eastAsia="仿宋" w:cs="仿宋"/>
          <w:color w:val="auto"/>
          <w:kern w:val="0"/>
          <w:sz w:val="24"/>
          <w:highlight w:val="none"/>
        </w:rPr>
        <w:t>容完</w:t>
      </w:r>
      <w:r>
        <w:rPr>
          <w:rFonts w:hint="eastAsia" w:ascii="仿宋" w:hAnsi="仿宋" w:eastAsia="仿宋" w:cs="仿宋"/>
          <w:color w:val="auto"/>
          <w:spacing w:val="-2"/>
          <w:kern w:val="0"/>
          <w:sz w:val="24"/>
          <w:highlight w:val="none"/>
        </w:rPr>
        <w:t>整</w:t>
      </w:r>
      <w:r>
        <w:rPr>
          <w:rFonts w:hint="eastAsia" w:ascii="仿宋" w:hAnsi="仿宋" w:eastAsia="仿宋" w:cs="仿宋"/>
          <w:color w:val="auto"/>
          <w:spacing w:val="-19"/>
          <w:kern w:val="0"/>
          <w:sz w:val="24"/>
          <w:highlight w:val="none"/>
        </w:rPr>
        <w:t>、</w:t>
      </w:r>
      <w:r>
        <w:rPr>
          <w:rFonts w:hint="eastAsia" w:ascii="仿宋" w:hAnsi="仿宋" w:eastAsia="仿宋" w:cs="仿宋"/>
          <w:color w:val="auto"/>
          <w:spacing w:val="-2"/>
          <w:kern w:val="0"/>
          <w:sz w:val="24"/>
          <w:highlight w:val="none"/>
        </w:rPr>
        <w:t>真</w:t>
      </w:r>
      <w:r>
        <w:rPr>
          <w:rFonts w:hint="eastAsia" w:ascii="仿宋" w:hAnsi="仿宋" w:eastAsia="仿宋" w:cs="仿宋"/>
          <w:color w:val="auto"/>
          <w:kern w:val="0"/>
          <w:sz w:val="24"/>
          <w:highlight w:val="none"/>
        </w:rPr>
        <w:t>实</w:t>
      </w:r>
      <w:r>
        <w:rPr>
          <w:rFonts w:hint="eastAsia" w:ascii="仿宋" w:hAnsi="仿宋" w:eastAsia="仿宋" w:cs="仿宋"/>
          <w:color w:val="auto"/>
          <w:spacing w:val="-2"/>
          <w:kern w:val="0"/>
          <w:sz w:val="24"/>
          <w:highlight w:val="none"/>
        </w:rPr>
        <w:t>和</w:t>
      </w:r>
      <w:r>
        <w:rPr>
          <w:rFonts w:hint="eastAsia" w:ascii="仿宋" w:hAnsi="仿宋" w:eastAsia="仿宋" w:cs="仿宋"/>
          <w:color w:val="auto"/>
          <w:kern w:val="0"/>
          <w:sz w:val="24"/>
          <w:highlight w:val="none"/>
        </w:rPr>
        <w:t>准</w:t>
      </w:r>
      <w:r>
        <w:rPr>
          <w:rFonts w:hint="eastAsia" w:ascii="仿宋" w:hAnsi="仿宋" w:eastAsia="仿宋" w:cs="仿宋"/>
          <w:color w:val="auto"/>
          <w:spacing w:val="-2"/>
          <w:kern w:val="0"/>
          <w:sz w:val="24"/>
          <w:highlight w:val="none"/>
        </w:rPr>
        <w:t>确</w:t>
      </w:r>
      <w:r>
        <w:rPr>
          <w:rFonts w:hint="eastAsia" w:ascii="仿宋" w:hAnsi="仿宋" w:eastAsia="仿宋" w:cs="仿宋"/>
          <w:color w:val="auto"/>
          <w:spacing w:val="-19"/>
          <w:kern w:val="0"/>
          <w:sz w:val="24"/>
          <w:highlight w:val="none"/>
        </w:rPr>
        <w:t>，</w:t>
      </w:r>
      <w:r>
        <w:rPr>
          <w:rFonts w:hint="eastAsia" w:ascii="仿宋" w:hAnsi="仿宋" w:eastAsia="仿宋" w:cs="仿宋"/>
          <w:color w:val="auto"/>
          <w:spacing w:val="-2"/>
          <w:kern w:val="0"/>
          <w:sz w:val="24"/>
          <w:highlight w:val="none"/>
        </w:rPr>
        <w:t>且</w:t>
      </w:r>
      <w:r>
        <w:rPr>
          <w:rFonts w:hint="eastAsia" w:ascii="仿宋" w:hAnsi="仿宋" w:eastAsia="仿宋" w:cs="仿宋"/>
          <w:color w:val="auto"/>
          <w:kern w:val="0"/>
          <w:sz w:val="24"/>
          <w:highlight w:val="none"/>
        </w:rPr>
        <w:t>不存</w:t>
      </w:r>
      <w:r>
        <w:rPr>
          <w:rFonts w:hint="eastAsia" w:ascii="仿宋" w:hAnsi="仿宋" w:eastAsia="仿宋" w:cs="仿宋"/>
          <w:color w:val="auto"/>
          <w:spacing w:val="-2"/>
          <w:kern w:val="0"/>
          <w:sz w:val="24"/>
          <w:highlight w:val="none"/>
        </w:rPr>
        <w:t>在招标文件</w:t>
      </w:r>
      <w:r>
        <w:rPr>
          <w:rFonts w:hint="eastAsia" w:ascii="仿宋" w:hAnsi="仿宋" w:eastAsia="仿宋" w:cs="仿宋"/>
          <w:color w:val="auto"/>
          <w:kern w:val="0"/>
          <w:sz w:val="24"/>
          <w:highlight w:val="none"/>
        </w:rPr>
        <w:t>第</w:t>
      </w:r>
      <w:r>
        <w:rPr>
          <w:rFonts w:hint="eastAsia" w:ascii="仿宋" w:hAnsi="仿宋" w:eastAsia="仿宋" w:cs="仿宋"/>
          <w:color w:val="auto"/>
          <w:spacing w:val="-2"/>
          <w:kern w:val="0"/>
          <w:sz w:val="24"/>
          <w:highlight w:val="none"/>
        </w:rPr>
        <w:t>二</w:t>
      </w:r>
      <w:r>
        <w:rPr>
          <w:rFonts w:hint="eastAsia" w:ascii="仿宋" w:hAnsi="仿宋" w:eastAsia="仿宋" w:cs="仿宋"/>
          <w:color w:val="auto"/>
          <w:kern w:val="0"/>
          <w:sz w:val="24"/>
          <w:highlight w:val="none"/>
        </w:rPr>
        <w:t>章</w:t>
      </w:r>
      <w:r>
        <w:rPr>
          <w:rFonts w:hint="eastAsia" w:ascii="仿宋" w:hAnsi="仿宋" w:eastAsia="仿宋" w:cs="仿宋"/>
          <w:color w:val="auto"/>
          <w:sz w:val="24"/>
          <w:highlight w:val="none"/>
        </w:rPr>
        <w:t>“投标人须知”</w:t>
      </w:r>
      <w:r>
        <w:rPr>
          <w:rFonts w:hint="eastAsia" w:ascii="仿宋" w:hAnsi="仿宋" w:eastAsia="仿宋" w:cs="仿宋"/>
          <w:color w:val="auto"/>
          <w:kern w:val="0"/>
          <w:sz w:val="24"/>
          <w:highlight w:val="none"/>
        </w:rPr>
        <w:t>第1.4</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3项</w:t>
      </w:r>
      <w:r>
        <w:rPr>
          <w:rFonts w:hint="eastAsia" w:ascii="仿宋" w:hAnsi="仿宋" w:eastAsia="仿宋" w:cs="仿宋"/>
          <w:color w:val="auto"/>
          <w:spacing w:val="-2"/>
          <w:kern w:val="0"/>
          <w:sz w:val="24"/>
          <w:highlight w:val="none"/>
        </w:rPr>
        <w:t>规</w:t>
      </w:r>
      <w:r>
        <w:rPr>
          <w:rFonts w:hint="eastAsia" w:ascii="仿宋" w:hAnsi="仿宋" w:eastAsia="仿宋" w:cs="仿宋"/>
          <w:color w:val="auto"/>
          <w:kern w:val="0"/>
          <w:sz w:val="24"/>
          <w:highlight w:val="none"/>
        </w:rPr>
        <w:t>定的</w:t>
      </w:r>
      <w:r>
        <w:rPr>
          <w:rFonts w:hint="eastAsia" w:ascii="仿宋" w:hAnsi="仿宋" w:eastAsia="仿宋" w:cs="仿宋"/>
          <w:color w:val="auto"/>
          <w:spacing w:val="-2"/>
          <w:kern w:val="0"/>
          <w:sz w:val="24"/>
          <w:highlight w:val="none"/>
        </w:rPr>
        <w:t>任</w:t>
      </w:r>
      <w:r>
        <w:rPr>
          <w:rFonts w:hint="eastAsia" w:ascii="仿宋" w:hAnsi="仿宋" w:eastAsia="仿宋" w:cs="仿宋"/>
          <w:color w:val="auto"/>
          <w:kern w:val="0"/>
          <w:sz w:val="24"/>
          <w:highlight w:val="none"/>
        </w:rPr>
        <w:t>何</w:t>
      </w:r>
      <w:r>
        <w:rPr>
          <w:rFonts w:hint="eastAsia" w:ascii="仿宋" w:hAnsi="仿宋" w:eastAsia="仿宋" w:cs="仿宋"/>
          <w:color w:val="auto"/>
          <w:spacing w:val="-2"/>
          <w:kern w:val="0"/>
          <w:sz w:val="24"/>
          <w:highlight w:val="none"/>
        </w:rPr>
        <w:t>一</w:t>
      </w:r>
      <w:r>
        <w:rPr>
          <w:rFonts w:hint="eastAsia" w:ascii="仿宋" w:hAnsi="仿宋" w:eastAsia="仿宋" w:cs="仿宋"/>
          <w:color w:val="auto"/>
          <w:kern w:val="0"/>
          <w:sz w:val="24"/>
          <w:highlight w:val="none"/>
        </w:rPr>
        <w:t>种</w:t>
      </w:r>
      <w:r>
        <w:rPr>
          <w:rFonts w:hint="eastAsia" w:ascii="仿宋" w:hAnsi="仿宋" w:eastAsia="仿宋" w:cs="仿宋"/>
          <w:color w:val="auto"/>
          <w:spacing w:val="-2"/>
          <w:kern w:val="0"/>
          <w:sz w:val="24"/>
          <w:highlight w:val="none"/>
        </w:rPr>
        <w:t>情</w:t>
      </w:r>
      <w:r>
        <w:rPr>
          <w:rFonts w:hint="eastAsia" w:ascii="仿宋" w:hAnsi="仿宋" w:eastAsia="仿宋" w:cs="仿宋"/>
          <w:color w:val="auto"/>
          <w:kern w:val="0"/>
          <w:sz w:val="24"/>
          <w:highlight w:val="none"/>
        </w:rPr>
        <w:t>形。</w:t>
      </w:r>
    </w:p>
    <w:p w14:paraId="5187E170">
      <w:pPr>
        <w:tabs>
          <w:tab w:val="left" w:pos="3880"/>
        </w:tabs>
        <w:autoSpaceDE w:val="0"/>
        <w:autoSpaceDN w:val="0"/>
        <w:adjustRightInd w:val="0"/>
        <w:spacing w:line="360" w:lineRule="auto"/>
        <w:ind w:right="-23"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position w:val="-3"/>
          <w:sz w:val="24"/>
          <w:highlight w:val="none"/>
        </w:rPr>
        <w:t>6．</w:t>
      </w:r>
      <w:r>
        <w:rPr>
          <w:rFonts w:hint="eastAsia" w:ascii="仿宋" w:hAnsi="仿宋" w:eastAsia="仿宋" w:cs="仿宋"/>
          <w:color w:val="auto"/>
          <w:spacing w:val="-2"/>
          <w:kern w:val="0"/>
          <w:sz w:val="24"/>
          <w:highlight w:val="none"/>
          <w:u w:val="single"/>
        </w:rPr>
        <w:t xml:space="preserve">           </w:t>
      </w:r>
      <w:r>
        <w:rPr>
          <w:rFonts w:hint="eastAsia" w:ascii="仿宋" w:hAnsi="仿宋" w:eastAsia="仿宋" w:cs="仿宋"/>
          <w:color w:val="auto"/>
          <w:spacing w:val="-2"/>
          <w:kern w:val="0"/>
          <w:sz w:val="24"/>
          <w:highlight w:val="none"/>
        </w:rPr>
        <w:t>（其他补充说明）。</w:t>
      </w:r>
    </w:p>
    <w:p w14:paraId="392EA41B">
      <w:pPr>
        <w:autoSpaceDE w:val="0"/>
        <w:autoSpaceDN w:val="0"/>
        <w:adjustRightInd w:val="0"/>
        <w:spacing w:line="360" w:lineRule="auto"/>
        <w:ind w:right="-23" w:firstLine="480" w:firstLineChars="200"/>
        <w:jc w:val="righ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投标人</w:t>
      </w:r>
      <w:r>
        <w:rPr>
          <w:rFonts w:hint="eastAsia" w:ascii="仿宋" w:hAnsi="仿宋" w:eastAsia="仿宋" w:cs="仿宋"/>
          <w:color w:val="auto"/>
          <w:spacing w:val="-2"/>
          <w:kern w:val="0"/>
          <w:sz w:val="24"/>
          <w:highlight w:val="none"/>
        </w:rPr>
        <w:t>：</w:t>
      </w:r>
      <w:r>
        <w:rPr>
          <w:rFonts w:hint="eastAsia" w:ascii="仿宋" w:hAnsi="仿宋" w:eastAsia="仿宋" w:cs="仿宋"/>
          <w:color w:val="auto"/>
          <w:spacing w:val="43"/>
          <w:kern w:val="0"/>
          <w:sz w:val="24"/>
          <w:highlight w:val="none"/>
          <w:u w:val="single"/>
        </w:rPr>
        <w:t xml:space="preserve">              </w:t>
      </w:r>
      <w:r>
        <w:rPr>
          <w:rFonts w:hint="eastAsia" w:ascii="仿宋" w:hAnsi="仿宋" w:eastAsia="仿宋" w:cs="仿宋"/>
          <w:color w:val="auto"/>
          <w:kern w:val="0"/>
          <w:sz w:val="24"/>
          <w:highlight w:val="none"/>
        </w:rPr>
        <w:t>（单位电子签章）</w:t>
      </w:r>
    </w:p>
    <w:p w14:paraId="116E979D">
      <w:pPr>
        <w:autoSpaceDE w:val="0"/>
        <w:autoSpaceDN w:val="0"/>
        <w:adjustRightInd w:val="0"/>
        <w:spacing w:line="360" w:lineRule="auto"/>
        <w:ind w:right="-23" w:firstLine="480" w:firstLineChars="200"/>
        <w:jc w:val="righ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法定代表人或其委托代理人：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（签字或盖章）</w:t>
      </w:r>
    </w:p>
    <w:p w14:paraId="120702CE">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sz w:val="24"/>
          <w:highlight w:val="none"/>
          <w:u w:val="single"/>
        </w:rPr>
      </w:pPr>
      <w:r>
        <w:rPr>
          <w:rFonts w:hint="eastAsia" w:ascii="仿宋" w:hAnsi="仿宋" w:eastAsia="仿宋" w:cs="仿宋"/>
          <w:color w:val="auto"/>
          <w:kern w:val="0"/>
          <w:position w:val="-2"/>
          <w:sz w:val="24"/>
          <w:highlight w:val="none"/>
        </w:rPr>
        <w:t>地</w:t>
      </w:r>
      <w:r>
        <w:rPr>
          <w:rFonts w:hint="eastAsia" w:ascii="仿宋" w:hAnsi="仿宋" w:eastAsia="仿宋" w:cs="仿宋"/>
          <w:color w:val="auto"/>
          <w:kern w:val="0"/>
          <w:position w:val="-2"/>
          <w:sz w:val="24"/>
          <w:highlight w:val="none"/>
        </w:rPr>
        <w:tab/>
      </w:r>
      <w:r>
        <w:rPr>
          <w:rFonts w:hint="eastAsia" w:ascii="仿宋" w:hAnsi="仿宋" w:eastAsia="仿宋" w:cs="仿宋"/>
          <w:color w:val="auto"/>
          <w:kern w:val="0"/>
          <w:position w:val="-2"/>
          <w:sz w:val="24"/>
          <w:highlight w:val="none"/>
        </w:rPr>
        <w:t>址</w:t>
      </w:r>
      <w:r>
        <w:rPr>
          <w:rFonts w:hint="eastAsia" w:ascii="仿宋" w:hAnsi="仿宋" w:eastAsia="仿宋" w:cs="仿宋"/>
          <w:color w:val="auto"/>
          <w:spacing w:val="-2"/>
          <w:kern w:val="0"/>
          <w:position w:val="-2"/>
          <w:sz w:val="24"/>
          <w:highlight w:val="none"/>
        </w:rPr>
        <w:t>：</w:t>
      </w:r>
      <w:r>
        <w:rPr>
          <w:rFonts w:hint="eastAsia" w:ascii="仿宋" w:hAnsi="仿宋" w:eastAsia="仿宋" w:cs="仿宋"/>
          <w:color w:val="auto"/>
          <w:kern w:val="0"/>
          <w:sz w:val="24"/>
          <w:highlight w:val="none"/>
          <w:u w:val="single"/>
        </w:rPr>
        <w:t xml:space="preserve">                                           </w:t>
      </w:r>
    </w:p>
    <w:p w14:paraId="6DE84E98">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sz w:val="24"/>
          <w:highlight w:val="none"/>
        </w:rPr>
      </w:pPr>
      <w:r>
        <w:rPr>
          <w:rFonts w:hint="eastAsia" w:ascii="仿宋" w:hAnsi="仿宋" w:eastAsia="仿宋" w:cs="仿宋"/>
          <w:color w:val="auto"/>
          <w:kern w:val="0"/>
          <w:position w:val="-2"/>
          <w:sz w:val="24"/>
          <w:highlight w:val="none"/>
        </w:rPr>
        <w:t>网</w:t>
      </w:r>
      <w:r>
        <w:rPr>
          <w:rFonts w:hint="eastAsia" w:ascii="仿宋" w:hAnsi="仿宋" w:eastAsia="仿宋" w:cs="仿宋"/>
          <w:color w:val="auto"/>
          <w:kern w:val="0"/>
          <w:position w:val="-2"/>
          <w:sz w:val="24"/>
          <w:highlight w:val="none"/>
        </w:rPr>
        <w:tab/>
      </w:r>
      <w:r>
        <w:rPr>
          <w:rFonts w:hint="eastAsia" w:ascii="仿宋" w:hAnsi="仿宋" w:eastAsia="仿宋" w:cs="仿宋"/>
          <w:color w:val="auto"/>
          <w:kern w:val="0"/>
          <w:position w:val="-2"/>
          <w:sz w:val="24"/>
          <w:highlight w:val="none"/>
        </w:rPr>
        <w:t>址</w:t>
      </w:r>
      <w:r>
        <w:rPr>
          <w:rFonts w:hint="eastAsia" w:ascii="仿宋" w:hAnsi="仿宋" w:eastAsia="仿宋" w:cs="仿宋"/>
          <w:color w:val="auto"/>
          <w:spacing w:val="-2"/>
          <w:kern w:val="0"/>
          <w:position w:val="-2"/>
          <w:sz w:val="24"/>
          <w:highlight w:val="none"/>
        </w:rPr>
        <w:t>：</w:t>
      </w:r>
      <w:r>
        <w:rPr>
          <w:rFonts w:hint="eastAsia" w:ascii="仿宋" w:hAnsi="仿宋" w:eastAsia="仿宋" w:cs="仿宋"/>
          <w:color w:val="auto"/>
          <w:kern w:val="0"/>
          <w:sz w:val="24"/>
          <w:highlight w:val="none"/>
          <w:u w:val="single"/>
        </w:rPr>
        <w:t xml:space="preserve">                                           </w:t>
      </w:r>
    </w:p>
    <w:p w14:paraId="7473E9FA">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sz w:val="24"/>
          <w:highlight w:val="none"/>
        </w:rPr>
      </w:pPr>
      <w:r>
        <w:rPr>
          <w:rFonts w:hint="eastAsia" w:ascii="仿宋" w:hAnsi="仿宋" w:eastAsia="仿宋" w:cs="仿宋"/>
          <w:color w:val="auto"/>
          <w:kern w:val="0"/>
          <w:position w:val="-2"/>
          <w:sz w:val="24"/>
          <w:highlight w:val="none"/>
        </w:rPr>
        <w:t>电</w:t>
      </w:r>
      <w:r>
        <w:rPr>
          <w:rFonts w:hint="eastAsia" w:ascii="仿宋" w:hAnsi="仿宋" w:eastAsia="仿宋" w:cs="仿宋"/>
          <w:color w:val="auto"/>
          <w:kern w:val="0"/>
          <w:position w:val="-2"/>
          <w:sz w:val="24"/>
          <w:highlight w:val="none"/>
        </w:rPr>
        <w:tab/>
      </w:r>
      <w:r>
        <w:rPr>
          <w:rFonts w:hint="eastAsia" w:ascii="仿宋" w:hAnsi="仿宋" w:eastAsia="仿宋" w:cs="仿宋"/>
          <w:color w:val="auto"/>
          <w:kern w:val="0"/>
          <w:position w:val="-2"/>
          <w:sz w:val="24"/>
          <w:highlight w:val="none"/>
        </w:rPr>
        <w:t>话</w:t>
      </w:r>
      <w:r>
        <w:rPr>
          <w:rFonts w:hint="eastAsia" w:ascii="仿宋" w:hAnsi="仿宋" w:eastAsia="仿宋" w:cs="仿宋"/>
          <w:color w:val="auto"/>
          <w:spacing w:val="-2"/>
          <w:kern w:val="0"/>
          <w:position w:val="-2"/>
          <w:sz w:val="24"/>
          <w:highlight w:val="none"/>
        </w:rPr>
        <w:t>：</w:t>
      </w:r>
      <w:r>
        <w:rPr>
          <w:rFonts w:hint="eastAsia" w:ascii="仿宋" w:hAnsi="仿宋" w:eastAsia="仿宋" w:cs="仿宋"/>
          <w:color w:val="auto"/>
          <w:kern w:val="0"/>
          <w:sz w:val="24"/>
          <w:highlight w:val="none"/>
          <w:u w:val="single"/>
        </w:rPr>
        <w:t xml:space="preserve">                                           </w:t>
      </w:r>
    </w:p>
    <w:p w14:paraId="52B9541B">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sz w:val="24"/>
          <w:highlight w:val="none"/>
        </w:rPr>
      </w:pPr>
      <w:r>
        <w:rPr>
          <w:rFonts w:hint="eastAsia" w:ascii="仿宋" w:hAnsi="仿宋" w:eastAsia="仿宋" w:cs="仿宋"/>
          <w:color w:val="auto"/>
          <w:kern w:val="0"/>
          <w:position w:val="-2"/>
          <w:sz w:val="24"/>
          <w:highlight w:val="none"/>
        </w:rPr>
        <w:t>传</w:t>
      </w:r>
      <w:r>
        <w:rPr>
          <w:rFonts w:hint="eastAsia" w:ascii="仿宋" w:hAnsi="仿宋" w:eastAsia="仿宋" w:cs="仿宋"/>
          <w:color w:val="auto"/>
          <w:kern w:val="0"/>
          <w:position w:val="-2"/>
          <w:sz w:val="24"/>
          <w:highlight w:val="none"/>
        </w:rPr>
        <w:tab/>
      </w:r>
      <w:r>
        <w:rPr>
          <w:rFonts w:hint="eastAsia" w:ascii="仿宋" w:hAnsi="仿宋" w:eastAsia="仿宋" w:cs="仿宋"/>
          <w:color w:val="auto"/>
          <w:kern w:val="0"/>
          <w:position w:val="-2"/>
          <w:sz w:val="24"/>
          <w:highlight w:val="none"/>
        </w:rPr>
        <w:t>真</w:t>
      </w:r>
      <w:r>
        <w:rPr>
          <w:rFonts w:hint="eastAsia" w:ascii="仿宋" w:hAnsi="仿宋" w:eastAsia="仿宋" w:cs="仿宋"/>
          <w:color w:val="auto"/>
          <w:spacing w:val="-2"/>
          <w:kern w:val="0"/>
          <w:position w:val="-2"/>
          <w:sz w:val="24"/>
          <w:highlight w:val="none"/>
        </w:rPr>
        <w:t>：</w:t>
      </w:r>
      <w:r>
        <w:rPr>
          <w:rFonts w:hint="eastAsia" w:ascii="仿宋" w:hAnsi="仿宋" w:eastAsia="仿宋" w:cs="仿宋"/>
          <w:color w:val="auto"/>
          <w:w w:val="169"/>
          <w:kern w:val="0"/>
          <w:position w:val="-2"/>
          <w:sz w:val="24"/>
          <w:highlight w:val="none"/>
          <w:u w:val="single"/>
        </w:rPr>
        <w:t xml:space="preserve">                          </w:t>
      </w:r>
    </w:p>
    <w:p w14:paraId="7A38CDA7">
      <w:pPr>
        <w:tabs>
          <w:tab w:val="left" w:pos="8480"/>
        </w:tabs>
        <w:autoSpaceDE w:val="0"/>
        <w:autoSpaceDN w:val="0"/>
        <w:adjustRightInd w:val="0"/>
        <w:spacing w:line="360" w:lineRule="auto"/>
        <w:ind w:left="2601" w:right="-23"/>
        <w:rPr>
          <w:rFonts w:hint="eastAsia" w:ascii="仿宋" w:hAnsi="仿宋" w:eastAsia="仿宋" w:cs="仿宋"/>
          <w:color w:val="auto"/>
          <w:w w:val="169"/>
          <w:kern w:val="0"/>
          <w:position w:val="-2"/>
          <w:sz w:val="24"/>
          <w:highlight w:val="none"/>
          <w:u w:val="single"/>
        </w:rPr>
      </w:pPr>
      <w:r>
        <w:rPr>
          <w:rFonts w:hint="eastAsia" w:ascii="仿宋" w:hAnsi="仿宋" w:eastAsia="仿宋" w:cs="仿宋"/>
          <w:color w:val="auto"/>
          <w:kern w:val="0"/>
          <w:position w:val="-2"/>
          <w:sz w:val="24"/>
          <w:highlight w:val="none"/>
        </w:rPr>
        <w:t>邮政</w:t>
      </w:r>
      <w:r>
        <w:rPr>
          <w:rFonts w:hint="eastAsia" w:ascii="仿宋" w:hAnsi="仿宋" w:eastAsia="仿宋" w:cs="仿宋"/>
          <w:color w:val="auto"/>
          <w:spacing w:val="-2"/>
          <w:kern w:val="0"/>
          <w:position w:val="-2"/>
          <w:sz w:val="24"/>
          <w:highlight w:val="none"/>
        </w:rPr>
        <w:t>编</w:t>
      </w:r>
      <w:r>
        <w:rPr>
          <w:rFonts w:hint="eastAsia" w:ascii="仿宋" w:hAnsi="仿宋" w:eastAsia="仿宋" w:cs="仿宋"/>
          <w:color w:val="auto"/>
          <w:kern w:val="0"/>
          <w:position w:val="-2"/>
          <w:sz w:val="24"/>
          <w:highlight w:val="none"/>
        </w:rPr>
        <w:t>码</w:t>
      </w:r>
      <w:r>
        <w:rPr>
          <w:rFonts w:hint="eastAsia" w:ascii="仿宋" w:hAnsi="仿宋" w:eastAsia="仿宋" w:cs="仿宋"/>
          <w:color w:val="auto"/>
          <w:spacing w:val="-2"/>
          <w:kern w:val="0"/>
          <w:position w:val="-2"/>
          <w:sz w:val="24"/>
          <w:highlight w:val="none"/>
        </w:rPr>
        <w:t>：</w:t>
      </w:r>
      <w:r>
        <w:rPr>
          <w:rFonts w:hint="eastAsia" w:ascii="仿宋" w:hAnsi="仿宋" w:eastAsia="仿宋" w:cs="仿宋"/>
          <w:color w:val="auto"/>
          <w:w w:val="169"/>
          <w:kern w:val="0"/>
          <w:position w:val="-2"/>
          <w:sz w:val="24"/>
          <w:highlight w:val="none"/>
          <w:u w:val="single"/>
        </w:rPr>
        <w:t xml:space="preserve">                          </w:t>
      </w:r>
    </w:p>
    <w:p w14:paraId="452B4EC1">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position w:val="-2"/>
          <w:sz w:val="24"/>
          <w:highlight w:val="none"/>
        </w:rPr>
      </w:pPr>
      <w:r>
        <w:rPr>
          <w:rFonts w:hint="eastAsia" w:ascii="仿宋" w:hAnsi="仿宋" w:eastAsia="仿宋" w:cs="仿宋"/>
          <w:color w:val="auto"/>
          <w:kern w:val="0"/>
          <w:position w:val="-2"/>
          <w:sz w:val="24"/>
          <w:highlight w:val="none"/>
        </w:rPr>
        <w:t>项目联系人电话（手机号）：</w:t>
      </w:r>
      <w:r>
        <w:rPr>
          <w:rFonts w:hint="eastAsia" w:ascii="仿宋" w:hAnsi="仿宋" w:eastAsia="仿宋" w:cs="仿宋"/>
          <w:color w:val="auto"/>
          <w:w w:val="169"/>
          <w:kern w:val="0"/>
          <w:position w:val="-2"/>
          <w:sz w:val="24"/>
          <w:highlight w:val="none"/>
          <w:u w:val="single"/>
        </w:rPr>
        <w:t xml:space="preserve">                 </w:t>
      </w:r>
    </w:p>
    <w:p w14:paraId="338588D6">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position w:val="-2"/>
          <w:sz w:val="24"/>
          <w:highlight w:val="none"/>
        </w:rPr>
      </w:pPr>
      <w:r>
        <w:rPr>
          <w:rFonts w:hint="eastAsia" w:ascii="仿宋" w:hAnsi="仿宋" w:eastAsia="仿宋" w:cs="仿宋"/>
          <w:color w:val="auto"/>
          <w:kern w:val="0"/>
          <w:position w:val="-2"/>
          <w:sz w:val="24"/>
          <w:highlight w:val="none"/>
        </w:rPr>
        <w:t>邮    箱：</w:t>
      </w:r>
      <w:r>
        <w:rPr>
          <w:rFonts w:hint="eastAsia" w:ascii="仿宋" w:hAnsi="仿宋" w:eastAsia="仿宋" w:cs="仿宋"/>
          <w:color w:val="auto"/>
          <w:w w:val="169"/>
          <w:kern w:val="0"/>
          <w:position w:val="-2"/>
          <w:sz w:val="24"/>
          <w:highlight w:val="none"/>
          <w:u w:val="single"/>
        </w:rPr>
        <w:t xml:space="preserve">                           </w:t>
      </w:r>
    </w:p>
    <w:p w14:paraId="1D0E0D0B">
      <w:pPr>
        <w:tabs>
          <w:tab w:val="left" w:pos="5380"/>
          <w:tab w:val="left" w:pos="6520"/>
          <w:tab w:val="left" w:pos="7680"/>
        </w:tabs>
        <w:autoSpaceDE w:val="0"/>
        <w:autoSpaceDN w:val="0"/>
        <w:adjustRightInd w:val="0"/>
        <w:spacing w:line="360" w:lineRule="auto"/>
        <w:ind w:left="4435" w:right="-23"/>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spacing w:val="43"/>
          <w:kern w:val="0"/>
          <w:sz w:val="24"/>
          <w:highlight w:val="none"/>
          <w:u w:val="single"/>
        </w:rPr>
        <w:t xml:space="preserve"> </w:t>
      </w:r>
      <w:r>
        <w:rPr>
          <w:rFonts w:hint="eastAsia" w:ascii="仿宋" w:hAnsi="仿宋" w:eastAsia="仿宋" w:cs="仿宋"/>
          <w:color w:val="auto"/>
          <w:kern w:val="0"/>
          <w:sz w:val="24"/>
          <w:highlight w:val="none"/>
        </w:rPr>
        <w:t>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w:t>
      </w:r>
    </w:p>
    <w:p w14:paraId="4C165095">
      <w:pPr>
        <w:ind w:firstLine="420"/>
        <w:rPr>
          <w:rFonts w:hint="eastAsia" w:ascii="仿宋" w:hAnsi="仿宋" w:eastAsia="仿宋" w:cs="仿宋"/>
          <w:color w:val="auto"/>
          <w:sz w:val="28"/>
          <w:szCs w:val="28"/>
          <w:highlight w:val="none"/>
        </w:rPr>
      </w:pPr>
      <w:r>
        <w:rPr>
          <w:rFonts w:hint="eastAsia" w:ascii="仿宋" w:hAnsi="仿宋" w:eastAsia="仿宋" w:cs="仿宋"/>
          <w:color w:val="auto"/>
          <w:kern w:val="0"/>
          <w:szCs w:val="21"/>
          <w:highlight w:val="none"/>
        </w:rPr>
        <w:br w:type="textWrapping"/>
      </w:r>
      <w:r>
        <w:rPr>
          <w:rFonts w:hint="eastAsia" w:ascii="仿宋" w:hAnsi="仿宋" w:eastAsia="仿宋" w:cs="仿宋"/>
          <w:b/>
          <w:bCs/>
          <w:color w:val="auto"/>
          <w:kern w:val="0"/>
          <w:sz w:val="24"/>
          <w:highlight w:val="none"/>
        </w:rPr>
        <w:t>注：此“投标函”内容如与</w:t>
      </w:r>
      <w:r>
        <w:rPr>
          <w:rFonts w:hint="eastAsia" w:ascii="仿宋" w:hAnsi="仿宋" w:eastAsia="仿宋" w:cs="仿宋"/>
          <w:b/>
          <w:bCs/>
          <w:color w:val="auto"/>
          <w:kern w:val="0"/>
          <w:sz w:val="24"/>
          <w:highlight w:val="none"/>
          <w:lang w:val="en-US" w:eastAsia="zh-CN"/>
        </w:rPr>
        <w:t>驻马店市</w:t>
      </w:r>
      <w:r>
        <w:rPr>
          <w:rFonts w:hint="eastAsia" w:ascii="仿宋" w:hAnsi="仿宋" w:eastAsia="仿宋" w:cs="仿宋"/>
          <w:b/>
          <w:bCs/>
          <w:color w:val="auto"/>
          <w:kern w:val="0"/>
          <w:sz w:val="24"/>
          <w:highlight w:val="none"/>
        </w:rPr>
        <w:t>公共资源交易平台电子投标系统生成投标函格式不同的，以本格式为准。投标人只需正常填写相关内容即可。</w:t>
      </w:r>
    </w:p>
    <w:p w14:paraId="370E5D23">
      <w:pPr>
        <w:tabs>
          <w:tab w:val="left" w:pos="620"/>
          <w:tab w:val="left" w:pos="1460"/>
          <w:tab w:val="left" w:pos="2300"/>
        </w:tabs>
        <w:autoSpaceDE w:val="0"/>
        <w:autoSpaceDN w:val="0"/>
        <w:adjustRightInd w:val="0"/>
        <w:spacing w:line="360" w:lineRule="auto"/>
        <w:ind w:right="98"/>
        <w:rPr>
          <w:rFonts w:hint="eastAsia" w:ascii="仿宋" w:hAnsi="仿宋" w:eastAsia="仿宋" w:cs="仿宋"/>
          <w:color w:val="auto"/>
          <w:kern w:val="0"/>
          <w:szCs w:val="21"/>
          <w:highlight w:val="none"/>
        </w:rPr>
        <w:sectPr>
          <w:footerReference r:id="rId10" w:type="default"/>
          <w:pgSz w:w="11906" w:h="16838"/>
          <w:pgMar w:top="1417" w:right="1417" w:bottom="1417" w:left="1417" w:header="777" w:footer="641" w:gutter="0"/>
          <w:pgNumType w:fmt="decimal"/>
          <w:cols w:space="720" w:num="1"/>
        </w:sectPr>
      </w:pPr>
    </w:p>
    <w:p w14:paraId="3AA46D74">
      <w:pPr>
        <w:pStyle w:val="4"/>
        <w:jc w:val="center"/>
        <w:rPr>
          <w:rFonts w:hint="eastAsia" w:ascii="仿宋" w:hAnsi="仿宋" w:eastAsia="仿宋" w:cs="仿宋"/>
          <w:color w:val="auto"/>
          <w:sz w:val="28"/>
          <w:szCs w:val="28"/>
          <w:highlight w:val="none"/>
        </w:rPr>
      </w:pPr>
      <w:bookmarkStart w:id="1734" w:name="_Toc17248"/>
      <w:bookmarkStart w:id="1735" w:name="_Toc17831"/>
      <w:bookmarkStart w:id="1736" w:name="_Toc28859"/>
      <w:bookmarkStart w:id="1737" w:name="_Toc31203"/>
      <w:bookmarkStart w:id="1738" w:name="_Toc8708"/>
      <w:bookmarkStart w:id="1739" w:name="_Toc9283"/>
      <w:bookmarkStart w:id="1740" w:name="_Toc29461"/>
      <w:bookmarkStart w:id="1741" w:name="_Toc30715"/>
      <w:bookmarkStart w:id="1742" w:name="_Toc26453"/>
      <w:bookmarkStart w:id="1743" w:name="_Toc22946"/>
      <w:bookmarkStart w:id="1744" w:name="_Toc25254"/>
      <w:bookmarkStart w:id="1745" w:name="_Toc11101"/>
      <w:bookmarkStart w:id="1746" w:name="_Toc22174"/>
      <w:bookmarkStart w:id="1747" w:name="_Toc20161"/>
      <w:bookmarkStart w:id="1748" w:name="_Toc15478"/>
      <w:bookmarkStart w:id="1749" w:name="_Toc21854"/>
      <w:r>
        <w:rPr>
          <w:rFonts w:hint="eastAsia" w:ascii="仿宋" w:hAnsi="仿宋" w:eastAsia="仿宋" w:cs="仿宋"/>
          <w:color w:val="auto"/>
          <w:sz w:val="28"/>
          <w:szCs w:val="28"/>
          <w:highlight w:val="none"/>
        </w:rPr>
        <w:t>（二）投标函附录</w:t>
      </w:r>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p>
    <w:tbl>
      <w:tblPr>
        <w:tblStyle w:val="28"/>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02"/>
        <w:gridCol w:w="927"/>
        <w:gridCol w:w="1190"/>
        <w:gridCol w:w="1060"/>
        <w:gridCol w:w="1113"/>
        <w:gridCol w:w="63"/>
        <w:gridCol w:w="1274"/>
        <w:gridCol w:w="701"/>
      </w:tblGrid>
      <w:tr w14:paraId="07723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205FEF70">
            <w:pPr>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168D8E22">
            <w:pPr>
              <w:spacing w:before="100" w:beforeAutospacing="1" w:after="100" w:afterAutospacing="1" w:line="360" w:lineRule="auto"/>
              <w:jc w:val="center"/>
              <w:rPr>
                <w:rFonts w:hint="eastAsia" w:ascii="仿宋" w:hAnsi="仿宋" w:eastAsia="仿宋" w:cs="仿宋"/>
                <w:color w:val="auto"/>
                <w:sz w:val="24"/>
                <w:highlight w:val="none"/>
              </w:rPr>
            </w:pPr>
          </w:p>
        </w:tc>
      </w:tr>
      <w:tr w14:paraId="11350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6CCDBBD3">
            <w:pPr>
              <w:spacing w:before="100" w:beforeAutospacing="1" w:after="100" w:afterAutospacing="1"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标段</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0A89D1F5">
            <w:pPr>
              <w:spacing w:before="100" w:beforeAutospacing="1" w:after="100" w:afterAutospacing="1" w:line="360" w:lineRule="auto"/>
              <w:jc w:val="center"/>
              <w:rPr>
                <w:rFonts w:hint="eastAsia" w:ascii="仿宋" w:hAnsi="仿宋" w:eastAsia="仿宋" w:cs="仿宋"/>
                <w:color w:val="auto"/>
                <w:sz w:val="24"/>
                <w:highlight w:val="none"/>
              </w:rPr>
            </w:pPr>
          </w:p>
        </w:tc>
      </w:tr>
      <w:tr w14:paraId="2238D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6"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1E8C79BE">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6E7A59D1">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5E336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6"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092D36EE">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投标范围</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0211F271">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637EB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3302" w:type="dxa"/>
            <w:vMerge w:val="restart"/>
            <w:tcBorders>
              <w:top w:val="single" w:color="auto" w:sz="4" w:space="0"/>
              <w:left w:val="single" w:color="auto" w:sz="4" w:space="0"/>
              <w:right w:val="single" w:color="auto" w:sz="4" w:space="0"/>
            </w:tcBorders>
            <w:noWrap w:val="0"/>
            <w:vAlign w:val="center"/>
          </w:tcPr>
          <w:p w14:paraId="6D73BFA6">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投标总报价（元）</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7A4660DA">
            <w:pPr>
              <w:tabs>
                <w:tab w:val="left" w:pos="2340"/>
              </w:tabs>
              <w:spacing w:line="360" w:lineRule="auto"/>
              <w:jc w:val="left"/>
              <w:rPr>
                <w:rFonts w:ascii="仿宋" w:hAnsi="仿宋" w:eastAsia="仿宋" w:cs="仿宋"/>
                <w:color w:val="auto"/>
                <w:sz w:val="24"/>
                <w:highlight w:val="none"/>
                <w:u w:val="single"/>
              </w:rPr>
            </w:pPr>
            <w:r>
              <w:rPr>
                <w:rFonts w:hint="eastAsia" w:ascii="仿宋" w:hAnsi="仿宋" w:eastAsia="仿宋" w:cs="仿宋"/>
                <w:color w:val="auto"/>
                <w:sz w:val="24"/>
                <w:highlight w:val="none"/>
              </w:rPr>
              <w:t>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小写：</w:t>
            </w:r>
            <w:r>
              <w:rPr>
                <w:rFonts w:hint="eastAsia" w:ascii="仿宋" w:hAnsi="仿宋" w:eastAsia="仿宋" w:cs="仿宋"/>
                <w:color w:val="auto"/>
                <w:sz w:val="24"/>
                <w:highlight w:val="none"/>
                <w:u w:val="single"/>
              </w:rPr>
              <w:t xml:space="preserve">           </w:t>
            </w:r>
          </w:p>
        </w:tc>
      </w:tr>
      <w:tr w14:paraId="355F4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3302" w:type="dxa"/>
            <w:vMerge w:val="continue"/>
            <w:tcBorders>
              <w:left w:val="single" w:color="auto" w:sz="4" w:space="0"/>
              <w:right w:val="single" w:color="auto" w:sz="4" w:space="0"/>
            </w:tcBorders>
            <w:noWrap w:val="0"/>
            <w:vAlign w:val="center"/>
          </w:tcPr>
          <w:p w14:paraId="6A74B821">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927" w:type="dxa"/>
            <w:vMerge w:val="restart"/>
            <w:tcBorders>
              <w:left w:val="single" w:color="auto" w:sz="4" w:space="0"/>
              <w:right w:val="single" w:color="auto" w:sz="4" w:space="0"/>
            </w:tcBorders>
            <w:noWrap w:val="0"/>
            <w:vAlign w:val="center"/>
          </w:tcPr>
          <w:p w14:paraId="2BE41163">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其中</w:t>
            </w:r>
          </w:p>
        </w:tc>
        <w:tc>
          <w:tcPr>
            <w:tcW w:w="3363" w:type="dxa"/>
            <w:gridSpan w:val="3"/>
            <w:tcBorders>
              <w:top w:val="single" w:color="auto" w:sz="4" w:space="0"/>
              <w:left w:val="single" w:color="auto" w:sz="4" w:space="0"/>
              <w:bottom w:val="single" w:color="auto" w:sz="4" w:space="0"/>
              <w:right w:val="single" w:color="auto" w:sz="4" w:space="0"/>
            </w:tcBorders>
            <w:noWrap w:val="0"/>
            <w:vAlign w:val="center"/>
          </w:tcPr>
          <w:p w14:paraId="0FB1515B">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安全生产措施费（元）</w:t>
            </w:r>
          </w:p>
        </w:tc>
        <w:tc>
          <w:tcPr>
            <w:tcW w:w="2038" w:type="dxa"/>
            <w:gridSpan w:val="3"/>
            <w:tcBorders>
              <w:top w:val="single" w:color="auto" w:sz="4" w:space="0"/>
              <w:left w:val="single" w:color="auto" w:sz="4" w:space="0"/>
              <w:bottom w:val="single" w:color="auto" w:sz="4" w:space="0"/>
              <w:right w:val="single" w:color="auto" w:sz="4" w:space="0"/>
            </w:tcBorders>
            <w:noWrap w:val="0"/>
            <w:vAlign w:val="center"/>
          </w:tcPr>
          <w:p w14:paraId="0A8EF3CB">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大写：</w:t>
            </w:r>
          </w:p>
          <w:p w14:paraId="39956250">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小写：</w:t>
            </w:r>
          </w:p>
        </w:tc>
      </w:tr>
      <w:tr w14:paraId="66A08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3302" w:type="dxa"/>
            <w:vMerge w:val="continue"/>
            <w:tcBorders>
              <w:left w:val="single" w:color="auto" w:sz="4" w:space="0"/>
              <w:right w:val="single" w:color="auto" w:sz="4" w:space="0"/>
            </w:tcBorders>
            <w:noWrap w:val="0"/>
            <w:vAlign w:val="center"/>
          </w:tcPr>
          <w:p w14:paraId="798A2193">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927" w:type="dxa"/>
            <w:vMerge w:val="continue"/>
            <w:tcBorders>
              <w:left w:val="single" w:color="auto" w:sz="4" w:space="0"/>
              <w:right w:val="single" w:color="auto" w:sz="4" w:space="0"/>
            </w:tcBorders>
            <w:noWrap w:val="0"/>
            <w:vAlign w:val="center"/>
          </w:tcPr>
          <w:p w14:paraId="63E191D6">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3363" w:type="dxa"/>
            <w:gridSpan w:val="3"/>
            <w:tcBorders>
              <w:top w:val="single" w:color="auto" w:sz="4" w:space="0"/>
              <w:left w:val="single" w:color="auto" w:sz="4" w:space="0"/>
              <w:bottom w:val="single" w:color="auto" w:sz="4" w:space="0"/>
              <w:right w:val="single" w:color="auto" w:sz="4" w:space="0"/>
            </w:tcBorders>
            <w:noWrap w:val="0"/>
            <w:vAlign w:val="center"/>
          </w:tcPr>
          <w:p w14:paraId="32803F0D">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暂列金额（元）</w:t>
            </w:r>
          </w:p>
        </w:tc>
        <w:tc>
          <w:tcPr>
            <w:tcW w:w="2038" w:type="dxa"/>
            <w:gridSpan w:val="3"/>
            <w:tcBorders>
              <w:top w:val="single" w:color="auto" w:sz="4" w:space="0"/>
              <w:left w:val="single" w:color="auto" w:sz="4" w:space="0"/>
              <w:bottom w:val="single" w:color="auto" w:sz="4" w:space="0"/>
              <w:right w:val="single" w:color="auto" w:sz="4" w:space="0"/>
            </w:tcBorders>
            <w:noWrap w:val="0"/>
            <w:vAlign w:val="center"/>
          </w:tcPr>
          <w:p w14:paraId="5016B818">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大写：</w:t>
            </w:r>
          </w:p>
          <w:p w14:paraId="7D3FFFB6">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小写：</w:t>
            </w:r>
          </w:p>
        </w:tc>
      </w:tr>
      <w:tr w14:paraId="6A85C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3302" w:type="dxa"/>
            <w:vMerge w:val="continue"/>
            <w:tcBorders>
              <w:left w:val="single" w:color="auto" w:sz="4" w:space="0"/>
              <w:right w:val="single" w:color="auto" w:sz="4" w:space="0"/>
            </w:tcBorders>
            <w:noWrap w:val="0"/>
            <w:vAlign w:val="center"/>
          </w:tcPr>
          <w:p w14:paraId="02882AF9">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927" w:type="dxa"/>
            <w:vMerge w:val="continue"/>
            <w:tcBorders>
              <w:left w:val="single" w:color="auto" w:sz="4" w:space="0"/>
              <w:right w:val="single" w:color="auto" w:sz="4" w:space="0"/>
            </w:tcBorders>
            <w:noWrap w:val="0"/>
            <w:vAlign w:val="center"/>
          </w:tcPr>
          <w:p w14:paraId="210B5A7C">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3363" w:type="dxa"/>
            <w:gridSpan w:val="3"/>
            <w:tcBorders>
              <w:top w:val="single" w:color="auto" w:sz="4" w:space="0"/>
              <w:left w:val="single" w:color="auto" w:sz="4" w:space="0"/>
              <w:bottom w:val="single" w:color="auto" w:sz="4" w:space="0"/>
              <w:right w:val="single" w:color="auto" w:sz="4" w:space="0"/>
            </w:tcBorders>
            <w:noWrap w:val="0"/>
            <w:vAlign w:val="center"/>
          </w:tcPr>
          <w:p w14:paraId="47F8BA3E">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专业工程暂估价（含税）（元）</w:t>
            </w:r>
          </w:p>
        </w:tc>
        <w:tc>
          <w:tcPr>
            <w:tcW w:w="2038" w:type="dxa"/>
            <w:gridSpan w:val="3"/>
            <w:tcBorders>
              <w:top w:val="single" w:color="auto" w:sz="4" w:space="0"/>
              <w:left w:val="single" w:color="auto" w:sz="4" w:space="0"/>
              <w:bottom w:val="single" w:color="auto" w:sz="4" w:space="0"/>
              <w:right w:val="single" w:color="auto" w:sz="4" w:space="0"/>
            </w:tcBorders>
            <w:noWrap w:val="0"/>
            <w:vAlign w:val="center"/>
          </w:tcPr>
          <w:p w14:paraId="7BCAE681">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大写：</w:t>
            </w:r>
          </w:p>
          <w:p w14:paraId="17EE68D7">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小写：</w:t>
            </w:r>
          </w:p>
        </w:tc>
      </w:tr>
      <w:tr w14:paraId="06929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3302" w:type="dxa"/>
            <w:vMerge w:val="continue"/>
            <w:tcBorders>
              <w:left w:val="single" w:color="auto" w:sz="4" w:space="0"/>
              <w:right w:val="single" w:color="auto" w:sz="4" w:space="0"/>
            </w:tcBorders>
            <w:noWrap w:val="0"/>
            <w:vAlign w:val="center"/>
          </w:tcPr>
          <w:p w14:paraId="07235B00">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927" w:type="dxa"/>
            <w:vMerge w:val="continue"/>
            <w:tcBorders>
              <w:left w:val="single" w:color="auto" w:sz="4" w:space="0"/>
              <w:right w:val="single" w:color="auto" w:sz="4" w:space="0"/>
            </w:tcBorders>
            <w:noWrap w:val="0"/>
            <w:vAlign w:val="center"/>
          </w:tcPr>
          <w:p w14:paraId="4ED813B8">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3363" w:type="dxa"/>
            <w:gridSpan w:val="3"/>
            <w:tcBorders>
              <w:top w:val="single" w:color="auto" w:sz="4" w:space="0"/>
              <w:left w:val="single" w:color="auto" w:sz="4" w:space="0"/>
              <w:right w:val="single" w:color="auto" w:sz="4" w:space="0"/>
            </w:tcBorders>
            <w:noWrap w:val="0"/>
            <w:vAlign w:val="center"/>
          </w:tcPr>
          <w:p w14:paraId="749C258A">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增值税（元）</w:t>
            </w:r>
          </w:p>
        </w:tc>
        <w:tc>
          <w:tcPr>
            <w:tcW w:w="2038" w:type="dxa"/>
            <w:gridSpan w:val="3"/>
            <w:tcBorders>
              <w:top w:val="single" w:color="auto" w:sz="4" w:space="0"/>
              <w:left w:val="single" w:color="auto" w:sz="4" w:space="0"/>
              <w:bottom w:val="single" w:color="auto" w:sz="4" w:space="0"/>
              <w:right w:val="single" w:color="auto" w:sz="4" w:space="0"/>
            </w:tcBorders>
            <w:noWrap w:val="0"/>
            <w:vAlign w:val="center"/>
          </w:tcPr>
          <w:p w14:paraId="349F2FC4">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大写：</w:t>
            </w:r>
          </w:p>
          <w:p w14:paraId="69A30FFB">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小写：</w:t>
            </w:r>
          </w:p>
        </w:tc>
      </w:tr>
      <w:tr w14:paraId="3A2E7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9"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5DA7A31D">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措施项目费用</w:t>
            </w:r>
          </w:p>
          <w:p w14:paraId="7C4D6E1C">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（不含安全生产措施费）（元）</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498B23CC">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大写：</w:t>
            </w:r>
          </w:p>
          <w:p w14:paraId="1735BB75">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小写：</w:t>
            </w:r>
          </w:p>
        </w:tc>
      </w:tr>
      <w:tr w14:paraId="466B6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556E17DC">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投标工期</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57450AE8">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2F021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20161299">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投标质量</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78654038">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7B3F1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24B59242">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投标有效期</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57139F6B">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35C0E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7B407E80">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缺陷责任期</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09B156BD">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45D29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67F81F57">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技术标准和要求</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5173EDB6">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0035F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6D95291A">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w:t>
            </w:r>
          </w:p>
        </w:tc>
        <w:tc>
          <w:tcPr>
            <w:tcW w:w="927" w:type="dxa"/>
            <w:tcBorders>
              <w:top w:val="single" w:color="auto" w:sz="4" w:space="0"/>
              <w:left w:val="single" w:color="auto" w:sz="4" w:space="0"/>
              <w:bottom w:val="single" w:color="auto" w:sz="4" w:space="0"/>
              <w:right w:val="single" w:color="auto" w:sz="4" w:space="0"/>
            </w:tcBorders>
            <w:noWrap w:val="0"/>
            <w:vAlign w:val="center"/>
          </w:tcPr>
          <w:p w14:paraId="0F4C3B23">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1190" w:type="dxa"/>
            <w:tcBorders>
              <w:top w:val="single" w:color="auto" w:sz="4" w:space="0"/>
              <w:left w:val="single" w:color="auto" w:sz="4" w:space="0"/>
              <w:bottom w:val="single" w:color="auto" w:sz="4" w:space="0"/>
              <w:right w:val="single" w:color="auto" w:sz="4" w:space="0"/>
            </w:tcBorders>
            <w:noWrap w:val="0"/>
            <w:vAlign w:val="center"/>
          </w:tcPr>
          <w:p w14:paraId="4A4557F8">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1060" w:type="dxa"/>
            <w:tcBorders>
              <w:top w:val="single" w:color="auto" w:sz="4" w:space="0"/>
              <w:left w:val="single" w:color="auto" w:sz="4" w:space="0"/>
              <w:bottom w:val="single" w:color="auto" w:sz="4" w:space="0"/>
              <w:right w:val="single" w:color="auto" w:sz="4" w:space="0"/>
            </w:tcBorders>
            <w:noWrap w:val="0"/>
            <w:vAlign w:val="center"/>
          </w:tcPr>
          <w:p w14:paraId="3E40003A">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级别</w:t>
            </w:r>
          </w:p>
        </w:tc>
        <w:tc>
          <w:tcPr>
            <w:tcW w:w="1176" w:type="dxa"/>
            <w:gridSpan w:val="2"/>
            <w:tcBorders>
              <w:top w:val="single" w:color="auto" w:sz="4" w:space="0"/>
              <w:left w:val="single" w:color="auto" w:sz="4" w:space="0"/>
              <w:bottom w:val="single" w:color="auto" w:sz="4" w:space="0"/>
              <w:right w:val="single" w:color="auto" w:sz="4" w:space="0"/>
            </w:tcBorders>
            <w:noWrap w:val="0"/>
            <w:vAlign w:val="center"/>
          </w:tcPr>
          <w:p w14:paraId="14E52D4C">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1274" w:type="dxa"/>
            <w:tcBorders>
              <w:top w:val="single" w:color="auto" w:sz="4" w:space="0"/>
              <w:left w:val="single" w:color="auto" w:sz="4" w:space="0"/>
              <w:bottom w:val="single" w:color="auto" w:sz="4" w:space="0"/>
              <w:right w:val="single" w:color="auto" w:sz="4" w:space="0"/>
            </w:tcBorders>
            <w:noWrap w:val="0"/>
            <w:vAlign w:val="center"/>
          </w:tcPr>
          <w:p w14:paraId="553D0E78">
            <w:pPr>
              <w:tabs>
                <w:tab w:val="left" w:pos="2340"/>
              </w:tabs>
              <w:spacing w:before="100" w:beforeAutospacing="1" w:after="100" w:afterAutospacing="1" w:line="360" w:lineRule="auto"/>
              <w:ind w:left="-90" w:leftChars="-43"/>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注册证号</w:t>
            </w:r>
          </w:p>
        </w:tc>
        <w:tc>
          <w:tcPr>
            <w:tcW w:w="701" w:type="dxa"/>
            <w:tcBorders>
              <w:top w:val="single" w:color="auto" w:sz="4" w:space="0"/>
              <w:left w:val="single" w:color="auto" w:sz="4" w:space="0"/>
              <w:bottom w:val="single" w:color="auto" w:sz="4" w:space="0"/>
              <w:right w:val="single" w:color="auto" w:sz="4" w:space="0"/>
            </w:tcBorders>
            <w:noWrap w:val="0"/>
            <w:vAlign w:val="center"/>
          </w:tcPr>
          <w:p w14:paraId="5E490BE5">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383C5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30623CAE">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150F789D">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bl>
    <w:p w14:paraId="086E9B0D">
      <w:pPr>
        <w:spacing w:line="360" w:lineRule="auto"/>
        <w:ind w:firstLine="480" w:firstLineChars="200"/>
        <w:jc w:val="right"/>
        <w:rPr>
          <w:rFonts w:hint="eastAsia" w:ascii="仿宋" w:hAnsi="仿宋" w:eastAsia="仿宋" w:cs="仿宋"/>
          <w:bCs/>
          <w:color w:val="auto"/>
          <w:sz w:val="24"/>
          <w:highlight w:val="none"/>
        </w:rPr>
      </w:pPr>
      <w:r>
        <w:rPr>
          <w:rFonts w:hint="eastAsia" w:ascii="仿宋" w:hAnsi="仿宋" w:eastAsia="仿宋" w:cs="仿宋"/>
          <w:color w:val="auto"/>
          <w:kern w:val="0"/>
          <w:sz w:val="24"/>
          <w:highlight w:val="none"/>
        </w:rPr>
        <w:t>投标人</w:t>
      </w:r>
      <w:r>
        <w:rPr>
          <w:rFonts w:hint="eastAsia" w:ascii="仿宋" w:hAnsi="仿宋" w:eastAsia="仿宋" w:cs="仿宋"/>
          <w:bCs/>
          <w:color w:val="auto"/>
          <w:sz w:val="24"/>
          <w:highlight w:val="none"/>
        </w:rPr>
        <w:t>：</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（单位电子签章）</w:t>
      </w:r>
    </w:p>
    <w:p w14:paraId="005AD633">
      <w:pPr>
        <w:spacing w:line="360" w:lineRule="auto"/>
        <w:ind w:firstLine="480" w:firstLineChars="200"/>
        <w:jc w:val="righ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法定代表人或其委托代理人：</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（签字或盖章）</w:t>
      </w:r>
    </w:p>
    <w:p w14:paraId="3195EB16">
      <w:pPr>
        <w:tabs>
          <w:tab w:val="left" w:pos="5380"/>
          <w:tab w:val="left" w:pos="6520"/>
          <w:tab w:val="left" w:pos="7680"/>
        </w:tabs>
        <w:autoSpaceDE w:val="0"/>
        <w:autoSpaceDN w:val="0"/>
        <w:adjustRightInd w:val="0"/>
        <w:spacing w:line="360" w:lineRule="auto"/>
        <w:ind w:right="-23" w:firstLine="480" w:firstLineChars="200"/>
        <w:jc w:val="right"/>
        <w:rPr>
          <w:rFonts w:hint="eastAsia" w:ascii="仿宋" w:hAnsi="仿宋" w:eastAsia="仿宋" w:cs="仿宋"/>
          <w:bCs/>
          <w:color w:val="auto"/>
          <w:kern w:val="0"/>
          <w:sz w:val="24"/>
          <w:highlight w:val="none"/>
        </w:rPr>
      </w:pPr>
      <w:r>
        <w:rPr>
          <w:rFonts w:hint="eastAsia" w:ascii="仿宋" w:hAnsi="仿宋" w:eastAsia="仿宋" w:cs="仿宋"/>
          <w:bCs/>
          <w:color w:val="auto"/>
          <w:kern w:val="0"/>
          <w:sz w:val="24"/>
          <w:highlight w:val="none"/>
          <w:u w:val="single"/>
        </w:rPr>
        <w:t xml:space="preserve">     </w:t>
      </w:r>
      <w:r>
        <w:rPr>
          <w:rFonts w:hint="eastAsia" w:ascii="仿宋" w:hAnsi="仿宋" w:eastAsia="仿宋" w:cs="仿宋"/>
          <w:bCs/>
          <w:color w:val="auto"/>
          <w:spacing w:val="43"/>
          <w:kern w:val="0"/>
          <w:sz w:val="24"/>
          <w:highlight w:val="none"/>
          <w:u w:val="single"/>
        </w:rPr>
        <w:t xml:space="preserve"> </w:t>
      </w:r>
      <w:r>
        <w:rPr>
          <w:rFonts w:hint="eastAsia" w:ascii="仿宋" w:hAnsi="仿宋" w:eastAsia="仿宋" w:cs="仿宋"/>
          <w:bCs/>
          <w:color w:val="auto"/>
          <w:kern w:val="0"/>
          <w:sz w:val="24"/>
          <w:highlight w:val="none"/>
        </w:rPr>
        <w:t>年</w:t>
      </w:r>
      <w:r>
        <w:rPr>
          <w:rFonts w:hint="eastAsia" w:ascii="仿宋" w:hAnsi="仿宋" w:eastAsia="仿宋" w:cs="仿宋"/>
          <w:bCs/>
          <w:color w:val="auto"/>
          <w:kern w:val="0"/>
          <w:sz w:val="24"/>
          <w:highlight w:val="none"/>
          <w:u w:val="single"/>
        </w:rPr>
        <w:t xml:space="preserve">       </w:t>
      </w:r>
      <w:r>
        <w:rPr>
          <w:rFonts w:hint="eastAsia" w:ascii="仿宋" w:hAnsi="仿宋" w:eastAsia="仿宋" w:cs="仿宋"/>
          <w:bCs/>
          <w:color w:val="auto"/>
          <w:kern w:val="0"/>
          <w:sz w:val="24"/>
          <w:highlight w:val="none"/>
        </w:rPr>
        <w:t>月</w:t>
      </w:r>
      <w:r>
        <w:rPr>
          <w:rFonts w:hint="eastAsia" w:ascii="仿宋" w:hAnsi="仿宋" w:eastAsia="仿宋" w:cs="仿宋"/>
          <w:bCs/>
          <w:color w:val="auto"/>
          <w:kern w:val="0"/>
          <w:sz w:val="24"/>
          <w:highlight w:val="none"/>
          <w:u w:val="single"/>
        </w:rPr>
        <w:t xml:space="preserve">      </w:t>
      </w:r>
      <w:r>
        <w:rPr>
          <w:rFonts w:hint="eastAsia" w:ascii="仿宋" w:hAnsi="仿宋" w:eastAsia="仿宋" w:cs="仿宋"/>
          <w:bCs/>
          <w:color w:val="auto"/>
          <w:kern w:val="0"/>
          <w:sz w:val="24"/>
          <w:highlight w:val="none"/>
        </w:rPr>
        <w:t>日</w:t>
      </w:r>
    </w:p>
    <w:p w14:paraId="5A3CA210">
      <w:pPr>
        <w:spacing w:before="240" w:beforeLines="100" w:line="360" w:lineRule="auto"/>
        <w:ind w:left="420"/>
        <w:jc w:val="center"/>
        <w:outlineLvl w:val="1"/>
        <w:rPr>
          <w:rFonts w:hint="eastAsia" w:ascii="仿宋" w:hAnsi="仿宋" w:eastAsia="仿宋" w:cs="仿宋"/>
          <w:b/>
          <w:bCs/>
          <w:color w:val="auto"/>
          <w:sz w:val="24"/>
          <w:highlight w:val="none"/>
        </w:rPr>
      </w:pPr>
      <w:bookmarkStart w:id="1750" w:name="_Toc7956"/>
      <w:bookmarkStart w:id="1751" w:name="_Toc12692"/>
      <w:bookmarkStart w:id="1752" w:name="_Toc14364"/>
      <w:bookmarkStart w:id="1753" w:name="_Toc7930"/>
      <w:bookmarkStart w:id="1754" w:name="_Toc7747"/>
      <w:bookmarkStart w:id="1755" w:name="_Toc31232"/>
      <w:bookmarkStart w:id="1756" w:name="_Toc18769"/>
      <w:bookmarkStart w:id="1757" w:name="_Toc26497"/>
      <w:bookmarkStart w:id="1758" w:name="_Toc10170"/>
      <w:bookmarkStart w:id="1759" w:name="_Toc29604"/>
      <w:bookmarkStart w:id="1760" w:name="_Toc28654"/>
      <w:bookmarkStart w:id="1761" w:name="_Toc26539"/>
      <w:bookmarkStart w:id="1762" w:name="_Toc27486"/>
      <w:bookmarkStart w:id="1763" w:name="_Toc24719"/>
      <w:bookmarkStart w:id="1764" w:name="_Toc36"/>
      <w:bookmarkStart w:id="1765" w:name="_Toc25203"/>
      <w:bookmarkStart w:id="1766" w:name="_Toc5822"/>
      <w:bookmarkStart w:id="1767" w:name="_Toc1102"/>
      <w:bookmarkStart w:id="1768" w:name="_Toc22326"/>
      <w:bookmarkStart w:id="1769" w:name="_Toc15352"/>
      <w:bookmarkStart w:id="1770" w:name="_Toc22232"/>
      <w:bookmarkStart w:id="1771" w:name="_Toc29229"/>
      <w:r>
        <w:rPr>
          <w:rFonts w:hint="eastAsia" w:ascii="仿宋" w:hAnsi="仿宋" w:eastAsia="仿宋" w:cs="仿宋"/>
          <w:b/>
          <w:bCs/>
          <w:color w:val="auto"/>
          <w:sz w:val="24"/>
          <w:highlight w:val="none"/>
        </w:rPr>
        <w:br w:type="page"/>
      </w:r>
    </w:p>
    <w:p w14:paraId="32849E4B">
      <w:pPr>
        <w:spacing w:before="240" w:beforeLines="100" w:line="360" w:lineRule="auto"/>
        <w:ind w:left="420"/>
        <w:jc w:val="center"/>
        <w:outlineLvl w:val="1"/>
        <w:rPr>
          <w:rFonts w:hint="eastAsia" w:ascii="仿宋" w:hAnsi="仿宋" w:eastAsia="仿宋" w:cs="仿宋"/>
          <w:b/>
          <w:bCs/>
          <w:color w:val="auto"/>
          <w:sz w:val="24"/>
          <w:highlight w:val="none"/>
        </w:rPr>
      </w:pPr>
      <w:bookmarkStart w:id="1772" w:name="_Toc1344"/>
      <w:r>
        <w:rPr>
          <w:rFonts w:hint="eastAsia" w:ascii="仿宋" w:hAnsi="仿宋" w:eastAsia="仿宋" w:cs="仿宋"/>
          <w:b/>
          <w:bCs/>
          <w:color w:val="auto"/>
          <w:sz w:val="24"/>
          <w:highlight w:val="none"/>
        </w:rPr>
        <w:t>二、法定代表人身份证明</w:t>
      </w:r>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p>
    <w:p w14:paraId="2337A277">
      <w:pPr>
        <w:pStyle w:val="65"/>
        <w:spacing w:line="360" w:lineRule="auto"/>
        <w:ind w:firstLine="480"/>
        <w:rPr>
          <w:rFonts w:hint="eastAsia" w:ascii="仿宋" w:hAnsi="仿宋" w:eastAsia="仿宋" w:cs="仿宋"/>
          <w:color w:val="auto"/>
          <w:highlight w:val="none"/>
        </w:rPr>
      </w:pPr>
    </w:p>
    <w:p w14:paraId="58A2F8CE">
      <w:pPr>
        <w:spacing w:line="360" w:lineRule="auto"/>
        <w:rPr>
          <w:rFonts w:hint="eastAsia" w:ascii="仿宋" w:hAnsi="仿宋" w:eastAsia="仿宋" w:cs="仿宋"/>
          <w:color w:val="auto"/>
          <w:sz w:val="24"/>
          <w:highlight w:val="none"/>
        </w:rPr>
      </w:pPr>
      <w:bookmarkStart w:id="1773" w:name="_Toc5749"/>
      <w:bookmarkStart w:id="1774" w:name="_Toc29633"/>
      <w:bookmarkStart w:id="1775" w:name="_Toc1651"/>
      <w:bookmarkStart w:id="1776" w:name="_Toc29054"/>
      <w:bookmarkStart w:id="1777" w:name="_Toc25509"/>
      <w:bookmarkStart w:id="1778" w:name="_Toc21616"/>
      <w:bookmarkStart w:id="1779" w:name="_Toc31641"/>
      <w:r>
        <w:rPr>
          <w:rFonts w:hint="eastAsia" w:ascii="仿宋" w:hAnsi="仿宋" w:eastAsia="仿宋" w:cs="仿宋"/>
          <w:color w:val="auto"/>
          <w:sz w:val="24"/>
          <w:highlight w:val="none"/>
        </w:rPr>
        <w:t>投标人名称：</w:t>
      </w:r>
      <w:r>
        <w:rPr>
          <w:rFonts w:hint="eastAsia" w:ascii="仿宋" w:hAnsi="仿宋" w:eastAsia="仿宋" w:cs="仿宋"/>
          <w:color w:val="auto"/>
          <w:sz w:val="24"/>
          <w:highlight w:val="none"/>
          <w:u w:val="single"/>
        </w:rPr>
        <w:t xml:space="preserve">                        </w:t>
      </w:r>
    </w:p>
    <w:p w14:paraId="11A9B06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性别：</w:t>
      </w:r>
      <w:bookmarkStart w:id="1780" w:name="_Toc352691662"/>
      <w:bookmarkStart w:id="1781" w:name="_Toc27897"/>
      <w:bookmarkStart w:id="1782" w:name="_Toc369531698"/>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bookmarkEnd w:id="1780"/>
      <w:bookmarkEnd w:id="1781"/>
      <w:bookmarkEnd w:id="1782"/>
      <w:r>
        <w:rPr>
          <w:rFonts w:hint="eastAsia" w:ascii="仿宋" w:hAnsi="仿宋" w:eastAsia="仿宋" w:cs="仿宋"/>
          <w:color w:val="auto"/>
          <w:sz w:val="24"/>
          <w:highlight w:val="none"/>
        </w:rPr>
        <w:t>龄</w:t>
      </w:r>
      <w:bookmarkStart w:id="1783" w:name="_Toc384308377"/>
      <w:bookmarkStart w:id="1784" w:name="_Toc247527829"/>
      <w:bookmarkStart w:id="1785" w:name="_Toc152042578"/>
      <w:bookmarkStart w:id="1786" w:name="_Toc352691663"/>
      <w:bookmarkStart w:id="1787" w:name="_Toc247514248"/>
      <w:bookmarkStart w:id="1788" w:name="_Toc152045789"/>
      <w:bookmarkStart w:id="1789" w:name="_Toc144974858"/>
      <w:bookmarkStart w:id="1790" w:name="_Toc361508754"/>
      <w:bookmarkStart w:id="1791" w:name="_Toc369531699"/>
      <w:bookmarkStart w:id="1792" w:name="_Toc15573"/>
      <w:bookmarkStart w:id="1793" w:name="_Toc300835211"/>
      <w:r>
        <w:rPr>
          <w:rFonts w:hint="eastAsia" w:ascii="仿宋" w:hAnsi="仿宋" w:eastAsia="仿宋" w:cs="仿宋"/>
          <w:color w:val="auto"/>
          <w:sz w:val="24"/>
          <w:highlight w:val="none"/>
        </w:rPr>
        <w:t>：</w:t>
      </w:r>
      <w:bookmarkEnd w:id="1783"/>
      <w:bookmarkEnd w:id="1784"/>
      <w:bookmarkEnd w:id="1785"/>
      <w:bookmarkEnd w:id="1786"/>
      <w:bookmarkEnd w:id="1787"/>
      <w:bookmarkEnd w:id="1788"/>
      <w:bookmarkEnd w:id="1789"/>
      <w:bookmarkEnd w:id="1790"/>
      <w:bookmarkEnd w:id="1791"/>
      <w:bookmarkEnd w:id="1792"/>
      <w:bookmarkEnd w:id="1793"/>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职务：</w:t>
      </w:r>
      <w:r>
        <w:rPr>
          <w:rFonts w:hint="eastAsia" w:ascii="仿宋" w:hAnsi="仿宋" w:eastAsia="仿宋" w:cs="仿宋"/>
          <w:color w:val="auto"/>
          <w:sz w:val="24"/>
          <w:highlight w:val="none"/>
          <w:u w:val="single"/>
        </w:rPr>
        <w:t xml:space="preserve">        </w:t>
      </w:r>
    </w:p>
    <w:p w14:paraId="4477CCC5">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（投标人名称）的法定代表人。</w:t>
      </w:r>
    </w:p>
    <w:p w14:paraId="280DF3D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特此证明。</w:t>
      </w:r>
    </w:p>
    <w:p w14:paraId="17FAB7B5">
      <w:pPr>
        <w:spacing w:line="360" w:lineRule="auto"/>
        <w:ind w:firstLine="480" w:firstLineChars="200"/>
        <w:rPr>
          <w:rFonts w:hint="eastAsia" w:ascii="仿宋" w:hAnsi="仿宋" w:eastAsia="仿宋" w:cs="仿宋"/>
          <w:color w:val="auto"/>
          <w:sz w:val="24"/>
          <w:highlight w:val="none"/>
        </w:rPr>
      </w:pPr>
    </w:p>
    <w:p w14:paraId="7B860672">
      <w:pPr>
        <w:widowControl/>
        <w:adjustRightInd w:val="0"/>
        <w:spacing w:line="360" w:lineRule="auto"/>
        <w:ind w:firstLine="1084" w:firstLineChars="450"/>
        <w:jc w:val="left"/>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rPr>
        <w:t>附：法定代表人</w:t>
      </w:r>
      <w:r>
        <w:rPr>
          <w:rFonts w:hint="eastAsia" w:ascii="仿宋" w:hAnsi="仿宋" w:eastAsia="仿宋" w:cs="仿宋"/>
          <w:b/>
          <w:color w:val="auto"/>
          <w:sz w:val="24"/>
          <w:highlight w:val="none"/>
          <w:lang w:val="en-US" w:eastAsia="zh-CN"/>
        </w:rPr>
        <w:t>有效</w:t>
      </w:r>
      <w:r>
        <w:rPr>
          <w:rFonts w:hint="eastAsia" w:ascii="仿宋" w:hAnsi="仿宋" w:eastAsia="仿宋" w:cs="仿宋"/>
          <w:b/>
          <w:color w:val="auto"/>
          <w:sz w:val="24"/>
          <w:highlight w:val="none"/>
        </w:rPr>
        <w:t>身份证</w:t>
      </w:r>
      <w:r>
        <w:rPr>
          <w:rFonts w:hint="eastAsia" w:ascii="仿宋" w:hAnsi="仿宋" w:eastAsia="仿宋" w:cs="仿宋"/>
          <w:b/>
          <w:bCs/>
          <w:color w:val="auto"/>
          <w:sz w:val="24"/>
          <w:highlight w:val="none"/>
        </w:rPr>
        <w:t>复印件或扫描件</w:t>
      </w:r>
      <w:r>
        <w:rPr>
          <w:rFonts w:hint="eastAsia" w:ascii="仿宋" w:hAnsi="仿宋" w:eastAsia="仿宋" w:cs="仿宋"/>
          <w:b/>
          <w:bCs/>
          <w:color w:val="auto"/>
          <w:sz w:val="24"/>
          <w:highlight w:val="none"/>
          <w:lang w:eastAsia="zh-CN"/>
        </w:rPr>
        <w:t>。</w:t>
      </w:r>
    </w:p>
    <w:p w14:paraId="1ACF91D0">
      <w:pPr>
        <w:spacing w:line="360" w:lineRule="auto"/>
        <w:ind w:firstLine="480" w:firstLineChars="200"/>
        <w:rPr>
          <w:rFonts w:hint="eastAsia" w:ascii="仿宋" w:hAnsi="仿宋" w:eastAsia="仿宋" w:cs="仿宋"/>
          <w:color w:val="auto"/>
          <w:sz w:val="24"/>
          <w:highlight w:val="none"/>
        </w:rPr>
      </w:pPr>
    </w:p>
    <w:p w14:paraId="1D14B25F">
      <w:pPr>
        <w:spacing w:line="360" w:lineRule="auto"/>
        <w:ind w:firstLine="480" w:firstLineChars="200"/>
        <w:rPr>
          <w:rFonts w:hint="eastAsia" w:ascii="仿宋" w:hAnsi="仿宋" w:eastAsia="仿宋" w:cs="仿宋"/>
          <w:color w:val="auto"/>
          <w:sz w:val="24"/>
          <w:highlight w:val="none"/>
        </w:rPr>
      </w:pPr>
    </w:p>
    <w:p w14:paraId="0B27AFA1">
      <w:pPr>
        <w:spacing w:line="360" w:lineRule="auto"/>
        <w:ind w:firstLine="4800" w:firstLineChars="20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（盖单位章）</w:t>
      </w:r>
    </w:p>
    <w:p w14:paraId="695254A7">
      <w:pPr>
        <w:spacing w:line="360" w:lineRule="auto"/>
        <w:ind w:firstLine="5160" w:firstLineChars="2150"/>
        <w:rPr>
          <w:rFonts w:hint="eastAsia" w:ascii="仿宋" w:hAnsi="仿宋" w:eastAsia="仿宋" w:cs="仿宋"/>
          <w:color w:val="auto"/>
          <w:sz w:val="24"/>
          <w:highlight w:val="none"/>
          <w:u w:val="single"/>
        </w:rPr>
      </w:pPr>
    </w:p>
    <w:p w14:paraId="077FD937">
      <w:pPr>
        <w:spacing w:line="360" w:lineRule="auto"/>
        <w:ind w:firstLine="5160" w:firstLineChars="215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74D931C4">
      <w:pPr>
        <w:tabs>
          <w:tab w:val="left" w:pos="0"/>
        </w:tabs>
        <w:spacing w:line="360" w:lineRule="auto"/>
        <w:ind w:left="420"/>
        <w:jc w:val="center"/>
        <w:outlineLvl w:val="1"/>
        <w:rPr>
          <w:b/>
          <w:bCs/>
          <w:color w:val="auto"/>
          <w:sz w:val="28"/>
          <w:szCs w:val="28"/>
          <w:highlight w:val="none"/>
        </w:rPr>
      </w:pPr>
      <w:r>
        <w:rPr>
          <w:color w:val="auto"/>
          <w:szCs w:val="21"/>
          <w:highlight w:val="none"/>
        </w:rPr>
        <w:br w:type="page"/>
      </w:r>
      <w:bookmarkStart w:id="1794" w:name="_Toc8782"/>
      <w:bookmarkStart w:id="1795" w:name="_Toc26456"/>
      <w:bookmarkStart w:id="1796" w:name="_Toc20351"/>
      <w:bookmarkStart w:id="1797" w:name="_Toc15941"/>
      <w:bookmarkStart w:id="1798" w:name="_Toc20155"/>
      <w:bookmarkStart w:id="1799" w:name="_Toc4886"/>
      <w:bookmarkStart w:id="1800" w:name="_Toc5420"/>
      <w:bookmarkStart w:id="1801" w:name="_Toc22505"/>
      <w:bookmarkStart w:id="1802" w:name="_Toc19359"/>
      <w:bookmarkStart w:id="1803" w:name="_Toc9639"/>
      <w:bookmarkStart w:id="1804" w:name="_Toc16961"/>
      <w:bookmarkStart w:id="1805" w:name="_Toc4178"/>
      <w:bookmarkStart w:id="1806" w:name="_Toc2364"/>
      <w:bookmarkStart w:id="1807" w:name="_Toc10119"/>
      <w:bookmarkStart w:id="1808" w:name="_Toc15827"/>
      <w:bookmarkStart w:id="1809" w:name="_Toc19163"/>
      <w:r>
        <w:rPr>
          <w:rFonts w:hint="eastAsia" w:ascii="仿宋" w:hAnsi="仿宋" w:eastAsia="仿宋" w:cs="仿宋"/>
          <w:b/>
          <w:bCs/>
          <w:color w:val="auto"/>
          <w:sz w:val="28"/>
          <w:szCs w:val="28"/>
          <w:highlight w:val="none"/>
        </w:rPr>
        <w:t>二、授权委托书</w:t>
      </w:r>
      <w:bookmarkEnd w:id="1773"/>
      <w:bookmarkEnd w:id="1774"/>
      <w:bookmarkEnd w:id="1775"/>
      <w:bookmarkEnd w:id="1776"/>
      <w:bookmarkEnd w:id="1777"/>
      <w:bookmarkEnd w:id="1778"/>
      <w:bookmarkEnd w:id="1779"/>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p>
    <w:p w14:paraId="4C2962B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（姓名）系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（投标人名称）的法定代表人，现委托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（姓名）为我方代理人。代理人根据授权，以我方名义签署、澄清、说明、补正、递交、撤回、修改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标段施工投标文件、签订合同和处理有关事宜，其法律后果由我方承担。</w:t>
      </w:r>
    </w:p>
    <w:p w14:paraId="39535732">
      <w:pPr>
        <w:spacing w:before="120" w:beforeLines="50" w:line="360" w:lineRule="auto"/>
        <w:ind w:firstLine="480" w:firstLineChars="200"/>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委托期限： </w:t>
      </w:r>
      <w:r>
        <w:rPr>
          <w:rFonts w:hint="eastAsia" w:ascii="仿宋" w:hAnsi="仿宋" w:eastAsia="仿宋" w:cs="仿宋"/>
          <w:b/>
          <w:bCs/>
          <w:color w:val="auto"/>
          <w:sz w:val="24"/>
          <w:highlight w:val="none"/>
          <w:u w:val="single"/>
        </w:rPr>
        <w:t xml:space="preserve">                     </w:t>
      </w:r>
    </w:p>
    <w:p w14:paraId="3773A2FD">
      <w:pPr>
        <w:spacing w:before="240" w:beforeLines="100" w:after="240" w:afterLines="10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代理人无转委托权。</w:t>
      </w:r>
    </w:p>
    <w:p w14:paraId="6D773235">
      <w:pPr>
        <w:spacing w:after="240" w:afterLines="100" w:line="360" w:lineRule="auto"/>
        <w:ind w:firstLine="482" w:firstLineChars="200"/>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附：法定代表人及委托代理人有效身份证复印件或扫描件</w:t>
      </w:r>
      <w:r>
        <w:rPr>
          <w:rFonts w:hint="eastAsia" w:ascii="仿宋" w:hAnsi="仿宋" w:eastAsia="仿宋" w:cs="仿宋"/>
          <w:b/>
          <w:bCs/>
          <w:color w:val="auto"/>
          <w:sz w:val="24"/>
          <w:highlight w:val="none"/>
          <w:lang w:eastAsia="zh-CN"/>
        </w:rPr>
        <w:t>。</w:t>
      </w:r>
    </w:p>
    <w:p w14:paraId="2C229208">
      <w:pPr>
        <w:spacing w:after="240" w:afterLines="100" w:line="360" w:lineRule="auto"/>
        <w:ind w:firstLine="480" w:firstLineChars="200"/>
        <w:rPr>
          <w:rFonts w:hint="eastAsia" w:ascii="仿宋" w:hAnsi="仿宋" w:eastAsia="仿宋" w:cs="仿宋"/>
          <w:color w:val="auto"/>
          <w:sz w:val="24"/>
          <w:highlight w:val="none"/>
        </w:rPr>
      </w:pPr>
    </w:p>
    <w:p w14:paraId="3776F2D5">
      <w:pPr>
        <w:spacing w:line="360" w:lineRule="auto"/>
        <w:rPr>
          <w:rFonts w:hint="eastAsia" w:ascii="仿宋" w:hAnsi="仿宋" w:eastAsia="仿宋" w:cs="仿宋"/>
          <w:color w:val="auto"/>
          <w:sz w:val="24"/>
          <w:highlight w:val="none"/>
        </w:rPr>
      </w:pPr>
    </w:p>
    <w:p w14:paraId="3771E68C">
      <w:pPr>
        <w:spacing w:line="360" w:lineRule="auto"/>
        <w:ind w:firstLine="4080" w:firstLineChars="17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（盖单位章）</w:t>
      </w:r>
    </w:p>
    <w:p w14:paraId="055EFDFA">
      <w:pPr>
        <w:spacing w:line="360" w:lineRule="auto"/>
        <w:ind w:firstLine="4080" w:firstLineChars="1700"/>
        <w:rPr>
          <w:rFonts w:hint="eastAsia" w:ascii="仿宋" w:hAnsi="仿宋" w:eastAsia="仿宋" w:cs="仿宋"/>
          <w:color w:val="auto"/>
          <w:sz w:val="24"/>
          <w:highlight w:val="none"/>
        </w:rPr>
      </w:pPr>
    </w:p>
    <w:p w14:paraId="531A6B67">
      <w:pPr>
        <w:spacing w:line="360" w:lineRule="auto"/>
        <w:ind w:firstLine="4080" w:firstLineChars="17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kern w:val="0"/>
          <w:position w:val="-2"/>
          <w:sz w:val="24"/>
          <w:highlight w:val="none"/>
        </w:rPr>
        <w:t>签字或盖章</w:t>
      </w:r>
      <w:r>
        <w:rPr>
          <w:rFonts w:hint="eastAsia" w:ascii="仿宋" w:hAnsi="仿宋" w:eastAsia="仿宋" w:cs="仿宋"/>
          <w:color w:val="auto"/>
          <w:sz w:val="24"/>
          <w:highlight w:val="none"/>
        </w:rPr>
        <w:t>）</w:t>
      </w:r>
    </w:p>
    <w:p w14:paraId="0BCA62B8">
      <w:pPr>
        <w:spacing w:line="360" w:lineRule="auto"/>
        <w:ind w:firstLine="4080" w:firstLineChars="1700"/>
        <w:rPr>
          <w:rFonts w:hint="eastAsia" w:ascii="仿宋" w:hAnsi="仿宋" w:eastAsia="仿宋" w:cs="仿宋"/>
          <w:color w:val="auto"/>
          <w:sz w:val="24"/>
          <w:highlight w:val="none"/>
        </w:rPr>
      </w:pPr>
    </w:p>
    <w:p w14:paraId="7C150495">
      <w:pPr>
        <w:spacing w:line="360" w:lineRule="auto"/>
        <w:ind w:firstLine="4080" w:firstLineChars="17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en-US" w:eastAsia="zh-CN"/>
        </w:rPr>
        <w:t>委托代理人</w:t>
      </w:r>
      <w:r>
        <w:rPr>
          <w:rFonts w:hint="eastAsia" w:ascii="仿宋" w:hAnsi="仿宋" w:eastAsia="仿宋" w:cs="仿宋"/>
          <w:color w:val="auto"/>
          <w:sz w:val="24"/>
          <w:highlight w:val="none"/>
        </w:rPr>
        <w:t>身份证号码：</w:t>
      </w:r>
      <w:r>
        <w:rPr>
          <w:rFonts w:hint="eastAsia" w:ascii="仿宋" w:hAnsi="仿宋" w:eastAsia="仿宋" w:cs="仿宋"/>
          <w:color w:val="auto"/>
          <w:sz w:val="24"/>
          <w:highlight w:val="none"/>
          <w:u w:val="single"/>
        </w:rPr>
        <w:t xml:space="preserve">                                   </w:t>
      </w:r>
    </w:p>
    <w:p w14:paraId="3FC4D368">
      <w:pPr>
        <w:spacing w:line="360" w:lineRule="auto"/>
        <w:rPr>
          <w:rFonts w:hint="eastAsia" w:ascii="仿宋" w:hAnsi="仿宋" w:eastAsia="仿宋" w:cs="仿宋"/>
          <w:color w:val="auto"/>
          <w:sz w:val="24"/>
          <w:highlight w:val="none"/>
        </w:rPr>
      </w:pPr>
    </w:p>
    <w:p w14:paraId="1FE86A10">
      <w:pPr>
        <w:spacing w:line="360" w:lineRule="auto"/>
        <w:ind w:firstLine="5520" w:firstLineChars="23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8A7B841">
      <w:pPr>
        <w:tabs>
          <w:tab w:val="left" w:pos="4520"/>
          <w:tab w:val="left" w:pos="5480"/>
          <w:tab w:val="left" w:pos="6420"/>
        </w:tabs>
        <w:autoSpaceDE w:val="0"/>
        <w:autoSpaceDN w:val="0"/>
        <w:adjustRightInd w:val="0"/>
        <w:spacing w:line="360" w:lineRule="auto"/>
        <w:rPr>
          <w:rFonts w:hint="eastAsia" w:ascii="仿宋" w:hAnsi="仿宋" w:eastAsia="仿宋" w:cs="仿宋"/>
          <w:color w:val="auto"/>
          <w:kern w:val="0"/>
          <w:sz w:val="24"/>
          <w:highlight w:val="none"/>
        </w:rPr>
      </w:pPr>
    </w:p>
    <w:p w14:paraId="36BCEE43">
      <w:pPr>
        <w:tabs>
          <w:tab w:val="left" w:pos="4520"/>
          <w:tab w:val="left" w:pos="5480"/>
          <w:tab w:val="left" w:pos="6420"/>
        </w:tabs>
        <w:autoSpaceDE w:val="0"/>
        <w:autoSpaceDN w:val="0"/>
        <w:adjustRightInd w:val="0"/>
        <w:spacing w:line="360" w:lineRule="auto"/>
        <w:ind w:firstLine="480" w:firstLineChars="200"/>
        <w:rPr>
          <w:rFonts w:hint="eastAsia" w:ascii="仿宋" w:hAnsi="仿宋" w:eastAsia="仿宋" w:cs="仿宋"/>
          <w:color w:val="auto"/>
          <w:kern w:val="0"/>
          <w:sz w:val="24"/>
          <w:highlight w:val="none"/>
        </w:rPr>
      </w:pPr>
    </w:p>
    <w:p w14:paraId="4E2A5097">
      <w:pPr>
        <w:tabs>
          <w:tab w:val="left" w:pos="4520"/>
          <w:tab w:val="left" w:pos="5480"/>
          <w:tab w:val="left" w:pos="6420"/>
        </w:tabs>
        <w:autoSpaceDE w:val="0"/>
        <w:autoSpaceDN w:val="0"/>
        <w:adjustRightInd w:val="0"/>
        <w:spacing w:line="360" w:lineRule="auto"/>
        <w:ind w:firstLine="420" w:firstLineChars="200"/>
        <w:rPr>
          <w:color w:val="auto"/>
          <w:kern w:val="0"/>
          <w:szCs w:val="21"/>
          <w:highlight w:val="none"/>
        </w:rPr>
      </w:pPr>
    </w:p>
    <w:p w14:paraId="7E40B3AC">
      <w:pPr>
        <w:tabs>
          <w:tab w:val="left" w:pos="4520"/>
          <w:tab w:val="left" w:pos="5480"/>
          <w:tab w:val="left" w:pos="6420"/>
        </w:tabs>
        <w:autoSpaceDE w:val="0"/>
        <w:autoSpaceDN w:val="0"/>
        <w:adjustRightInd w:val="0"/>
        <w:spacing w:line="360" w:lineRule="auto"/>
        <w:ind w:firstLine="420" w:firstLineChars="200"/>
        <w:rPr>
          <w:color w:val="auto"/>
          <w:kern w:val="0"/>
          <w:szCs w:val="21"/>
          <w:highlight w:val="none"/>
        </w:rPr>
      </w:pPr>
    </w:p>
    <w:p w14:paraId="2A5BAEB1">
      <w:pPr>
        <w:tabs>
          <w:tab w:val="left" w:pos="4520"/>
          <w:tab w:val="left" w:pos="5480"/>
          <w:tab w:val="left" w:pos="6420"/>
        </w:tabs>
        <w:autoSpaceDE w:val="0"/>
        <w:autoSpaceDN w:val="0"/>
        <w:adjustRightInd w:val="0"/>
        <w:spacing w:line="360" w:lineRule="auto"/>
        <w:ind w:firstLine="420" w:firstLineChars="200"/>
        <w:rPr>
          <w:color w:val="auto"/>
          <w:kern w:val="0"/>
          <w:szCs w:val="21"/>
          <w:highlight w:val="none"/>
        </w:rPr>
        <w:sectPr>
          <w:pgSz w:w="11906" w:h="16838"/>
          <w:pgMar w:top="1417" w:right="1417" w:bottom="1417" w:left="1417" w:header="777" w:footer="641" w:gutter="0"/>
          <w:pgNumType w:fmt="decimal"/>
          <w:cols w:space="720" w:num="1"/>
        </w:sectPr>
      </w:pPr>
    </w:p>
    <w:p w14:paraId="40E76200">
      <w:pPr>
        <w:spacing w:line="360" w:lineRule="auto"/>
        <w:jc w:val="center"/>
        <w:outlineLvl w:val="1"/>
        <w:rPr>
          <w:rFonts w:hint="eastAsia" w:ascii="仿宋" w:hAnsi="仿宋" w:eastAsia="仿宋" w:cs="仿宋"/>
          <w:b/>
          <w:bCs/>
          <w:color w:val="auto"/>
          <w:sz w:val="28"/>
          <w:szCs w:val="28"/>
          <w:highlight w:val="none"/>
        </w:rPr>
      </w:pPr>
      <w:bookmarkStart w:id="1810" w:name="_Toc31115"/>
      <w:bookmarkStart w:id="1811" w:name="_Toc3114"/>
      <w:bookmarkStart w:id="1812" w:name="_Toc848"/>
      <w:bookmarkStart w:id="1813" w:name="_Toc6401"/>
      <w:bookmarkStart w:id="1814" w:name="_Toc30093"/>
      <w:bookmarkStart w:id="1815" w:name="_Toc13888"/>
      <w:bookmarkStart w:id="1816" w:name="_Toc329"/>
      <w:bookmarkStart w:id="1817" w:name="_Toc7658"/>
      <w:bookmarkStart w:id="1818" w:name="_Toc22416"/>
      <w:bookmarkStart w:id="1819" w:name="_Toc23744"/>
      <w:bookmarkStart w:id="1820" w:name="_Toc2473"/>
      <w:bookmarkStart w:id="1821" w:name="_Toc5527"/>
      <w:bookmarkStart w:id="1822" w:name="_Toc1627"/>
      <w:bookmarkStart w:id="1823" w:name="_Toc15522"/>
      <w:bookmarkStart w:id="1824" w:name="_Toc15901"/>
      <w:bookmarkStart w:id="1825" w:name="_Toc9694"/>
      <w:bookmarkStart w:id="1826" w:name="_Toc6887"/>
      <w:bookmarkStart w:id="1827" w:name="_Toc6303"/>
      <w:bookmarkStart w:id="1828" w:name="_Toc5547"/>
      <w:bookmarkStart w:id="1829" w:name="_Toc664"/>
      <w:bookmarkStart w:id="1830" w:name="_Toc31694"/>
      <w:bookmarkStart w:id="1831" w:name="_Toc9052"/>
      <w:bookmarkStart w:id="1832" w:name="_Toc1526"/>
      <w:r>
        <w:rPr>
          <w:rFonts w:hint="eastAsia" w:ascii="仿宋" w:hAnsi="仿宋" w:eastAsia="仿宋" w:cs="仿宋"/>
          <w:b/>
          <w:bCs/>
          <w:color w:val="auto"/>
          <w:sz w:val="28"/>
          <w:szCs w:val="28"/>
          <w:highlight w:val="none"/>
        </w:rPr>
        <w:t>三、投标保证金</w:t>
      </w:r>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p>
    <w:p w14:paraId="3809A737">
      <w:pPr>
        <w:rPr>
          <w:rFonts w:hint="eastAsia" w:ascii="仿宋" w:hAnsi="仿宋" w:eastAsia="仿宋" w:cs="仿宋"/>
          <w:color w:val="auto"/>
          <w:sz w:val="24"/>
          <w:highlight w:val="none"/>
        </w:rPr>
      </w:pPr>
      <w:r>
        <w:rPr>
          <w:rFonts w:hint="eastAsia" w:ascii="仿宋" w:hAnsi="仿宋" w:eastAsia="仿宋" w:cs="仿宋"/>
          <w:color w:val="auto"/>
          <w:sz w:val="24"/>
          <w:highlight w:val="none"/>
        </w:rPr>
        <w:t>按投标须知前附表3.4.1项规定提交。附投标保证金转账凭证及基本户开户许可证或开户银行出具的基本存款账户信息扫描件或保函证明材料。</w:t>
      </w:r>
    </w:p>
    <w:p w14:paraId="03448CC9">
      <w:pPr>
        <w:autoSpaceDE w:val="0"/>
        <w:autoSpaceDN w:val="0"/>
        <w:adjustRightInd w:val="0"/>
        <w:spacing w:line="360" w:lineRule="auto"/>
        <w:ind w:firstLine="480" w:firstLineChars="200"/>
        <w:rPr>
          <w:rFonts w:hint="eastAsia" w:ascii="仿宋" w:hAnsi="仿宋" w:eastAsia="仿宋" w:cs="仿宋"/>
          <w:color w:val="auto"/>
          <w:kern w:val="0"/>
          <w:sz w:val="24"/>
          <w:highlight w:val="none"/>
        </w:rPr>
      </w:pPr>
    </w:p>
    <w:p w14:paraId="006565BB">
      <w:pPr>
        <w:autoSpaceDE w:val="0"/>
        <w:autoSpaceDN w:val="0"/>
        <w:adjustRightInd w:val="0"/>
        <w:spacing w:line="360" w:lineRule="auto"/>
        <w:ind w:firstLine="420" w:firstLineChars="200"/>
        <w:rPr>
          <w:color w:val="auto"/>
          <w:kern w:val="0"/>
          <w:szCs w:val="21"/>
          <w:highlight w:val="none"/>
        </w:rPr>
      </w:pPr>
    </w:p>
    <w:p w14:paraId="42368B75">
      <w:pPr>
        <w:spacing w:line="360" w:lineRule="auto"/>
        <w:jc w:val="center"/>
        <w:outlineLvl w:val="1"/>
        <w:rPr>
          <w:b/>
          <w:bCs/>
          <w:color w:val="auto"/>
          <w:sz w:val="28"/>
          <w:szCs w:val="28"/>
          <w:highlight w:val="none"/>
        </w:rPr>
      </w:pPr>
      <w:bookmarkStart w:id="1833" w:name="_Toc3901"/>
      <w:bookmarkStart w:id="1834" w:name="_Toc24621"/>
      <w:bookmarkStart w:id="1835" w:name="_Toc18243"/>
      <w:bookmarkStart w:id="1836" w:name="_Toc11291"/>
      <w:bookmarkStart w:id="1837" w:name="_Toc32167"/>
      <w:bookmarkStart w:id="1838" w:name="_Toc15654"/>
      <w:bookmarkStart w:id="1839" w:name="_Toc15424"/>
      <w:bookmarkStart w:id="1840" w:name="_Toc13701"/>
      <w:bookmarkStart w:id="1841" w:name="_Toc5811"/>
      <w:bookmarkStart w:id="1842" w:name="_Toc14575"/>
      <w:r>
        <w:rPr>
          <w:b/>
          <w:bCs/>
          <w:color w:val="auto"/>
          <w:sz w:val="28"/>
          <w:szCs w:val="28"/>
          <w:highlight w:val="none"/>
        </w:rPr>
        <w:br w:type="page"/>
      </w:r>
      <w:bookmarkStart w:id="1843" w:name="_Toc19758"/>
      <w:bookmarkStart w:id="1844" w:name="_Toc10761"/>
      <w:bookmarkStart w:id="1845" w:name="_Toc27419"/>
      <w:bookmarkStart w:id="1846" w:name="_Toc31390"/>
      <w:bookmarkStart w:id="1847" w:name="_Toc23052"/>
      <w:bookmarkStart w:id="1848" w:name="_Toc19975"/>
      <w:bookmarkStart w:id="1849" w:name="_Toc1124"/>
      <w:bookmarkStart w:id="1850" w:name="_Toc22955"/>
      <w:bookmarkStart w:id="1851" w:name="_Toc9401"/>
      <w:bookmarkStart w:id="1852" w:name="_Toc24680"/>
      <w:bookmarkStart w:id="1853" w:name="_Toc6380"/>
      <w:bookmarkStart w:id="1854" w:name="_Toc13024"/>
      <w:bookmarkStart w:id="1855" w:name="_Toc17620"/>
      <w:r>
        <w:rPr>
          <w:rFonts w:hint="eastAsia" w:ascii="仿宋" w:hAnsi="仿宋" w:eastAsia="仿宋" w:cs="仿宋"/>
          <w:b/>
          <w:bCs/>
          <w:color w:val="auto"/>
          <w:sz w:val="28"/>
          <w:szCs w:val="28"/>
          <w:highlight w:val="none"/>
        </w:rPr>
        <w:t>四、已标价工程量清单</w:t>
      </w:r>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p>
    <w:p w14:paraId="6171FAD3">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说明：已标价工程量清单按第五章“工程量清单”中的相关规定填写。构成合同文件的已标价工程量清单包括第五章“工程量清单”有关工程量清单、投标报价以及其他说明的内容。</w:t>
      </w:r>
    </w:p>
    <w:p w14:paraId="00D12980">
      <w:pPr>
        <w:spacing w:line="360" w:lineRule="auto"/>
        <w:jc w:val="center"/>
        <w:outlineLvl w:val="1"/>
        <w:rPr>
          <w:color w:val="auto"/>
          <w:sz w:val="28"/>
          <w:szCs w:val="28"/>
          <w:highlight w:val="none"/>
        </w:rPr>
      </w:pPr>
      <w:r>
        <w:rPr>
          <w:color w:val="auto"/>
          <w:szCs w:val="21"/>
          <w:highlight w:val="none"/>
        </w:rPr>
        <w:br w:type="page"/>
      </w:r>
      <w:bookmarkStart w:id="1856" w:name="_Toc6366"/>
      <w:bookmarkStart w:id="1857" w:name="_Toc21429"/>
      <w:bookmarkStart w:id="1858" w:name="_Toc11982"/>
      <w:bookmarkStart w:id="1859" w:name="_Toc7164"/>
      <w:bookmarkStart w:id="1860" w:name="_Toc7460"/>
      <w:bookmarkStart w:id="1861" w:name="_Toc27641"/>
      <w:bookmarkStart w:id="1862" w:name="_Toc26418"/>
      <w:bookmarkStart w:id="1863" w:name="_Toc22702"/>
      <w:bookmarkStart w:id="1864" w:name="_Toc15757"/>
      <w:bookmarkStart w:id="1865" w:name="_Toc7139"/>
      <w:bookmarkStart w:id="1866" w:name="_Toc222"/>
      <w:bookmarkStart w:id="1867" w:name="_Toc30925"/>
      <w:bookmarkStart w:id="1868" w:name="_Toc32571"/>
      <w:bookmarkStart w:id="1869" w:name="_Toc7606"/>
      <w:bookmarkStart w:id="1870" w:name="_Toc5967"/>
      <w:bookmarkStart w:id="1871" w:name="_Toc21521"/>
      <w:bookmarkStart w:id="1872" w:name="_Toc1122"/>
      <w:bookmarkStart w:id="1873" w:name="_Toc24281"/>
      <w:bookmarkStart w:id="1874" w:name="_Toc32112"/>
      <w:bookmarkStart w:id="1875" w:name="_Toc6019"/>
      <w:bookmarkStart w:id="1876" w:name="_Toc29906"/>
      <w:bookmarkStart w:id="1877" w:name="_Toc30210"/>
      <w:bookmarkStart w:id="1878" w:name="_Toc26747"/>
      <w:r>
        <w:rPr>
          <w:rFonts w:hint="eastAsia" w:ascii="仿宋" w:hAnsi="仿宋" w:eastAsia="仿宋" w:cs="仿宋"/>
          <w:b/>
          <w:bCs/>
          <w:color w:val="auto"/>
          <w:sz w:val="28"/>
          <w:szCs w:val="28"/>
          <w:highlight w:val="none"/>
        </w:rPr>
        <w:t>五</w:t>
      </w:r>
      <w:r>
        <w:rPr>
          <w:rFonts w:ascii="仿宋" w:hAnsi="仿宋" w:eastAsia="仿宋" w:cs="仿宋"/>
          <w:b/>
          <w:bCs/>
          <w:color w:val="auto"/>
          <w:sz w:val="28"/>
          <w:szCs w:val="28"/>
          <w:highlight w:val="none"/>
        </w:rPr>
        <w:t>、施工组织设计</w:t>
      </w:r>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p>
    <w:p w14:paraId="77421865">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1．投标人应根据招标文件和对现场的勘察情况，采用文字并结合图表形式，参考以下要点编制本工程的施工组织设计：</w:t>
      </w:r>
    </w:p>
    <w:p w14:paraId="68EBD96C">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（1）主要施工方案与技术措施；</w:t>
      </w:r>
    </w:p>
    <w:p w14:paraId="0C631250">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（2）质量管理体系与措施；</w:t>
      </w:r>
    </w:p>
    <w:p w14:paraId="383D3770">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（3）安全管理体系与措施；</w:t>
      </w:r>
    </w:p>
    <w:p w14:paraId="71FA847B">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（4）文明施工、环境保护管理体系及施工现场扬尘治理措施；</w:t>
      </w:r>
    </w:p>
    <w:p w14:paraId="42B8D507">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（5）工期保证措施；</w:t>
      </w:r>
    </w:p>
    <w:p w14:paraId="680F5741">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（6）拟投入资源配备计划措施；</w:t>
      </w:r>
    </w:p>
    <w:p w14:paraId="02530B71">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（7）施工进度表与网络计划图；</w:t>
      </w:r>
    </w:p>
    <w:p w14:paraId="30B23E85">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（8）施工总平面图布置；</w:t>
      </w:r>
    </w:p>
    <w:p w14:paraId="32D53CDD">
      <w:pPr>
        <w:spacing w:line="420" w:lineRule="exact"/>
        <w:ind w:left="1020" w:leftChars="200" w:hanging="600" w:hangingChars="250"/>
        <w:rPr>
          <w:rFonts w:hint="eastAsia" w:ascii="仿宋" w:hAnsi="仿宋" w:eastAsia="仿宋" w:cs="仿宋"/>
          <w:color w:val="auto"/>
          <w:sz w:val="24"/>
          <w:highlight w:val="none"/>
        </w:rPr>
      </w:pPr>
      <w:r>
        <w:rPr>
          <w:rFonts w:hint="eastAsia" w:ascii="仿宋" w:hAnsi="仿宋" w:eastAsia="仿宋" w:cs="仿宋"/>
          <w:color w:val="auto"/>
          <w:sz w:val="24"/>
          <w:highlight w:val="none"/>
        </w:rPr>
        <w:t>（9）建造方式的创新应用实施方案；</w:t>
      </w:r>
    </w:p>
    <w:p w14:paraId="05BBCA3D">
      <w:pPr>
        <w:spacing w:line="420" w:lineRule="exact"/>
        <w:ind w:left="1068" w:leftChars="200" w:hanging="648" w:hangingChars="270"/>
        <w:rPr>
          <w:rFonts w:hint="eastAsia" w:ascii="仿宋" w:hAnsi="仿宋" w:eastAsia="仿宋" w:cs="仿宋"/>
          <w:color w:val="auto"/>
          <w:sz w:val="24"/>
          <w:highlight w:val="none"/>
        </w:rPr>
      </w:pPr>
      <w:r>
        <w:rPr>
          <w:rFonts w:hint="eastAsia" w:ascii="仿宋" w:hAnsi="仿宋" w:eastAsia="仿宋" w:cs="仿宋"/>
          <w:color w:val="auto"/>
          <w:sz w:val="24"/>
          <w:highlight w:val="none"/>
        </w:rPr>
        <w:t>（10）风险管理措施；</w:t>
      </w:r>
    </w:p>
    <w:p w14:paraId="4ED23CE3">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（11）招标文件规定的其他内容。</w:t>
      </w:r>
    </w:p>
    <w:p w14:paraId="7968E837">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2．施工组织设计除采用文字表述外可附下列图表，图表及格式要求附后。</w:t>
      </w:r>
    </w:p>
    <w:p w14:paraId="0A7CD843">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附表一  拟投入本工程的主要施工设备表</w:t>
      </w:r>
    </w:p>
    <w:p w14:paraId="471CA236">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附表二  拟配备本工程的试验和检测仪器设备表</w:t>
      </w:r>
    </w:p>
    <w:p w14:paraId="1D883E69">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附表三  劳动力计划表</w:t>
      </w:r>
    </w:p>
    <w:p w14:paraId="30BA7EB7">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附表四  计划开、竣工日期与施工进度表和网络计划图</w:t>
      </w:r>
    </w:p>
    <w:p w14:paraId="190692C1">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附表五  施工总平面图</w:t>
      </w:r>
    </w:p>
    <w:p w14:paraId="621729B8">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附表六  临时用地表</w:t>
      </w:r>
    </w:p>
    <w:p w14:paraId="62130B2E">
      <w:pPr>
        <w:spacing w:line="360" w:lineRule="auto"/>
        <w:ind w:firstLine="420" w:firstLineChars="200"/>
        <w:rPr>
          <w:color w:val="auto"/>
          <w:szCs w:val="21"/>
          <w:highlight w:val="none"/>
        </w:rPr>
      </w:pPr>
    </w:p>
    <w:p w14:paraId="69F793DF">
      <w:pPr>
        <w:spacing w:before="120" w:beforeLines="50" w:after="240" w:afterLines="100" w:line="360" w:lineRule="auto"/>
        <w:rPr>
          <w:color w:val="auto"/>
          <w:sz w:val="24"/>
          <w:highlight w:val="none"/>
        </w:rPr>
      </w:pPr>
      <w:r>
        <w:rPr>
          <w:color w:val="auto"/>
          <w:sz w:val="24"/>
          <w:highlight w:val="none"/>
        </w:rPr>
        <w:br w:type="page"/>
      </w:r>
      <w:r>
        <w:rPr>
          <w:rFonts w:hint="eastAsia" w:ascii="仿宋" w:hAnsi="仿宋" w:eastAsia="仿宋" w:cs="仿宋"/>
          <w:b/>
          <w:bCs/>
          <w:color w:val="auto"/>
          <w:sz w:val="28"/>
          <w:szCs w:val="28"/>
          <w:highlight w:val="none"/>
        </w:rPr>
        <w:t>附表一：拟投入本工程的主要施工设备表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064"/>
        <w:gridCol w:w="672"/>
        <w:gridCol w:w="1022"/>
        <w:gridCol w:w="709"/>
        <w:gridCol w:w="709"/>
        <w:gridCol w:w="1176"/>
        <w:gridCol w:w="872"/>
        <w:gridCol w:w="872"/>
        <w:gridCol w:w="765"/>
      </w:tblGrid>
      <w:tr w14:paraId="483A6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644" w:type="dxa"/>
            <w:noWrap w:val="0"/>
            <w:vAlign w:val="center"/>
          </w:tcPr>
          <w:p w14:paraId="423A4862">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064" w:type="dxa"/>
            <w:noWrap w:val="0"/>
            <w:vAlign w:val="center"/>
          </w:tcPr>
          <w:p w14:paraId="429EF746">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设备名称</w:t>
            </w:r>
          </w:p>
        </w:tc>
        <w:tc>
          <w:tcPr>
            <w:tcW w:w="672" w:type="dxa"/>
            <w:noWrap w:val="0"/>
            <w:vAlign w:val="center"/>
          </w:tcPr>
          <w:p w14:paraId="1D25A4CF">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型号</w:t>
            </w:r>
          </w:p>
          <w:p w14:paraId="4D1127F4">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规格</w:t>
            </w:r>
          </w:p>
        </w:tc>
        <w:tc>
          <w:tcPr>
            <w:tcW w:w="1022" w:type="dxa"/>
            <w:noWrap w:val="0"/>
            <w:vAlign w:val="center"/>
          </w:tcPr>
          <w:p w14:paraId="175633F3">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数量</w:t>
            </w:r>
          </w:p>
        </w:tc>
        <w:tc>
          <w:tcPr>
            <w:tcW w:w="709" w:type="dxa"/>
            <w:noWrap w:val="0"/>
            <w:vAlign w:val="center"/>
          </w:tcPr>
          <w:p w14:paraId="61C6B78C">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国别</w:t>
            </w:r>
          </w:p>
          <w:p w14:paraId="3F63591A">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产地</w:t>
            </w:r>
          </w:p>
        </w:tc>
        <w:tc>
          <w:tcPr>
            <w:tcW w:w="709" w:type="dxa"/>
            <w:noWrap w:val="0"/>
            <w:vAlign w:val="center"/>
          </w:tcPr>
          <w:p w14:paraId="0D50E3D7">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制造</w:t>
            </w:r>
          </w:p>
          <w:p w14:paraId="10B41DF1">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年份</w:t>
            </w:r>
          </w:p>
        </w:tc>
        <w:tc>
          <w:tcPr>
            <w:tcW w:w="1176" w:type="dxa"/>
            <w:noWrap w:val="0"/>
            <w:vAlign w:val="center"/>
          </w:tcPr>
          <w:p w14:paraId="2D71960A">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额定功率</w:t>
            </w:r>
          </w:p>
          <w:p w14:paraId="4C45FB7B">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（kW）</w:t>
            </w:r>
          </w:p>
        </w:tc>
        <w:tc>
          <w:tcPr>
            <w:tcW w:w="872" w:type="dxa"/>
            <w:noWrap w:val="0"/>
            <w:vAlign w:val="center"/>
          </w:tcPr>
          <w:p w14:paraId="7532129A">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生产</w:t>
            </w:r>
          </w:p>
          <w:p w14:paraId="4CF6334A">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能力</w:t>
            </w:r>
          </w:p>
        </w:tc>
        <w:tc>
          <w:tcPr>
            <w:tcW w:w="872" w:type="dxa"/>
            <w:noWrap w:val="0"/>
            <w:vAlign w:val="center"/>
          </w:tcPr>
          <w:p w14:paraId="354DDEAF">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用于施</w:t>
            </w:r>
          </w:p>
          <w:p w14:paraId="7BDAB62E">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工部位</w:t>
            </w:r>
          </w:p>
        </w:tc>
        <w:tc>
          <w:tcPr>
            <w:tcW w:w="765" w:type="dxa"/>
            <w:noWrap w:val="0"/>
            <w:vAlign w:val="center"/>
          </w:tcPr>
          <w:p w14:paraId="592A0D4E">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63455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A1D7FB5">
            <w:pPr>
              <w:spacing w:line="360" w:lineRule="auto"/>
              <w:jc w:val="center"/>
              <w:rPr>
                <w:color w:val="auto"/>
                <w:szCs w:val="21"/>
                <w:highlight w:val="none"/>
              </w:rPr>
            </w:pPr>
          </w:p>
        </w:tc>
        <w:tc>
          <w:tcPr>
            <w:tcW w:w="1064" w:type="dxa"/>
            <w:noWrap w:val="0"/>
            <w:vAlign w:val="center"/>
          </w:tcPr>
          <w:p w14:paraId="5BFC884E">
            <w:pPr>
              <w:spacing w:line="360" w:lineRule="auto"/>
              <w:jc w:val="center"/>
              <w:rPr>
                <w:color w:val="auto"/>
                <w:szCs w:val="21"/>
                <w:highlight w:val="none"/>
              </w:rPr>
            </w:pPr>
          </w:p>
        </w:tc>
        <w:tc>
          <w:tcPr>
            <w:tcW w:w="672" w:type="dxa"/>
            <w:noWrap w:val="0"/>
            <w:vAlign w:val="center"/>
          </w:tcPr>
          <w:p w14:paraId="64D21CF3">
            <w:pPr>
              <w:spacing w:line="360" w:lineRule="auto"/>
              <w:jc w:val="center"/>
              <w:rPr>
                <w:color w:val="auto"/>
                <w:szCs w:val="21"/>
                <w:highlight w:val="none"/>
              </w:rPr>
            </w:pPr>
          </w:p>
        </w:tc>
        <w:tc>
          <w:tcPr>
            <w:tcW w:w="1022" w:type="dxa"/>
            <w:noWrap w:val="0"/>
            <w:vAlign w:val="center"/>
          </w:tcPr>
          <w:p w14:paraId="47BD2299">
            <w:pPr>
              <w:spacing w:line="360" w:lineRule="auto"/>
              <w:jc w:val="center"/>
              <w:rPr>
                <w:color w:val="auto"/>
                <w:szCs w:val="21"/>
                <w:highlight w:val="none"/>
              </w:rPr>
            </w:pPr>
          </w:p>
        </w:tc>
        <w:tc>
          <w:tcPr>
            <w:tcW w:w="709" w:type="dxa"/>
            <w:noWrap w:val="0"/>
            <w:vAlign w:val="center"/>
          </w:tcPr>
          <w:p w14:paraId="5B52B4BB">
            <w:pPr>
              <w:spacing w:line="360" w:lineRule="auto"/>
              <w:jc w:val="center"/>
              <w:rPr>
                <w:color w:val="auto"/>
                <w:szCs w:val="21"/>
                <w:highlight w:val="none"/>
              </w:rPr>
            </w:pPr>
          </w:p>
        </w:tc>
        <w:tc>
          <w:tcPr>
            <w:tcW w:w="709" w:type="dxa"/>
            <w:noWrap w:val="0"/>
            <w:vAlign w:val="center"/>
          </w:tcPr>
          <w:p w14:paraId="2196BD6D">
            <w:pPr>
              <w:spacing w:line="360" w:lineRule="auto"/>
              <w:jc w:val="center"/>
              <w:rPr>
                <w:color w:val="auto"/>
                <w:szCs w:val="21"/>
                <w:highlight w:val="none"/>
              </w:rPr>
            </w:pPr>
          </w:p>
        </w:tc>
        <w:tc>
          <w:tcPr>
            <w:tcW w:w="1176" w:type="dxa"/>
            <w:noWrap w:val="0"/>
            <w:vAlign w:val="center"/>
          </w:tcPr>
          <w:p w14:paraId="7D99F5C1">
            <w:pPr>
              <w:spacing w:line="360" w:lineRule="auto"/>
              <w:jc w:val="center"/>
              <w:rPr>
                <w:color w:val="auto"/>
                <w:szCs w:val="21"/>
                <w:highlight w:val="none"/>
              </w:rPr>
            </w:pPr>
          </w:p>
        </w:tc>
        <w:tc>
          <w:tcPr>
            <w:tcW w:w="872" w:type="dxa"/>
            <w:noWrap w:val="0"/>
            <w:vAlign w:val="center"/>
          </w:tcPr>
          <w:p w14:paraId="3F551F0E">
            <w:pPr>
              <w:spacing w:line="360" w:lineRule="auto"/>
              <w:jc w:val="center"/>
              <w:rPr>
                <w:color w:val="auto"/>
                <w:szCs w:val="21"/>
                <w:highlight w:val="none"/>
              </w:rPr>
            </w:pPr>
          </w:p>
        </w:tc>
        <w:tc>
          <w:tcPr>
            <w:tcW w:w="872" w:type="dxa"/>
            <w:noWrap w:val="0"/>
            <w:vAlign w:val="center"/>
          </w:tcPr>
          <w:p w14:paraId="6B283E1F">
            <w:pPr>
              <w:spacing w:line="360" w:lineRule="auto"/>
              <w:jc w:val="center"/>
              <w:rPr>
                <w:color w:val="auto"/>
                <w:szCs w:val="21"/>
                <w:highlight w:val="none"/>
              </w:rPr>
            </w:pPr>
          </w:p>
        </w:tc>
        <w:tc>
          <w:tcPr>
            <w:tcW w:w="765" w:type="dxa"/>
            <w:noWrap w:val="0"/>
            <w:vAlign w:val="center"/>
          </w:tcPr>
          <w:p w14:paraId="62A50380">
            <w:pPr>
              <w:spacing w:line="360" w:lineRule="auto"/>
              <w:jc w:val="center"/>
              <w:rPr>
                <w:color w:val="auto"/>
                <w:szCs w:val="21"/>
                <w:highlight w:val="none"/>
              </w:rPr>
            </w:pPr>
          </w:p>
        </w:tc>
      </w:tr>
      <w:tr w14:paraId="03D07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391F55C">
            <w:pPr>
              <w:spacing w:line="360" w:lineRule="auto"/>
              <w:jc w:val="center"/>
              <w:rPr>
                <w:color w:val="auto"/>
                <w:szCs w:val="21"/>
                <w:highlight w:val="none"/>
              </w:rPr>
            </w:pPr>
          </w:p>
        </w:tc>
        <w:tc>
          <w:tcPr>
            <w:tcW w:w="1064" w:type="dxa"/>
            <w:noWrap w:val="0"/>
            <w:vAlign w:val="center"/>
          </w:tcPr>
          <w:p w14:paraId="58F51A21">
            <w:pPr>
              <w:spacing w:line="360" w:lineRule="auto"/>
              <w:jc w:val="center"/>
              <w:rPr>
                <w:color w:val="auto"/>
                <w:szCs w:val="21"/>
                <w:highlight w:val="none"/>
              </w:rPr>
            </w:pPr>
          </w:p>
        </w:tc>
        <w:tc>
          <w:tcPr>
            <w:tcW w:w="672" w:type="dxa"/>
            <w:noWrap w:val="0"/>
            <w:vAlign w:val="center"/>
          </w:tcPr>
          <w:p w14:paraId="7457965F">
            <w:pPr>
              <w:spacing w:line="360" w:lineRule="auto"/>
              <w:jc w:val="center"/>
              <w:rPr>
                <w:color w:val="auto"/>
                <w:szCs w:val="21"/>
                <w:highlight w:val="none"/>
              </w:rPr>
            </w:pPr>
          </w:p>
        </w:tc>
        <w:tc>
          <w:tcPr>
            <w:tcW w:w="1022" w:type="dxa"/>
            <w:noWrap w:val="0"/>
            <w:vAlign w:val="center"/>
          </w:tcPr>
          <w:p w14:paraId="7E56309B">
            <w:pPr>
              <w:spacing w:line="360" w:lineRule="auto"/>
              <w:jc w:val="center"/>
              <w:rPr>
                <w:color w:val="auto"/>
                <w:szCs w:val="21"/>
                <w:highlight w:val="none"/>
              </w:rPr>
            </w:pPr>
          </w:p>
        </w:tc>
        <w:tc>
          <w:tcPr>
            <w:tcW w:w="709" w:type="dxa"/>
            <w:noWrap w:val="0"/>
            <w:vAlign w:val="center"/>
          </w:tcPr>
          <w:p w14:paraId="5A42B435">
            <w:pPr>
              <w:spacing w:line="360" w:lineRule="auto"/>
              <w:jc w:val="center"/>
              <w:rPr>
                <w:color w:val="auto"/>
                <w:szCs w:val="21"/>
                <w:highlight w:val="none"/>
              </w:rPr>
            </w:pPr>
          </w:p>
        </w:tc>
        <w:tc>
          <w:tcPr>
            <w:tcW w:w="709" w:type="dxa"/>
            <w:noWrap w:val="0"/>
            <w:vAlign w:val="center"/>
          </w:tcPr>
          <w:p w14:paraId="1F4D4C88">
            <w:pPr>
              <w:spacing w:line="360" w:lineRule="auto"/>
              <w:jc w:val="center"/>
              <w:rPr>
                <w:color w:val="auto"/>
                <w:szCs w:val="21"/>
                <w:highlight w:val="none"/>
              </w:rPr>
            </w:pPr>
          </w:p>
        </w:tc>
        <w:tc>
          <w:tcPr>
            <w:tcW w:w="1176" w:type="dxa"/>
            <w:noWrap w:val="0"/>
            <w:vAlign w:val="center"/>
          </w:tcPr>
          <w:p w14:paraId="53FBD9C9">
            <w:pPr>
              <w:spacing w:line="360" w:lineRule="auto"/>
              <w:jc w:val="center"/>
              <w:rPr>
                <w:color w:val="auto"/>
                <w:szCs w:val="21"/>
                <w:highlight w:val="none"/>
              </w:rPr>
            </w:pPr>
          </w:p>
        </w:tc>
        <w:tc>
          <w:tcPr>
            <w:tcW w:w="872" w:type="dxa"/>
            <w:noWrap w:val="0"/>
            <w:vAlign w:val="center"/>
          </w:tcPr>
          <w:p w14:paraId="6BF65D51">
            <w:pPr>
              <w:spacing w:line="360" w:lineRule="auto"/>
              <w:jc w:val="center"/>
              <w:rPr>
                <w:color w:val="auto"/>
                <w:szCs w:val="21"/>
                <w:highlight w:val="none"/>
              </w:rPr>
            </w:pPr>
          </w:p>
        </w:tc>
        <w:tc>
          <w:tcPr>
            <w:tcW w:w="872" w:type="dxa"/>
            <w:noWrap w:val="0"/>
            <w:vAlign w:val="center"/>
          </w:tcPr>
          <w:p w14:paraId="5A836014">
            <w:pPr>
              <w:spacing w:line="360" w:lineRule="auto"/>
              <w:jc w:val="center"/>
              <w:rPr>
                <w:color w:val="auto"/>
                <w:szCs w:val="21"/>
                <w:highlight w:val="none"/>
              </w:rPr>
            </w:pPr>
          </w:p>
        </w:tc>
        <w:tc>
          <w:tcPr>
            <w:tcW w:w="765" w:type="dxa"/>
            <w:noWrap w:val="0"/>
            <w:vAlign w:val="center"/>
          </w:tcPr>
          <w:p w14:paraId="09648990">
            <w:pPr>
              <w:spacing w:line="360" w:lineRule="auto"/>
              <w:jc w:val="center"/>
              <w:rPr>
                <w:color w:val="auto"/>
                <w:szCs w:val="21"/>
                <w:highlight w:val="none"/>
              </w:rPr>
            </w:pPr>
          </w:p>
        </w:tc>
      </w:tr>
      <w:tr w14:paraId="6BC3F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F5670DA">
            <w:pPr>
              <w:spacing w:line="360" w:lineRule="auto"/>
              <w:jc w:val="center"/>
              <w:rPr>
                <w:color w:val="auto"/>
                <w:szCs w:val="21"/>
                <w:highlight w:val="none"/>
              </w:rPr>
            </w:pPr>
          </w:p>
        </w:tc>
        <w:tc>
          <w:tcPr>
            <w:tcW w:w="1064" w:type="dxa"/>
            <w:noWrap w:val="0"/>
            <w:vAlign w:val="center"/>
          </w:tcPr>
          <w:p w14:paraId="764D8E33">
            <w:pPr>
              <w:spacing w:line="360" w:lineRule="auto"/>
              <w:jc w:val="center"/>
              <w:rPr>
                <w:color w:val="auto"/>
                <w:szCs w:val="21"/>
                <w:highlight w:val="none"/>
              </w:rPr>
            </w:pPr>
          </w:p>
        </w:tc>
        <w:tc>
          <w:tcPr>
            <w:tcW w:w="672" w:type="dxa"/>
            <w:noWrap w:val="0"/>
            <w:vAlign w:val="center"/>
          </w:tcPr>
          <w:p w14:paraId="66203994">
            <w:pPr>
              <w:spacing w:line="360" w:lineRule="auto"/>
              <w:jc w:val="center"/>
              <w:rPr>
                <w:color w:val="auto"/>
                <w:szCs w:val="21"/>
                <w:highlight w:val="none"/>
              </w:rPr>
            </w:pPr>
          </w:p>
        </w:tc>
        <w:tc>
          <w:tcPr>
            <w:tcW w:w="1022" w:type="dxa"/>
            <w:noWrap w:val="0"/>
            <w:vAlign w:val="center"/>
          </w:tcPr>
          <w:p w14:paraId="41074D28">
            <w:pPr>
              <w:spacing w:line="360" w:lineRule="auto"/>
              <w:jc w:val="center"/>
              <w:rPr>
                <w:color w:val="auto"/>
                <w:szCs w:val="21"/>
                <w:highlight w:val="none"/>
              </w:rPr>
            </w:pPr>
          </w:p>
        </w:tc>
        <w:tc>
          <w:tcPr>
            <w:tcW w:w="709" w:type="dxa"/>
            <w:noWrap w:val="0"/>
            <w:vAlign w:val="center"/>
          </w:tcPr>
          <w:p w14:paraId="16B13EB3">
            <w:pPr>
              <w:spacing w:line="360" w:lineRule="auto"/>
              <w:jc w:val="center"/>
              <w:rPr>
                <w:color w:val="auto"/>
                <w:szCs w:val="21"/>
                <w:highlight w:val="none"/>
              </w:rPr>
            </w:pPr>
          </w:p>
        </w:tc>
        <w:tc>
          <w:tcPr>
            <w:tcW w:w="709" w:type="dxa"/>
            <w:noWrap w:val="0"/>
            <w:vAlign w:val="center"/>
          </w:tcPr>
          <w:p w14:paraId="2ADE43A4">
            <w:pPr>
              <w:spacing w:line="360" w:lineRule="auto"/>
              <w:jc w:val="center"/>
              <w:rPr>
                <w:color w:val="auto"/>
                <w:szCs w:val="21"/>
                <w:highlight w:val="none"/>
              </w:rPr>
            </w:pPr>
          </w:p>
        </w:tc>
        <w:tc>
          <w:tcPr>
            <w:tcW w:w="1176" w:type="dxa"/>
            <w:noWrap w:val="0"/>
            <w:vAlign w:val="center"/>
          </w:tcPr>
          <w:p w14:paraId="63F72768">
            <w:pPr>
              <w:spacing w:line="360" w:lineRule="auto"/>
              <w:jc w:val="center"/>
              <w:rPr>
                <w:color w:val="auto"/>
                <w:szCs w:val="21"/>
                <w:highlight w:val="none"/>
              </w:rPr>
            </w:pPr>
          </w:p>
        </w:tc>
        <w:tc>
          <w:tcPr>
            <w:tcW w:w="872" w:type="dxa"/>
            <w:noWrap w:val="0"/>
            <w:vAlign w:val="center"/>
          </w:tcPr>
          <w:p w14:paraId="60375990">
            <w:pPr>
              <w:spacing w:line="360" w:lineRule="auto"/>
              <w:jc w:val="center"/>
              <w:rPr>
                <w:color w:val="auto"/>
                <w:szCs w:val="21"/>
                <w:highlight w:val="none"/>
              </w:rPr>
            </w:pPr>
          </w:p>
        </w:tc>
        <w:tc>
          <w:tcPr>
            <w:tcW w:w="872" w:type="dxa"/>
            <w:noWrap w:val="0"/>
            <w:vAlign w:val="center"/>
          </w:tcPr>
          <w:p w14:paraId="08C416D3">
            <w:pPr>
              <w:spacing w:line="360" w:lineRule="auto"/>
              <w:jc w:val="center"/>
              <w:rPr>
                <w:color w:val="auto"/>
                <w:szCs w:val="21"/>
                <w:highlight w:val="none"/>
              </w:rPr>
            </w:pPr>
          </w:p>
        </w:tc>
        <w:tc>
          <w:tcPr>
            <w:tcW w:w="765" w:type="dxa"/>
            <w:noWrap w:val="0"/>
            <w:vAlign w:val="center"/>
          </w:tcPr>
          <w:p w14:paraId="2632E020">
            <w:pPr>
              <w:spacing w:line="360" w:lineRule="auto"/>
              <w:jc w:val="center"/>
              <w:rPr>
                <w:color w:val="auto"/>
                <w:szCs w:val="21"/>
                <w:highlight w:val="none"/>
              </w:rPr>
            </w:pPr>
          </w:p>
        </w:tc>
      </w:tr>
      <w:tr w14:paraId="6A7A4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AB7AE2D">
            <w:pPr>
              <w:spacing w:line="360" w:lineRule="auto"/>
              <w:jc w:val="center"/>
              <w:rPr>
                <w:color w:val="auto"/>
                <w:szCs w:val="21"/>
                <w:highlight w:val="none"/>
              </w:rPr>
            </w:pPr>
          </w:p>
        </w:tc>
        <w:tc>
          <w:tcPr>
            <w:tcW w:w="1064" w:type="dxa"/>
            <w:noWrap w:val="0"/>
            <w:vAlign w:val="center"/>
          </w:tcPr>
          <w:p w14:paraId="54B166DF">
            <w:pPr>
              <w:spacing w:line="360" w:lineRule="auto"/>
              <w:jc w:val="center"/>
              <w:rPr>
                <w:color w:val="auto"/>
                <w:szCs w:val="21"/>
                <w:highlight w:val="none"/>
              </w:rPr>
            </w:pPr>
          </w:p>
        </w:tc>
        <w:tc>
          <w:tcPr>
            <w:tcW w:w="672" w:type="dxa"/>
            <w:noWrap w:val="0"/>
            <w:vAlign w:val="center"/>
          </w:tcPr>
          <w:p w14:paraId="225D9B3C">
            <w:pPr>
              <w:spacing w:line="360" w:lineRule="auto"/>
              <w:jc w:val="center"/>
              <w:rPr>
                <w:color w:val="auto"/>
                <w:szCs w:val="21"/>
                <w:highlight w:val="none"/>
              </w:rPr>
            </w:pPr>
          </w:p>
        </w:tc>
        <w:tc>
          <w:tcPr>
            <w:tcW w:w="1022" w:type="dxa"/>
            <w:noWrap w:val="0"/>
            <w:vAlign w:val="center"/>
          </w:tcPr>
          <w:p w14:paraId="25086AB2">
            <w:pPr>
              <w:spacing w:line="360" w:lineRule="auto"/>
              <w:jc w:val="center"/>
              <w:rPr>
                <w:color w:val="auto"/>
                <w:szCs w:val="21"/>
                <w:highlight w:val="none"/>
              </w:rPr>
            </w:pPr>
          </w:p>
        </w:tc>
        <w:tc>
          <w:tcPr>
            <w:tcW w:w="709" w:type="dxa"/>
            <w:noWrap w:val="0"/>
            <w:vAlign w:val="center"/>
          </w:tcPr>
          <w:p w14:paraId="2375883C">
            <w:pPr>
              <w:spacing w:line="360" w:lineRule="auto"/>
              <w:jc w:val="center"/>
              <w:rPr>
                <w:color w:val="auto"/>
                <w:szCs w:val="21"/>
                <w:highlight w:val="none"/>
              </w:rPr>
            </w:pPr>
          </w:p>
        </w:tc>
        <w:tc>
          <w:tcPr>
            <w:tcW w:w="709" w:type="dxa"/>
            <w:noWrap w:val="0"/>
            <w:vAlign w:val="center"/>
          </w:tcPr>
          <w:p w14:paraId="2237AFBC">
            <w:pPr>
              <w:spacing w:line="360" w:lineRule="auto"/>
              <w:jc w:val="center"/>
              <w:rPr>
                <w:color w:val="auto"/>
                <w:szCs w:val="21"/>
                <w:highlight w:val="none"/>
              </w:rPr>
            </w:pPr>
          </w:p>
        </w:tc>
        <w:tc>
          <w:tcPr>
            <w:tcW w:w="1176" w:type="dxa"/>
            <w:noWrap w:val="0"/>
            <w:vAlign w:val="center"/>
          </w:tcPr>
          <w:p w14:paraId="2FAD3586">
            <w:pPr>
              <w:spacing w:line="360" w:lineRule="auto"/>
              <w:jc w:val="center"/>
              <w:rPr>
                <w:color w:val="auto"/>
                <w:szCs w:val="21"/>
                <w:highlight w:val="none"/>
              </w:rPr>
            </w:pPr>
          </w:p>
        </w:tc>
        <w:tc>
          <w:tcPr>
            <w:tcW w:w="872" w:type="dxa"/>
            <w:noWrap w:val="0"/>
            <w:vAlign w:val="center"/>
          </w:tcPr>
          <w:p w14:paraId="17850224">
            <w:pPr>
              <w:spacing w:line="360" w:lineRule="auto"/>
              <w:jc w:val="center"/>
              <w:rPr>
                <w:color w:val="auto"/>
                <w:szCs w:val="21"/>
                <w:highlight w:val="none"/>
              </w:rPr>
            </w:pPr>
          </w:p>
        </w:tc>
        <w:tc>
          <w:tcPr>
            <w:tcW w:w="872" w:type="dxa"/>
            <w:noWrap w:val="0"/>
            <w:vAlign w:val="center"/>
          </w:tcPr>
          <w:p w14:paraId="683C3F34">
            <w:pPr>
              <w:spacing w:line="360" w:lineRule="auto"/>
              <w:jc w:val="center"/>
              <w:rPr>
                <w:color w:val="auto"/>
                <w:szCs w:val="21"/>
                <w:highlight w:val="none"/>
              </w:rPr>
            </w:pPr>
          </w:p>
        </w:tc>
        <w:tc>
          <w:tcPr>
            <w:tcW w:w="765" w:type="dxa"/>
            <w:noWrap w:val="0"/>
            <w:vAlign w:val="center"/>
          </w:tcPr>
          <w:p w14:paraId="62CA2FB2">
            <w:pPr>
              <w:spacing w:line="360" w:lineRule="auto"/>
              <w:jc w:val="center"/>
              <w:rPr>
                <w:color w:val="auto"/>
                <w:szCs w:val="21"/>
                <w:highlight w:val="none"/>
              </w:rPr>
            </w:pPr>
          </w:p>
        </w:tc>
      </w:tr>
      <w:tr w14:paraId="2241D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CD41002">
            <w:pPr>
              <w:spacing w:line="360" w:lineRule="auto"/>
              <w:jc w:val="center"/>
              <w:rPr>
                <w:color w:val="auto"/>
                <w:szCs w:val="21"/>
                <w:highlight w:val="none"/>
              </w:rPr>
            </w:pPr>
          </w:p>
        </w:tc>
        <w:tc>
          <w:tcPr>
            <w:tcW w:w="1064" w:type="dxa"/>
            <w:noWrap w:val="0"/>
            <w:vAlign w:val="center"/>
          </w:tcPr>
          <w:p w14:paraId="2324D401">
            <w:pPr>
              <w:spacing w:line="360" w:lineRule="auto"/>
              <w:jc w:val="center"/>
              <w:rPr>
                <w:color w:val="auto"/>
                <w:szCs w:val="21"/>
                <w:highlight w:val="none"/>
              </w:rPr>
            </w:pPr>
          </w:p>
        </w:tc>
        <w:tc>
          <w:tcPr>
            <w:tcW w:w="672" w:type="dxa"/>
            <w:noWrap w:val="0"/>
            <w:vAlign w:val="center"/>
          </w:tcPr>
          <w:p w14:paraId="137C747F">
            <w:pPr>
              <w:spacing w:line="360" w:lineRule="auto"/>
              <w:jc w:val="center"/>
              <w:rPr>
                <w:color w:val="auto"/>
                <w:szCs w:val="21"/>
                <w:highlight w:val="none"/>
              </w:rPr>
            </w:pPr>
          </w:p>
        </w:tc>
        <w:tc>
          <w:tcPr>
            <w:tcW w:w="1022" w:type="dxa"/>
            <w:noWrap w:val="0"/>
            <w:vAlign w:val="center"/>
          </w:tcPr>
          <w:p w14:paraId="207B2D81">
            <w:pPr>
              <w:spacing w:line="360" w:lineRule="auto"/>
              <w:jc w:val="center"/>
              <w:rPr>
                <w:color w:val="auto"/>
                <w:szCs w:val="21"/>
                <w:highlight w:val="none"/>
              </w:rPr>
            </w:pPr>
          </w:p>
        </w:tc>
        <w:tc>
          <w:tcPr>
            <w:tcW w:w="709" w:type="dxa"/>
            <w:noWrap w:val="0"/>
            <w:vAlign w:val="center"/>
          </w:tcPr>
          <w:p w14:paraId="4B15C781">
            <w:pPr>
              <w:spacing w:line="360" w:lineRule="auto"/>
              <w:jc w:val="center"/>
              <w:rPr>
                <w:color w:val="auto"/>
                <w:szCs w:val="21"/>
                <w:highlight w:val="none"/>
              </w:rPr>
            </w:pPr>
          </w:p>
        </w:tc>
        <w:tc>
          <w:tcPr>
            <w:tcW w:w="709" w:type="dxa"/>
            <w:noWrap w:val="0"/>
            <w:vAlign w:val="center"/>
          </w:tcPr>
          <w:p w14:paraId="44E5A0AE">
            <w:pPr>
              <w:spacing w:line="360" w:lineRule="auto"/>
              <w:jc w:val="center"/>
              <w:rPr>
                <w:color w:val="auto"/>
                <w:szCs w:val="21"/>
                <w:highlight w:val="none"/>
              </w:rPr>
            </w:pPr>
          </w:p>
        </w:tc>
        <w:tc>
          <w:tcPr>
            <w:tcW w:w="1176" w:type="dxa"/>
            <w:noWrap w:val="0"/>
            <w:vAlign w:val="center"/>
          </w:tcPr>
          <w:p w14:paraId="09470074">
            <w:pPr>
              <w:spacing w:line="360" w:lineRule="auto"/>
              <w:jc w:val="center"/>
              <w:rPr>
                <w:color w:val="auto"/>
                <w:szCs w:val="21"/>
                <w:highlight w:val="none"/>
              </w:rPr>
            </w:pPr>
          </w:p>
        </w:tc>
        <w:tc>
          <w:tcPr>
            <w:tcW w:w="872" w:type="dxa"/>
            <w:noWrap w:val="0"/>
            <w:vAlign w:val="center"/>
          </w:tcPr>
          <w:p w14:paraId="35B34631">
            <w:pPr>
              <w:spacing w:line="360" w:lineRule="auto"/>
              <w:jc w:val="center"/>
              <w:rPr>
                <w:color w:val="auto"/>
                <w:szCs w:val="21"/>
                <w:highlight w:val="none"/>
              </w:rPr>
            </w:pPr>
          </w:p>
        </w:tc>
        <w:tc>
          <w:tcPr>
            <w:tcW w:w="872" w:type="dxa"/>
            <w:noWrap w:val="0"/>
            <w:vAlign w:val="center"/>
          </w:tcPr>
          <w:p w14:paraId="40EC8031">
            <w:pPr>
              <w:spacing w:line="360" w:lineRule="auto"/>
              <w:jc w:val="center"/>
              <w:rPr>
                <w:color w:val="auto"/>
                <w:szCs w:val="21"/>
                <w:highlight w:val="none"/>
              </w:rPr>
            </w:pPr>
          </w:p>
        </w:tc>
        <w:tc>
          <w:tcPr>
            <w:tcW w:w="765" w:type="dxa"/>
            <w:noWrap w:val="0"/>
            <w:vAlign w:val="center"/>
          </w:tcPr>
          <w:p w14:paraId="328E123A">
            <w:pPr>
              <w:spacing w:line="360" w:lineRule="auto"/>
              <w:jc w:val="center"/>
              <w:rPr>
                <w:color w:val="auto"/>
                <w:szCs w:val="21"/>
                <w:highlight w:val="none"/>
              </w:rPr>
            </w:pPr>
          </w:p>
        </w:tc>
      </w:tr>
      <w:tr w14:paraId="18815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0B21A79">
            <w:pPr>
              <w:spacing w:line="360" w:lineRule="auto"/>
              <w:jc w:val="center"/>
              <w:rPr>
                <w:color w:val="auto"/>
                <w:szCs w:val="21"/>
                <w:highlight w:val="none"/>
              </w:rPr>
            </w:pPr>
          </w:p>
        </w:tc>
        <w:tc>
          <w:tcPr>
            <w:tcW w:w="1064" w:type="dxa"/>
            <w:noWrap w:val="0"/>
            <w:vAlign w:val="center"/>
          </w:tcPr>
          <w:p w14:paraId="28C0D75B">
            <w:pPr>
              <w:spacing w:line="360" w:lineRule="auto"/>
              <w:jc w:val="center"/>
              <w:rPr>
                <w:color w:val="auto"/>
                <w:szCs w:val="21"/>
                <w:highlight w:val="none"/>
              </w:rPr>
            </w:pPr>
          </w:p>
        </w:tc>
        <w:tc>
          <w:tcPr>
            <w:tcW w:w="672" w:type="dxa"/>
            <w:noWrap w:val="0"/>
            <w:vAlign w:val="center"/>
          </w:tcPr>
          <w:p w14:paraId="66694C24">
            <w:pPr>
              <w:spacing w:line="360" w:lineRule="auto"/>
              <w:jc w:val="center"/>
              <w:rPr>
                <w:color w:val="auto"/>
                <w:szCs w:val="21"/>
                <w:highlight w:val="none"/>
              </w:rPr>
            </w:pPr>
          </w:p>
        </w:tc>
        <w:tc>
          <w:tcPr>
            <w:tcW w:w="1022" w:type="dxa"/>
            <w:noWrap w:val="0"/>
            <w:vAlign w:val="center"/>
          </w:tcPr>
          <w:p w14:paraId="7CA6DB76">
            <w:pPr>
              <w:spacing w:line="360" w:lineRule="auto"/>
              <w:jc w:val="center"/>
              <w:rPr>
                <w:color w:val="auto"/>
                <w:szCs w:val="21"/>
                <w:highlight w:val="none"/>
              </w:rPr>
            </w:pPr>
          </w:p>
        </w:tc>
        <w:tc>
          <w:tcPr>
            <w:tcW w:w="709" w:type="dxa"/>
            <w:noWrap w:val="0"/>
            <w:vAlign w:val="center"/>
          </w:tcPr>
          <w:p w14:paraId="0F08CD73">
            <w:pPr>
              <w:spacing w:line="360" w:lineRule="auto"/>
              <w:jc w:val="center"/>
              <w:rPr>
                <w:color w:val="auto"/>
                <w:szCs w:val="21"/>
                <w:highlight w:val="none"/>
              </w:rPr>
            </w:pPr>
          </w:p>
        </w:tc>
        <w:tc>
          <w:tcPr>
            <w:tcW w:w="709" w:type="dxa"/>
            <w:noWrap w:val="0"/>
            <w:vAlign w:val="center"/>
          </w:tcPr>
          <w:p w14:paraId="2CEA99B2">
            <w:pPr>
              <w:spacing w:line="360" w:lineRule="auto"/>
              <w:jc w:val="center"/>
              <w:rPr>
                <w:color w:val="auto"/>
                <w:szCs w:val="21"/>
                <w:highlight w:val="none"/>
              </w:rPr>
            </w:pPr>
          </w:p>
        </w:tc>
        <w:tc>
          <w:tcPr>
            <w:tcW w:w="1176" w:type="dxa"/>
            <w:noWrap w:val="0"/>
            <w:vAlign w:val="center"/>
          </w:tcPr>
          <w:p w14:paraId="2AE8ECC0">
            <w:pPr>
              <w:spacing w:line="360" w:lineRule="auto"/>
              <w:jc w:val="center"/>
              <w:rPr>
                <w:color w:val="auto"/>
                <w:szCs w:val="21"/>
                <w:highlight w:val="none"/>
              </w:rPr>
            </w:pPr>
          </w:p>
        </w:tc>
        <w:tc>
          <w:tcPr>
            <w:tcW w:w="872" w:type="dxa"/>
            <w:noWrap w:val="0"/>
            <w:vAlign w:val="center"/>
          </w:tcPr>
          <w:p w14:paraId="51711774">
            <w:pPr>
              <w:spacing w:line="360" w:lineRule="auto"/>
              <w:jc w:val="center"/>
              <w:rPr>
                <w:color w:val="auto"/>
                <w:szCs w:val="21"/>
                <w:highlight w:val="none"/>
              </w:rPr>
            </w:pPr>
          </w:p>
        </w:tc>
        <w:tc>
          <w:tcPr>
            <w:tcW w:w="872" w:type="dxa"/>
            <w:noWrap w:val="0"/>
            <w:vAlign w:val="center"/>
          </w:tcPr>
          <w:p w14:paraId="651919F5">
            <w:pPr>
              <w:spacing w:line="360" w:lineRule="auto"/>
              <w:jc w:val="center"/>
              <w:rPr>
                <w:color w:val="auto"/>
                <w:szCs w:val="21"/>
                <w:highlight w:val="none"/>
              </w:rPr>
            </w:pPr>
          </w:p>
        </w:tc>
        <w:tc>
          <w:tcPr>
            <w:tcW w:w="765" w:type="dxa"/>
            <w:noWrap w:val="0"/>
            <w:vAlign w:val="center"/>
          </w:tcPr>
          <w:p w14:paraId="2EEF891C">
            <w:pPr>
              <w:spacing w:line="360" w:lineRule="auto"/>
              <w:jc w:val="center"/>
              <w:rPr>
                <w:color w:val="auto"/>
                <w:szCs w:val="21"/>
                <w:highlight w:val="none"/>
              </w:rPr>
            </w:pPr>
          </w:p>
        </w:tc>
      </w:tr>
      <w:tr w14:paraId="4D122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001BD23">
            <w:pPr>
              <w:spacing w:line="360" w:lineRule="auto"/>
              <w:jc w:val="center"/>
              <w:rPr>
                <w:color w:val="auto"/>
                <w:szCs w:val="21"/>
                <w:highlight w:val="none"/>
              </w:rPr>
            </w:pPr>
          </w:p>
        </w:tc>
        <w:tc>
          <w:tcPr>
            <w:tcW w:w="1064" w:type="dxa"/>
            <w:noWrap w:val="0"/>
            <w:vAlign w:val="center"/>
          </w:tcPr>
          <w:p w14:paraId="08F72B4F">
            <w:pPr>
              <w:spacing w:line="360" w:lineRule="auto"/>
              <w:jc w:val="center"/>
              <w:rPr>
                <w:color w:val="auto"/>
                <w:szCs w:val="21"/>
                <w:highlight w:val="none"/>
              </w:rPr>
            </w:pPr>
          </w:p>
        </w:tc>
        <w:tc>
          <w:tcPr>
            <w:tcW w:w="672" w:type="dxa"/>
            <w:noWrap w:val="0"/>
            <w:vAlign w:val="center"/>
          </w:tcPr>
          <w:p w14:paraId="1DFCECA0">
            <w:pPr>
              <w:spacing w:line="360" w:lineRule="auto"/>
              <w:jc w:val="center"/>
              <w:rPr>
                <w:color w:val="auto"/>
                <w:szCs w:val="21"/>
                <w:highlight w:val="none"/>
              </w:rPr>
            </w:pPr>
          </w:p>
        </w:tc>
        <w:tc>
          <w:tcPr>
            <w:tcW w:w="1022" w:type="dxa"/>
            <w:noWrap w:val="0"/>
            <w:vAlign w:val="center"/>
          </w:tcPr>
          <w:p w14:paraId="3AA48CD0">
            <w:pPr>
              <w:spacing w:line="360" w:lineRule="auto"/>
              <w:jc w:val="center"/>
              <w:rPr>
                <w:color w:val="auto"/>
                <w:szCs w:val="21"/>
                <w:highlight w:val="none"/>
              </w:rPr>
            </w:pPr>
          </w:p>
        </w:tc>
        <w:tc>
          <w:tcPr>
            <w:tcW w:w="709" w:type="dxa"/>
            <w:noWrap w:val="0"/>
            <w:vAlign w:val="center"/>
          </w:tcPr>
          <w:p w14:paraId="7C258B91">
            <w:pPr>
              <w:spacing w:line="360" w:lineRule="auto"/>
              <w:jc w:val="center"/>
              <w:rPr>
                <w:color w:val="auto"/>
                <w:szCs w:val="21"/>
                <w:highlight w:val="none"/>
              </w:rPr>
            </w:pPr>
          </w:p>
        </w:tc>
        <w:tc>
          <w:tcPr>
            <w:tcW w:w="709" w:type="dxa"/>
            <w:noWrap w:val="0"/>
            <w:vAlign w:val="center"/>
          </w:tcPr>
          <w:p w14:paraId="195582AE">
            <w:pPr>
              <w:spacing w:line="360" w:lineRule="auto"/>
              <w:jc w:val="center"/>
              <w:rPr>
                <w:color w:val="auto"/>
                <w:szCs w:val="21"/>
                <w:highlight w:val="none"/>
              </w:rPr>
            </w:pPr>
          </w:p>
        </w:tc>
        <w:tc>
          <w:tcPr>
            <w:tcW w:w="1176" w:type="dxa"/>
            <w:noWrap w:val="0"/>
            <w:vAlign w:val="center"/>
          </w:tcPr>
          <w:p w14:paraId="1DC2122F">
            <w:pPr>
              <w:spacing w:line="360" w:lineRule="auto"/>
              <w:jc w:val="center"/>
              <w:rPr>
                <w:color w:val="auto"/>
                <w:szCs w:val="21"/>
                <w:highlight w:val="none"/>
              </w:rPr>
            </w:pPr>
          </w:p>
        </w:tc>
        <w:tc>
          <w:tcPr>
            <w:tcW w:w="872" w:type="dxa"/>
            <w:noWrap w:val="0"/>
            <w:vAlign w:val="center"/>
          </w:tcPr>
          <w:p w14:paraId="08E70636">
            <w:pPr>
              <w:spacing w:line="360" w:lineRule="auto"/>
              <w:jc w:val="center"/>
              <w:rPr>
                <w:color w:val="auto"/>
                <w:szCs w:val="21"/>
                <w:highlight w:val="none"/>
              </w:rPr>
            </w:pPr>
          </w:p>
        </w:tc>
        <w:tc>
          <w:tcPr>
            <w:tcW w:w="872" w:type="dxa"/>
            <w:noWrap w:val="0"/>
            <w:vAlign w:val="center"/>
          </w:tcPr>
          <w:p w14:paraId="15A71CFD">
            <w:pPr>
              <w:spacing w:line="360" w:lineRule="auto"/>
              <w:jc w:val="center"/>
              <w:rPr>
                <w:color w:val="auto"/>
                <w:szCs w:val="21"/>
                <w:highlight w:val="none"/>
              </w:rPr>
            </w:pPr>
          </w:p>
        </w:tc>
        <w:tc>
          <w:tcPr>
            <w:tcW w:w="765" w:type="dxa"/>
            <w:noWrap w:val="0"/>
            <w:vAlign w:val="center"/>
          </w:tcPr>
          <w:p w14:paraId="20364EBD">
            <w:pPr>
              <w:spacing w:line="360" w:lineRule="auto"/>
              <w:jc w:val="center"/>
              <w:rPr>
                <w:color w:val="auto"/>
                <w:szCs w:val="21"/>
                <w:highlight w:val="none"/>
              </w:rPr>
            </w:pPr>
          </w:p>
        </w:tc>
      </w:tr>
      <w:tr w14:paraId="43E43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84CF242">
            <w:pPr>
              <w:spacing w:line="360" w:lineRule="auto"/>
              <w:jc w:val="center"/>
              <w:rPr>
                <w:color w:val="auto"/>
                <w:szCs w:val="21"/>
                <w:highlight w:val="none"/>
              </w:rPr>
            </w:pPr>
          </w:p>
        </w:tc>
        <w:tc>
          <w:tcPr>
            <w:tcW w:w="1064" w:type="dxa"/>
            <w:noWrap w:val="0"/>
            <w:vAlign w:val="center"/>
          </w:tcPr>
          <w:p w14:paraId="7A12EDCB">
            <w:pPr>
              <w:spacing w:line="360" w:lineRule="auto"/>
              <w:jc w:val="center"/>
              <w:rPr>
                <w:color w:val="auto"/>
                <w:szCs w:val="21"/>
                <w:highlight w:val="none"/>
              </w:rPr>
            </w:pPr>
          </w:p>
        </w:tc>
        <w:tc>
          <w:tcPr>
            <w:tcW w:w="672" w:type="dxa"/>
            <w:noWrap w:val="0"/>
            <w:vAlign w:val="center"/>
          </w:tcPr>
          <w:p w14:paraId="2538D720">
            <w:pPr>
              <w:spacing w:line="360" w:lineRule="auto"/>
              <w:jc w:val="center"/>
              <w:rPr>
                <w:color w:val="auto"/>
                <w:szCs w:val="21"/>
                <w:highlight w:val="none"/>
              </w:rPr>
            </w:pPr>
          </w:p>
        </w:tc>
        <w:tc>
          <w:tcPr>
            <w:tcW w:w="1022" w:type="dxa"/>
            <w:noWrap w:val="0"/>
            <w:vAlign w:val="center"/>
          </w:tcPr>
          <w:p w14:paraId="499C4E45">
            <w:pPr>
              <w:spacing w:line="360" w:lineRule="auto"/>
              <w:jc w:val="center"/>
              <w:rPr>
                <w:color w:val="auto"/>
                <w:szCs w:val="21"/>
                <w:highlight w:val="none"/>
              </w:rPr>
            </w:pPr>
          </w:p>
        </w:tc>
        <w:tc>
          <w:tcPr>
            <w:tcW w:w="709" w:type="dxa"/>
            <w:noWrap w:val="0"/>
            <w:vAlign w:val="center"/>
          </w:tcPr>
          <w:p w14:paraId="7E0EA92C">
            <w:pPr>
              <w:spacing w:line="360" w:lineRule="auto"/>
              <w:jc w:val="center"/>
              <w:rPr>
                <w:color w:val="auto"/>
                <w:szCs w:val="21"/>
                <w:highlight w:val="none"/>
              </w:rPr>
            </w:pPr>
          </w:p>
        </w:tc>
        <w:tc>
          <w:tcPr>
            <w:tcW w:w="709" w:type="dxa"/>
            <w:noWrap w:val="0"/>
            <w:vAlign w:val="center"/>
          </w:tcPr>
          <w:p w14:paraId="318AAFED">
            <w:pPr>
              <w:spacing w:line="360" w:lineRule="auto"/>
              <w:jc w:val="center"/>
              <w:rPr>
                <w:color w:val="auto"/>
                <w:szCs w:val="21"/>
                <w:highlight w:val="none"/>
              </w:rPr>
            </w:pPr>
          </w:p>
        </w:tc>
        <w:tc>
          <w:tcPr>
            <w:tcW w:w="1176" w:type="dxa"/>
            <w:noWrap w:val="0"/>
            <w:vAlign w:val="center"/>
          </w:tcPr>
          <w:p w14:paraId="7C17BE17">
            <w:pPr>
              <w:spacing w:line="360" w:lineRule="auto"/>
              <w:jc w:val="center"/>
              <w:rPr>
                <w:color w:val="auto"/>
                <w:szCs w:val="21"/>
                <w:highlight w:val="none"/>
              </w:rPr>
            </w:pPr>
          </w:p>
        </w:tc>
        <w:tc>
          <w:tcPr>
            <w:tcW w:w="872" w:type="dxa"/>
            <w:noWrap w:val="0"/>
            <w:vAlign w:val="center"/>
          </w:tcPr>
          <w:p w14:paraId="095577A1">
            <w:pPr>
              <w:spacing w:line="360" w:lineRule="auto"/>
              <w:jc w:val="center"/>
              <w:rPr>
                <w:color w:val="auto"/>
                <w:szCs w:val="21"/>
                <w:highlight w:val="none"/>
              </w:rPr>
            </w:pPr>
          </w:p>
        </w:tc>
        <w:tc>
          <w:tcPr>
            <w:tcW w:w="872" w:type="dxa"/>
            <w:noWrap w:val="0"/>
            <w:vAlign w:val="center"/>
          </w:tcPr>
          <w:p w14:paraId="259CA08F">
            <w:pPr>
              <w:spacing w:line="360" w:lineRule="auto"/>
              <w:jc w:val="center"/>
              <w:rPr>
                <w:color w:val="auto"/>
                <w:szCs w:val="21"/>
                <w:highlight w:val="none"/>
              </w:rPr>
            </w:pPr>
          </w:p>
        </w:tc>
        <w:tc>
          <w:tcPr>
            <w:tcW w:w="765" w:type="dxa"/>
            <w:noWrap w:val="0"/>
            <w:vAlign w:val="center"/>
          </w:tcPr>
          <w:p w14:paraId="0D9127F5">
            <w:pPr>
              <w:spacing w:line="360" w:lineRule="auto"/>
              <w:jc w:val="center"/>
              <w:rPr>
                <w:color w:val="auto"/>
                <w:szCs w:val="21"/>
                <w:highlight w:val="none"/>
              </w:rPr>
            </w:pPr>
          </w:p>
        </w:tc>
      </w:tr>
      <w:tr w14:paraId="66A54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91F4A47">
            <w:pPr>
              <w:spacing w:line="360" w:lineRule="auto"/>
              <w:jc w:val="center"/>
              <w:rPr>
                <w:color w:val="auto"/>
                <w:szCs w:val="21"/>
                <w:highlight w:val="none"/>
              </w:rPr>
            </w:pPr>
          </w:p>
        </w:tc>
        <w:tc>
          <w:tcPr>
            <w:tcW w:w="1064" w:type="dxa"/>
            <w:noWrap w:val="0"/>
            <w:vAlign w:val="center"/>
          </w:tcPr>
          <w:p w14:paraId="0775FE5D">
            <w:pPr>
              <w:spacing w:line="360" w:lineRule="auto"/>
              <w:jc w:val="center"/>
              <w:rPr>
                <w:color w:val="auto"/>
                <w:szCs w:val="21"/>
                <w:highlight w:val="none"/>
              </w:rPr>
            </w:pPr>
          </w:p>
        </w:tc>
        <w:tc>
          <w:tcPr>
            <w:tcW w:w="672" w:type="dxa"/>
            <w:noWrap w:val="0"/>
            <w:vAlign w:val="center"/>
          </w:tcPr>
          <w:p w14:paraId="660FDF83">
            <w:pPr>
              <w:spacing w:line="360" w:lineRule="auto"/>
              <w:jc w:val="center"/>
              <w:rPr>
                <w:color w:val="auto"/>
                <w:szCs w:val="21"/>
                <w:highlight w:val="none"/>
              </w:rPr>
            </w:pPr>
          </w:p>
        </w:tc>
        <w:tc>
          <w:tcPr>
            <w:tcW w:w="1022" w:type="dxa"/>
            <w:noWrap w:val="0"/>
            <w:vAlign w:val="center"/>
          </w:tcPr>
          <w:p w14:paraId="37C2C260">
            <w:pPr>
              <w:spacing w:line="360" w:lineRule="auto"/>
              <w:jc w:val="center"/>
              <w:rPr>
                <w:color w:val="auto"/>
                <w:szCs w:val="21"/>
                <w:highlight w:val="none"/>
              </w:rPr>
            </w:pPr>
          </w:p>
        </w:tc>
        <w:tc>
          <w:tcPr>
            <w:tcW w:w="709" w:type="dxa"/>
            <w:noWrap w:val="0"/>
            <w:vAlign w:val="center"/>
          </w:tcPr>
          <w:p w14:paraId="653080B1">
            <w:pPr>
              <w:spacing w:line="360" w:lineRule="auto"/>
              <w:jc w:val="center"/>
              <w:rPr>
                <w:color w:val="auto"/>
                <w:szCs w:val="21"/>
                <w:highlight w:val="none"/>
              </w:rPr>
            </w:pPr>
          </w:p>
        </w:tc>
        <w:tc>
          <w:tcPr>
            <w:tcW w:w="709" w:type="dxa"/>
            <w:noWrap w:val="0"/>
            <w:vAlign w:val="center"/>
          </w:tcPr>
          <w:p w14:paraId="10CB1240">
            <w:pPr>
              <w:spacing w:line="360" w:lineRule="auto"/>
              <w:jc w:val="center"/>
              <w:rPr>
                <w:color w:val="auto"/>
                <w:szCs w:val="21"/>
                <w:highlight w:val="none"/>
              </w:rPr>
            </w:pPr>
          </w:p>
        </w:tc>
        <w:tc>
          <w:tcPr>
            <w:tcW w:w="1176" w:type="dxa"/>
            <w:noWrap w:val="0"/>
            <w:vAlign w:val="center"/>
          </w:tcPr>
          <w:p w14:paraId="10BE76E3">
            <w:pPr>
              <w:spacing w:line="360" w:lineRule="auto"/>
              <w:jc w:val="center"/>
              <w:rPr>
                <w:color w:val="auto"/>
                <w:szCs w:val="21"/>
                <w:highlight w:val="none"/>
              </w:rPr>
            </w:pPr>
          </w:p>
        </w:tc>
        <w:tc>
          <w:tcPr>
            <w:tcW w:w="872" w:type="dxa"/>
            <w:noWrap w:val="0"/>
            <w:vAlign w:val="center"/>
          </w:tcPr>
          <w:p w14:paraId="0E1F9844">
            <w:pPr>
              <w:spacing w:line="360" w:lineRule="auto"/>
              <w:jc w:val="center"/>
              <w:rPr>
                <w:color w:val="auto"/>
                <w:szCs w:val="21"/>
                <w:highlight w:val="none"/>
              </w:rPr>
            </w:pPr>
          </w:p>
        </w:tc>
        <w:tc>
          <w:tcPr>
            <w:tcW w:w="872" w:type="dxa"/>
            <w:noWrap w:val="0"/>
            <w:vAlign w:val="center"/>
          </w:tcPr>
          <w:p w14:paraId="4BBA0A06">
            <w:pPr>
              <w:spacing w:line="360" w:lineRule="auto"/>
              <w:jc w:val="center"/>
              <w:rPr>
                <w:color w:val="auto"/>
                <w:szCs w:val="21"/>
                <w:highlight w:val="none"/>
              </w:rPr>
            </w:pPr>
          </w:p>
        </w:tc>
        <w:tc>
          <w:tcPr>
            <w:tcW w:w="765" w:type="dxa"/>
            <w:noWrap w:val="0"/>
            <w:vAlign w:val="center"/>
          </w:tcPr>
          <w:p w14:paraId="2CAB1DFB">
            <w:pPr>
              <w:spacing w:line="360" w:lineRule="auto"/>
              <w:jc w:val="center"/>
              <w:rPr>
                <w:color w:val="auto"/>
                <w:szCs w:val="21"/>
                <w:highlight w:val="none"/>
              </w:rPr>
            </w:pPr>
          </w:p>
        </w:tc>
      </w:tr>
      <w:tr w14:paraId="100F1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869099A">
            <w:pPr>
              <w:spacing w:line="360" w:lineRule="auto"/>
              <w:jc w:val="center"/>
              <w:rPr>
                <w:color w:val="auto"/>
                <w:szCs w:val="21"/>
                <w:highlight w:val="none"/>
              </w:rPr>
            </w:pPr>
          </w:p>
        </w:tc>
        <w:tc>
          <w:tcPr>
            <w:tcW w:w="1064" w:type="dxa"/>
            <w:noWrap w:val="0"/>
            <w:vAlign w:val="center"/>
          </w:tcPr>
          <w:p w14:paraId="17006DA2">
            <w:pPr>
              <w:spacing w:line="360" w:lineRule="auto"/>
              <w:jc w:val="center"/>
              <w:rPr>
                <w:color w:val="auto"/>
                <w:szCs w:val="21"/>
                <w:highlight w:val="none"/>
              </w:rPr>
            </w:pPr>
          </w:p>
        </w:tc>
        <w:tc>
          <w:tcPr>
            <w:tcW w:w="672" w:type="dxa"/>
            <w:noWrap w:val="0"/>
            <w:vAlign w:val="center"/>
          </w:tcPr>
          <w:p w14:paraId="78CC0FE0">
            <w:pPr>
              <w:spacing w:line="360" w:lineRule="auto"/>
              <w:jc w:val="center"/>
              <w:rPr>
                <w:color w:val="auto"/>
                <w:szCs w:val="21"/>
                <w:highlight w:val="none"/>
              </w:rPr>
            </w:pPr>
          </w:p>
        </w:tc>
        <w:tc>
          <w:tcPr>
            <w:tcW w:w="1022" w:type="dxa"/>
            <w:noWrap w:val="0"/>
            <w:vAlign w:val="center"/>
          </w:tcPr>
          <w:p w14:paraId="4DC4257F">
            <w:pPr>
              <w:spacing w:line="360" w:lineRule="auto"/>
              <w:jc w:val="center"/>
              <w:rPr>
                <w:color w:val="auto"/>
                <w:szCs w:val="21"/>
                <w:highlight w:val="none"/>
              </w:rPr>
            </w:pPr>
          </w:p>
        </w:tc>
        <w:tc>
          <w:tcPr>
            <w:tcW w:w="709" w:type="dxa"/>
            <w:noWrap w:val="0"/>
            <w:vAlign w:val="center"/>
          </w:tcPr>
          <w:p w14:paraId="68904286">
            <w:pPr>
              <w:spacing w:line="360" w:lineRule="auto"/>
              <w:jc w:val="center"/>
              <w:rPr>
                <w:color w:val="auto"/>
                <w:szCs w:val="21"/>
                <w:highlight w:val="none"/>
              </w:rPr>
            </w:pPr>
          </w:p>
        </w:tc>
        <w:tc>
          <w:tcPr>
            <w:tcW w:w="709" w:type="dxa"/>
            <w:noWrap w:val="0"/>
            <w:vAlign w:val="center"/>
          </w:tcPr>
          <w:p w14:paraId="0F5A0CF3">
            <w:pPr>
              <w:spacing w:line="360" w:lineRule="auto"/>
              <w:jc w:val="center"/>
              <w:rPr>
                <w:color w:val="auto"/>
                <w:szCs w:val="21"/>
                <w:highlight w:val="none"/>
              </w:rPr>
            </w:pPr>
          </w:p>
        </w:tc>
        <w:tc>
          <w:tcPr>
            <w:tcW w:w="1176" w:type="dxa"/>
            <w:noWrap w:val="0"/>
            <w:vAlign w:val="center"/>
          </w:tcPr>
          <w:p w14:paraId="09EF5124">
            <w:pPr>
              <w:spacing w:line="360" w:lineRule="auto"/>
              <w:jc w:val="center"/>
              <w:rPr>
                <w:color w:val="auto"/>
                <w:szCs w:val="21"/>
                <w:highlight w:val="none"/>
              </w:rPr>
            </w:pPr>
          </w:p>
        </w:tc>
        <w:tc>
          <w:tcPr>
            <w:tcW w:w="872" w:type="dxa"/>
            <w:noWrap w:val="0"/>
            <w:vAlign w:val="center"/>
          </w:tcPr>
          <w:p w14:paraId="527AEBBD">
            <w:pPr>
              <w:spacing w:line="360" w:lineRule="auto"/>
              <w:jc w:val="center"/>
              <w:rPr>
                <w:color w:val="auto"/>
                <w:szCs w:val="21"/>
                <w:highlight w:val="none"/>
              </w:rPr>
            </w:pPr>
          </w:p>
        </w:tc>
        <w:tc>
          <w:tcPr>
            <w:tcW w:w="872" w:type="dxa"/>
            <w:noWrap w:val="0"/>
            <w:vAlign w:val="center"/>
          </w:tcPr>
          <w:p w14:paraId="6A95BB3E">
            <w:pPr>
              <w:spacing w:line="360" w:lineRule="auto"/>
              <w:jc w:val="center"/>
              <w:rPr>
                <w:color w:val="auto"/>
                <w:szCs w:val="21"/>
                <w:highlight w:val="none"/>
              </w:rPr>
            </w:pPr>
          </w:p>
        </w:tc>
        <w:tc>
          <w:tcPr>
            <w:tcW w:w="765" w:type="dxa"/>
            <w:noWrap w:val="0"/>
            <w:vAlign w:val="center"/>
          </w:tcPr>
          <w:p w14:paraId="3E056B6B">
            <w:pPr>
              <w:spacing w:line="360" w:lineRule="auto"/>
              <w:jc w:val="center"/>
              <w:rPr>
                <w:color w:val="auto"/>
                <w:szCs w:val="21"/>
                <w:highlight w:val="none"/>
              </w:rPr>
            </w:pPr>
          </w:p>
        </w:tc>
      </w:tr>
      <w:tr w14:paraId="00548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B02CCBF">
            <w:pPr>
              <w:spacing w:line="360" w:lineRule="auto"/>
              <w:jc w:val="center"/>
              <w:rPr>
                <w:color w:val="auto"/>
                <w:szCs w:val="21"/>
                <w:highlight w:val="none"/>
              </w:rPr>
            </w:pPr>
          </w:p>
        </w:tc>
        <w:tc>
          <w:tcPr>
            <w:tcW w:w="1064" w:type="dxa"/>
            <w:noWrap w:val="0"/>
            <w:vAlign w:val="center"/>
          </w:tcPr>
          <w:p w14:paraId="49297BA1">
            <w:pPr>
              <w:spacing w:line="360" w:lineRule="auto"/>
              <w:jc w:val="center"/>
              <w:rPr>
                <w:color w:val="auto"/>
                <w:szCs w:val="21"/>
                <w:highlight w:val="none"/>
              </w:rPr>
            </w:pPr>
          </w:p>
        </w:tc>
        <w:tc>
          <w:tcPr>
            <w:tcW w:w="672" w:type="dxa"/>
            <w:noWrap w:val="0"/>
            <w:vAlign w:val="center"/>
          </w:tcPr>
          <w:p w14:paraId="0071B7F8">
            <w:pPr>
              <w:spacing w:line="360" w:lineRule="auto"/>
              <w:jc w:val="center"/>
              <w:rPr>
                <w:color w:val="auto"/>
                <w:szCs w:val="21"/>
                <w:highlight w:val="none"/>
              </w:rPr>
            </w:pPr>
          </w:p>
        </w:tc>
        <w:tc>
          <w:tcPr>
            <w:tcW w:w="1022" w:type="dxa"/>
            <w:noWrap w:val="0"/>
            <w:vAlign w:val="center"/>
          </w:tcPr>
          <w:p w14:paraId="6845C79F">
            <w:pPr>
              <w:spacing w:line="360" w:lineRule="auto"/>
              <w:jc w:val="center"/>
              <w:rPr>
                <w:color w:val="auto"/>
                <w:szCs w:val="21"/>
                <w:highlight w:val="none"/>
              </w:rPr>
            </w:pPr>
          </w:p>
        </w:tc>
        <w:tc>
          <w:tcPr>
            <w:tcW w:w="709" w:type="dxa"/>
            <w:noWrap w:val="0"/>
            <w:vAlign w:val="center"/>
          </w:tcPr>
          <w:p w14:paraId="60495DAC">
            <w:pPr>
              <w:spacing w:line="360" w:lineRule="auto"/>
              <w:jc w:val="center"/>
              <w:rPr>
                <w:color w:val="auto"/>
                <w:szCs w:val="21"/>
                <w:highlight w:val="none"/>
              </w:rPr>
            </w:pPr>
          </w:p>
        </w:tc>
        <w:tc>
          <w:tcPr>
            <w:tcW w:w="709" w:type="dxa"/>
            <w:noWrap w:val="0"/>
            <w:vAlign w:val="center"/>
          </w:tcPr>
          <w:p w14:paraId="4F60AFA9">
            <w:pPr>
              <w:spacing w:line="360" w:lineRule="auto"/>
              <w:jc w:val="center"/>
              <w:rPr>
                <w:color w:val="auto"/>
                <w:szCs w:val="21"/>
                <w:highlight w:val="none"/>
              </w:rPr>
            </w:pPr>
          </w:p>
        </w:tc>
        <w:tc>
          <w:tcPr>
            <w:tcW w:w="1176" w:type="dxa"/>
            <w:noWrap w:val="0"/>
            <w:vAlign w:val="center"/>
          </w:tcPr>
          <w:p w14:paraId="0C5AA6D7">
            <w:pPr>
              <w:spacing w:line="360" w:lineRule="auto"/>
              <w:jc w:val="center"/>
              <w:rPr>
                <w:color w:val="auto"/>
                <w:szCs w:val="21"/>
                <w:highlight w:val="none"/>
              </w:rPr>
            </w:pPr>
          </w:p>
        </w:tc>
        <w:tc>
          <w:tcPr>
            <w:tcW w:w="872" w:type="dxa"/>
            <w:noWrap w:val="0"/>
            <w:vAlign w:val="center"/>
          </w:tcPr>
          <w:p w14:paraId="284D6373">
            <w:pPr>
              <w:spacing w:line="360" w:lineRule="auto"/>
              <w:jc w:val="center"/>
              <w:rPr>
                <w:color w:val="auto"/>
                <w:szCs w:val="21"/>
                <w:highlight w:val="none"/>
              </w:rPr>
            </w:pPr>
          </w:p>
        </w:tc>
        <w:tc>
          <w:tcPr>
            <w:tcW w:w="872" w:type="dxa"/>
            <w:noWrap w:val="0"/>
            <w:vAlign w:val="center"/>
          </w:tcPr>
          <w:p w14:paraId="26D0A4F8">
            <w:pPr>
              <w:spacing w:line="360" w:lineRule="auto"/>
              <w:jc w:val="center"/>
              <w:rPr>
                <w:color w:val="auto"/>
                <w:szCs w:val="21"/>
                <w:highlight w:val="none"/>
              </w:rPr>
            </w:pPr>
          </w:p>
        </w:tc>
        <w:tc>
          <w:tcPr>
            <w:tcW w:w="765" w:type="dxa"/>
            <w:noWrap w:val="0"/>
            <w:vAlign w:val="center"/>
          </w:tcPr>
          <w:p w14:paraId="49A5C8C4">
            <w:pPr>
              <w:spacing w:line="360" w:lineRule="auto"/>
              <w:jc w:val="center"/>
              <w:rPr>
                <w:color w:val="auto"/>
                <w:szCs w:val="21"/>
                <w:highlight w:val="none"/>
              </w:rPr>
            </w:pPr>
          </w:p>
        </w:tc>
      </w:tr>
      <w:tr w14:paraId="5D824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13A24FC">
            <w:pPr>
              <w:spacing w:line="360" w:lineRule="auto"/>
              <w:jc w:val="center"/>
              <w:rPr>
                <w:color w:val="auto"/>
                <w:szCs w:val="21"/>
                <w:highlight w:val="none"/>
              </w:rPr>
            </w:pPr>
          </w:p>
        </w:tc>
        <w:tc>
          <w:tcPr>
            <w:tcW w:w="1064" w:type="dxa"/>
            <w:noWrap w:val="0"/>
            <w:vAlign w:val="center"/>
          </w:tcPr>
          <w:p w14:paraId="34FE6663">
            <w:pPr>
              <w:spacing w:line="360" w:lineRule="auto"/>
              <w:jc w:val="center"/>
              <w:rPr>
                <w:color w:val="auto"/>
                <w:szCs w:val="21"/>
                <w:highlight w:val="none"/>
              </w:rPr>
            </w:pPr>
          </w:p>
        </w:tc>
        <w:tc>
          <w:tcPr>
            <w:tcW w:w="672" w:type="dxa"/>
            <w:noWrap w:val="0"/>
            <w:vAlign w:val="center"/>
          </w:tcPr>
          <w:p w14:paraId="5FB2661A">
            <w:pPr>
              <w:spacing w:line="360" w:lineRule="auto"/>
              <w:jc w:val="center"/>
              <w:rPr>
                <w:color w:val="auto"/>
                <w:szCs w:val="21"/>
                <w:highlight w:val="none"/>
              </w:rPr>
            </w:pPr>
          </w:p>
        </w:tc>
        <w:tc>
          <w:tcPr>
            <w:tcW w:w="1022" w:type="dxa"/>
            <w:noWrap w:val="0"/>
            <w:vAlign w:val="center"/>
          </w:tcPr>
          <w:p w14:paraId="5FE5B675">
            <w:pPr>
              <w:spacing w:line="360" w:lineRule="auto"/>
              <w:jc w:val="center"/>
              <w:rPr>
                <w:color w:val="auto"/>
                <w:szCs w:val="21"/>
                <w:highlight w:val="none"/>
              </w:rPr>
            </w:pPr>
          </w:p>
        </w:tc>
        <w:tc>
          <w:tcPr>
            <w:tcW w:w="709" w:type="dxa"/>
            <w:noWrap w:val="0"/>
            <w:vAlign w:val="center"/>
          </w:tcPr>
          <w:p w14:paraId="0A9EE20C">
            <w:pPr>
              <w:spacing w:line="360" w:lineRule="auto"/>
              <w:jc w:val="center"/>
              <w:rPr>
                <w:color w:val="auto"/>
                <w:szCs w:val="21"/>
                <w:highlight w:val="none"/>
              </w:rPr>
            </w:pPr>
          </w:p>
        </w:tc>
        <w:tc>
          <w:tcPr>
            <w:tcW w:w="709" w:type="dxa"/>
            <w:noWrap w:val="0"/>
            <w:vAlign w:val="center"/>
          </w:tcPr>
          <w:p w14:paraId="4F7BB22E">
            <w:pPr>
              <w:spacing w:line="360" w:lineRule="auto"/>
              <w:jc w:val="center"/>
              <w:rPr>
                <w:color w:val="auto"/>
                <w:szCs w:val="21"/>
                <w:highlight w:val="none"/>
              </w:rPr>
            </w:pPr>
          </w:p>
        </w:tc>
        <w:tc>
          <w:tcPr>
            <w:tcW w:w="1176" w:type="dxa"/>
            <w:noWrap w:val="0"/>
            <w:vAlign w:val="center"/>
          </w:tcPr>
          <w:p w14:paraId="5883A791">
            <w:pPr>
              <w:spacing w:line="360" w:lineRule="auto"/>
              <w:jc w:val="center"/>
              <w:rPr>
                <w:color w:val="auto"/>
                <w:szCs w:val="21"/>
                <w:highlight w:val="none"/>
              </w:rPr>
            </w:pPr>
          </w:p>
        </w:tc>
        <w:tc>
          <w:tcPr>
            <w:tcW w:w="872" w:type="dxa"/>
            <w:noWrap w:val="0"/>
            <w:vAlign w:val="center"/>
          </w:tcPr>
          <w:p w14:paraId="575ECC88">
            <w:pPr>
              <w:spacing w:line="360" w:lineRule="auto"/>
              <w:jc w:val="center"/>
              <w:rPr>
                <w:color w:val="auto"/>
                <w:szCs w:val="21"/>
                <w:highlight w:val="none"/>
              </w:rPr>
            </w:pPr>
          </w:p>
        </w:tc>
        <w:tc>
          <w:tcPr>
            <w:tcW w:w="872" w:type="dxa"/>
            <w:noWrap w:val="0"/>
            <w:vAlign w:val="center"/>
          </w:tcPr>
          <w:p w14:paraId="3EC368AF">
            <w:pPr>
              <w:spacing w:line="360" w:lineRule="auto"/>
              <w:jc w:val="center"/>
              <w:rPr>
                <w:color w:val="auto"/>
                <w:szCs w:val="21"/>
                <w:highlight w:val="none"/>
              </w:rPr>
            </w:pPr>
          </w:p>
        </w:tc>
        <w:tc>
          <w:tcPr>
            <w:tcW w:w="765" w:type="dxa"/>
            <w:noWrap w:val="0"/>
            <w:vAlign w:val="center"/>
          </w:tcPr>
          <w:p w14:paraId="1B0672C1">
            <w:pPr>
              <w:spacing w:line="360" w:lineRule="auto"/>
              <w:jc w:val="center"/>
              <w:rPr>
                <w:color w:val="auto"/>
                <w:szCs w:val="21"/>
                <w:highlight w:val="none"/>
              </w:rPr>
            </w:pPr>
          </w:p>
        </w:tc>
      </w:tr>
      <w:tr w14:paraId="10533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C6C7CA1">
            <w:pPr>
              <w:spacing w:line="360" w:lineRule="auto"/>
              <w:jc w:val="center"/>
              <w:rPr>
                <w:color w:val="auto"/>
                <w:szCs w:val="21"/>
                <w:highlight w:val="none"/>
              </w:rPr>
            </w:pPr>
          </w:p>
        </w:tc>
        <w:tc>
          <w:tcPr>
            <w:tcW w:w="1064" w:type="dxa"/>
            <w:noWrap w:val="0"/>
            <w:vAlign w:val="center"/>
          </w:tcPr>
          <w:p w14:paraId="4F84F82A">
            <w:pPr>
              <w:spacing w:line="360" w:lineRule="auto"/>
              <w:jc w:val="center"/>
              <w:rPr>
                <w:color w:val="auto"/>
                <w:szCs w:val="21"/>
                <w:highlight w:val="none"/>
              </w:rPr>
            </w:pPr>
          </w:p>
        </w:tc>
        <w:tc>
          <w:tcPr>
            <w:tcW w:w="672" w:type="dxa"/>
            <w:noWrap w:val="0"/>
            <w:vAlign w:val="center"/>
          </w:tcPr>
          <w:p w14:paraId="24DD3972">
            <w:pPr>
              <w:spacing w:line="360" w:lineRule="auto"/>
              <w:jc w:val="center"/>
              <w:rPr>
                <w:color w:val="auto"/>
                <w:szCs w:val="21"/>
                <w:highlight w:val="none"/>
              </w:rPr>
            </w:pPr>
          </w:p>
        </w:tc>
        <w:tc>
          <w:tcPr>
            <w:tcW w:w="1022" w:type="dxa"/>
            <w:noWrap w:val="0"/>
            <w:vAlign w:val="center"/>
          </w:tcPr>
          <w:p w14:paraId="5DC1F0D1">
            <w:pPr>
              <w:spacing w:line="360" w:lineRule="auto"/>
              <w:jc w:val="center"/>
              <w:rPr>
                <w:color w:val="auto"/>
                <w:szCs w:val="21"/>
                <w:highlight w:val="none"/>
              </w:rPr>
            </w:pPr>
          </w:p>
        </w:tc>
        <w:tc>
          <w:tcPr>
            <w:tcW w:w="709" w:type="dxa"/>
            <w:noWrap w:val="0"/>
            <w:vAlign w:val="center"/>
          </w:tcPr>
          <w:p w14:paraId="52B21A49">
            <w:pPr>
              <w:spacing w:line="360" w:lineRule="auto"/>
              <w:jc w:val="center"/>
              <w:rPr>
                <w:color w:val="auto"/>
                <w:szCs w:val="21"/>
                <w:highlight w:val="none"/>
              </w:rPr>
            </w:pPr>
          </w:p>
        </w:tc>
        <w:tc>
          <w:tcPr>
            <w:tcW w:w="709" w:type="dxa"/>
            <w:noWrap w:val="0"/>
            <w:vAlign w:val="center"/>
          </w:tcPr>
          <w:p w14:paraId="28E35AF0">
            <w:pPr>
              <w:spacing w:line="360" w:lineRule="auto"/>
              <w:jc w:val="center"/>
              <w:rPr>
                <w:color w:val="auto"/>
                <w:szCs w:val="21"/>
                <w:highlight w:val="none"/>
              </w:rPr>
            </w:pPr>
          </w:p>
        </w:tc>
        <w:tc>
          <w:tcPr>
            <w:tcW w:w="1176" w:type="dxa"/>
            <w:noWrap w:val="0"/>
            <w:vAlign w:val="center"/>
          </w:tcPr>
          <w:p w14:paraId="4285DAF4">
            <w:pPr>
              <w:spacing w:line="360" w:lineRule="auto"/>
              <w:jc w:val="center"/>
              <w:rPr>
                <w:color w:val="auto"/>
                <w:szCs w:val="21"/>
                <w:highlight w:val="none"/>
              </w:rPr>
            </w:pPr>
          </w:p>
        </w:tc>
        <w:tc>
          <w:tcPr>
            <w:tcW w:w="872" w:type="dxa"/>
            <w:noWrap w:val="0"/>
            <w:vAlign w:val="center"/>
          </w:tcPr>
          <w:p w14:paraId="6C42A5BA">
            <w:pPr>
              <w:spacing w:line="360" w:lineRule="auto"/>
              <w:jc w:val="center"/>
              <w:rPr>
                <w:color w:val="auto"/>
                <w:szCs w:val="21"/>
                <w:highlight w:val="none"/>
              </w:rPr>
            </w:pPr>
          </w:p>
        </w:tc>
        <w:tc>
          <w:tcPr>
            <w:tcW w:w="872" w:type="dxa"/>
            <w:noWrap w:val="0"/>
            <w:vAlign w:val="center"/>
          </w:tcPr>
          <w:p w14:paraId="554FBEA5">
            <w:pPr>
              <w:spacing w:line="360" w:lineRule="auto"/>
              <w:jc w:val="center"/>
              <w:rPr>
                <w:color w:val="auto"/>
                <w:szCs w:val="21"/>
                <w:highlight w:val="none"/>
              </w:rPr>
            </w:pPr>
          </w:p>
        </w:tc>
        <w:tc>
          <w:tcPr>
            <w:tcW w:w="765" w:type="dxa"/>
            <w:noWrap w:val="0"/>
            <w:vAlign w:val="center"/>
          </w:tcPr>
          <w:p w14:paraId="245D5756">
            <w:pPr>
              <w:spacing w:line="360" w:lineRule="auto"/>
              <w:jc w:val="center"/>
              <w:rPr>
                <w:color w:val="auto"/>
                <w:szCs w:val="21"/>
                <w:highlight w:val="none"/>
              </w:rPr>
            </w:pPr>
          </w:p>
        </w:tc>
      </w:tr>
      <w:tr w14:paraId="58177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10C4CB6">
            <w:pPr>
              <w:spacing w:line="360" w:lineRule="auto"/>
              <w:jc w:val="center"/>
              <w:rPr>
                <w:color w:val="auto"/>
                <w:szCs w:val="21"/>
                <w:highlight w:val="none"/>
              </w:rPr>
            </w:pPr>
          </w:p>
        </w:tc>
        <w:tc>
          <w:tcPr>
            <w:tcW w:w="1064" w:type="dxa"/>
            <w:noWrap w:val="0"/>
            <w:vAlign w:val="center"/>
          </w:tcPr>
          <w:p w14:paraId="28F2145D">
            <w:pPr>
              <w:spacing w:line="360" w:lineRule="auto"/>
              <w:jc w:val="center"/>
              <w:rPr>
                <w:color w:val="auto"/>
                <w:szCs w:val="21"/>
                <w:highlight w:val="none"/>
              </w:rPr>
            </w:pPr>
          </w:p>
        </w:tc>
        <w:tc>
          <w:tcPr>
            <w:tcW w:w="672" w:type="dxa"/>
            <w:noWrap w:val="0"/>
            <w:vAlign w:val="center"/>
          </w:tcPr>
          <w:p w14:paraId="70C74F22">
            <w:pPr>
              <w:spacing w:line="360" w:lineRule="auto"/>
              <w:jc w:val="center"/>
              <w:rPr>
                <w:color w:val="auto"/>
                <w:szCs w:val="21"/>
                <w:highlight w:val="none"/>
              </w:rPr>
            </w:pPr>
          </w:p>
        </w:tc>
        <w:tc>
          <w:tcPr>
            <w:tcW w:w="1022" w:type="dxa"/>
            <w:noWrap w:val="0"/>
            <w:vAlign w:val="center"/>
          </w:tcPr>
          <w:p w14:paraId="151938F7">
            <w:pPr>
              <w:spacing w:line="360" w:lineRule="auto"/>
              <w:jc w:val="center"/>
              <w:rPr>
                <w:color w:val="auto"/>
                <w:szCs w:val="21"/>
                <w:highlight w:val="none"/>
              </w:rPr>
            </w:pPr>
          </w:p>
        </w:tc>
        <w:tc>
          <w:tcPr>
            <w:tcW w:w="709" w:type="dxa"/>
            <w:noWrap w:val="0"/>
            <w:vAlign w:val="center"/>
          </w:tcPr>
          <w:p w14:paraId="12174196">
            <w:pPr>
              <w:spacing w:line="360" w:lineRule="auto"/>
              <w:jc w:val="center"/>
              <w:rPr>
                <w:color w:val="auto"/>
                <w:szCs w:val="21"/>
                <w:highlight w:val="none"/>
              </w:rPr>
            </w:pPr>
          </w:p>
        </w:tc>
        <w:tc>
          <w:tcPr>
            <w:tcW w:w="709" w:type="dxa"/>
            <w:noWrap w:val="0"/>
            <w:vAlign w:val="center"/>
          </w:tcPr>
          <w:p w14:paraId="1B859276">
            <w:pPr>
              <w:spacing w:line="360" w:lineRule="auto"/>
              <w:jc w:val="center"/>
              <w:rPr>
                <w:color w:val="auto"/>
                <w:szCs w:val="21"/>
                <w:highlight w:val="none"/>
              </w:rPr>
            </w:pPr>
          </w:p>
        </w:tc>
        <w:tc>
          <w:tcPr>
            <w:tcW w:w="1176" w:type="dxa"/>
            <w:noWrap w:val="0"/>
            <w:vAlign w:val="center"/>
          </w:tcPr>
          <w:p w14:paraId="6AA07536">
            <w:pPr>
              <w:spacing w:line="360" w:lineRule="auto"/>
              <w:jc w:val="center"/>
              <w:rPr>
                <w:color w:val="auto"/>
                <w:szCs w:val="21"/>
                <w:highlight w:val="none"/>
              </w:rPr>
            </w:pPr>
          </w:p>
        </w:tc>
        <w:tc>
          <w:tcPr>
            <w:tcW w:w="872" w:type="dxa"/>
            <w:noWrap w:val="0"/>
            <w:vAlign w:val="center"/>
          </w:tcPr>
          <w:p w14:paraId="013DF8FE">
            <w:pPr>
              <w:spacing w:line="360" w:lineRule="auto"/>
              <w:jc w:val="center"/>
              <w:rPr>
                <w:color w:val="auto"/>
                <w:szCs w:val="21"/>
                <w:highlight w:val="none"/>
              </w:rPr>
            </w:pPr>
          </w:p>
        </w:tc>
        <w:tc>
          <w:tcPr>
            <w:tcW w:w="872" w:type="dxa"/>
            <w:noWrap w:val="0"/>
            <w:vAlign w:val="center"/>
          </w:tcPr>
          <w:p w14:paraId="129173BD">
            <w:pPr>
              <w:spacing w:line="360" w:lineRule="auto"/>
              <w:jc w:val="center"/>
              <w:rPr>
                <w:color w:val="auto"/>
                <w:szCs w:val="21"/>
                <w:highlight w:val="none"/>
              </w:rPr>
            </w:pPr>
          </w:p>
        </w:tc>
        <w:tc>
          <w:tcPr>
            <w:tcW w:w="765" w:type="dxa"/>
            <w:noWrap w:val="0"/>
            <w:vAlign w:val="center"/>
          </w:tcPr>
          <w:p w14:paraId="51A1ECFA">
            <w:pPr>
              <w:spacing w:line="360" w:lineRule="auto"/>
              <w:jc w:val="center"/>
              <w:rPr>
                <w:color w:val="auto"/>
                <w:szCs w:val="21"/>
                <w:highlight w:val="none"/>
              </w:rPr>
            </w:pPr>
          </w:p>
        </w:tc>
      </w:tr>
      <w:tr w14:paraId="03C2D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AE872C4">
            <w:pPr>
              <w:spacing w:line="360" w:lineRule="auto"/>
              <w:jc w:val="center"/>
              <w:rPr>
                <w:color w:val="auto"/>
                <w:szCs w:val="21"/>
                <w:highlight w:val="none"/>
              </w:rPr>
            </w:pPr>
          </w:p>
        </w:tc>
        <w:tc>
          <w:tcPr>
            <w:tcW w:w="1064" w:type="dxa"/>
            <w:noWrap w:val="0"/>
            <w:vAlign w:val="center"/>
          </w:tcPr>
          <w:p w14:paraId="0760496B">
            <w:pPr>
              <w:spacing w:line="360" w:lineRule="auto"/>
              <w:jc w:val="center"/>
              <w:rPr>
                <w:color w:val="auto"/>
                <w:szCs w:val="21"/>
                <w:highlight w:val="none"/>
              </w:rPr>
            </w:pPr>
          </w:p>
        </w:tc>
        <w:tc>
          <w:tcPr>
            <w:tcW w:w="672" w:type="dxa"/>
            <w:noWrap w:val="0"/>
            <w:vAlign w:val="center"/>
          </w:tcPr>
          <w:p w14:paraId="278C6CF5">
            <w:pPr>
              <w:spacing w:line="360" w:lineRule="auto"/>
              <w:jc w:val="center"/>
              <w:rPr>
                <w:color w:val="auto"/>
                <w:szCs w:val="21"/>
                <w:highlight w:val="none"/>
              </w:rPr>
            </w:pPr>
          </w:p>
        </w:tc>
        <w:tc>
          <w:tcPr>
            <w:tcW w:w="1022" w:type="dxa"/>
            <w:noWrap w:val="0"/>
            <w:vAlign w:val="center"/>
          </w:tcPr>
          <w:p w14:paraId="69FD96D1">
            <w:pPr>
              <w:spacing w:line="360" w:lineRule="auto"/>
              <w:jc w:val="center"/>
              <w:rPr>
                <w:color w:val="auto"/>
                <w:szCs w:val="21"/>
                <w:highlight w:val="none"/>
              </w:rPr>
            </w:pPr>
          </w:p>
        </w:tc>
        <w:tc>
          <w:tcPr>
            <w:tcW w:w="709" w:type="dxa"/>
            <w:noWrap w:val="0"/>
            <w:vAlign w:val="center"/>
          </w:tcPr>
          <w:p w14:paraId="32899A16">
            <w:pPr>
              <w:spacing w:line="360" w:lineRule="auto"/>
              <w:jc w:val="center"/>
              <w:rPr>
                <w:color w:val="auto"/>
                <w:szCs w:val="21"/>
                <w:highlight w:val="none"/>
              </w:rPr>
            </w:pPr>
          </w:p>
        </w:tc>
        <w:tc>
          <w:tcPr>
            <w:tcW w:w="709" w:type="dxa"/>
            <w:noWrap w:val="0"/>
            <w:vAlign w:val="center"/>
          </w:tcPr>
          <w:p w14:paraId="7D55D18C">
            <w:pPr>
              <w:spacing w:line="360" w:lineRule="auto"/>
              <w:jc w:val="center"/>
              <w:rPr>
                <w:color w:val="auto"/>
                <w:szCs w:val="21"/>
                <w:highlight w:val="none"/>
              </w:rPr>
            </w:pPr>
          </w:p>
        </w:tc>
        <w:tc>
          <w:tcPr>
            <w:tcW w:w="1176" w:type="dxa"/>
            <w:noWrap w:val="0"/>
            <w:vAlign w:val="center"/>
          </w:tcPr>
          <w:p w14:paraId="4B97BE4C">
            <w:pPr>
              <w:spacing w:line="360" w:lineRule="auto"/>
              <w:jc w:val="center"/>
              <w:rPr>
                <w:color w:val="auto"/>
                <w:szCs w:val="21"/>
                <w:highlight w:val="none"/>
              </w:rPr>
            </w:pPr>
          </w:p>
        </w:tc>
        <w:tc>
          <w:tcPr>
            <w:tcW w:w="872" w:type="dxa"/>
            <w:noWrap w:val="0"/>
            <w:vAlign w:val="center"/>
          </w:tcPr>
          <w:p w14:paraId="2A97547B">
            <w:pPr>
              <w:spacing w:line="360" w:lineRule="auto"/>
              <w:jc w:val="center"/>
              <w:rPr>
                <w:color w:val="auto"/>
                <w:szCs w:val="21"/>
                <w:highlight w:val="none"/>
              </w:rPr>
            </w:pPr>
          </w:p>
        </w:tc>
        <w:tc>
          <w:tcPr>
            <w:tcW w:w="872" w:type="dxa"/>
            <w:noWrap w:val="0"/>
            <w:vAlign w:val="center"/>
          </w:tcPr>
          <w:p w14:paraId="549BEA40">
            <w:pPr>
              <w:spacing w:line="360" w:lineRule="auto"/>
              <w:jc w:val="center"/>
              <w:rPr>
                <w:color w:val="auto"/>
                <w:szCs w:val="21"/>
                <w:highlight w:val="none"/>
              </w:rPr>
            </w:pPr>
          </w:p>
        </w:tc>
        <w:tc>
          <w:tcPr>
            <w:tcW w:w="765" w:type="dxa"/>
            <w:noWrap w:val="0"/>
            <w:vAlign w:val="center"/>
          </w:tcPr>
          <w:p w14:paraId="69F880D3">
            <w:pPr>
              <w:spacing w:line="360" w:lineRule="auto"/>
              <w:jc w:val="center"/>
              <w:rPr>
                <w:color w:val="auto"/>
                <w:szCs w:val="21"/>
                <w:highlight w:val="none"/>
              </w:rPr>
            </w:pPr>
          </w:p>
        </w:tc>
      </w:tr>
      <w:tr w14:paraId="1A7B0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484B214">
            <w:pPr>
              <w:spacing w:line="360" w:lineRule="auto"/>
              <w:jc w:val="center"/>
              <w:rPr>
                <w:color w:val="auto"/>
                <w:szCs w:val="21"/>
                <w:highlight w:val="none"/>
              </w:rPr>
            </w:pPr>
          </w:p>
        </w:tc>
        <w:tc>
          <w:tcPr>
            <w:tcW w:w="1064" w:type="dxa"/>
            <w:noWrap w:val="0"/>
            <w:vAlign w:val="center"/>
          </w:tcPr>
          <w:p w14:paraId="0DA04E04">
            <w:pPr>
              <w:spacing w:line="360" w:lineRule="auto"/>
              <w:jc w:val="center"/>
              <w:rPr>
                <w:color w:val="auto"/>
                <w:szCs w:val="21"/>
                <w:highlight w:val="none"/>
              </w:rPr>
            </w:pPr>
          </w:p>
        </w:tc>
        <w:tc>
          <w:tcPr>
            <w:tcW w:w="672" w:type="dxa"/>
            <w:noWrap w:val="0"/>
            <w:vAlign w:val="center"/>
          </w:tcPr>
          <w:p w14:paraId="2313FBC7">
            <w:pPr>
              <w:spacing w:line="360" w:lineRule="auto"/>
              <w:jc w:val="center"/>
              <w:rPr>
                <w:color w:val="auto"/>
                <w:szCs w:val="21"/>
                <w:highlight w:val="none"/>
              </w:rPr>
            </w:pPr>
          </w:p>
        </w:tc>
        <w:tc>
          <w:tcPr>
            <w:tcW w:w="1022" w:type="dxa"/>
            <w:noWrap w:val="0"/>
            <w:vAlign w:val="center"/>
          </w:tcPr>
          <w:p w14:paraId="26011C6F">
            <w:pPr>
              <w:spacing w:line="360" w:lineRule="auto"/>
              <w:jc w:val="center"/>
              <w:rPr>
                <w:color w:val="auto"/>
                <w:szCs w:val="21"/>
                <w:highlight w:val="none"/>
              </w:rPr>
            </w:pPr>
          </w:p>
        </w:tc>
        <w:tc>
          <w:tcPr>
            <w:tcW w:w="709" w:type="dxa"/>
            <w:noWrap w:val="0"/>
            <w:vAlign w:val="center"/>
          </w:tcPr>
          <w:p w14:paraId="150AE6EA">
            <w:pPr>
              <w:spacing w:line="360" w:lineRule="auto"/>
              <w:jc w:val="center"/>
              <w:rPr>
                <w:color w:val="auto"/>
                <w:szCs w:val="21"/>
                <w:highlight w:val="none"/>
              </w:rPr>
            </w:pPr>
          </w:p>
        </w:tc>
        <w:tc>
          <w:tcPr>
            <w:tcW w:w="709" w:type="dxa"/>
            <w:noWrap w:val="0"/>
            <w:vAlign w:val="center"/>
          </w:tcPr>
          <w:p w14:paraId="63FA4B79">
            <w:pPr>
              <w:spacing w:line="360" w:lineRule="auto"/>
              <w:jc w:val="center"/>
              <w:rPr>
                <w:color w:val="auto"/>
                <w:szCs w:val="21"/>
                <w:highlight w:val="none"/>
              </w:rPr>
            </w:pPr>
          </w:p>
        </w:tc>
        <w:tc>
          <w:tcPr>
            <w:tcW w:w="1176" w:type="dxa"/>
            <w:noWrap w:val="0"/>
            <w:vAlign w:val="center"/>
          </w:tcPr>
          <w:p w14:paraId="20CE6D34">
            <w:pPr>
              <w:spacing w:line="360" w:lineRule="auto"/>
              <w:jc w:val="center"/>
              <w:rPr>
                <w:color w:val="auto"/>
                <w:szCs w:val="21"/>
                <w:highlight w:val="none"/>
              </w:rPr>
            </w:pPr>
          </w:p>
        </w:tc>
        <w:tc>
          <w:tcPr>
            <w:tcW w:w="872" w:type="dxa"/>
            <w:noWrap w:val="0"/>
            <w:vAlign w:val="center"/>
          </w:tcPr>
          <w:p w14:paraId="312A97B8">
            <w:pPr>
              <w:spacing w:line="360" w:lineRule="auto"/>
              <w:jc w:val="center"/>
              <w:rPr>
                <w:color w:val="auto"/>
                <w:szCs w:val="21"/>
                <w:highlight w:val="none"/>
              </w:rPr>
            </w:pPr>
          </w:p>
        </w:tc>
        <w:tc>
          <w:tcPr>
            <w:tcW w:w="872" w:type="dxa"/>
            <w:noWrap w:val="0"/>
            <w:vAlign w:val="center"/>
          </w:tcPr>
          <w:p w14:paraId="1A484147">
            <w:pPr>
              <w:spacing w:line="360" w:lineRule="auto"/>
              <w:jc w:val="center"/>
              <w:rPr>
                <w:color w:val="auto"/>
                <w:szCs w:val="21"/>
                <w:highlight w:val="none"/>
              </w:rPr>
            </w:pPr>
          </w:p>
        </w:tc>
        <w:tc>
          <w:tcPr>
            <w:tcW w:w="765" w:type="dxa"/>
            <w:noWrap w:val="0"/>
            <w:vAlign w:val="center"/>
          </w:tcPr>
          <w:p w14:paraId="103E539B">
            <w:pPr>
              <w:spacing w:line="360" w:lineRule="auto"/>
              <w:jc w:val="center"/>
              <w:rPr>
                <w:color w:val="auto"/>
                <w:szCs w:val="21"/>
                <w:highlight w:val="none"/>
              </w:rPr>
            </w:pPr>
          </w:p>
        </w:tc>
      </w:tr>
      <w:tr w14:paraId="3585E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AEC351F">
            <w:pPr>
              <w:spacing w:line="360" w:lineRule="auto"/>
              <w:jc w:val="center"/>
              <w:rPr>
                <w:color w:val="auto"/>
                <w:szCs w:val="21"/>
                <w:highlight w:val="none"/>
              </w:rPr>
            </w:pPr>
          </w:p>
        </w:tc>
        <w:tc>
          <w:tcPr>
            <w:tcW w:w="1064" w:type="dxa"/>
            <w:noWrap w:val="0"/>
            <w:vAlign w:val="center"/>
          </w:tcPr>
          <w:p w14:paraId="22317C2F">
            <w:pPr>
              <w:spacing w:line="360" w:lineRule="auto"/>
              <w:jc w:val="center"/>
              <w:rPr>
                <w:color w:val="auto"/>
                <w:szCs w:val="21"/>
                <w:highlight w:val="none"/>
              </w:rPr>
            </w:pPr>
          </w:p>
        </w:tc>
        <w:tc>
          <w:tcPr>
            <w:tcW w:w="672" w:type="dxa"/>
            <w:noWrap w:val="0"/>
            <w:vAlign w:val="center"/>
          </w:tcPr>
          <w:p w14:paraId="45474F6B">
            <w:pPr>
              <w:spacing w:line="360" w:lineRule="auto"/>
              <w:jc w:val="center"/>
              <w:rPr>
                <w:color w:val="auto"/>
                <w:szCs w:val="21"/>
                <w:highlight w:val="none"/>
              </w:rPr>
            </w:pPr>
          </w:p>
        </w:tc>
        <w:tc>
          <w:tcPr>
            <w:tcW w:w="1022" w:type="dxa"/>
            <w:noWrap w:val="0"/>
            <w:vAlign w:val="center"/>
          </w:tcPr>
          <w:p w14:paraId="45E46DE4">
            <w:pPr>
              <w:spacing w:line="360" w:lineRule="auto"/>
              <w:jc w:val="center"/>
              <w:rPr>
                <w:color w:val="auto"/>
                <w:szCs w:val="21"/>
                <w:highlight w:val="none"/>
              </w:rPr>
            </w:pPr>
          </w:p>
        </w:tc>
        <w:tc>
          <w:tcPr>
            <w:tcW w:w="709" w:type="dxa"/>
            <w:noWrap w:val="0"/>
            <w:vAlign w:val="center"/>
          </w:tcPr>
          <w:p w14:paraId="716C5258">
            <w:pPr>
              <w:spacing w:line="360" w:lineRule="auto"/>
              <w:jc w:val="center"/>
              <w:rPr>
                <w:color w:val="auto"/>
                <w:szCs w:val="21"/>
                <w:highlight w:val="none"/>
              </w:rPr>
            </w:pPr>
          </w:p>
        </w:tc>
        <w:tc>
          <w:tcPr>
            <w:tcW w:w="709" w:type="dxa"/>
            <w:noWrap w:val="0"/>
            <w:vAlign w:val="center"/>
          </w:tcPr>
          <w:p w14:paraId="574DA7E3">
            <w:pPr>
              <w:spacing w:line="360" w:lineRule="auto"/>
              <w:jc w:val="center"/>
              <w:rPr>
                <w:color w:val="auto"/>
                <w:szCs w:val="21"/>
                <w:highlight w:val="none"/>
              </w:rPr>
            </w:pPr>
          </w:p>
        </w:tc>
        <w:tc>
          <w:tcPr>
            <w:tcW w:w="1176" w:type="dxa"/>
            <w:noWrap w:val="0"/>
            <w:vAlign w:val="center"/>
          </w:tcPr>
          <w:p w14:paraId="1A30D89E">
            <w:pPr>
              <w:spacing w:line="360" w:lineRule="auto"/>
              <w:jc w:val="center"/>
              <w:rPr>
                <w:color w:val="auto"/>
                <w:szCs w:val="21"/>
                <w:highlight w:val="none"/>
              </w:rPr>
            </w:pPr>
          </w:p>
        </w:tc>
        <w:tc>
          <w:tcPr>
            <w:tcW w:w="872" w:type="dxa"/>
            <w:noWrap w:val="0"/>
            <w:vAlign w:val="center"/>
          </w:tcPr>
          <w:p w14:paraId="30D57118">
            <w:pPr>
              <w:spacing w:line="360" w:lineRule="auto"/>
              <w:jc w:val="center"/>
              <w:rPr>
                <w:color w:val="auto"/>
                <w:szCs w:val="21"/>
                <w:highlight w:val="none"/>
              </w:rPr>
            </w:pPr>
          </w:p>
        </w:tc>
        <w:tc>
          <w:tcPr>
            <w:tcW w:w="872" w:type="dxa"/>
            <w:noWrap w:val="0"/>
            <w:vAlign w:val="center"/>
          </w:tcPr>
          <w:p w14:paraId="58CA294F">
            <w:pPr>
              <w:spacing w:line="360" w:lineRule="auto"/>
              <w:jc w:val="center"/>
              <w:rPr>
                <w:color w:val="auto"/>
                <w:szCs w:val="21"/>
                <w:highlight w:val="none"/>
              </w:rPr>
            </w:pPr>
          </w:p>
        </w:tc>
        <w:tc>
          <w:tcPr>
            <w:tcW w:w="765" w:type="dxa"/>
            <w:noWrap w:val="0"/>
            <w:vAlign w:val="center"/>
          </w:tcPr>
          <w:p w14:paraId="73194003">
            <w:pPr>
              <w:spacing w:line="360" w:lineRule="auto"/>
              <w:jc w:val="center"/>
              <w:rPr>
                <w:color w:val="auto"/>
                <w:szCs w:val="21"/>
                <w:highlight w:val="none"/>
              </w:rPr>
            </w:pPr>
          </w:p>
        </w:tc>
      </w:tr>
      <w:tr w14:paraId="3E22D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8F7561A">
            <w:pPr>
              <w:spacing w:line="360" w:lineRule="auto"/>
              <w:jc w:val="center"/>
              <w:rPr>
                <w:color w:val="auto"/>
                <w:szCs w:val="21"/>
                <w:highlight w:val="none"/>
              </w:rPr>
            </w:pPr>
          </w:p>
        </w:tc>
        <w:tc>
          <w:tcPr>
            <w:tcW w:w="1064" w:type="dxa"/>
            <w:noWrap w:val="0"/>
            <w:vAlign w:val="center"/>
          </w:tcPr>
          <w:p w14:paraId="58310728">
            <w:pPr>
              <w:spacing w:line="360" w:lineRule="auto"/>
              <w:jc w:val="center"/>
              <w:rPr>
                <w:color w:val="auto"/>
                <w:szCs w:val="21"/>
                <w:highlight w:val="none"/>
              </w:rPr>
            </w:pPr>
          </w:p>
        </w:tc>
        <w:tc>
          <w:tcPr>
            <w:tcW w:w="672" w:type="dxa"/>
            <w:noWrap w:val="0"/>
            <w:vAlign w:val="center"/>
          </w:tcPr>
          <w:p w14:paraId="4C79FA20">
            <w:pPr>
              <w:spacing w:line="360" w:lineRule="auto"/>
              <w:jc w:val="center"/>
              <w:rPr>
                <w:color w:val="auto"/>
                <w:szCs w:val="21"/>
                <w:highlight w:val="none"/>
              </w:rPr>
            </w:pPr>
          </w:p>
        </w:tc>
        <w:tc>
          <w:tcPr>
            <w:tcW w:w="1022" w:type="dxa"/>
            <w:noWrap w:val="0"/>
            <w:vAlign w:val="center"/>
          </w:tcPr>
          <w:p w14:paraId="53D718F9">
            <w:pPr>
              <w:spacing w:line="360" w:lineRule="auto"/>
              <w:jc w:val="center"/>
              <w:rPr>
                <w:color w:val="auto"/>
                <w:szCs w:val="21"/>
                <w:highlight w:val="none"/>
              </w:rPr>
            </w:pPr>
          </w:p>
        </w:tc>
        <w:tc>
          <w:tcPr>
            <w:tcW w:w="709" w:type="dxa"/>
            <w:noWrap w:val="0"/>
            <w:vAlign w:val="center"/>
          </w:tcPr>
          <w:p w14:paraId="468DB437">
            <w:pPr>
              <w:spacing w:line="360" w:lineRule="auto"/>
              <w:jc w:val="center"/>
              <w:rPr>
                <w:color w:val="auto"/>
                <w:szCs w:val="21"/>
                <w:highlight w:val="none"/>
              </w:rPr>
            </w:pPr>
          </w:p>
        </w:tc>
        <w:tc>
          <w:tcPr>
            <w:tcW w:w="709" w:type="dxa"/>
            <w:noWrap w:val="0"/>
            <w:vAlign w:val="center"/>
          </w:tcPr>
          <w:p w14:paraId="13EE41F5">
            <w:pPr>
              <w:spacing w:line="360" w:lineRule="auto"/>
              <w:jc w:val="center"/>
              <w:rPr>
                <w:color w:val="auto"/>
                <w:szCs w:val="21"/>
                <w:highlight w:val="none"/>
              </w:rPr>
            </w:pPr>
          </w:p>
        </w:tc>
        <w:tc>
          <w:tcPr>
            <w:tcW w:w="1176" w:type="dxa"/>
            <w:noWrap w:val="0"/>
            <w:vAlign w:val="center"/>
          </w:tcPr>
          <w:p w14:paraId="60079219">
            <w:pPr>
              <w:spacing w:line="360" w:lineRule="auto"/>
              <w:jc w:val="center"/>
              <w:rPr>
                <w:color w:val="auto"/>
                <w:szCs w:val="21"/>
                <w:highlight w:val="none"/>
              </w:rPr>
            </w:pPr>
          </w:p>
        </w:tc>
        <w:tc>
          <w:tcPr>
            <w:tcW w:w="872" w:type="dxa"/>
            <w:noWrap w:val="0"/>
            <w:vAlign w:val="center"/>
          </w:tcPr>
          <w:p w14:paraId="5017E587">
            <w:pPr>
              <w:spacing w:line="360" w:lineRule="auto"/>
              <w:jc w:val="center"/>
              <w:rPr>
                <w:color w:val="auto"/>
                <w:szCs w:val="21"/>
                <w:highlight w:val="none"/>
              </w:rPr>
            </w:pPr>
          </w:p>
        </w:tc>
        <w:tc>
          <w:tcPr>
            <w:tcW w:w="872" w:type="dxa"/>
            <w:noWrap w:val="0"/>
            <w:vAlign w:val="center"/>
          </w:tcPr>
          <w:p w14:paraId="0B30BCB4">
            <w:pPr>
              <w:spacing w:line="360" w:lineRule="auto"/>
              <w:jc w:val="center"/>
              <w:rPr>
                <w:color w:val="auto"/>
                <w:szCs w:val="21"/>
                <w:highlight w:val="none"/>
              </w:rPr>
            </w:pPr>
          </w:p>
        </w:tc>
        <w:tc>
          <w:tcPr>
            <w:tcW w:w="765" w:type="dxa"/>
            <w:noWrap w:val="0"/>
            <w:vAlign w:val="center"/>
          </w:tcPr>
          <w:p w14:paraId="1388F5BF">
            <w:pPr>
              <w:spacing w:line="360" w:lineRule="auto"/>
              <w:jc w:val="center"/>
              <w:rPr>
                <w:color w:val="auto"/>
                <w:szCs w:val="21"/>
                <w:highlight w:val="none"/>
              </w:rPr>
            </w:pPr>
          </w:p>
        </w:tc>
      </w:tr>
      <w:tr w14:paraId="1C71B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6DDCA41">
            <w:pPr>
              <w:spacing w:line="360" w:lineRule="auto"/>
              <w:jc w:val="center"/>
              <w:rPr>
                <w:color w:val="auto"/>
                <w:szCs w:val="21"/>
                <w:highlight w:val="none"/>
              </w:rPr>
            </w:pPr>
          </w:p>
        </w:tc>
        <w:tc>
          <w:tcPr>
            <w:tcW w:w="1064" w:type="dxa"/>
            <w:noWrap w:val="0"/>
            <w:vAlign w:val="center"/>
          </w:tcPr>
          <w:p w14:paraId="79B2EDBC">
            <w:pPr>
              <w:spacing w:line="360" w:lineRule="auto"/>
              <w:jc w:val="center"/>
              <w:rPr>
                <w:color w:val="auto"/>
                <w:szCs w:val="21"/>
                <w:highlight w:val="none"/>
              </w:rPr>
            </w:pPr>
          </w:p>
        </w:tc>
        <w:tc>
          <w:tcPr>
            <w:tcW w:w="672" w:type="dxa"/>
            <w:noWrap w:val="0"/>
            <w:vAlign w:val="center"/>
          </w:tcPr>
          <w:p w14:paraId="13AE26D4">
            <w:pPr>
              <w:spacing w:line="360" w:lineRule="auto"/>
              <w:jc w:val="center"/>
              <w:rPr>
                <w:color w:val="auto"/>
                <w:szCs w:val="21"/>
                <w:highlight w:val="none"/>
              </w:rPr>
            </w:pPr>
          </w:p>
        </w:tc>
        <w:tc>
          <w:tcPr>
            <w:tcW w:w="1022" w:type="dxa"/>
            <w:noWrap w:val="0"/>
            <w:vAlign w:val="center"/>
          </w:tcPr>
          <w:p w14:paraId="75D55A60">
            <w:pPr>
              <w:spacing w:line="360" w:lineRule="auto"/>
              <w:jc w:val="center"/>
              <w:rPr>
                <w:color w:val="auto"/>
                <w:szCs w:val="21"/>
                <w:highlight w:val="none"/>
              </w:rPr>
            </w:pPr>
          </w:p>
        </w:tc>
        <w:tc>
          <w:tcPr>
            <w:tcW w:w="709" w:type="dxa"/>
            <w:noWrap w:val="0"/>
            <w:vAlign w:val="center"/>
          </w:tcPr>
          <w:p w14:paraId="37DC2881">
            <w:pPr>
              <w:spacing w:line="360" w:lineRule="auto"/>
              <w:jc w:val="center"/>
              <w:rPr>
                <w:color w:val="auto"/>
                <w:szCs w:val="21"/>
                <w:highlight w:val="none"/>
              </w:rPr>
            </w:pPr>
          </w:p>
        </w:tc>
        <w:tc>
          <w:tcPr>
            <w:tcW w:w="709" w:type="dxa"/>
            <w:noWrap w:val="0"/>
            <w:vAlign w:val="center"/>
          </w:tcPr>
          <w:p w14:paraId="04BD5BCE">
            <w:pPr>
              <w:spacing w:line="360" w:lineRule="auto"/>
              <w:jc w:val="center"/>
              <w:rPr>
                <w:color w:val="auto"/>
                <w:szCs w:val="21"/>
                <w:highlight w:val="none"/>
              </w:rPr>
            </w:pPr>
          </w:p>
        </w:tc>
        <w:tc>
          <w:tcPr>
            <w:tcW w:w="1176" w:type="dxa"/>
            <w:noWrap w:val="0"/>
            <w:vAlign w:val="center"/>
          </w:tcPr>
          <w:p w14:paraId="09297E33">
            <w:pPr>
              <w:spacing w:line="360" w:lineRule="auto"/>
              <w:jc w:val="center"/>
              <w:rPr>
                <w:color w:val="auto"/>
                <w:szCs w:val="21"/>
                <w:highlight w:val="none"/>
              </w:rPr>
            </w:pPr>
          </w:p>
        </w:tc>
        <w:tc>
          <w:tcPr>
            <w:tcW w:w="872" w:type="dxa"/>
            <w:noWrap w:val="0"/>
            <w:vAlign w:val="center"/>
          </w:tcPr>
          <w:p w14:paraId="6C9BB503">
            <w:pPr>
              <w:spacing w:line="360" w:lineRule="auto"/>
              <w:jc w:val="center"/>
              <w:rPr>
                <w:color w:val="auto"/>
                <w:szCs w:val="21"/>
                <w:highlight w:val="none"/>
              </w:rPr>
            </w:pPr>
          </w:p>
        </w:tc>
        <w:tc>
          <w:tcPr>
            <w:tcW w:w="872" w:type="dxa"/>
            <w:noWrap w:val="0"/>
            <w:vAlign w:val="center"/>
          </w:tcPr>
          <w:p w14:paraId="010C3607">
            <w:pPr>
              <w:spacing w:line="360" w:lineRule="auto"/>
              <w:jc w:val="center"/>
              <w:rPr>
                <w:color w:val="auto"/>
                <w:szCs w:val="21"/>
                <w:highlight w:val="none"/>
              </w:rPr>
            </w:pPr>
          </w:p>
        </w:tc>
        <w:tc>
          <w:tcPr>
            <w:tcW w:w="765" w:type="dxa"/>
            <w:noWrap w:val="0"/>
            <w:vAlign w:val="center"/>
          </w:tcPr>
          <w:p w14:paraId="031C4264">
            <w:pPr>
              <w:spacing w:line="360" w:lineRule="auto"/>
              <w:jc w:val="center"/>
              <w:rPr>
                <w:color w:val="auto"/>
                <w:szCs w:val="21"/>
                <w:highlight w:val="none"/>
              </w:rPr>
            </w:pPr>
          </w:p>
        </w:tc>
      </w:tr>
      <w:tr w14:paraId="06FB6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3CFBA98">
            <w:pPr>
              <w:spacing w:line="360" w:lineRule="auto"/>
              <w:jc w:val="center"/>
              <w:rPr>
                <w:color w:val="auto"/>
                <w:szCs w:val="21"/>
                <w:highlight w:val="none"/>
              </w:rPr>
            </w:pPr>
          </w:p>
        </w:tc>
        <w:tc>
          <w:tcPr>
            <w:tcW w:w="1064" w:type="dxa"/>
            <w:noWrap w:val="0"/>
            <w:vAlign w:val="center"/>
          </w:tcPr>
          <w:p w14:paraId="67709CCE">
            <w:pPr>
              <w:spacing w:line="360" w:lineRule="auto"/>
              <w:jc w:val="center"/>
              <w:rPr>
                <w:color w:val="auto"/>
                <w:szCs w:val="21"/>
                <w:highlight w:val="none"/>
              </w:rPr>
            </w:pPr>
          </w:p>
        </w:tc>
        <w:tc>
          <w:tcPr>
            <w:tcW w:w="672" w:type="dxa"/>
            <w:noWrap w:val="0"/>
            <w:vAlign w:val="center"/>
          </w:tcPr>
          <w:p w14:paraId="5D5E40C9">
            <w:pPr>
              <w:spacing w:line="360" w:lineRule="auto"/>
              <w:jc w:val="center"/>
              <w:rPr>
                <w:color w:val="auto"/>
                <w:szCs w:val="21"/>
                <w:highlight w:val="none"/>
              </w:rPr>
            </w:pPr>
          </w:p>
        </w:tc>
        <w:tc>
          <w:tcPr>
            <w:tcW w:w="1022" w:type="dxa"/>
            <w:noWrap w:val="0"/>
            <w:vAlign w:val="center"/>
          </w:tcPr>
          <w:p w14:paraId="57B80B39">
            <w:pPr>
              <w:spacing w:line="360" w:lineRule="auto"/>
              <w:jc w:val="center"/>
              <w:rPr>
                <w:color w:val="auto"/>
                <w:szCs w:val="21"/>
                <w:highlight w:val="none"/>
              </w:rPr>
            </w:pPr>
          </w:p>
        </w:tc>
        <w:tc>
          <w:tcPr>
            <w:tcW w:w="709" w:type="dxa"/>
            <w:noWrap w:val="0"/>
            <w:vAlign w:val="center"/>
          </w:tcPr>
          <w:p w14:paraId="3EC93165">
            <w:pPr>
              <w:spacing w:line="360" w:lineRule="auto"/>
              <w:jc w:val="center"/>
              <w:rPr>
                <w:color w:val="auto"/>
                <w:szCs w:val="21"/>
                <w:highlight w:val="none"/>
              </w:rPr>
            </w:pPr>
          </w:p>
        </w:tc>
        <w:tc>
          <w:tcPr>
            <w:tcW w:w="709" w:type="dxa"/>
            <w:noWrap w:val="0"/>
            <w:vAlign w:val="center"/>
          </w:tcPr>
          <w:p w14:paraId="3A82C8C2">
            <w:pPr>
              <w:spacing w:line="360" w:lineRule="auto"/>
              <w:jc w:val="center"/>
              <w:rPr>
                <w:color w:val="auto"/>
                <w:szCs w:val="21"/>
                <w:highlight w:val="none"/>
              </w:rPr>
            </w:pPr>
          </w:p>
        </w:tc>
        <w:tc>
          <w:tcPr>
            <w:tcW w:w="1176" w:type="dxa"/>
            <w:noWrap w:val="0"/>
            <w:vAlign w:val="center"/>
          </w:tcPr>
          <w:p w14:paraId="1018D5DD">
            <w:pPr>
              <w:spacing w:line="360" w:lineRule="auto"/>
              <w:jc w:val="center"/>
              <w:rPr>
                <w:color w:val="auto"/>
                <w:szCs w:val="21"/>
                <w:highlight w:val="none"/>
              </w:rPr>
            </w:pPr>
          </w:p>
        </w:tc>
        <w:tc>
          <w:tcPr>
            <w:tcW w:w="872" w:type="dxa"/>
            <w:noWrap w:val="0"/>
            <w:vAlign w:val="center"/>
          </w:tcPr>
          <w:p w14:paraId="33A4BA03">
            <w:pPr>
              <w:spacing w:line="360" w:lineRule="auto"/>
              <w:jc w:val="center"/>
              <w:rPr>
                <w:color w:val="auto"/>
                <w:szCs w:val="21"/>
                <w:highlight w:val="none"/>
              </w:rPr>
            </w:pPr>
          </w:p>
        </w:tc>
        <w:tc>
          <w:tcPr>
            <w:tcW w:w="872" w:type="dxa"/>
            <w:noWrap w:val="0"/>
            <w:vAlign w:val="center"/>
          </w:tcPr>
          <w:p w14:paraId="101AC672">
            <w:pPr>
              <w:spacing w:line="360" w:lineRule="auto"/>
              <w:jc w:val="center"/>
              <w:rPr>
                <w:color w:val="auto"/>
                <w:szCs w:val="21"/>
                <w:highlight w:val="none"/>
              </w:rPr>
            </w:pPr>
          </w:p>
        </w:tc>
        <w:tc>
          <w:tcPr>
            <w:tcW w:w="765" w:type="dxa"/>
            <w:noWrap w:val="0"/>
            <w:vAlign w:val="center"/>
          </w:tcPr>
          <w:p w14:paraId="61569B07">
            <w:pPr>
              <w:spacing w:line="360" w:lineRule="auto"/>
              <w:jc w:val="center"/>
              <w:rPr>
                <w:color w:val="auto"/>
                <w:szCs w:val="21"/>
                <w:highlight w:val="none"/>
              </w:rPr>
            </w:pPr>
          </w:p>
        </w:tc>
      </w:tr>
      <w:tr w14:paraId="03A00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1F0EA07">
            <w:pPr>
              <w:spacing w:line="360" w:lineRule="auto"/>
              <w:jc w:val="center"/>
              <w:rPr>
                <w:color w:val="auto"/>
                <w:szCs w:val="21"/>
                <w:highlight w:val="none"/>
              </w:rPr>
            </w:pPr>
          </w:p>
        </w:tc>
        <w:tc>
          <w:tcPr>
            <w:tcW w:w="1064" w:type="dxa"/>
            <w:noWrap w:val="0"/>
            <w:vAlign w:val="center"/>
          </w:tcPr>
          <w:p w14:paraId="22610E2D">
            <w:pPr>
              <w:spacing w:line="360" w:lineRule="auto"/>
              <w:jc w:val="center"/>
              <w:rPr>
                <w:color w:val="auto"/>
                <w:szCs w:val="21"/>
                <w:highlight w:val="none"/>
              </w:rPr>
            </w:pPr>
          </w:p>
        </w:tc>
        <w:tc>
          <w:tcPr>
            <w:tcW w:w="672" w:type="dxa"/>
            <w:noWrap w:val="0"/>
            <w:vAlign w:val="center"/>
          </w:tcPr>
          <w:p w14:paraId="0A57858F">
            <w:pPr>
              <w:spacing w:line="360" w:lineRule="auto"/>
              <w:jc w:val="center"/>
              <w:rPr>
                <w:color w:val="auto"/>
                <w:szCs w:val="21"/>
                <w:highlight w:val="none"/>
              </w:rPr>
            </w:pPr>
          </w:p>
        </w:tc>
        <w:tc>
          <w:tcPr>
            <w:tcW w:w="1022" w:type="dxa"/>
            <w:noWrap w:val="0"/>
            <w:vAlign w:val="center"/>
          </w:tcPr>
          <w:p w14:paraId="03D9D6CF">
            <w:pPr>
              <w:spacing w:line="360" w:lineRule="auto"/>
              <w:jc w:val="center"/>
              <w:rPr>
                <w:color w:val="auto"/>
                <w:szCs w:val="21"/>
                <w:highlight w:val="none"/>
              </w:rPr>
            </w:pPr>
          </w:p>
        </w:tc>
        <w:tc>
          <w:tcPr>
            <w:tcW w:w="709" w:type="dxa"/>
            <w:noWrap w:val="0"/>
            <w:vAlign w:val="center"/>
          </w:tcPr>
          <w:p w14:paraId="2596AD16">
            <w:pPr>
              <w:spacing w:line="360" w:lineRule="auto"/>
              <w:jc w:val="center"/>
              <w:rPr>
                <w:color w:val="auto"/>
                <w:szCs w:val="21"/>
                <w:highlight w:val="none"/>
              </w:rPr>
            </w:pPr>
          </w:p>
        </w:tc>
        <w:tc>
          <w:tcPr>
            <w:tcW w:w="709" w:type="dxa"/>
            <w:noWrap w:val="0"/>
            <w:vAlign w:val="center"/>
          </w:tcPr>
          <w:p w14:paraId="6579D801">
            <w:pPr>
              <w:spacing w:line="360" w:lineRule="auto"/>
              <w:jc w:val="center"/>
              <w:rPr>
                <w:color w:val="auto"/>
                <w:szCs w:val="21"/>
                <w:highlight w:val="none"/>
              </w:rPr>
            </w:pPr>
          </w:p>
        </w:tc>
        <w:tc>
          <w:tcPr>
            <w:tcW w:w="1176" w:type="dxa"/>
            <w:noWrap w:val="0"/>
            <w:vAlign w:val="center"/>
          </w:tcPr>
          <w:p w14:paraId="27B4AB4D">
            <w:pPr>
              <w:spacing w:line="360" w:lineRule="auto"/>
              <w:jc w:val="center"/>
              <w:rPr>
                <w:color w:val="auto"/>
                <w:szCs w:val="21"/>
                <w:highlight w:val="none"/>
              </w:rPr>
            </w:pPr>
          </w:p>
        </w:tc>
        <w:tc>
          <w:tcPr>
            <w:tcW w:w="872" w:type="dxa"/>
            <w:noWrap w:val="0"/>
            <w:vAlign w:val="center"/>
          </w:tcPr>
          <w:p w14:paraId="453A9E54">
            <w:pPr>
              <w:spacing w:line="360" w:lineRule="auto"/>
              <w:jc w:val="center"/>
              <w:rPr>
                <w:color w:val="auto"/>
                <w:szCs w:val="21"/>
                <w:highlight w:val="none"/>
              </w:rPr>
            </w:pPr>
          </w:p>
        </w:tc>
        <w:tc>
          <w:tcPr>
            <w:tcW w:w="872" w:type="dxa"/>
            <w:noWrap w:val="0"/>
            <w:vAlign w:val="center"/>
          </w:tcPr>
          <w:p w14:paraId="1A632470">
            <w:pPr>
              <w:spacing w:line="360" w:lineRule="auto"/>
              <w:jc w:val="center"/>
              <w:rPr>
                <w:color w:val="auto"/>
                <w:szCs w:val="21"/>
                <w:highlight w:val="none"/>
              </w:rPr>
            </w:pPr>
          </w:p>
        </w:tc>
        <w:tc>
          <w:tcPr>
            <w:tcW w:w="765" w:type="dxa"/>
            <w:noWrap w:val="0"/>
            <w:vAlign w:val="center"/>
          </w:tcPr>
          <w:p w14:paraId="4A1A3945">
            <w:pPr>
              <w:spacing w:line="360" w:lineRule="auto"/>
              <w:jc w:val="center"/>
              <w:rPr>
                <w:color w:val="auto"/>
                <w:szCs w:val="21"/>
                <w:highlight w:val="none"/>
              </w:rPr>
            </w:pPr>
          </w:p>
        </w:tc>
      </w:tr>
      <w:tr w14:paraId="2EE38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5E68D07">
            <w:pPr>
              <w:spacing w:line="360" w:lineRule="auto"/>
              <w:jc w:val="center"/>
              <w:rPr>
                <w:color w:val="auto"/>
                <w:szCs w:val="21"/>
                <w:highlight w:val="none"/>
              </w:rPr>
            </w:pPr>
          </w:p>
        </w:tc>
        <w:tc>
          <w:tcPr>
            <w:tcW w:w="1064" w:type="dxa"/>
            <w:noWrap w:val="0"/>
            <w:vAlign w:val="center"/>
          </w:tcPr>
          <w:p w14:paraId="01698F28">
            <w:pPr>
              <w:spacing w:line="360" w:lineRule="auto"/>
              <w:jc w:val="center"/>
              <w:rPr>
                <w:color w:val="auto"/>
                <w:szCs w:val="21"/>
                <w:highlight w:val="none"/>
              </w:rPr>
            </w:pPr>
          </w:p>
        </w:tc>
        <w:tc>
          <w:tcPr>
            <w:tcW w:w="672" w:type="dxa"/>
            <w:noWrap w:val="0"/>
            <w:vAlign w:val="center"/>
          </w:tcPr>
          <w:p w14:paraId="49202C3A">
            <w:pPr>
              <w:spacing w:line="360" w:lineRule="auto"/>
              <w:jc w:val="center"/>
              <w:rPr>
                <w:color w:val="auto"/>
                <w:szCs w:val="21"/>
                <w:highlight w:val="none"/>
              </w:rPr>
            </w:pPr>
          </w:p>
        </w:tc>
        <w:tc>
          <w:tcPr>
            <w:tcW w:w="1022" w:type="dxa"/>
            <w:noWrap w:val="0"/>
            <w:vAlign w:val="center"/>
          </w:tcPr>
          <w:p w14:paraId="78D92269">
            <w:pPr>
              <w:spacing w:line="360" w:lineRule="auto"/>
              <w:jc w:val="center"/>
              <w:rPr>
                <w:color w:val="auto"/>
                <w:szCs w:val="21"/>
                <w:highlight w:val="none"/>
              </w:rPr>
            </w:pPr>
          </w:p>
        </w:tc>
        <w:tc>
          <w:tcPr>
            <w:tcW w:w="709" w:type="dxa"/>
            <w:noWrap w:val="0"/>
            <w:vAlign w:val="center"/>
          </w:tcPr>
          <w:p w14:paraId="65B3915F">
            <w:pPr>
              <w:spacing w:line="360" w:lineRule="auto"/>
              <w:jc w:val="center"/>
              <w:rPr>
                <w:color w:val="auto"/>
                <w:szCs w:val="21"/>
                <w:highlight w:val="none"/>
              </w:rPr>
            </w:pPr>
          </w:p>
        </w:tc>
        <w:tc>
          <w:tcPr>
            <w:tcW w:w="709" w:type="dxa"/>
            <w:noWrap w:val="0"/>
            <w:vAlign w:val="center"/>
          </w:tcPr>
          <w:p w14:paraId="1B4F0862">
            <w:pPr>
              <w:spacing w:line="360" w:lineRule="auto"/>
              <w:jc w:val="center"/>
              <w:rPr>
                <w:color w:val="auto"/>
                <w:szCs w:val="21"/>
                <w:highlight w:val="none"/>
              </w:rPr>
            </w:pPr>
          </w:p>
        </w:tc>
        <w:tc>
          <w:tcPr>
            <w:tcW w:w="1176" w:type="dxa"/>
            <w:noWrap w:val="0"/>
            <w:vAlign w:val="center"/>
          </w:tcPr>
          <w:p w14:paraId="2976476E">
            <w:pPr>
              <w:spacing w:line="360" w:lineRule="auto"/>
              <w:jc w:val="center"/>
              <w:rPr>
                <w:color w:val="auto"/>
                <w:szCs w:val="21"/>
                <w:highlight w:val="none"/>
              </w:rPr>
            </w:pPr>
          </w:p>
        </w:tc>
        <w:tc>
          <w:tcPr>
            <w:tcW w:w="872" w:type="dxa"/>
            <w:noWrap w:val="0"/>
            <w:vAlign w:val="center"/>
          </w:tcPr>
          <w:p w14:paraId="092DFC80">
            <w:pPr>
              <w:spacing w:line="360" w:lineRule="auto"/>
              <w:jc w:val="center"/>
              <w:rPr>
                <w:color w:val="auto"/>
                <w:szCs w:val="21"/>
                <w:highlight w:val="none"/>
              </w:rPr>
            </w:pPr>
          </w:p>
        </w:tc>
        <w:tc>
          <w:tcPr>
            <w:tcW w:w="872" w:type="dxa"/>
            <w:noWrap w:val="0"/>
            <w:vAlign w:val="center"/>
          </w:tcPr>
          <w:p w14:paraId="2985177D">
            <w:pPr>
              <w:spacing w:line="360" w:lineRule="auto"/>
              <w:jc w:val="center"/>
              <w:rPr>
                <w:color w:val="auto"/>
                <w:szCs w:val="21"/>
                <w:highlight w:val="none"/>
              </w:rPr>
            </w:pPr>
          </w:p>
        </w:tc>
        <w:tc>
          <w:tcPr>
            <w:tcW w:w="765" w:type="dxa"/>
            <w:noWrap w:val="0"/>
            <w:vAlign w:val="center"/>
          </w:tcPr>
          <w:p w14:paraId="3F0DB21B">
            <w:pPr>
              <w:spacing w:line="360" w:lineRule="auto"/>
              <w:jc w:val="center"/>
              <w:rPr>
                <w:color w:val="auto"/>
                <w:szCs w:val="21"/>
                <w:highlight w:val="none"/>
              </w:rPr>
            </w:pPr>
          </w:p>
        </w:tc>
      </w:tr>
      <w:tr w14:paraId="3474D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40BA4BA">
            <w:pPr>
              <w:spacing w:line="360" w:lineRule="auto"/>
              <w:jc w:val="center"/>
              <w:rPr>
                <w:color w:val="auto"/>
                <w:szCs w:val="21"/>
                <w:highlight w:val="none"/>
              </w:rPr>
            </w:pPr>
          </w:p>
        </w:tc>
        <w:tc>
          <w:tcPr>
            <w:tcW w:w="1064" w:type="dxa"/>
            <w:noWrap w:val="0"/>
            <w:vAlign w:val="center"/>
          </w:tcPr>
          <w:p w14:paraId="74962209">
            <w:pPr>
              <w:spacing w:line="360" w:lineRule="auto"/>
              <w:jc w:val="center"/>
              <w:rPr>
                <w:color w:val="auto"/>
                <w:szCs w:val="21"/>
                <w:highlight w:val="none"/>
              </w:rPr>
            </w:pPr>
          </w:p>
        </w:tc>
        <w:tc>
          <w:tcPr>
            <w:tcW w:w="672" w:type="dxa"/>
            <w:noWrap w:val="0"/>
            <w:vAlign w:val="center"/>
          </w:tcPr>
          <w:p w14:paraId="5A605019">
            <w:pPr>
              <w:spacing w:line="360" w:lineRule="auto"/>
              <w:jc w:val="center"/>
              <w:rPr>
                <w:color w:val="auto"/>
                <w:szCs w:val="21"/>
                <w:highlight w:val="none"/>
              </w:rPr>
            </w:pPr>
          </w:p>
        </w:tc>
        <w:tc>
          <w:tcPr>
            <w:tcW w:w="1022" w:type="dxa"/>
            <w:noWrap w:val="0"/>
            <w:vAlign w:val="center"/>
          </w:tcPr>
          <w:p w14:paraId="54251FFD">
            <w:pPr>
              <w:spacing w:line="360" w:lineRule="auto"/>
              <w:jc w:val="center"/>
              <w:rPr>
                <w:color w:val="auto"/>
                <w:szCs w:val="21"/>
                <w:highlight w:val="none"/>
              </w:rPr>
            </w:pPr>
          </w:p>
        </w:tc>
        <w:tc>
          <w:tcPr>
            <w:tcW w:w="709" w:type="dxa"/>
            <w:noWrap w:val="0"/>
            <w:vAlign w:val="center"/>
          </w:tcPr>
          <w:p w14:paraId="2B24F2D5">
            <w:pPr>
              <w:spacing w:line="360" w:lineRule="auto"/>
              <w:jc w:val="center"/>
              <w:rPr>
                <w:color w:val="auto"/>
                <w:szCs w:val="21"/>
                <w:highlight w:val="none"/>
              </w:rPr>
            </w:pPr>
          </w:p>
        </w:tc>
        <w:tc>
          <w:tcPr>
            <w:tcW w:w="709" w:type="dxa"/>
            <w:noWrap w:val="0"/>
            <w:vAlign w:val="center"/>
          </w:tcPr>
          <w:p w14:paraId="021A241D">
            <w:pPr>
              <w:spacing w:line="360" w:lineRule="auto"/>
              <w:jc w:val="center"/>
              <w:rPr>
                <w:color w:val="auto"/>
                <w:szCs w:val="21"/>
                <w:highlight w:val="none"/>
              </w:rPr>
            </w:pPr>
          </w:p>
        </w:tc>
        <w:tc>
          <w:tcPr>
            <w:tcW w:w="1176" w:type="dxa"/>
            <w:noWrap w:val="0"/>
            <w:vAlign w:val="center"/>
          </w:tcPr>
          <w:p w14:paraId="62F62045">
            <w:pPr>
              <w:spacing w:line="360" w:lineRule="auto"/>
              <w:jc w:val="center"/>
              <w:rPr>
                <w:color w:val="auto"/>
                <w:szCs w:val="21"/>
                <w:highlight w:val="none"/>
              </w:rPr>
            </w:pPr>
          </w:p>
        </w:tc>
        <w:tc>
          <w:tcPr>
            <w:tcW w:w="872" w:type="dxa"/>
            <w:noWrap w:val="0"/>
            <w:vAlign w:val="center"/>
          </w:tcPr>
          <w:p w14:paraId="68C082FA">
            <w:pPr>
              <w:spacing w:line="360" w:lineRule="auto"/>
              <w:jc w:val="center"/>
              <w:rPr>
                <w:color w:val="auto"/>
                <w:szCs w:val="21"/>
                <w:highlight w:val="none"/>
              </w:rPr>
            </w:pPr>
          </w:p>
        </w:tc>
        <w:tc>
          <w:tcPr>
            <w:tcW w:w="872" w:type="dxa"/>
            <w:noWrap w:val="0"/>
            <w:vAlign w:val="center"/>
          </w:tcPr>
          <w:p w14:paraId="52823134">
            <w:pPr>
              <w:spacing w:line="360" w:lineRule="auto"/>
              <w:jc w:val="center"/>
              <w:rPr>
                <w:color w:val="auto"/>
                <w:szCs w:val="21"/>
                <w:highlight w:val="none"/>
              </w:rPr>
            </w:pPr>
          </w:p>
        </w:tc>
        <w:tc>
          <w:tcPr>
            <w:tcW w:w="765" w:type="dxa"/>
            <w:noWrap w:val="0"/>
            <w:vAlign w:val="center"/>
          </w:tcPr>
          <w:p w14:paraId="1DA90E28">
            <w:pPr>
              <w:spacing w:line="360" w:lineRule="auto"/>
              <w:jc w:val="center"/>
              <w:rPr>
                <w:color w:val="auto"/>
                <w:szCs w:val="21"/>
                <w:highlight w:val="none"/>
              </w:rPr>
            </w:pPr>
          </w:p>
        </w:tc>
      </w:tr>
    </w:tbl>
    <w:p w14:paraId="2654B352">
      <w:pPr>
        <w:spacing w:line="360" w:lineRule="auto"/>
        <w:rPr>
          <w:color w:val="auto"/>
          <w:szCs w:val="21"/>
          <w:highlight w:val="none"/>
        </w:rPr>
      </w:pPr>
    </w:p>
    <w:p w14:paraId="14859E54">
      <w:pPr>
        <w:spacing w:before="120" w:beforeLines="50" w:after="240" w:afterLines="100" w:line="360" w:lineRule="auto"/>
        <w:rPr>
          <w:color w:val="auto"/>
          <w:sz w:val="24"/>
          <w:highlight w:val="none"/>
        </w:rPr>
      </w:pPr>
      <w:r>
        <w:rPr>
          <w:color w:val="auto"/>
          <w:szCs w:val="21"/>
          <w:highlight w:val="none"/>
        </w:rPr>
        <w:br w:type="page"/>
      </w:r>
      <w:r>
        <w:rPr>
          <w:rFonts w:hint="eastAsia" w:ascii="仿宋" w:hAnsi="仿宋" w:eastAsia="仿宋" w:cs="仿宋"/>
          <w:b/>
          <w:bCs/>
          <w:color w:val="auto"/>
          <w:sz w:val="28"/>
          <w:szCs w:val="28"/>
          <w:highlight w:val="none"/>
        </w:rPr>
        <w:t>附表二：拟配备本工程的试验和检测仪器设备表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064"/>
        <w:gridCol w:w="795"/>
        <w:gridCol w:w="899"/>
        <w:gridCol w:w="709"/>
        <w:gridCol w:w="709"/>
        <w:gridCol w:w="1176"/>
        <w:gridCol w:w="1659"/>
        <w:gridCol w:w="850"/>
      </w:tblGrid>
      <w:tr w14:paraId="1A82D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644" w:type="dxa"/>
            <w:noWrap w:val="0"/>
            <w:vAlign w:val="center"/>
          </w:tcPr>
          <w:p w14:paraId="3F8AC71D">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064" w:type="dxa"/>
            <w:noWrap w:val="0"/>
            <w:vAlign w:val="center"/>
          </w:tcPr>
          <w:p w14:paraId="55AA95F4">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仪器设备</w:t>
            </w:r>
          </w:p>
          <w:p w14:paraId="5A325B6C">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名称</w:t>
            </w:r>
          </w:p>
        </w:tc>
        <w:tc>
          <w:tcPr>
            <w:tcW w:w="795" w:type="dxa"/>
            <w:noWrap w:val="0"/>
            <w:vAlign w:val="center"/>
          </w:tcPr>
          <w:p w14:paraId="4BBB0C5F">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型号</w:t>
            </w:r>
          </w:p>
          <w:p w14:paraId="1BABE16C">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规格</w:t>
            </w:r>
          </w:p>
        </w:tc>
        <w:tc>
          <w:tcPr>
            <w:tcW w:w="899" w:type="dxa"/>
            <w:noWrap w:val="0"/>
            <w:vAlign w:val="center"/>
          </w:tcPr>
          <w:p w14:paraId="4C271626">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数量</w:t>
            </w:r>
          </w:p>
        </w:tc>
        <w:tc>
          <w:tcPr>
            <w:tcW w:w="709" w:type="dxa"/>
            <w:noWrap w:val="0"/>
            <w:vAlign w:val="center"/>
          </w:tcPr>
          <w:p w14:paraId="68F69046">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国别</w:t>
            </w:r>
          </w:p>
          <w:p w14:paraId="042500E5">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产地</w:t>
            </w:r>
          </w:p>
        </w:tc>
        <w:tc>
          <w:tcPr>
            <w:tcW w:w="709" w:type="dxa"/>
            <w:noWrap w:val="0"/>
            <w:vAlign w:val="center"/>
          </w:tcPr>
          <w:p w14:paraId="41FD5911">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制造</w:t>
            </w:r>
          </w:p>
          <w:p w14:paraId="11E09C8F">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年份</w:t>
            </w:r>
          </w:p>
        </w:tc>
        <w:tc>
          <w:tcPr>
            <w:tcW w:w="1176" w:type="dxa"/>
            <w:noWrap w:val="0"/>
            <w:vAlign w:val="center"/>
          </w:tcPr>
          <w:p w14:paraId="0AD18D12">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已使用台</w:t>
            </w:r>
          </w:p>
          <w:p w14:paraId="4D5B3939">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时数</w:t>
            </w:r>
          </w:p>
        </w:tc>
        <w:tc>
          <w:tcPr>
            <w:tcW w:w="1659" w:type="dxa"/>
            <w:noWrap w:val="0"/>
            <w:vAlign w:val="center"/>
          </w:tcPr>
          <w:p w14:paraId="33743981">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用途</w:t>
            </w:r>
          </w:p>
        </w:tc>
        <w:tc>
          <w:tcPr>
            <w:tcW w:w="850" w:type="dxa"/>
            <w:noWrap w:val="0"/>
            <w:vAlign w:val="center"/>
          </w:tcPr>
          <w:p w14:paraId="65523BB5">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4A30B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ACC463D">
            <w:pPr>
              <w:spacing w:line="360" w:lineRule="auto"/>
              <w:jc w:val="center"/>
              <w:rPr>
                <w:color w:val="auto"/>
                <w:szCs w:val="21"/>
                <w:highlight w:val="none"/>
              </w:rPr>
            </w:pPr>
          </w:p>
        </w:tc>
        <w:tc>
          <w:tcPr>
            <w:tcW w:w="1064" w:type="dxa"/>
            <w:noWrap w:val="0"/>
            <w:vAlign w:val="center"/>
          </w:tcPr>
          <w:p w14:paraId="594435C1">
            <w:pPr>
              <w:spacing w:line="360" w:lineRule="auto"/>
              <w:jc w:val="center"/>
              <w:rPr>
                <w:color w:val="auto"/>
                <w:szCs w:val="21"/>
                <w:highlight w:val="none"/>
              </w:rPr>
            </w:pPr>
          </w:p>
        </w:tc>
        <w:tc>
          <w:tcPr>
            <w:tcW w:w="795" w:type="dxa"/>
            <w:noWrap w:val="0"/>
            <w:vAlign w:val="center"/>
          </w:tcPr>
          <w:p w14:paraId="70CF7983">
            <w:pPr>
              <w:spacing w:line="360" w:lineRule="auto"/>
              <w:jc w:val="center"/>
              <w:rPr>
                <w:color w:val="auto"/>
                <w:szCs w:val="21"/>
                <w:highlight w:val="none"/>
              </w:rPr>
            </w:pPr>
          </w:p>
        </w:tc>
        <w:tc>
          <w:tcPr>
            <w:tcW w:w="899" w:type="dxa"/>
            <w:noWrap w:val="0"/>
            <w:vAlign w:val="center"/>
          </w:tcPr>
          <w:p w14:paraId="2CA5E322">
            <w:pPr>
              <w:spacing w:line="360" w:lineRule="auto"/>
              <w:jc w:val="center"/>
              <w:rPr>
                <w:color w:val="auto"/>
                <w:szCs w:val="21"/>
                <w:highlight w:val="none"/>
              </w:rPr>
            </w:pPr>
          </w:p>
        </w:tc>
        <w:tc>
          <w:tcPr>
            <w:tcW w:w="709" w:type="dxa"/>
            <w:noWrap w:val="0"/>
            <w:vAlign w:val="center"/>
          </w:tcPr>
          <w:p w14:paraId="7BAAF509">
            <w:pPr>
              <w:spacing w:line="360" w:lineRule="auto"/>
              <w:jc w:val="center"/>
              <w:rPr>
                <w:color w:val="auto"/>
                <w:szCs w:val="21"/>
                <w:highlight w:val="none"/>
              </w:rPr>
            </w:pPr>
          </w:p>
        </w:tc>
        <w:tc>
          <w:tcPr>
            <w:tcW w:w="709" w:type="dxa"/>
            <w:noWrap w:val="0"/>
            <w:vAlign w:val="center"/>
          </w:tcPr>
          <w:p w14:paraId="6FF9FDE8">
            <w:pPr>
              <w:spacing w:line="360" w:lineRule="auto"/>
              <w:jc w:val="center"/>
              <w:rPr>
                <w:color w:val="auto"/>
                <w:szCs w:val="21"/>
                <w:highlight w:val="none"/>
              </w:rPr>
            </w:pPr>
          </w:p>
        </w:tc>
        <w:tc>
          <w:tcPr>
            <w:tcW w:w="1176" w:type="dxa"/>
            <w:noWrap w:val="0"/>
            <w:vAlign w:val="center"/>
          </w:tcPr>
          <w:p w14:paraId="256E19E1">
            <w:pPr>
              <w:spacing w:line="360" w:lineRule="auto"/>
              <w:jc w:val="center"/>
              <w:rPr>
                <w:color w:val="auto"/>
                <w:szCs w:val="21"/>
                <w:highlight w:val="none"/>
              </w:rPr>
            </w:pPr>
          </w:p>
        </w:tc>
        <w:tc>
          <w:tcPr>
            <w:tcW w:w="1659" w:type="dxa"/>
            <w:noWrap w:val="0"/>
            <w:vAlign w:val="center"/>
          </w:tcPr>
          <w:p w14:paraId="2838F67D">
            <w:pPr>
              <w:spacing w:line="360" w:lineRule="auto"/>
              <w:jc w:val="center"/>
              <w:rPr>
                <w:color w:val="auto"/>
                <w:szCs w:val="21"/>
                <w:highlight w:val="none"/>
              </w:rPr>
            </w:pPr>
          </w:p>
        </w:tc>
        <w:tc>
          <w:tcPr>
            <w:tcW w:w="850" w:type="dxa"/>
            <w:noWrap w:val="0"/>
            <w:vAlign w:val="center"/>
          </w:tcPr>
          <w:p w14:paraId="22255E07">
            <w:pPr>
              <w:spacing w:line="360" w:lineRule="auto"/>
              <w:jc w:val="center"/>
              <w:rPr>
                <w:color w:val="auto"/>
                <w:szCs w:val="21"/>
                <w:highlight w:val="none"/>
              </w:rPr>
            </w:pPr>
          </w:p>
        </w:tc>
      </w:tr>
      <w:tr w14:paraId="08671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7DD71B9">
            <w:pPr>
              <w:spacing w:line="360" w:lineRule="auto"/>
              <w:jc w:val="center"/>
              <w:rPr>
                <w:color w:val="auto"/>
                <w:szCs w:val="21"/>
                <w:highlight w:val="none"/>
              </w:rPr>
            </w:pPr>
          </w:p>
        </w:tc>
        <w:tc>
          <w:tcPr>
            <w:tcW w:w="1064" w:type="dxa"/>
            <w:noWrap w:val="0"/>
            <w:vAlign w:val="center"/>
          </w:tcPr>
          <w:p w14:paraId="52BD33EB">
            <w:pPr>
              <w:spacing w:line="360" w:lineRule="auto"/>
              <w:jc w:val="center"/>
              <w:rPr>
                <w:color w:val="auto"/>
                <w:szCs w:val="21"/>
                <w:highlight w:val="none"/>
              </w:rPr>
            </w:pPr>
          </w:p>
        </w:tc>
        <w:tc>
          <w:tcPr>
            <w:tcW w:w="795" w:type="dxa"/>
            <w:noWrap w:val="0"/>
            <w:vAlign w:val="center"/>
          </w:tcPr>
          <w:p w14:paraId="3F986CC5">
            <w:pPr>
              <w:spacing w:line="360" w:lineRule="auto"/>
              <w:jc w:val="center"/>
              <w:rPr>
                <w:color w:val="auto"/>
                <w:szCs w:val="21"/>
                <w:highlight w:val="none"/>
              </w:rPr>
            </w:pPr>
          </w:p>
        </w:tc>
        <w:tc>
          <w:tcPr>
            <w:tcW w:w="899" w:type="dxa"/>
            <w:noWrap w:val="0"/>
            <w:vAlign w:val="center"/>
          </w:tcPr>
          <w:p w14:paraId="6E28D878">
            <w:pPr>
              <w:spacing w:line="360" w:lineRule="auto"/>
              <w:jc w:val="center"/>
              <w:rPr>
                <w:color w:val="auto"/>
                <w:szCs w:val="21"/>
                <w:highlight w:val="none"/>
              </w:rPr>
            </w:pPr>
          </w:p>
        </w:tc>
        <w:tc>
          <w:tcPr>
            <w:tcW w:w="709" w:type="dxa"/>
            <w:noWrap w:val="0"/>
            <w:vAlign w:val="center"/>
          </w:tcPr>
          <w:p w14:paraId="0F3C5C21">
            <w:pPr>
              <w:spacing w:line="360" w:lineRule="auto"/>
              <w:jc w:val="center"/>
              <w:rPr>
                <w:color w:val="auto"/>
                <w:szCs w:val="21"/>
                <w:highlight w:val="none"/>
              </w:rPr>
            </w:pPr>
          </w:p>
        </w:tc>
        <w:tc>
          <w:tcPr>
            <w:tcW w:w="709" w:type="dxa"/>
            <w:noWrap w:val="0"/>
            <w:vAlign w:val="center"/>
          </w:tcPr>
          <w:p w14:paraId="2678941E">
            <w:pPr>
              <w:spacing w:line="360" w:lineRule="auto"/>
              <w:jc w:val="center"/>
              <w:rPr>
                <w:color w:val="auto"/>
                <w:szCs w:val="21"/>
                <w:highlight w:val="none"/>
              </w:rPr>
            </w:pPr>
          </w:p>
        </w:tc>
        <w:tc>
          <w:tcPr>
            <w:tcW w:w="1176" w:type="dxa"/>
            <w:noWrap w:val="0"/>
            <w:vAlign w:val="center"/>
          </w:tcPr>
          <w:p w14:paraId="55C50ACE">
            <w:pPr>
              <w:spacing w:line="360" w:lineRule="auto"/>
              <w:jc w:val="center"/>
              <w:rPr>
                <w:color w:val="auto"/>
                <w:szCs w:val="21"/>
                <w:highlight w:val="none"/>
              </w:rPr>
            </w:pPr>
          </w:p>
        </w:tc>
        <w:tc>
          <w:tcPr>
            <w:tcW w:w="1659" w:type="dxa"/>
            <w:noWrap w:val="0"/>
            <w:vAlign w:val="center"/>
          </w:tcPr>
          <w:p w14:paraId="7C39FFB6">
            <w:pPr>
              <w:spacing w:line="360" w:lineRule="auto"/>
              <w:jc w:val="center"/>
              <w:rPr>
                <w:color w:val="auto"/>
                <w:szCs w:val="21"/>
                <w:highlight w:val="none"/>
              </w:rPr>
            </w:pPr>
          </w:p>
        </w:tc>
        <w:tc>
          <w:tcPr>
            <w:tcW w:w="850" w:type="dxa"/>
            <w:noWrap w:val="0"/>
            <w:vAlign w:val="center"/>
          </w:tcPr>
          <w:p w14:paraId="488CFCF7">
            <w:pPr>
              <w:spacing w:line="360" w:lineRule="auto"/>
              <w:jc w:val="center"/>
              <w:rPr>
                <w:color w:val="auto"/>
                <w:szCs w:val="21"/>
                <w:highlight w:val="none"/>
              </w:rPr>
            </w:pPr>
          </w:p>
        </w:tc>
      </w:tr>
      <w:tr w14:paraId="7F057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38C567C">
            <w:pPr>
              <w:spacing w:line="360" w:lineRule="auto"/>
              <w:jc w:val="center"/>
              <w:rPr>
                <w:color w:val="auto"/>
                <w:szCs w:val="21"/>
                <w:highlight w:val="none"/>
              </w:rPr>
            </w:pPr>
          </w:p>
        </w:tc>
        <w:tc>
          <w:tcPr>
            <w:tcW w:w="1064" w:type="dxa"/>
            <w:noWrap w:val="0"/>
            <w:vAlign w:val="center"/>
          </w:tcPr>
          <w:p w14:paraId="006A793D">
            <w:pPr>
              <w:spacing w:line="360" w:lineRule="auto"/>
              <w:jc w:val="center"/>
              <w:rPr>
                <w:color w:val="auto"/>
                <w:szCs w:val="21"/>
                <w:highlight w:val="none"/>
              </w:rPr>
            </w:pPr>
          </w:p>
        </w:tc>
        <w:tc>
          <w:tcPr>
            <w:tcW w:w="795" w:type="dxa"/>
            <w:noWrap w:val="0"/>
            <w:vAlign w:val="center"/>
          </w:tcPr>
          <w:p w14:paraId="4344B6D1">
            <w:pPr>
              <w:spacing w:line="360" w:lineRule="auto"/>
              <w:jc w:val="center"/>
              <w:rPr>
                <w:color w:val="auto"/>
                <w:szCs w:val="21"/>
                <w:highlight w:val="none"/>
              </w:rPr>
            </w:pPr>
          </w:p>
        </w:tc>
        <w:tc>
          <w:tcPr>
            <w:tcW w:w="899" w:type="dxa"/>
            <w:noWrap w:val="0"/>
            <w:vAlign w:val="center"/>
          </w:tcPr>
          <w:p w14:paraId="634A9557">
            <w:pPr>
              <w:spacing w:line="360" w:lineRule="auto"/>
              <w:jc w:val="center"/>
              <w:rPr>
                <w:color w:val="auto"/>
                <w:szCs w:val="21"/>
                <w:highlight w:val="none"/>
              </w:rPr>
            </w:pPr>
          </w:p>
        </w:tc>
        <w:tc>
          <w:tcPr>
            <w:tcW w:w="709" w:type="dxa"/>
            <w:noWrap w:val="0"/>
            <w:vAlign w:val="center"/>
          </w:tcPr>
          <w:p w14:paraId="494B7B1C">
            <w:pPr>
              <w:spacing w:line="360" w:lineRule="auto"/>
              <w:jc w:val="center"/>
              <w:rPr>
                <w:color w:val="auto"/>
                <w:szCs w:val="21"/>
                <w:highlight w:val="none"/>
              </w:rPr>
            </w:pPr>
          </w:p>
        </w:tc>
        <w:tc>
          <w:tcPr>
            <w:tcW w:w="709" w:type="dxa"/>
            <w:noWrap w:val="0"/>
            <w:vAlign w:val="center"/>
          </w:tcPr>
          <w:p w14:paraId="2ECAF193">
            <w:pPr>
              <w:spacing w:line="360" w:lineRule="auto"/>
              <w:jc w:val="center"/>
              <w:rPr>
                <w:color w:val="auto"/>
                <w:szCs w:val="21"/>
                <w:highlight w:val="none"/>
              </w:rPr>
            </w:pPr>
          </w:p>
        </w:tc>
        <w:tc>
          <w:tcPr>
            <w:tcW w:w="1176" w:type="dxa"/>
            <w:noWrap w:val="0"/>
            <w:vAlign w:val="center"/>
          </w:tcPr>
          <w:p w14:paraId="76842292">
            <w:pPr>
              <w:spacing w:line="360" w:lineRule="auto"/>
              <w:jc w:val="center"/>
              <w:rPr>
                <w:color w:val="auto"/>
                <w:szCs w:val="21"/>
                <w:highlight w:val="none"/>
              </w:rPr>
            </w:pPr>
          </w:p>
        </w:tc>
        <w:tc>
          <w:tcPr>
            <w:tcW w:w="1659" w:type="dxa"/>
            <w:noWrap w:val="0"/>
            <w:vAlign w:val="center"/>
          </w:tcPr>
          <w:p w14:paraId="5F5AEE26">
            <w:pPr>
              <w:spacing w:line="360" w:lineRule="auto"/>
              <w:jc w:val="center"/>
              <w:rPr>
                <w:color w:val="auto"/>
                <w:szCs w:val="21"/>
                <w:highlight w:val="none"/>
              </w:rPr>
            </w:pPr>
          </w:p>
        </w:tc>
        <w:tc>
          <w:tcPr>
            <w:tcW w:w="850" w:type="dxa"/>
            <w:noWrap w:val="0"/>
            <w:vAlign w:val="center"/>
          </w:tcPr>
          <w:p w14:paraId="43514287">
            <w:pPr>
              <w:spacing w:line="360" w:lineRule="auto"/>
              <w:jc w:val="center"/>
              <w:rPr>
                <w:color w:val="auto"/>
                <w:szCs w:val="21"/>
                <w:highlight w:val="none"/>
              </w:rPr>
            </w:pPr>
          </w:p>
        </w:tc>
      </w:tr>
      <w:tr w14:paraId="2033D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3D4EBE9">
            <w:pPr>
              <w:spacing w:line="360" w:lineRule="auto"/>
              <w:jc w:val="center"/>
              <w:rPr>
                <w:color w:val="auto"/>
                <w:szCs w:val="21"/>
                <w:highlight w:val="none"/>
              </w:rPr>
            </w:pPr>
          </w:p>
        </w:tc>
        <w:tc>
          <w:tcPr>
            <w:tcW w:w="1064" w:type="dxa"/>
            <w:noWrap w:val="0"/>
            <w:vAlign w:val="center"/>
          </w:tcPr>
          <w:p w14:paraId="7ED0B3D5">
            <w:pPr>
              <w:spacing w:line="360" w:lineRule="auto"/>
              <w:jc w:val="center"/>
              <w:rPr>
                <w:color w:val="auto"/>
                <w:szCs w:val="21"/>
                <w:highlight w:val="none"/>
              </w:rPr>
            </w:pPr>
          </w:p>
        </w:tc>
        <w:tc>
          <w:tcPr>
            <w:tcW w:w="795" w:type="dxa"/>
            <w:noWrap w:val="0"/>
            <w:vAlign w:val="center"/>
          </w:tcPr>
          <w:p w14:paraId="027A9C84">
            <w:pPr>
              <w:spacing w:line="360" w:lineRule="auto"/>
              <w:jc w:val="center"/>
              <w:rPr>
                <w:color w:val="auto"/>
                <w:szCs w:val="21"/>
                <w:highlight w:val="none"/>
              </w:rPr>
            </w:pPr>
          </w:p>
        </w:tc>
        <w:tc>
          <w:tcPr>
            <w:tcW w:w="899" w:type="dxa"/>
            <w:noWrap w:val="0"/>
            <w:vAlign w:val="center"/>
          </w:tcPr>
          <w:p w14:paraId="328782B0">
            <w:pPr>
              <w:spacing w:line="360" w:lineRule="auto"/>
              <w:jc w:val="center"/>
              <w:rPr>
                <w:color w:val="auto"/>
                <w:szCs w:val="21"/>
                <w:highlight w:val="none"/>
              </w:rPr>
            </w:pPr>
          </w:p>
        </w:tc>
        <w:tc>
          <w:tcPr>
            <w:tcW w:w="709" w:type="dxa"/>
            <w:noWrap w:val="0"/>
            <w:vAlign w:val="center"/>
          </w:tcPr>
          <w:p w14:paraId="774D015F">
            <w:pPr>
              <w:spacing w:line="360" w:lineRule="auto"/>
              <w:jc w:val="center"/>
              <w:rPr>
                <w:color w:val="auto"/>
                <w:szCs w:val="21"/>
                <w:highlight w:val="none"/>
              </w:rPr>
            </w:pPr>
          </w:p>
        </w:tc>
        <w:tc>
          <w:tcPr>
            <w:tcW w:w="709" w:type="dxa"/>
            <w:noWrap w:val="0"/>
            <w:vAlign w:val="center"/>
          </w:tcPr>
          <w:p w14:paraId="5A0A1A25">
            <w:pPr>
              <w:spacing w:line="360" w:lineRule="auto"/>
              <w:jc w:val="center"/>
              <w:rPr>
                <w:color w:val="auto"/>
                <w:szCs w:val="21"/>
                <w:highlight w:val="none"/>
              </w:rPr>
            </w:pPr>
          </w:p>
        </w:tc>
        <w:tc>
          <w:tcPr>
            <w:tcW w:w="1176" w:type="dxa"/>
            <w:noWrap w:val="0"/>
            <w:vAlign w:val="center"/>
          </w:tcPr>
          <w:p w14:paraId="7FA1A350">
            <w:pPr>
              <w:spacing w:line="360" w:lineRule="auto"/>
              <w:jc w:val="center"/>
              <w:rPr>
                <w:color w:val="auto"/>
                <w:szCs w:val="21"/>
                <w:highlight w:val="none"/>
              </w:rPr>
            </w:pPr>
          </w:p>
        </w:tc>
        <w:tc>
          <w:tcPr>
            <w:tcW w:w="1659" w:type="dxa"/>
            <w:noWrap w:val="0"/>
            <w:vAlign w:val="center"/>
          </w:tcPr>
          <w:p w14:paraId="1913A29E">
            <w:pPr>
              <w:spacing w:line="360" w:lineRule="auto"/>
              <w:jc w:val="center"/>
              <w:rPr>
                <w:color w:val="auto"/>
                <w:szCs w:val="21"/>
                <w:highlight w:val="none"/>
              </w:rPr>
            </w:pPr>
          </w:p>
        </w:tc>
        <w:tc>
          <w:tcPr>
            <w:tcW w:w="850" w:type="dxa"/>
            <w:noWrap w:val="0"/>
            <w:vAlign w:val="center"/>
          </w:tcPr>
          <w:p w14:paraId="519455AF">
            <w:pPr>
              <w:spacing w:line="360" w:lineRule="auto"/>
              <w:jc w:val="center"/>
              <w:rPr>
                <w:color w:val="auto"/>
                <w:szCs w:val="21"/>
                <w:highlight w:val="none"/>
              </w:rPr>
            </w:pPr>
          </w:p>
        </w:tc>
      </w:tr>
      <w:tr w14:paraId="0F797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3963465">
            <w:pPr>
              <w:spacing w:line="360" w:lineRule="auto"/>
              <w:jc w:val="center"/>
              <w:rPr>
                <w:color w:val="auto"/>
                <w:szCs w:val="21"/>
                <w:highlight w:val="none"/>
              </w:rPr>
            </w:pPr>
          </w:p>
        </w:tc>
        <w:tc>
          <w:tcPr>
            <w:tcW w:w="1064" w:type="dxa"/>
            <w:noWrap w:val="0"/>
            <w:vAlign w:val="center"/>
          </w:tcPr>
          <w:p w14:paraId="4AF4715F">
            <w:pPr>
              <w:spacing w:line="360" w:lineRule="auto"/>
              <w:jc w:val="center"/>
              <w:rPr>
                <w:color w:val="auto"/>
                <w:szCs w:val="21"/>
                <w:highlight w:val="none"/>
              </w:rPr>
            </w:pPr>
          </w:p>
        </w:tc>
        <w:tc>
          <w:tcPr>
            <w:tcW w:w="795" w:type="dxa"/>
            <w:noWrap w:val="0"/>
            <w:vAlign w:val="center"/>
          </w:tcPr>
          <w:p w14:paraId="0C09573B">
            <w:pPr>
              <w:spacing w:line="360" w:lineRule="auto"/>
              <w:jc w:val="center"/>
              <w:rPr>
                <w:color w:val="auto"/>
                <w:szCs w:val="21"/>
                <w:highlight w:val="none"/>
              </w:rPr>
            </w:pPr>
          </w:p>
        </w:tc>
        <w:tc>
          <w:tcPr>
            <w:tcW w:w="899" w:type="dxa"/>
            <w:noWrap w:val="0"/>
            <w:vAlign w:val="center"/>
          </w:tcPr>
          <w:p w14:paraId="1B244D02">
            <w:pPr>
              <w:spacing w:line="360" w:lineRule="auto"/>
              <w:jc w:val="center"/>
              <w:rPr>
                <w:color w:val="auto"/>
                <w:szCs w:val="21"/>
                <w:highlight w:val="none"/>
              </w:rPr>
            </w:pPr>
          </w:p>
        </w:tc>
        <w:tc>
          <w:tcPr>
            <w:tcW w:w="709" w:type="dxa"/>
            <w:noWrap w:val="0"/>
            <w:vAlign w:val="center"/>
          </w:tcPr>
          <w:p w14:paraId="68534C4A">
            <w:pPr>
              <w:spacing w:line="360" w:lineRule="auto"/>
              <w:jc w:val="center"/>
              <w:rPr>
                <w:color w:val="auto"/>
                <w:szCs w:val="21"/>
                <w:highlight w:val="none"/>
              </w:rPr>
            </w:pPr>
          </w:p>
        </w:tc>
        <w:tc>
          <w:tcPr>
            <w:tcW w:w="709" w:type="dxa"/>
            <w:noWrap w:val="0"/>
            <w:vAlign w:val="center"/>
          </w:tcPr>
          <w:p w14:paraId="1B8D006E">
            <w:pPr>
              <w:spacing w:line="360" w:lineRule="auto"/>
              <w:jc w:val="center"/>
              <w:rPr>
                <w:color w:val="auto"/>
                <w:szCs w:val="21"/>
                <w:highlight w:val="none"/>
              </w:rPr>
            </w:pPr>
          </w:p>
        </w:tc>
        <w:tc>
          <w:tcPr>
            <w:tcW w:w="1176" w:type="dxa"/>
            <w:noWrap w:val="0"/>
            <w:vAlign w:val="center"/>
          </w:tcPr>
          <w:p w14:paraId="2B22DCA0">
            <w:pPr>
              <w:spacing w:line="360" w:lineRule="auto"/>
              <w:jc w:val="center"/>
              <w:rPr>
                <w:color w:val="auto"/>
                <w:szCs w:val="21"/>
                <w:highlight w:val="none"/>
              </w:rPr>
            </w:pPr>
          </w:p>
        </w:tc>
        <w:tc>
          <w:tcPr>
            <w:tcW w:w="1659" w:type="dxa"/>
            <w:noWrap w:val="0"/>
            <w:vAlign w:val="center"/>
          </w:tcPr>
          <w:p w14:paraId="0CEF61A5">
            <w:pPr>
              <w:spacing w:line="360" w:lineRule="auto"/>
              <w:jc w:val="center"/>
              <w:rPr>
                <w:color w:val="auto"/>
                <w:szCs w:val="21"/>
                <w:highlight w:val="none"/>
              </w:rPr>
            </w:pPr>
          </w:p>
        </w:tc>
        <w:tc>
          <w:tcPr>
            <w:tcW w:w="850" w:type="dxa"/>
            <w:noWrap w:val="0"/>
            <w:vAlign w:val="center"/>
          </w:tcPr>
          <w:p w14:paraId="163E9781">
            <w:pPr>
              <w:spacing w:line="360" w:lineRule="auto"/>
              <w:jc w:val="center"/>
              <w:rPr>
                <w:color w:val="auto"/>
                <w:szCs w:val="21"/>
                <w:highlight w:val="none"/>
              </w:rPr>
            </w:pPr>
          </w:p>
        </w:tc>
      </w:tr>
      <w:tr w14:paraId="4D78C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EE6E027">
            <w:pPr>
              <w:spacing w:line="360" w:lineRule="auto"/>
              <w:jc w:val="center"/>
              <w:rPr>
                <w:color w:val="auto"/>
                <w:szCs w:val="21"/>
                <w:highlight w:val="none"/>
              </w:rPr>
            </w:pPr>
          </w:p>
        </w:tc>
        <w:tc>
          <w:tcPr>
            <w:tcW w:w="1064" w:type="dxa"/>
            <w:noWrap w:val="0"/>
            <w:vAlign w:val="center"/>
          </w:tcPr>
          <w:p w14:paraId="1FC59C4B">
            <w:pPr>
              <w:spacing w:line="360" w:lineRule="auto"/>
              <w:jc w:val="center"/>
              <w:rPr>
                <w:color w:val="auto"/>
                <w:szCs w:val="21"/>
                <w:highlight w:val="none"/>
              </w:rPr>
            </w:pPr>
          </w:p>
        </w:tc>
        <w:tc>
          <w:tcPr>
            <w:tcW w:w="795" w:type="dxa"/>
            <w:noWrap w:val="0"/>
            <w:vAlign w:val="center"/>
          </w:tcPr>
          <w:p w14:paraId="58FF8E9B">
            <w:pPr>
              <w:spacing w:line="360" w:lineRule="auto"/>
              <w:jc w:val="center"/>
              <w:rPr>
                <w:color w:val="auto"/>
                <w:szCs w:val="21"/>
                <w:highlight w:val="none"/>
              </w:rPr>
            </w:pPr>
          </w:p>
        </w:tc>
        <w:tc>
          <w:tcPr>
            <w:tcW w:w="899" w:type="dxa"/>
            <w:noWrap w:val="0"/>
            <w:vAlign w:val="center"/>
          </w:tcPr>
          <w:p w14:paraId="561BA0B9">
            <w:pPr>
              <w:spacing w:line="360" w:lineRule="auto"/>
              <w:jc w:val="center"/>
              <w:rPr>
                <w:color w:val="auto"/>
                <w:szCs w:val="21"/>
                <w:highlight w:val="none"/>
              </w:rPr>
            </w:pPr>
          </w:p>
        </w:tc>
        <w:tc>
          <w:tcPr>
            <w:tcW w:w="709" w:type="dxa"/>
            <w:noWrap w:val="0"/>
            <w:vAlign w:val="center"/>
          </w:tcPr>
          <w:p w14:paraId="3D161C85">
            <w:pPr>
              <w:spacing w:line="360" w:lineRule="auto"/>
              <w:jc w:val="center"/>
              <w:rPr>
                <w:color w:val="auto"/>
                <w:szCs w:val="21"/>
                <w:highlight w:val="none"/>
              </w:rPr>
            </w:pPr>
          </w:p>
        </w:tc>
        <w:tc>
          <w:tcPr>
            <w:tcW w:w="709" w:type="dxa"/>
            <w:noWrap w:val="0"/>
            <w:vAlign w:val="center"/>
          </w:tcPr>
          <w:p w14:paraId="39C690F2">
            <w:pPr>
              <w:spacing w:line="360" w:lineRule="auto"/>
              <w:jc w:val="center"/>
              <w:rPr>
                <w:color w:val="auto"/>
                <w:szCs w:val="21"/>
                <w:highlight w:val="none"/>
              </w:rPr>
            </w:pPr>
          </w:p>
        </w:tc>
        <w:tc>
          <w:tcPr>
            <w:tcW w:w="1176" w:type="dxa"/>
            <w:noWrap w:val="0"/>
            <w:vAlign w:val="center"/>
          </w:tcPr>
          <w:p w14:paraId="52115786">
            <w:pPr>
              <w:spacing w:line="360" w:lineRule="auto"/>
              <w:jc w:val="center"/>
              <w:rPr>
                <w:color w:val="auto"/>
                <w:szCs w:val="21"/>
                <w:highlight w:val="none"/>
              </w:rPr>
            </w:pPr>
          </w:p>
        </w:tc>
        <w:tc>
          <w:tcPr>
            <w:tcW w:w="1659" w:type="dxa"/>
            <w:noWrap w:val="0"/>
            <w:vAlign w:val="center"/>
          </w:tcPr>
          <w:p w14:paraId="1EF34387">
            <w:pPr>
              <w:spacing w:line="360" w:lineRule="auto"/>
              <w:jc w:val="center"/>
              <w:rPr>
                <w:color w:val="auto"/>
                <w:szCs w:val="21"/>
                <w:highlight w:val="none"/>
              </w:rPr>
            </w:pPr>
          </w:p>
        </w:tc>
        <w:tc>
          <w:tcPr>
            <w:tcW w:w="850" w:type="dxa"/>
            <w:noWrap w:val="0"/>
            <w:vAlign w:val="center"/>
          </w:tcPr>
          <w:p w14:paraId="1A5EBDC6">
            <w:pPr>
              <w:spacing w:line="360" w:lineRule="auto"/>
              <w:jc w:val="center"/>
              <w:rPr>
                <w:color w:val="auto"/>
                <w:szCs w:val="21"/>
                <w:highlight w:val="none"/>
              </w:rPr>
            </w:pPr>
          </w:p>
        </w:tc>
      </w:tr>
      <w:tr w14:paraId="781E2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8439FB4">
            <w:pPr>
              <w:spacing w:line="360" w:lineRule="auto"/>
              <w:jc w:val="center"/>
              <w:rPr>
                <w:color w:val="auto"/>
                <w:szCs w:val="21"/>
                <w:highlight w:val="none"/>
              </w:rPr>
            </w:pPr>
          </w:p>
        </w:tc>
        <w:tc>
          <w:tcPr>
            <w:tcW w:w="1064" w:type="dxa"/>
            <w:noWrap w:val="0"/>
            <w:vAlign w:val="center"/>
          </w:tcPr>
          <w:p w14:paraId="3F0DC06B">
            <w:pPr>
              <w:spacing w:line="360" w:lineRule="auto"/>
              <w:jc w:val="center"/>
              <w:rPr>
                <w:color w:val="auto"/>
                <w:szCs w:val="21"/>
                <w:highlight w:val="none"/>
              </w:rPr>
            </w:pPr>
          </w:p>
        </w:tc>
        <w:tc>
          <w:tcPr>
            <w:tcW w:w="795" w:type="dxa"/>
            <w:noWrap w:val="0"/>
            <w:vAlign w:val="center"/>
          </w:tcPr>
          <w:p w14:paraId="2F595AFA">
            <w:pPr>
              <w:spacing w:line="360" w:lineRule="auto"/>
              <w:jc w:val="center"/>
              <w:rPr>
                <w:color w:val="auto"/>
                <w:szCs w:val="21"/>
                <w:highlight w:val="none"/>
              </w:rPr>
            </w:pPr>
          </w:p>
        </w:tc>
        <w:tc>
          <w:tcPr>
            <w:tcW w:w="899" w:type="dxa"/>
            <w:noWrap w:val="0"/>
            <w:vAlign w:val="center"/>
          </w:tcPr>
          <w:p w14:paraId="6E6ABB1C">
            <w:pPr>
              <w:spacing w:line="360" w:lineRule="auto"/>
              <w:jc w:val="center"/>
              <w:rPr>
                <w:color w:val="auto"/>
                <w:szCs w:val="21"/>
                <w:highlight w:val="none"/>
              </w:rPr>
            </w:pPr>
          </w:p>
        </w:tc>
        <w:tc>
          <w:tcPr>
            <w:tcW w:w="709" w:type="dxa"/>
            <w:noWrap w:val="0"/>
            <w:vAlign w:val="center"/>
          </w:tcPr>
          <w:p w14:paraId="754C233E">
            <w:pPr>
              <w:spacing w:line="360" w:lineRule="auto"/>
              <w:jc w:val="center"/>
              <w:rPr>
                <w:color w:val="auto"/>
                <w:szCs w:val="21"/>
                <w:highlight w:val="none"/>
              </w:rPr>
            </w:pPr>
          </w:p>
        </w:tc>
        <w:tc>
          <w:tcPr>
            <w:tcW w:w="709" w:type="dxa"/>
            <w:noWrap w:val="0"/>
            <w:vAlign w:val="center"/>
          </w:tcPr>
          <w:p w14:paraId="2D3C5357">
            <w:pPr>
              <w:spacing w:line="360" w:lineRule="auto"/>
              <w:jc w:val="center"/>
              <w:rPr>
                <w:color w:val="auto"/>
                <w:szCs w:val="21"/>
                <w:highlight w:val="none"/>
              </w:rPr>
            </w:pPr>
          </w:p>
        </w:tc>
        <w:tc>
          <w:tcPr>
            <w:tcW w:w="1176" w:type="dxa"/>
            <w:noWrap w:val="0"/>
            <w:vAlign w:val="center"/>
          </w:tcPr>
          <w:p w14:paraId="7E8A70A8">
            <w:pPr>
              <w:spacing w:line="360" w:lineRule="auto"/>
              <w:jc w:val="center"/>
              <w:rPr>
                <w:color w:val="auto"/>
                <w:szCs w:val="21"/>
                <w:highlight w:val="none"/>
              </w:rPr>
            </w:pPr>
          </w:p>
        </w:tc>
        <w:tc>
          <w:tcPr>
            <w:tcW w:w="1659" w:type="dxa"/>
            <w:noWrap w:val="0"/>
            <w:vAlign w:val="center"/>
          </w:tcPr>
          <w:p w14:paraId="6182A7B9">
            <w:pPr>
              <w:spacing w:line="360" w:lineRule="auto"/>
              <w:jc w:val="center"/>
              <w:rPr>
                <w:color w:val="auto"/>
                <w:szCs w:val="21"/>
                <w:highlight w:val="none"/>
              </w:rPr>
            </w:pPr>
          </w:p>
        </w:tc>
        <w:tc>
          <w:tcPr>
            <w:tcW w:w="850" w:type="dxa"/>
            <w:noWrap w:val="0"/>
            <w:vAlign w:val="center"/>
          </w:tcPr>
          <w:p w14:paraId="2E81E650">
            <w:pPr>
              <w:spacing w:line="360" w:lineRule="auto"/>
              <w:jc w:val="center"/>
              <w:rPr>
                <w:color w:val="auto"/>
                <w:szCs w:val="21"/>
                <w:highlight w:val="none"/>
              </w:rPr>
            </w:pPr>
          </w:p>
        </w:tc>
      </w:tr>
      <w:tr w14:paraId="7FA53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F566805">
            <w:pPr>
              <w:spacing w:line="360" w:lineRule="auto"/>
              <w:jc w:val="center"/>
              <w:rPr>
                <w:color w:val="auto"/>
                <w:szCs w:val="21"/>
                <w:highlight w:val="none"/>
              </w:rPr>
            </w:pPr>
          </w:p>
        </w:tc>
        <w:tc>
          <w:tcPr>
            <w:tcW w:w="1064" w:type="dxa"/>
            <w:noWrap w:val="0"/>
            <w:vAlign w:val="center"/>
          </w:tcPr>
          <w:p w14:paraId="26CAE58E">
            <w:pPr>
              <w:spacing w:line="360" w:lineRule="auto"/>
              <w:jc w:val="center"/>
              <w:rPr>
                <w:color w:val="auto"/>
                <w:szCs w:val="21"/>
                <w:highlight w:val="none"/>
              </w:rPr>
            </w:pPr>
          </w:p>
        </w:tc>
        <w:tc>
          <w:tcPr>
            <w:tcW w:w="795" w:type="dxa"/>
            <w:noWrap w:val="0"/>
            <w:vAlign w:val="center"/>
          </w:tcPr>
          <w:p w14:paraId="2C10B8DD">
            <w:pPr>
              <w:spacing w:line="360" w:lineRule="auto"/>
              <w:jc w:val="center"/>
              <w:rPr>
                <w:color w:val="auto"/>
                <w:szCs w:val="21"/>
                <w:highlight w:val="none"/>
              </w:rPr>
            </w:pPr>
          </w:p>
        </w:tc>
        <w:tc>
          <w:tcPr>
            <w:tcW w:w="899" w:type="dxa"/>
            <w:noWrap w:val="0"/>
            <w:vAlign w:val="center"/>
          </w:tcPr>
          <w:p w14:paraId="1DA8D135">
            <w:pPr>
              <w:spacing w:line="360" w:lineRule="auto"/>
              <w:jc w:val="center"/>
              <w:rPr>
                <w:color w:val="auto"/>
                <w:szCs w:val="21"/>
                <w:highlight w:val="none"/>
              </w:rPr>
            </w:pPr>
          </w:p>
        </w:tc>
        <w:tc>
          <w:tcPr>
            <w:tcW w:w="709" w:type="dxa"/>
            <w:noWrap w:val="0"/>
            <w:vAlign w:val="center"/>
          </w:tcPr>
          <w:p w14:paraId="025415F4">
            <w:pPr>
              <w:spacing w:line="360" w:lineRule="auto"/>
              <w:jc w:val="center"/>
              <w:rPr>
                <w:color w:val="auto"/>
                <w:szCs w:val="21"/>
                <w:highlight w:val="none"/>
              </w:rPr>
            </w:pPr>
          </w:p>
        </w:tc>
        <w:tc>
          <w:tcPr>
            <w:tcW w:w="709" w:type="dxa"/>
            <w:noWrap w:val="0"/>
            <w:vAlign w:val="center"/>
          </w:tcPr>
          <w:p w14:paraId="26946632">
            <w:pPr>
              <w:spacing w:line="360" w:lineRule="auto"/>
              <w:jc w:val="center"/>
              <w:rPr>
                <w:color w:val="auto"/>
                <w:szCs w:val="21"/>
                <w:highlight w:val="none"/>
              </w:rPr>
            </w:pPr>
          </w:p>
        </w:tc>
        <w:tc>
          <w:tcPr>
            <w:tcW w:w="1176" w:type="dxa"/>
            <w:noWrap w:val="0"/>
            <w:vAlign w:val="center"/>
          </w:tcPr>
          <w:p w14:paraId="36851E86">
            <w:pPr>
              <w:spacing w:line="360" w:lineRule="auto"/>
              <w:jc w:val="center"/>
              <w:rPr>
                <w:color w:val="auto"/>
                <w:szCs w:val="21"/>
                <w:highlight w:val="none"/>
              </w:rPr>
            </w:pPr>
          </w:p>
        </w:tc>
        <w:tc>
          <w:tcPr>
            <w:tcW w:w="1659" w:type="dxa"/>
            <w:noWrap w:val="0"/>
            <w:vAlign w:val="center"/>
          </w:tcPr>
          <w:p w14:paraId="2D876BAD">
            <w:pPr>
              <w:spacing w:line="360" w:lineRule="auto"/>
              <w:jc w:val="center"/>
              <w:rPr>
                <w:color w:val="auto"/>
                <w:szCs w:val="21"/>
                <w:highlight w:val="none"/>
              </w:rPr>
            </w:pPr>
          </w:p>
        </w:tc>
        <w:tc>
          <w:tcPr>
            <w:tcW w:w="850" w:type="dxa"/>
            <w:noWrap w:val="0"/>
            <w:vAlign w:val="center"/>
          </w:tcPr>
          <w:p w14:paraId="7481959D">
            <w:pPr>
              <w:spacing w:line="360" w:lineRule="auto"/>
              <w:jc w:val="center"/>
              <w:rPr>
                <w:color w:val="auto"/>
                <w:szCs w:val="21"/>
                <w:highlight w:val="none"/>
              </w:rPr>
            </w:pPr>
          </w:p>
        </w:tc>
      </w:tr>
      <w:tr w14:paraId="5E03B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954E2BE">
            <w:pPr>
              <w:spacing w:line="360" w:lineRule="auto"/>
              <w:jc w:val="center"/>
              <w:rPr>
                <w:color w:val="auto"/>
                <w:szCs w:val="21"/>
                <w:highlight w:val="none"/>
              </w:rPr>
            </w:pPr>
          </w:p>
        </w:tc>
        <w:tc>
          <w:tcPr>
            <w:tcW w:w="1064" w:type="dxa"/>
            <w:noWrap w:val="0"/>
            <w:vAlign w:val="center"/>
          </w:tcPr>
          <w:p w14:paraId="2F6F3B2D">
            <w:pPr>
              <w:spacing w:line="360" w:lineRule="auto"/>
              <w:jc w:val="center"/>
              <w:rPr>
                <w:color w:val="auto"/>
                <w:szCs w:val="21"/>
                <w:highlight w:val="none"/>
              </w:rPr>
            </w:pPr>
          </w:p>
        </w:tc>
        <w:tc>
          <w:tcPr>
            <w:tcW w:w="795" w:type="dxa"/>
            <w:noWrap w:val="0"/>
            <w:vAlign w:val="center"/>
          </w:tcPr>
          <w:p w14:paraId="42D3DB31">
            <w:pPr>
              <w:spacing w:line="360" w:lineRule="auto"/>
              <w:jc w:val="center"/>
              <w:rPr>
                <w:color w:val="auto"/>
                <w:szCs w:val="21"/>
                <w:highlight w:val="none"/>
              </w:rPr>
            </w:pPr>
          </w:p>
        </w:tc>
        <w:tc>
          <w:tcPr>
            <w:tcW w:w="899" w:type="dxa"/>
            <w:noWrap w:val="0"/>
            <w:vAlign w:val="center"/>
          </w:tcPr>
          <w:p w14:paraId="465A7A49">
            <w:pPr>
              <w:spacing w:line="360" w:lineRule="auto"/>
              <w:jc w:val="center"/>
              <w:rPr>
                <w:color w:val="auto"/>
                <w:szCs w:val="21"/>
                <w:highlight w:val="none"/>
              </w:rPr>
            </w:pPr>
          </w:p>
        </w:tc>
        <w:tc>
          <w:tcPr>
            <w:tcW w:w="709" w:type="dxa"/>
            <w:noWrap w:val="0"/>
            <w:vAlign w:val="center"/>
          </w:tcPr>
          <w:p w14:paraId="62313983">
            <w:pPr>
              <w:spacing w:line="360" w:lineRule="auto"/>
              <w:jc w:val="center"/>
              <w:rPr>
                <w:color w:val="auto"/>
                <w:szCs w:val="21"/>
                <w:highlight w:val="none"/>
              </w:rPr>
            </w:pPr>
          </w:p>
        </w:tc>
        <w:tc>
          <w:tcPr>
            <w:tcW w:w="709" w:type="dxa"/>
            <w:noWrap w:val="0"/>
            <w:vAlign w:val="center"/>
          </w:tcPr>
          <w:p w14:paraId="37A8E7A9">
            <w:pPr>
              <w:spacing w:line="360" w:lineRule="auto"/>
              <w:jc w:val="center"/>
              <w:rPr>
                <w:color w:val="auto"/>
                <w:szCs w:val="21"/>
                <w:highlight w:val="none"/>
              </w:rPr>
            </w:pPr>
          </w:p>
        </w:tc>
        <w:tc>
          <w:tcPr>
            <w:tcW w:w="1176" w:type="dxa"/>
            <w:noWrap w:val="0"/>
            <w:vAlign w:val="center"/>
          </w:tcPr>
          <w:p w14:paraId="5565C104">
            <w:pPr>
              <w:spacing w:line="360" w:lineRule="auto"/>
              <w:jc w:val="center"/>
              <w:rPr>
                <w:color w:val="auto"/>
                <w:szCs w:val="21"/>
                <w:highlight w:val="none"/>
              </w:rPr>
            </w:pPr>
          </w:p>
        </w:tc>
        <w:tc>
          <w:tcPr>
            <w:tcW w:w="1659" w:type="dxa"/>
            <w:noWrap w:val="0"/>
            <w:vAlign w:val="center"/>
          </w:tcPr>
          <w:p w14:paraId="13FEDFEC">
            <w:pPr>
              <w:spacing w:line="360" w:lineRule="auto"/>
              <w:jc w:val="center"/>
              <w:rPr>
                <w:color w:val="auto"/>
                <w:szCs w:val="21"/>
                <w:highlight w:val="none"/>
              </w:rPr>
            </w:pPr>
          </w:p>
        </w:tc>
        <w:tc>
          <w:tcPr>
            <w:tcW w:w="850" w:type="dxa"/>
            <w:noWrap w:val="0"/>
            <w:vAlign w:val="center"/>
          </w:tcPr>
          <w:p w14:paraId="08A0C7AA">
            <w:pPr>
              <w:spacing w:line="360" w:lineRule="auto"/>
              <w:jc w:val="center"/>
              <w:rPr>
                <w:color w:val="auto"/>
                <w:szCs w:val="21"/>
                <w:highlight w:val="none"/>
              </w:rPr>
            </w:pPr>
          </w:p>
        </w:tc>
      </w:tr>
      <w:tr w14:paraId="635C4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D23EC74">
            <w:pPr>
              <w:spacing w:line="360" w:lineRule="auto"/>
              <w:jc w:val="center"/>
              <w:rPr>
                <w:color w:val="auto"/>
                <w:szCs w:val="21"/>
                <w:highlight w:val="none"/>
              </w:rPr>
            </w:pPr>
          </w:p>
        </w:tc>
        <w:tc>
          <w:tcPr>
            <w:tcW w:w="1064" w:type="dxa"/>
            <w:noWrap w:val="0"/>
            <w:vAlign w:val="center"/>
          </w:tcPr>
          <w:p w14:paraId="1D838301">
            <w:pPr>
              <w:spacing w:line="360" w:lineRule="auto"/>
              <w:jc w:val="center"/>
              <w:rPr>
                <w:color w:val="auto"/>
                <w:szCs w:val="21"/>
                <w:highlight w:val="none"/>
              </w:rPr>
            </w:pPr>
          </w:p>
        </w:tc>
        <w:tc>
          <w:tcPr>
            <w:tcW w:w="795" w:type="dxa"/>
            <w:noWrap w:val="0"/>
            <w:vAlign w:val="center"/>
          </w:tcPr>
          <w:p w14:paraId="0E990576">
            <w:pPr>
              <w:spacing w:line="360" w:lineRule="auto"/>
              <w:jc w:val="center"/>
              <w:rPr>
                <w:color w:val="auto"/>
                <w:szCs w:val="21"/>
                <w:highlight w:val="none"/>
              </w:rPr>
            </w:pPr>
          </w:p>
        </w:tc>
        <w:tc>
          <w:tcPr>
            <w:tcW w:w="899" w:type="dxa"/>
            <w:noWrap w:val="0"/>
            <w:vAlign w:val="center"/>
          </w:tcPr>
          <w:p w14:paraId="0FDC9549">
            <w:pPr>
              <w:spacing w:line="360" w:lineRule="auto"/>
              <w:jc w:val="center"/>
              <w:rPr>
                <w:color w:val="auto"/>
                <w:szCs w:val="21"/>
                <w:highlight w:val="none"/>
              </w:rPr>
            </w:pPr>
          </w:p>
        </w:tc>
        <w:tc>
          <w:tcPr>
            <w:tcW w:w="709" w:type="dxa"/>
            <w:noWrap w:val="0"/>
            <w:vAlign w:val="center"/>
          </w:tcPr>
          <w:p w14:paraId="36D16C02">
            <w:pPr>
              <w:spacing w:line="360" w:lineRule="auto"/>
              <w:jc w:val="center"/>
              <w:rPr>
                <w:color w:val="auto"/>
                <w:szCs w:val="21"/>
                <w:highlight w:val="none"/>
              </w:rPr>
            </w:pPr>
          </w:p>
        </w:tc>
        <w:tc>
          <w:tcPr>
            <w:tcW w:w="709" w:type="dxa"/>
            <w:noWrap w:val="0"/>
            <w:vAlign w:val="center"/>
          </w:tcPr>
          <w:p w14:paraId="74EA5AD7">
            <w:pPr>
              <w:spacing w:line="360" w:lineRule="auto"/>
              <w:jc w:val="center"/>
              <w:rPr>
                <w:color w:val="auto"/>
                <w:szCs w:val="21"/>
                <w:highlight w:val="none"/>
              </w:rPr>
            </w:pPr>
          </w:p>
        </w:tc>
        <w:tc>
          <w:tcPr>
            <w:tcW w:w="1176" w:type="dxa"/>
            <w:noWrap w:val="0"/>
            <w:vAlign w:val="center"/>
          </w:tcPr>
          <w:p w14:paraId="7EECFF9C">
            <w:pPr>
              <w:spacing w:line="360" w:lineRule="auto"/>
              <w:jc w:val="center"/>
              <w:rPr>
                <w:color w:val="auto"/>
                <w:szCs w:val="21"/>
                <w:highlight w:val="none"/>
              </w:rPr>
            </w:pPr>
          </w:p>
        </w:tc>
        <w:tc>
          <w:tcPr>
            <w:tcW w:w="1659" w:type="dxa"/>
            <w:noWrap w:val="0"/>
            <w:vAlign w:val="center"/>
          </w:tcPr>
          <w:p w14:paraId="26089AB1">
            <w:pPr>
              <w:spacing w:line="360" w:lineRule="auto"/>
              <w:jc w:val="center"/>
              <w:rPr>
                <w:color w:val="auto"/>
                <w:szCs w:val="21"/>
                <w:highlight w:val="none"/>
              </w:rPr>
            </w:pPr>
          </w:p>
        </w:tc>
        <w:tc>
          <w:tcPr>
            <w:tcW w:w="850" w:type="dxa"/>
            <w:noWrap w:val="0"/>
            <w:vAlign w:val="center"/>
          </w:tcPr>
          <w:p w14:paraId="7834B9B2">
            <w:pPr>
              <w:spacing w:line="360" w:lineRule="auto"/>
              <w:jc w:val="center"/>
              <w:rPr>
                <w:color w:val="auto"/>
                <w:szCs w:val="21"/>
                <w:highlight w:val="none"/>
              </w:rPr>
            </w:pPr>
          </w:p>
        </w:tc>
      </w:tr>
      <w:tr w14:paraId="259CE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4E82777">
            <w:pPr>
              <w:spacing w:line="360" w:lineRule="auto"/>
              <w:jc w:val="center"/>
              <w:rPr>
                <w:color w:val="auto"/>
                <w:szCs w:val="21"/>
                <w:highlight w:val="none"/>
              </w:rPr>
            </w:pPr>
          </w:p>
        </w:tc>
        <w:tc>
          <w:tcPr>
            <w:tcW w:w="1064" w:type="dxa"/>
            <w:noWrap w:val="0"/>
            <w:vAlign w:val="center"/>
          </w:tcPr>
          <w:p w14:paraId="5A3792FF">
            <w:pPr>
              <w:spacing w:line="360" w:lineRule="auto"/>
              <w:jc w:val="center"/>
              <w:rPr>
                <w:color w:val="auto"/>
                <w:szCs w:val="21"/>
                <w:highlight w:val="none"/>
              </w:rPr>
            </w:pPr>
          </w:p>
        </w:tc>
        <w:tc>
          <w:tcPr>
            <w:tcW w:w="795" w:type="dxa"/>
            <w:noWrap w:val="0"/>
            <w:vAlign w:val="center"/>
          </w:tcPr>
          <w:p w14:paraId="540E5AC6">
            <w:pPr>
              <w:spacing w:line="360" w:lineRule="auto"/>
              <w:jc w:val="center"/>
              <w:rPr>
                <w:color w:val="auto"/>
                <w:szCs w:val="21"/>
                <w:highlight w:val="none"/>
              </w:rPr>
            </w:pPr>
          </w:p>
        </w:tc>
        <w:tc>
          <w:tcPr>
            <w:tcW w:w="899" w:type="dxa"/>
            <w:noWrap w:val="0"/>
            <w:vAlign w:val="center"/>
          </w:tcPr>
          <w:p w14:paraId="78D5DD2D">
            <w:pPr>
              <w:spacing w:line="360" w:lineRule="auto"/>
              <w:jc w:val="center"/>
              <w:rPr>
                <w:color w:val="auto"/>
                <w:szCs w:val="21"/>
                <w:highlight w:val="none"/>
              </w:rPr>
            </w:pPr>
          </w:p>
        </w:tc>
        <w:tc>
          <w:tcPr>
            <w:tcW w:w="709" w:type="dxa"/>
            <w:noWrap w:val="0"/>
            <w:vAlign w:val="center"/>
          </w:tcPr>
          <w:p w14:paraId="37AE2936">
            <w:pPr>
              <w:spacing w:line="360" w:lineRule="auto"/>
              <w:jc w:val="center"/>
              <w:rPr>
                <w:color w:val="auto"/>
                <w:szCs w:val="21"/>
                <w:highlight w:val="none"/>
              </w:rPr>
            </w:pPr>
          </w:p>
        </w:tc>
        <w:tc>
          <w:tcPr>
            <w:tcW w:w="709" w:type="dxa"/>
            <w:noWrap w:val="0"/>
            <w:vAlign w:val="center"/>
          </w:tcPr>
          <w:p w14:paraId="28148151">
            <w:pPr>
              <w:spacing w:line="360" w:lineRule="auto"/>
              <w:jc w:val="center"/>
              <w:rPr>
                <w:color w:val="auto"/>
                <w:szCs w:val="21"/>
                <w:highlight w:val="none"/>
              </w:rPr>
            </w:pPr>
          </w:p>
        </w:tc>
        <w:tc>
          <w:tcPr>
            <w:tcW w:w="1176" w:type="dxa"/>
            <w:noWrap w:val="0"/>
            <w:vAlign w:val="center"/>
          </w:tcPr>
          <w:p w14:paraId="549FB931">
            <w:pPr>
              <w:spacing w:line="360" w:lineRule="auto"/>
              <w:jc w:val="center"/>
              <w:rPr>
                <w:color w:val="auto"/>
                <w:szCs w:val="21"/>
                <w:highlight w:val="none"/>
              </w:rPr>
            </w:pPr>
          </w:p>
        </w:tc>
        <w:tc>
          <w:tcPr>
            <w:tcW w:w="1659" w:type="dxa"/>
            <w:noWrap w:val="0"/>
            <w:vAlign w:val="center"/>
          </w:tcPr>
          <w:p w14:paraId="377BB393">
            <w:pPr>
              <w:spacing w:line="360" w:lineRule="auto"/>
              <w:jc w:val="center"/>
              <w:rPr>
                <w:color w:val="auto"/>
                <w:szCs w:val="21"/>
                <w:highlight w:val="none"/>
              </w:rPr>
            </w:pPr>
          </w:p>
        </w:tc>
        <w:tc>
          <w:tcPr>
            <w:tcW w:w="850" w:type="dxa"/>
            <w:noWrap w:val="0"/>
            <w:vAlign w:val="center"/>
          </w:tcPr>
          <w:p w14:paraId="7C23C39D">
            <w:pPr>
              <w:spacing w:line="360" w:lineRule="auto"/>
              <w:jc w:val="center"/>
              <w:rPr>
                <w:color w:val="auto"/>
                <w:szCs w:val="21"/>
                <w:highlight w:val="none"/>
              </w:rPr>
            </w:pPr>
          </w:p>
        </w:tc>
      </w:tr>
      <w:tr w14:paraId="6AA94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C5D882F">
            <w:pPr>
              <w:spacing w:line="360" w:lineRule="auto"/>
              <w:jc w:val="center"/>
              <w:rPr>
                <w:color w:val="auto"/>
                <w:szCs w:val="21"/>
                <w:highlight w:val="none"/>
              </w:rPr>
            </w:pPr>
          </w:p>
        </w:tc>
        <w:tc>
          <w:tcPr>
            <w:tcW w:w="1064" w:type="dxa"/>
            <w:noWrap w:val="0"/>
            <w:vAlign w:val="center"/>
          </w:tcPr>
          <w:p w14:paraId="0162CC17">
            <w:pPr>
              <w:spacing w:line="360" w:lineRule="auto"/>
              <w:jc w:val="center"/>
              <w:rPr>
                <w:color w:val="auto"/>
                <w:szCs w:val="21"/>
                <w:highlight w:val="none"/>
              </w:rPr>
            </w:pPr>
          </w:p>
        </w:tc>
        <w:tc>
          <w:tcPr>
            <w:tcW w:w="795" w:type="dxa"/>
            <w:noWrap w:val="0"/>
            <w:vAlign w:val="center"/>
          </w:tcPr>
          <w:p w14:paraId="5D47FF8D">
            <w:pPr>
              <w:spacing w:line="360" w:lineRule="auto"/>
              <w:jc w:val="center"/>
              <w:rPr>
                <w:color w:val="auto"/>
                <w:szCs w:val="21"/>
                <w:highlight w:val="none"/>
              </w:rPr>
            </w:pPr>
          </w:p>
        </w:tc>
        <w:tc>
          <w:tcPr>
            <w:tcW w:w="899" w:type="dxa"/>
            <w:noWrap w:val="0"/>
            <w:vAlign w:val="center"/>
          </w:tcPr>
          <w:p w14:paraId="410DA11A">
            <w:pPr>
              <w:spacing w:line="360" w:lineRule="auto"/>
              <w:jc w:val="center"/>
              <w:rPr>
                <w:color w:val="auto"/>
                <w:szCs w:val="21"/>
                <w:highlight w:val="none"/>
              </w:rPr>
            </w:pPr>
          </w:p>
        </w:tc>
        <w:tc>
          <w:tcPr>
            <w:tcW w:w="709" w:type="dxa"/>
            <w:noWrap w:val="0"/>
            <w:vAlign w:val="center"/>
          </w:tcPr>
          <w:p w14:paraId="2FB8C243">
            <w:pPr>
              <w:spacing w:line="360" w:lineRule="auto"/>
              <w:jc w:val="center"/>
              <w:rPr>
                <w:color w:val="auto"/>
                <w:szCs w:val="21"/>
                <w:highlight w:val="none"/>
              </w:rPr>
            </w:pPr>
          </w:p>
        </w:tc>
        <w:tc>
          <w:tcPr>
            <w:tcW w:w="709" w:type="dxa"/>
            <w:noWrap w:val="0"/>
            <w:vAlign w:val="center"/>
          </w:tcPr>
          <w:p w14:paraId="125A182A">
            <w:pPr>
              <w:spacing w:line="360" w:lineRule="auto"/>
              <w:jc w:val="center"/>
              <w:rPr>
                <w:color w:val="auto"/>
                <w:szCs w:val="21"/>
                <w:highlight w:val="none"/>
              </w:rPr>
            </w:pPr>
          </w:p>
        </w:tc>
        <w:tc>
          <w:tcPr>
            <w:tcW w:w="1176" w:type="dxa"/>
            <w:noWrap w:val="0"/>
            <w:vAlign w:val="center"/>
          </w:tcPr>
          <w:p w14:paraId="7C3B0DCF">
            <w:pPr>
              <w:spacing w:line="360" w:lineRule="auto"/>
              <w:jc w:val="center"/>
              <w:rPr>
                <w:color w:val="auto"/>
                <w:szCs w:val="21"/>
                <w:highlight w:val="none"/>
              </w:rPr>
            </w:pPr>
          </w:p>
        </w:tc>
        <w:tc>
          <w:tcPr>
            <w:tcW w:w="1659" w:type="dxa"/>
            <w:noWrap w:val="0"/>
            <w:vAlign w:val="center"/>
          </w:tcPr>
          <w:p w14:paraId="3B929717">
            <w:pPr>
              <w:spacing w:line="360" w:lineRule="auto"/>
              <w:jc w:val="center"/>
              <w:rPr>
                <w:color w:val="auto"/>
                <w:szCs w:val="21"/>
                <w:highlight w:val="none"/>
              </w:rPr>
            </w:pPr>
          </w:p>
        </w:tc>
        <w:tc>
          <w:tcPr>
            <w:tcW w:w="850" w:type="dxa"/>
            <w:noWrap w:val="0"/>
            <w:vAlign w:val="center"/>
          </w:tcPr>
          <w:p w14:paraId="6B591F8A">
            <w:pPr>
              <w:spacing w:line="360" w:lineRule="auto"/>
              <w:jc w:val="center"/>
              <w:rPr>
                <w:color w:val="auto"/>
                <w:szCs w:val="21"/>
                <w:highlight w:val="none"/>
              </w:rPr>
            </w:pPr>
          </w:p>
        </w:tc>
      </w:tr>
      <w:tr w14:paraId="525CB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A7396B7">
            <w:pPr>
              <w:spacing w:line="360" w:lineRule="auto"/>
              <w:jc w:val="center"/>
              <w:rPr>
                <w:color w:val="auto"/>
                <w:szCs w:val="21"/>
                <w:highlight w:val="none"/>
              </w:rPr>
            </w:pPr>
          </w:p>
        </w:tc>
        <w:tc>
          <w:tcPr>
            <w:tcW w:w="1064" w:type="dxa"/>
            <w:noWrap w:val="0"/>
            <w:vAlign w:val="center"/>
          </w:tcPr>
          <w:p w14:paraId="19A3043B">
            <w:pPr>
              <w:spacing w:line="360" w:lineRule="auto"/>
              <w:jc w:val="center"/>
              <w:rPr>
                <w:color w:val="auto"/>
                <w:szCs w:val="21"/>
                <w:highlight w:val="none"/>
              </w:rPr>
            </w:pPr>
          </w:p>
        </w:tc>
        <w:tc>
          <w:tcPr>
            <w:tcW w:w="795" w:type="dxa"/>
            <w:noWrap w:val="0"/>
            <w:vAlign w:val="center"/>
          </w:tcPr>
          <w:p w14:paraId="4B0B132A">
            <w:pPr>
              <w:spacing w:line="360" w:lineRule="auto"/>
              <w:jc w:val="center"/>
              <w:rPr>
                <w:color w:val="auto"/>
                <w:szCs w:val="21"/>
                <w:highlight w:val="none"/>
              </w:rPr>
            </w:pPr>
          </w:p>
        </w:tc>
        <w:tc>
          <w:tcPr>
            <w:tcW w:w="899" w:type="dxa"/>
            <w:noWrap w:val="0"/>
            <w:vAlign w:val="center"/>
          </w:tcPr>
          <w:p w14:paraId="415A3D4D">
            <w:pPr>
              <w:spacing w:line="360" w:lineRule="auto"/>
              <w:jc w:val="center"/>
              <w:rPr>
                <w:color w:val="auto"/>
                <w:szCs w:val="21"/>
                <w:highlight w:val="none"/>
              </w:rPr>
            </w:pPr>
          </w:p>
        </w:tc>
        <w:tc>
          <w:tcPr>
            <w:tcW w:w="709" w:type="dxa"/>
            <w:noWrap w:val="0"/>
            <w:vAlign w:val="center"/>
          </w:tcPr>
          <w:p w14:paraId="542BA56F">
            <w:pPr>
              <w:spacing w:line="360" w:lineRule="auto"/>
              <w:jc w:val="center"/>
              <w:rPr>
                <w:color w:val="auto"/>
                <w:szCs w:val="21"/>
                <w:highlight w:val="none"/>
              </w:rPr>
            </w:pPr>
          </w:p>
        </w:tc>
        <w:tc>
          <w:tcPr>
            <w:tcW w:w="709" w:type="dxa"/>
            <w:noWrap w:val="0"/>
            <w:vAlign w:val="center"/>
          </w:tcPr>
          <w:p w14:paraId="3B30EE16">
            <w:pPr>
              <w:spacing w:line="360" w:lineRule="auto"/>
              <w:jc w:val="center"/>
              <w:rPr>
                <w:color w:val="auto"/>
                <w:szCs w:val="21"/>
                <w:highlight w:val="none"/>
              </w:rPr>
            </w:pPr>
          </w:p>
        </w:tc>
        <w:tc>
          <w:tcPr>
            <w:tcW w:w="1176" w:type="dxa"/>
            <w:noWrap w:val="0"/>
            <w:vAlign w:val="center"/>
          </w:tcPr>
          <w:p w14:paraId="14362E79">
            <w:pPr>
              <w:spacing w:line="360" w:lineRule="auto"/>
              <w:jc w:val="center"/>
              <w:rPr>
                <w:color w:val="auto"/>
                <w:szCs w:val="21"/>
                <w:highlight w:val="none"/>
              </w:rPr>
            </w:pPr>
          </w:p>
        </w:tc>
        <w:tc>
          <w:tcPr>
            <w:tcW w:w="1659" w:type="dxa"/>
            <w:noWrap w:val="0"/>
            <w:vAlign w:val="center"/>
          </w:tcPr>
          <w:p w14:paraId="5E827868">
            <w:pPr>
              <w:spacing w:line="360" w:lineRule="auto"/>
              <w:jc w:val="center"/>
              <w:rPr>
                <w:color w:val="auto"/>
                <w:szCs w:val="21"/>
                <w:highlight w:val="none"/>
              </w:rPr>
            </w:pPr>
          </w:p>
        </w:tc>
        <w:tc>
          <w:tcPr>
            <w:tcW w:w="850" w:type="dxa"/>
            <w:noWrap w:val="0"/>
            <w:vAlign w:val="center"/>
          </w:tcPr>
          <w:p w14:paraId="333E6F34">
            <w:pPr>
              <w:spacing w:line="360" w:lineRule="auto"/>
              <w:jc w:val="center"/>
              <w:rPr>
                <w:color w:val="auto"/>
                <w:szCs w:val="21"/>
                <w:highlight w:val="none"/>
              </w:rPr>
            </w:pPr>
          </w:p>
        </w:tc>
      </w:tr>
      <w:tr w14:paraId="26DB4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8AC8493">
            <w:pPr>
              <w:spacing w:line="360" w:lineRule="auto"/>
              <w:jc w:val="center"/>
              <w:rPr>
                <w:color w:val="auto"/>
                <w:szCs w:val="21"/>
                <w:highlight w:val="none"/>
              </w:rPr>
            </w:pPr>
          </w:p>
        </w:tc>
        <w:tc>
          <w:tcPr>
            <w:tcW w:w="1064" w:type="dxa"/>
            <w:noWrap w:val="0"/>
            <w:vAlign w:val="center"/>
          </w:tcPr>
          <w:p w14:paraId="5CBE43D9">
            <w:pPr>
              <w:spacing w:line="360" w:lineRule="auto"/>
              <w:jc w:val="center"/>
              <w:rPr>
                <w:color w:val="auto"/>
                <w:szCs w:val="21"/>
                <w:highlight w:val="none"/>
              </w:rPr>
            </w:pPr>
          </w:p>
        </w:tc>
        <w:tc>
          <w:tcPr>
            <w:tcW w:w="795" w:type="dxa"/>
            <w:noWrap w:val="0"/>
            <w:vAlign w:val="center"/>
          </w:tcPr>
          <w:p w14:paraId="7007F60A">
            <w:pPr>
              <w:spacing w:line="360" w:lineRule="auto"/>
              <w:jc w:val="center"/>
              <w:rPr>
                <w:color w:val="auto"/>
                <w:szCs w:val="21"/>
                <w:highlight w:val="none"/>
              </w:rPr>
            </w:pPr>
          </w:p>
        </w:tc>
        <w:tc>
          <w:tcPr>
            <w:tcW w:w="899" w:type="dxa"/>
            <w:noWrap w:val="0"/>
            <w:vAlign w:val="center"/>
          </w:tcPr>
          <w:p w14:paraId="43283C94">
            <w:pPr>
              <w:spacing w:line="360" w:lineRule="auto"/>
              <w:jc w:val="center"/>
              <w:rPr>
                <w:color w:val="auto"/>
                <w:szCs w:val="21"/>
                <w:highlight w:val="none"/>
              </w:rPr>
            </w:pPr>
          </w:p>
        </w:tc>
        <w:tc>
          <w:tcPr>
            <w:tcW w:w="709" w:type="dxa"/>
            <w:noWrap w:val="0"/>
            <w:vAlign w:val="center"/>
          </w:tcPr>
          <w:p w14:paraId="13D6F239">
            <w:pPr>
              <w:spacing w:line="360" w:lineRule="auto"/>
              <w:jc w:val="center"/>
              <w:rPr>
                <w:color w:val="auto"/>
                <w:szCs w:val="21"/>
                <w:highlight w:val="none"/>
              </w:rPr>
            </w:pPr>
          </w:p>
        </w:tc>
        <w:tc>
          <w:tcPr>
            <w:tcW w:w="709" w:type="dxa"/>
            <w:noWrap w:val="0"/>
            <w:vAlign w:val="center"/>
          </w:tcPr>
          <w:p w14:paraId="344AC23C">
            <w:pPr>
              <w:spacing w:line="360" w:lineRule="auto"/>
              <w:jc w:val="center"/>
              <w:rPr>
                <w:color w:val="auto"/>
                <w:szCs w:val="21"/>
                <w:highlight w:val="none"/>
              </w:rPr>
            </w:pPr>
          </w:p>
        </w:tc>
        <w:tc>
          <w:tcPr>
            <w:tcW w:w="1176" w:type="dxa"/>
            <w:noWrap w:val="0"/>
            <w:vAlign w:val="center"/>
          </w:tcPr>
          <w:p w14:paraId="7E8CE867">
            <w:pPr>
              <w:spacing w:line="360" w:lineRule="auto"/>
              <w:jc w:val="center"/>
              <w:rPr>
                <w:color w:val="auto"/>
                <w:szCs w:val="21"/>
                <w:highlight w:val="none"/>
              </w:rPr>
            </w:pPr>
          </w:p>
        </w:tc>
        <w:tc>
          <w:tcPr>
            <w:tcW w:w="1659" w:type="dxa"/>
            <w:noWrap w:val="0"/>
            <w:vAlign w:val="center"/>
          </w:tcPr>
          <w:p w14:paraId="2440F221">
            <w:pPr>
              <w:spacing w:line="360" w:lineRule="auto"/>
              <w:jc w:val="center"/>
              <w:rPr>
                <w:color w:val="auto"/>
                <w:szCs w:val="21"/>
                <w:highlight w:val="none"/>
              </w:rPr>
            </w:pPr>
          </w:p>
        </w:tc>
        <w:tc>
          <w:tcPr>
            <w:tcW w:w="850" w:type="dxa"/>
            <w:noWrap w:val="0"/>
            <w:vAlign w:val="center"/>
          </w:tcPr>
          <w:p w14:paraId="6C635295">
            <w:pPr>
              <w:spacing w:line="360" w:lineRule="auto"/>
              <w:jc w:val="center"/>
              <w:rPr>
                <w:color w:val="auto"/>
                <w:szCs w:val="21"/>
                <w:highlight w:val="none"/>
              </w:rPr>
            </w:pPr>
          </w:p>
        </w:tc>
      </w:tr>
      <w:tr w14:paraId="73A48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5F97AFF">
            <w:pPr>
              <w:spacing w:line="360" w:lineRule="auto"/>
              <w:jc w:val="center"/>
              <w:rPr>
                <w:color w:val="auto"/>
                <w:szCs w:val="21"/>
                <w:highlight w:val="none"/>
              </w:rPr>
            </w:pPr>
          </w:p>
        </w:tc>
        <w:tc>
          <w:tcPr>
            <w:tcW w:w="1064" w:type="dxa"/>
            <w:noWrap w:val="0"/>
            <w:vAlign w:val="center"/>
          </w:tcPr>
          <w:p w14:paraId="06F18480">
            <w:pPr>
              <w:spacing w:line="360" w:lineRule="auto"/>
              <w:jc w:val="center"/>
              <w:rPr>
                <w:color w:val="auto"/>
                <w:szCs w:val="21"/>
                <w:highlight w:val="none"/>
              </w:rPr>
            </w:pPr>
          </w:p>
        </w:tc>
        <w:tc>
          <w:tcPr>
            <w:tcW w:w="795" w:type="dxa"/>
            <w:noWrap w:val="0"/>
            <w:vAlign w:val="center"/>
          </w:tcPr>
          <w:p w14:paraId="4EF24B6B">
            <w:pPr>
              <w:spacing w:line="360" w:lineRule="auto"/>
              <w:jc w:val="center"/>
              <w:rPr>
                <w:color w:val="auto"/>
                <w:szCs w:val="21"/>
                <w:highlight w:val="none"/>
              </w:rPr>
            </w:pPr>
          </w:p>
        </w:tc>
        <w:tc>
          <w:tcPr>
            <w:tcW w:w="899" w:type="dxa"/>
            <w:noWrap w:val="0"/>
            <w:vAlign w:val="center"/>
          </w:tcPr>
          <w:p w14:paraId="6B7EC9B9">
            <w:pPr>
              <w:spacing w:line="360" w:lineRule="auto"/>
              <w:jc w:val="center"/>
              <w:rPr>
                <w:color w:val="auto"/>
                <w:szCs w:val="21"/>
                <w:highlight w:val="none"/>
              </w:rPr>
            </w:pPr>
          </w:p>
        </w:tc>
        <w:tc>
          <w:tcPr>
            <w:tcW w:w="709" w:type="dxa"/>
            <w:noWrap w:val="0"/>
            <w:vAlign w:val="center"/>
          </w:tcPr>
          <w:p w14:paraId="5921CEB0">
            <w:pPr>
              <w:spacing w:line="360" w:lineRule="auto"/>
              <w:jc w:val="center"/>
              <w:rPr>
                <w:color w:val="auto"/>
                <w:szCs w:val="21"/>
                <w:highlight w:val="none"/>
              </w:rPr>
            </w:pPr>
          </w:p>
        </w:tc>
        <w:tc>
          <w:tcPr>
            <w:tcW w:w="709" w:type="dxa"/>
            <w:noWrap w:val="0"/>
            <w:vAlign w:val="center"/>
          </w:tcPr>
          <w:p w14:paraId="326E9C7C">
            <w:pPr>
              <w:spacing w:line="360" w:lineRule="auto"/>
              <w:jc w:val="center"/>
              <w:rPr>
                <w:color w:val="auto"/>
                <w:szCs w:val="21"/>
                <w:highlight w:val="none"/>
              </w:rPr>
            </w:pPr>
          </w:p>
        </w:tc>
        <w:tc>
          <w:tcPr>
            <w:tcW w:w="1176" w:type="dxa"/>
            <w:noWrap w:val="0"/>
            <w:vAlign w:val="center"/>
          </w:tcPr>
          <w:p w14:paraId="30178801">
            <w:pPr>
              <w:spacing w:line="360" w:lineRule="auto"/>
              <w:jc w:val="center"/>
              <w:rPr>
                <w:color w:val="auto"/>
                <w:szCs w:val="21"/>
                <w:highlight w:val="none"/>
              </w:rPr>
            </w:pPr>
          </w:p>
        </w:tc>
        <w:tc>
          <w:tcPr>
            <w:tcW w:w="1659" w:type="dxa"/>
            <w:noWrap w:val="0"/>
            <w:vAlign w:val="center"/>
          </w:tcPr>
          <w:p w14:paraId="51DEF71F">
            <w:pPr>
              <w:spacing w:line="360" w:lineRule="auto"/>
              <w:jc w:val="center"/>
              <w:rPr>
                <w:color w:val="auto"/>
                <w:szCs w:val="21"/>
                <w:highlight w:val="none"/>
              </w:rPr>
            </w:pPr>
          </w:p>
        </w:tc>
        <w:tc>
          <w:tcPr>
            <w:tcW w:w="850" w:type="dxa"/>
            <w:noWrap w:val="0"/>
            <w:vAlign w:val="center"/>
          </w:tcPr>
          <w:p w14:paraId="2FB7FB9B">
            <w:pPr>
              <w:spacing w:line="360" w:lineRule="auto"/>
              <w:jc w:val="center"/>
              <w:rPr>
                <w:color w:val="auto"/>
                <w:szCs w:val="21"/>
                <w:highlight w:val="none"/>
              </w:rPr>
            </w:pPr>
          </w:p>
        </w:tc>
      </w:tr>
      <w:tr w14:paraId="01C44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94A0EBE">
            <w:pPr>
              <w:spacing w:line="360" w:lineRule="auto"/>
              <w:jc w:val="center"/>
              <w:rPr>
                <w:color w:val="auto"/>
                <w:szCs w:val="21"/>
                <w:highlight w:val="none"/>
              </w:rPr>
            </w:pPr>
          </w:p>
        </w:tc>
        <w:tc>
          <w:tcPr>
            <w:tcW w:w="1064" w:type="dxa"/>
            <w:noWrap w:val="0"/>
            <w:vAlign w:val="center"/>
          </w:tcPr>
          <w:p w14:paraId="5BCD4244">
            <w:pPr>
              <w:spacing w:line="360" w:lineRule="auto"/>
              <w:jc w:val="center"/>
              <w:rPr>
                <w:color w:val="auto"/>
                <w:szCs w:val="21"/>
                <w:highlight w:val="none"/>
              </w:rPr>
            </w:pPr>
          </w:p>
        </w:tc>
        <w:tc>
          <w:tcPr>
            <w:tcW w:w="795" w:type="dxa"/>
            <w:noWrap w:val="0"/>
            <w:vAlign w:val="center"/>
          </w:tcPr>
          <w:p w14:paraId="10A5DC8F">
            <w:pPr>
              <w:spacing w:line="360" w:lineRule="auto"/>
              <w:jc w:val="center"/>
              <w:rPr>
                <w:color w:val="auto"/>
                <w:szCs w:val="21"/>
                <w:highlight w:val="none"/>
              </w:rPr>
            </w:pPr>
          </w:p>
        </w:tc>
        <w:tc>
          <w:tcPr>
            <w:tcW w:w="899" w:type="dxa"/>
            <w:noWrap w:val="0"/>
            <w:vAlign w:val="center"/>
          </w:tcPr>
          <w:p w14:paraId="1516B4BB">
            <w:pPr>
              <w:spacing w:line="360" w:lineRule="auto"/>
              <w:jc w:val="center"/>
              <w:rPr>
                <w:color w:val="auto"/>
                <w:szCs w:val="21"/>
                <w:highlight w:val="none"/>
              </w:rPr>
            </w:pPr>
          </w:p>
        </w:tc>
        <w:tc>
          <w:tcPr>
            <w:tcW w:w="709" w:type="dxa"/>
            <w:noWrap w:val="0"/>
            <w:vAlign w:val="center"/>
          </w:tcPr>
          <w:p w14:paraId="4F8C65BE">
            <w:pPr>
              <w:spacing w:line="360" w:lineRule="auto"/>
              <w:jc w:val="center"/>
              <w:rPr>
                <w:color w:val="auto"/>
                <w:szCs w:val="21"/>
                <w:highlight w:val="none"/>
              </w:rPr>
            </w:pPr>
          </w:p>
        </w:tc>
        <w:tc>
          <w:tcPr>
            <w:tcW w:w="709" w:type="dxa"/>
            <w:noWrap w:val="0"/>
            <w:vAlign w:val="center"/>
          </w:tcPr>
          <w:p w14:paraId="5E153460">
            <w:pPr>
              <w:spacing w:line="360" w:lineRule="auto"/>
              <w:jc w:val="center"/>
              <w:rPr>
                <w:color w:val="auto"/>
                <w:szCs w:val="21"/>
                <w:highlight w:val="none"/>
              </w:rPr>
            </w:pPr>
          </w:p>
        </w:tc>
        <w:tc>
          <w:tcPr>
            <w:tcW w:w="1176" w:type="dxa"/>
            <w:noWrap w:val="0"/>
            <w:vAlign w:val="center"/>
          </w:tcPr>
          <w:p w14:paraId="7DE069E5">
            <w:pPr>
              <w:spacing w:line="360" w:lineRule="auto"/>
              <w:jc w:val="center"/>
              <w:rPr>
                <w:color w:val="auto"/>
                <w:szCs w:val="21"/>
                <w:highlight w:val="none"/>
              </w:rPr>
            </w:pPr>
          </w:p>
        </w:tc>
        <w:tc>
          <w:tcPr>
            <w:tcW w:w="1659" w:type="dxa"/>
            <w:noWrap w:val="0"/>
            <w:vAlign w:val="center"/>
          </w:tcPr>
          <w:p w14:paraId="47C3E303">
            <w:pPr>
              <w:spacing w:line="360" w:lineRule="auto"/>
              <w:jc w:val="center"/>
              <w:rPr>
                <w:color w:val="auto"/>
                <w:szCs w:val="21"/>
                <w:highlight w:val="none"/>
              </w:rPr>
            </w:pPr>
          </w:p>
        </w:tc>
        <w:tc>
          <w:tcPr>
            <w:tcW w:w="850" w:type="dxa"/>
            <w:noWrap w:val="0"/>
            <w:vAlign w:val="center"/>
          </w:tcPr>
          <w:p w14:paraId="74ADA60C">
            <w:pPr>
              <w:spacing w:line="360" w:lineRule="auto"/>
              <w:jc w:val="center"/>
              <w:rPr>
                <w:color w:val="auto"/>
                <w:szCs w:val="21"/>
                <w:highlight w:val="none"/>
              </w:rPr>
            </w:pPr>
          </w:p>
        </w:tc>
      </w:tr>
      <w:tr w14:paraId="30561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2D9A084">
            <w:pPr>
              <w:spacing w:line="360" w:lineRule="auto"/>
              <w:jc w:val="center"/>
              <w:rPr>
                <w:color w:val="auto"/>
                <w:szCs w:val="21"/>
                <w:highlight w:val="none"/>
              </w:rPr>
            </w:pPr>
          </w:p>
        </w:tc>
        <w:tc>
          <w:tcPr>
            <w:tcW w:w="1064" w:type="dxa"/>
            <w:noWrap w:val="0"/>
            <w:vAlign w:val="center"/>
          </w:tcPr>
          <w:p w14:paraId="0AF80BF9">
            <w:pPr>
              <w:spacing w:line="360" w:lineRule="auto"/>
              <w:jc w:val="center"/>
              <w:rPr>
                <w:color w:val="auto"/>
                <w:szCs w:val="21"/>
                <w:highlight w:val="none"/>
              </w:rPr>
            </w:pPr>
          </w:p>
        </w:tc>
        <w:tc>
          <w:tcPr>
            <w:tcW w:w="795" w:type="dxa"/>
            <w:noWrap w:val="0"/>
            <w:vAlign w:val="center"/>
          </w:tcPr>
          <w:p w14:paraId="05230763">
            <w:pPr>
              <w:spacing w:line="360" w:lineRule="auto"/>
              <w:jc w:val="center"/>
              <w:rPr>
                <w:color w:val="auto"/>
                <w:szCs w:val="21"/>
                <w:highlight w:val="none"/>
              </w:rPr>
            </w:pPr>
          </w:p>
        </w:tc>
        <w:tc>
          <w:tcPr>
            <w:tcW w:w="899" w:type="dxa"/>
            <w:noWrap w:val="0"/>
            <w:vAlign w:val="center"/>
          </w:tcPr>
          <w:p w14:paraId="76EC1315">
            <w:pPr>
              <w:spacing w:line="360" w:lineRule="auto"/>
              <w:jc w:val="center"/>
              <w:rPr>
                <w:color w:val="auto"/>
                <w:szCs w:val="21"/>
                <w:highlight w:val="none"/>
              </w:rPr>
            </w:pPr>
          </w:p>
        </w:tc>
        <w:tc>
          <w:tcPr>
            <w:tcW w:w="709" w:type="dxa"/>
            <w:noWrap w:val="0"/>
            <w:vAlign w:val="center"/>
          </w:tcPr>
          <w:p w14:paraId="67610095">
            <w:pPr>
              <w:spacing w:line="360" w:lineRule="auto"/>
              <w:jc w:val="center"/>
              <w:rPr>
                <w:color w:val="auto"/>
                <w:szCs w:val="21"/>
                <w:highlight w:val="none"/>
              </w:rPr>
            </w:pPr>
          </w:p>
        </w:tc>
        <w:tc>
          <w:tcPr>
            <w:tcW w:w="709" w:type="dxa"/>
            <w:noWrap w:val="0"/>
            <w:vAlign w:val="center"/>
          </w:tcPr>
          <w:p w14:paraId="4762D50F">
            <w:pPr>
              <w:spacing w:line="360" w:lineRule="auto"/>
              <w:jc w:val="center"/>
              <w:rPr>
                <w:color w:val="auto"/>
                <w:szCs w:val="21"/>
                <w:highlight w:val="none"/>
              </w:rPr>
            </w:pPr>
          </w:p>
        </w:tc>
        <w:tc>
          <w:tcPr>
            <w:tcW w:w="1176" w:type="dxa"/>
            <w:noWrap w:val="0"/>
            <w:vAlign w:val="center"/>
          </w:tcPr>
          <w:p w14:paraId="4A37C30C">
            <w:pPr>
              <w:spacing w:line="360" w:lineRule="auto"/>
              <w:jc w:val="center"/>
              <w:rPr>
                <w:color w:val="auto"/>
                <w:szCs w:val="21"/>
                <w:highlight w:val="none"/>
              </w:rPr>
            </w:pPr>
          </w:p>
        </w:tc>
        <w:tc>
          <w:tcPr>
            <w:tcW w:w="1659" w:type="dxa"/>
            <w:noWrap w:val="0"/>
            <w:vAlign w:val="center"/>
          </w:tcPr>
          <w:p w14:paraId="11A8246C">
            <w:pPr>
              <w:spacing w:line="360" w:lineRule="auto"/>
              <w:jc w:val="center"/>
              <w:rPr>
                <w:color w:val="auto"/>
                <w:szCs w:val="21"/>
                <w:highlight w:val="none"/>
              </w:rPr>
            </w:pPr>
          </w:p>
        </w:tc>
        <w:tc>
          <w:tcPr>
            <w:tcW w:w="850" w:type="dxa"/>
            <w:noWrap w:val="0"/>
            <w:vAlign w:val="center"/>
          </w:tcPr>
          <w:p w14:paraId="0C4635D5">
            <w:pPr>
              <w:spacing w:line="360" w:lineRule="auto"/>
              <w:jc w:val="center"/>
              <w:rPr>
                <w:color w:val="auto"/>
                <w:szCs w:val="21"/>
                <w:highlight w:val="none"/>
              </w:rPr>
            </w:pPr>
          </w:p>
        </w:tc>
      </w:tr>
      <w:tr w14:paraId="4A09E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62B7A0B">
            <w:pPr>
              <w:spacing w:line="360" w:lineRule="auto"/>
              <w:jc w:val="center"/>
              <w:rPr>
                <w:color w:val="auto"/>
                <w:szCs w:val="21"/>
                <w:highlight w:val="none"/>
              </w:rPr>
            </w:pPr>
          </w:p>
        </w:tc>
        <w:tc>
          <w:tcPr>
            <w:tcW w:w="1064" w:type="dxa"/>
            <w:noWrap w:val="0"/>
            <w:vAlign w:val="center"/>
          </w:tcPr>
          <w:p w14:paraId="66F1E7A7">
            <w:pPr>
              <w:spacing w:line="360" w:lineRule="auto"/>
              <w:jc w:val="center"/>
              <w:rPr>
                <w:color w:val="auto"/>
                <w:szCs w:val="21"/>
                <w:highlight w:val="none"/>
              </w:rPr>
            </w:pPr>
          </w:p>
        </w:tc>
        <w:tc>
          <w:tcPr>
            <w:tcW w:w="795" w:type="dxa"/>
            <w:noWrap w:val="0"/>
            <w:vAlign w:val="center"/>
          </w:tcPr>
          <w:p w14:paraId="21545067">
            <w:pPr>
              <w:spacing w:line="360" w:lineRule="auto"/>
              <w:jc w:val="center"/>
              <w:rPr>
                <w:color w:val="auto"/>
                <w:szCs w:val="21"/>
                <w:highlight w:val="none"/>
              </w:rPr>
            </w:pPr>
          </w:p>
        </w:tc>
        <w:tc>
          <w:tcPr>
            <w:tcW w:w="899" w:type="dxa"/>
            <w:noWrap w:val="0"/>
            <w:vAlign w:val="center"/>
          </w:tcPr>
          <w:p w14:paraId="1BC366F2">
            <w:pPr>
              <w:spacing w:line="360" w:lineRule="auto"/>
              <w:jc w:val="center"/>
              <w:rPr>
                <w:color w:val="auto"/>
                <w:szCs w:val="21"/>
                <w:highlight w:val="none"/>
              </w:rPr>
            </w:pPr>
          </w:p>
        </w:tc>
        <w:tc>
          <w:tcPr>
            <w:tcW w:w="709" w:type="dxa"/>
            <w:noWrap w:val="0"/>
            <w:vAlign w:val="center"/>
          </w:tcPr>
          <w:p w14:paraId="755B4EC6">
            <w:pPr>
              <w:spacing w:line="360" w:lineRule="auto"/>
              <w:jc w:val="center"/>
              <w:rPr>
                <w:color w:val="auto"/>
                <w:szCs w:val="21"/>
                <w:highlight w:val="none"/>
              </w:rPr>
            </w:pPr>
          </w:p>
        </w:tc>
        <w:tc>
          <w:tcPr>
            <w:tcW w:w="709" w:type="dxa"/>
            <w:noWrap w:val="0"/>
            <w:vAlign w:val="center"/>
          </w:tcPr>
          <w:p w14:paraId="1B95FF3E">
            <w:pPr>
              <w:spacing w:line="360" w:lineRule="auto"/>
              <w:jc w:val="center"/>
              <w:rPr>
                <w:color w:val="auto"/>
                <w:szCs w:val="21"/>
                <w:highlight w:val="none"/>
              </w:rPr>
            </w:pPr>
          </w:p>
        </w:tc>
        <w:tc>
          <w:tcPr>
            <w:tcW w:w="1176" w:type="dxa"/>
            <w:noWrap w:val="0"/>
            <w:vAlign w:val="center"/>
          </w:tcPr>
          <w:p w14:paraId="58387C2B">
            <w:pPr>
              <w:spacing w:line="360" w:lineRule="auto"/>
              <w:jc w:val="center"/>
              <w:rPr>
                <w:color w:val="auto"/>
                <w:szCs w:val="21"/>
                <w:highlight w:val="none"/>
              </w:rPr>
            </w:pPr>
          </w:p>
        </w:tc>
        <w:tc>
          <w:tcPr>
            <w:tcW w:w="1659" w:type="dxa"/>
            <w:noWrap w:val="0"/>
            <w:vAlign w:val="center"/>
          </w:tcPr>
          <w:p w14:paraId="342A5348">
            <w:pPr>
              <w:spacing w:line="360" w:lineRule="auto"/>
              <w:jc w:val="center"/>
              <w:rPr>
                <w:color w:val="auto"/>
                <w:szCs w:val="21"/>
                <w:highlight w:val="none"/>
              </w:rPr>
            </w:pPr>
          </w:p>
        </w:tc>
        <w:tc>
          <w:tcPr>
            <w:tcW w:w="850" w:type="dxa"/>
            <w:noWrap w:val="0"/>
            <w:vAlign w:val="center"/>
          </w:tcPr>
          <w:p w14:paraId="3FE08C11">
            <w:pPr>
              <w:spacing w:line="360" w:lineRule="auto"/>
              <w:jc w:val="center"/>
              <w:rPr>
                <w:color w:val="auto"/>
                <w:szCs w:val="21"/>
                <w:highlight w:val="none"/>
              </w:rPr>
            </w:pPr>
          </w:p>
        </w:tc>
      </w:tr>
      <w:tr w14:paraId="22800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66298DD">
            <w:pPr>
              <w:spacing w:line="360" w:lineRule="auto"/>
              <w:jc w:val="center"/>
              <w:rPr>
                <w:color w:val="auto"/>
                <w:szCs w:val="21"/>
                <w:highlight w:val="none"/>
              </w:rPr>
            </w:pPr>
          </w:p>
        </w:tc>
        <w:tc>
          <w:tcPr>
            <w:tcW w:w="1064" w:type="dxa"/>
            <w:noWrap w:val="0"/>
            <w:vAlign w:val="center"/>
          </w:tcPr>
          <w:p w14:paraId="62DE3B99">
            <w:pPr>
              <w:spacing w:line="360" w:lineRule="auto"/>
              <w:jc w:val="center"/>
              <w:rPr>
                <w:color w:val="auto"/>
                <w:szCs w:val="21"/>
                <w:highlight w:val="none"/>
              </w:rPr>
            </w:pPr>
          </w:p>
        </w:tc>
        <w:tc>
          <w:tcPr>
            <w:tcW w:w="795" w:type="dxa"/>
            <w:noWrap w:val="0"/>
            <w:vAlign w:val="center"/>
          </w:tcPr>
          <w:p w14:paraId="355CB5F9">
            <w:pPr>
              <w:spacing w:line="360" w:lineRule="auto"/>
              <w:jc w:val="center"/>
              <w:rPr>
                <w:color w:val="auto"/>
                <w:szCs w:val="21"/>
                <w:highlight w:val="none"/>
              </w:rPr>
            </w:pPr>
          </w:p>
        </w:tc>
        <w:tc>
          <w:tcPr>
            <w:tcW w:w="899" w:type="dxa"/>
            <w:noWrap w:val="0"/>
            <w:vAlign w:val="center"/>
          </w:tcPr>
          <w:p w14:paraId="4B0BE61C">
            <w:pPr>
              <w:spacing w:line="360" w:lineRule="auto"/>
              <w:jc w:val="center"/>
              <w:rPr>
                <w:color w:val="auto"/>
                <w:szCs w:val="21"/>
                <w:highlight w:val="none"/>
              </w:rPr>
            </w:pPr>
          </w:p>
        </w:tc>
        <w:tc>
          <w:tcPr>
            <w:tcW w:w="709" w:type="dxa"/>
            <w:noWrap w:val="0"/>
            <w:vAlign w:val="center"/>
          </w:tcPr>
          <w:p w14:paraId="58885083">
            <w:pPr>
              <w:spacing w:line="360" w:lineRule="auto"/>
              <w:jc w:val="center"/>
              <w:rPr>
                <w:color w:val="auto"/>
                <w:szCs w:val="21"/>
                <w:highlight w:val="none"/>
              </w:rPr>
            </w:pPr>
          </w:p>
        </w:tc>
        <w:tc>
          <w:tcPr>
            <w:tcW w:w="709" w:type="dxa"/>
            <w:noWrap w:val="0"/>
            <w:vAlign w:val="center"/>
          </w:tcPr>
          <w:p w14:paraId="785ACB56">
            <w:pPr>
              <w:spacing w:line="360" w:lineRule="auto"/>
              <w:jc w:val="center"/>
              <w:rPr>
                <w:color w:val="auto"/>
                <w:szCs w:val="21"/>
                <w:highlight w:val="none"/>
              </w:rPr>
            </w:pPr>
          </w:p>
        </w:tc>
        <w:tc>
          <w:tcPr>
            <w:tcW w:w="1176" w:type="dxa"/>
            <w:noWrap w:val="0"/>
            <w:vAlign w:val="center"/>
          </w:tcPr>
          <w:p w14:paraId="4EF87F25">
            <w:pPr>
              <w:spacing w:line="360" w:lineRule="auto"/>
              <w:jc w:val="center"/>
              <w:rPr>
                <w:color w:val="auto"/>
                <w:szCs w:val="21"/>
                <w:highlight w:val="none"/>
              </w:rPr>
            </w:pPr>
          </w:p>
        </w:tc>
        <w:tc>
          <w:tcPr>
            <w:tcW w:w="1659" w:type="dxa"/>
            <w:noWrap w:val="0"/>
            <w:vAlign w:val="center"/>
          </w:tcPr>
          <w:p w14:paraId="33C90EB2">
            <w:pPr>
              <w:spacing w:line="360" w:lineRule="auto"/>
              <w:jc w:val="center"/>
              <w:rPr>
                <w:color w:val="auto"/>
                <w:szCs w:val="21"/>
                <w:highlight w:val="none"/>
              </w:rPr>
            </w:pPr>
          </w:p>
        </w:tc>
        <w:tc>
          <w:tcPr>
            <w:tcW w:w="850" w:type="dxa"/>
            <w:noWrap w:val="0"/>
            <w:vAlign w:val="center"/>
          </w:tcPr>
          <w:p w14:paraId="3E0F5D58">
            <w:pPr>
              <w:spacing w:line="360" w:lineRule="auto"/>
              <w:jc w:val="center"/>
              <w:rPr>
                <w:color w:val="auto"/>
                <w:szCs w:val="21"/>
                <w:highlight w:val="none"/>
              </w:rPr>
            </w:pPr>
          </w:p>
        </w:tc>
      </w:tr>
      <w:tr w14:paraId="12750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C7E93E0">
            <w:pPr>
              <w:spacing w:line="360" w:lineRule="auto"/>
              <w:jc w:val="center"/>
              <w:rPr>
                <w:color w:val="auto"/>
                <w:szCs w:val="21"/>
                <w:highlight w:val="none"/>
              </w:rPr>
            </w:pPr>
          </w:p>
        </w:tc>
        <w:tc>
          <w:tcPr>
            <w:tcW w:w="1064" w:type="dxa"/>
            <w:noWrap w:val="0"/>
            <w:vAlign w:val="center"/>
          </w:tcPr>
          <w:p w14:paraId="5667C4BE">
            <w:pPr>
              <w:spacing w:line="360" w:lineRule="auto"/>
              <w:jc w:val="center"/>
              <w:rPr>
                <w:color w:val="auto"/>
                <w:szCs w:val="21"/>
                <w:highlight w:val="none"/>
              </w:rPr>
            </w:pPr>
          </w:p>
        </w:tc>
        <w:tc>
          <w:tcPr>
            <w:tcW w:w="795" w:type="dxa"/>
            <w:noWrap w:val="0"/>
            <w:vAlign w:val="center"/>
          </w:tcPr>
          <w:p w14:paraId="0DA54235">
            <w:pPr>
              <w:spacing w:line="360" w:lineRule="auto"/>
              <w:jc w:val="center"/>
              <w:rPr>
                <w:color w:val="auto"/>
                <w:szCs w:val="21"/>
                <w:highlight w:val="none"/>
              </w:rPr>
            </w:pPr>
          </w:p>
        </w:tc>
        <w:tc>
          <w:tcPr>
            <w:tcW w:w="899" w:type="dxa"/>
            <w:noWrap w:val="0"/>
            <w:vAlign w:val="center"/>
          </w:tcPr>
          <w:p w14:paraId="7383E3C8">
            <w:pPr>
              <w:spacing w:line="360" w:lineRule="auto"/>
              <w:jc w:val="center"/>
              <w:rPr>
                <w:color w:val="auto"/>
                <w:szCs w:val="21"/>
                <w:highlight w:val="none"/>
              </w:rPr>
            </w:pPr>
          </w:p>
        </w:tc>
        <w:tc>
          <w:tcPr>
            <w:tcW w:w="709" w:type="dxa"/>
            <w:noWrap w:val="0"/>
            <w:vAlign w:val="center"/>
          </w:tcPr>
          <w:p w14:paraId="2B780607">
            <w:pPr>
              <w:spacing w:line="360" w:lineRule="auto"/>
              <w:jc w:val="center"/>
              <w:rPr>
                <w:color w:val="auto"/>
                <w:szCs w:val="21"/>
                <w:highlight w:val="none"/>
              </w:rPr>
            </w:pPr>
          </w:p>
        </w:tc>
        <w:tc>
          <w:tcPr>
            <w:tcW w:w="709" w:type="dxa"/>
            <w:noWrap w:val="0"/>
            <w:vAlign w:val="center"/>
          </w:tcPr>
          <w:p w14:paraId="7CDA8F97">
            <w:pPr>
              <w:spacing w:line="360" w:lineRule="auto"/>
              <w:jc w:val="center"/>
              <w:rPr>
                <w:color w:val="auto"/>
                <w:szCs w:val="21"/>
                <w:highlight w:val="none"/>
              </w:rPr>
            </w:pPr>
          </w:p>
        </w:tc>
        <w:tc>
          <w:tcPr>
            <w:tcW w:w="1176" w:type="dxa"/>
            <w:noWrap w:val="0"/>
            <w:vAlign w:val="center"/>
          </w:tcPr>
          <w:p w14:paraId="1F06F104">
            <w:pPr>
              <w:spacing w:line="360" w:lineRule="auto"/>
              <w:jc w:val="center"/>
              <w:rPr>
                <w:color w:val="auto"/>
                <w:szCs w:val="21"/>
                <w:highlight w:val="none"/>
              </w:rPr>
            </w:pPr>
          </w:p>
        </w:tc>
        <w:tc>
          <w:tcPr>
            <w:tcW w:w="1659" w:type="dxa"/>
            <w:noWrap w:val="0"/>
            <w:vAlign w:val="center"/>
          </w:tcPr>
          <w:p w14:paraId="1F5DE845">
            <w:pPr>
              <w:spacing w:line="360" w:lineRule="auto"/>
              <w:jc w:val="center"/>
              <w:rPr>
                <w:color w:val="auto"/>
                <w:szCs w:val="21"/>
                <w:highlight w:val="none"/>
              </w:rPr>
            </w:pPr>
          </w:p>
        </w:tc>
        <w:tc>
          <w:tcPr>
            <w:tcW w:w="850" w:type="dxa"/>
            <w:noWrap w:val="0"/>
            <w:vAlign w:val="center"/>
          </w:tcPr>
          <w:p w14:paraId="1E65C28E">
            <w:pPr>
              <w:spacing w:line="360" w:lineRule="auto"/>
              <w:jc w:val="center"/>
              <w:rPr>
                <w:color w:val="auto"/>
                <w:szCs w:val="21"/>
                <w:highlight w:val="none"/>
              </w:rPr>
            </w:pPr>
          </w:p>
        </w:tc>
      </w:tr>
      <w:tr w14:paraId="79CA0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224D920">
            <w:pPr>
              <w:spacing w:line="360" w:lineRule="auto"/>
              <w:jc w:val="center"/>
              <w:rPr>
                <w:color w:val="auto"/>
                <w:szCs w:val="21"/>
                <w:highlight w:val="none"/>
              </w:rPr>
            </w:pPr>
          </w:p>
        </w:tc>
        <w:tc>
          <w:tcPr>
            <w:tcW w:w="1064" w:type="dxa"/>
            <w:noWrap w:val="0"/>
            <w:vAlign w:val="center"/>
          </w:tcPr>
          <w:p w14:paraId="6C270A2F">
            <w:pPr>
              <w:spacing w:line="360" w:lineRule="auto"/>
              <w:jc w:val="center"/>
              <w:rPr>
                <w:color w:val="auto"/>
                <w:szCs w:val="21"/>
                <w:highlight w:val="none"/>
              </w:rPr>
            </w:pPr>
          </w:p>
        </w:tc>
        <w:tc>
          <w:tcPr>
            <w:tcW w:w="795" w:type="dxa"/>
            <w:noWrap w:val="0"/>
            <w:vAlign w:val="center"/>
          </w:tcPr>
          <w:p w14:paraId="6A7329AF">
            <w:pPr>
              <w:spacing w:line="360" w:lineRule="auto"/>
              <w:jc w:val="center"/>
              <w:rPr>
                <w:color w:val="auto"/>
                <w:szCs w:val="21"/>
                <w:highlight w:val="none"/>
              </w:rPr>
            </w:pPr>
          </w:p>
        </w:tc>
        <w:tc>
          <w:tcPr>
            <w:tcW w:w="899" w:type="dxa"/>
            <w:noWrap w:val="0"/>
            <w:vAlign w:val="center"/>
          </w:tcPr>
          <w:p w14:paraId="077A448A">
            <w:pPr>
              <w:spacing w:line="360" w:lineRule="auto"/>
              <w:jc w:val="center"/>
              <w:rPr>
                <w:color w:val="auto"/>
                <w:szCs w:val="21"/>
                <w:highlight w:val="none"/>
              </w:rPr>
            </w:pPr>
          </w:p>
        </w:tc>
        <w:tc>
          <w:tcPr>
            <w:tcW w:w="709" w:type="dxa"/>
            <w:noWrap w:val="0"/>
            <w:vAlign w:val="center"/>
          </w:tcPr>
          <w:p w14:paraId="4ECCC5AF">
            <w:pPr>
              <w:spacing w:line="360" w:lineRule="auto"/>
              <w:jc w:val="center"/>
              <w:rPr>
                <w:color w:val="auto"/>
                <w:szCs w:val="21"/>
                <w:highlight w:val="none"/>
              </w:rPr>
            </w:pPr>
          </w:p>
        </w:tc>
        <w:tc>
          <w:tcPr>
            <w:tcW w:w="709" w:type="dxa"/>
            <w:noWrap w:val="0"/>
            <w:vAlign w:val="center"/>
          </w:tcPr>
          <w:p w14:paraId="759B0221">
            <w:pPr>
              <w:spacing w:line="360" w:lineRule="auto"/>
              <w:jc w:val="center"/>
              <w:rPr>
                <w:color w:val="auto"/>
                <w:szCs w:val="21"/>
                <w:highlight w:val="none"/>
              </w:rPr>
            </w:pPr>
          </w:p>
        </w:tc>
        <w:tc>
          <w:tcPr>
            <w:tcW w:w="1176" w:type="dxa"/>
            <w:noWrap w:val="0"/>
            <w:vAlign w:val="center"/>
          </w:tcPr>
          <w:p w14:paraId="6A028820">
            <w:pPr>
              <w:spacing w:line="360" w:lineRule="auto"/>
              <w:jc w:val="center"/>
              <w:rPr>
                <w:color w:val="auto"/>
                <w:szCs w:val="21"/>
                <w:highlight w:val="none"/>
              </w:rPr>
            </w:pPr>
          </w:p>
        </w:tc>
        <w:tc>
          <w:tcPr>
            <w:tcW w:w="1659" w:type="dxa"/>
            <w:noWrap w:val="0"/>
            <w:vAlign w:val="center"/>
          </w:tcPr>
          <w:p w14:paraId="3FE052F8">
            <w:pPr>
              <w:spacing w:line="360" w:lineRule="auto"/>
              <w:jc w:val="center"/>
              <w:rPr>
                <w:color w:val="auto"/>
                <w:szCs w:val="21"/>
                <w:highlight w:val="none"/>
              </w:rPr>
            </w:pPr>
          </w:p>
        </w:tc>
        <w:tc>
          <w:tcPr>
            <w:tcW w:w="850" w:type="dxa"/>
            <w:noWrap w:val="0"/>
            <w:vAlign w:val="center"/>
          </w:tcPr>
          <w:p w14:paraId="503AAEC3">
            <w:pPr>
              <w:spacing w:line="360" w:lineRule="auto"/>
              <w:jc w:val="center"/>
              <w:rPr>
                <w:color w:val="auto"/>
                <w:szCs w:val="21"/>
                <w:highlight w:val="none"/>
              </w:rPr>
            </w:pPr>
          </w:p>
        </w:tc>
      </w:tr>
      <w:tr w14:paraId="1CAEC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CFDFA26">
            <w:pPr>
              <w:spacing w:line="360" w:lineRule="auto"/>
              <w:jc w:val="center"/>
              <w:rPr>
                <w:color w:val="auto"/>
                <w:szCs w:val="21"/>
                <w:highlight w:val="none"/>
              </w:rPr>
            </w:pPr>
          </w:p>
        </w:tc>
        <w:tc>
          <w:tcPr>
            <w:tcW w:w="1064" w:type="dxa"/>
            <w:noWrap w:val="0"/>
            <w:vAlign w:val="center"/>
          </w:tcPr>
          <w:p w14:paraId="2E366671">
            <w:pPr>
              <w:spacing w:line="360" w:lineRule="auto"/>
              <w:jc w:val="center"/>
              <w:rPr>
                <w:color w:val="auto"/>
                <w:szCs w:val="21"/>
                <w:highlight w:val="none"/>
              </w:rPr>
            </w:pPr>
          </w:p>
        </w:tc>
        <w:tc>
          <w:tcPr>
            <w:tcW w:w="795" w:type="dxa"/>
            <w:noWrap w:val="0"/>
            <w:vAlign w:val="center"/>
          </w:tcPr>
          <w:p w14:paraId="3A03141D">
            <w:pPr>
              <w:spacing w:line="360" w:lineRule="auto"/>
              <w:jc w:val="center"/>
              <w:rPr>
                <w:color w:val="auto"/>
                <w:szCs w:val="21"/>
                <w:highlight w:val="none"/>
              </w:rPr>
            </w:pPr>
          </w:p>
        </w:tc>
        <w:tc>
          <w:tcPr>
            <w:tcW w:w="899" w:type="dxa"/>
            <w:noWrap w:val="0"/>
            <w:vAlign w:val="center"/>
          </w:tcPr>
          <w:p w14:paraId="3D7A36F6">
            <w:pPr>
              <w:spacing w:line="360" w:lineRule="auto"/>
              <w:jc w:val="center"/>
              <w:rPr>
                <w:color w:val="auto"/>
                <w:szCs w:val="21"/>
                <w:highlight w:val="none"/>
              </w:rPr>
            </w:pPr>
          </w:p>
        </w:tc>
        <w:tc>
          <w:tcPr>
            <w:tcW w:w="709" w:type="dxa"/>
            <w:noWrap w:val="0"/>
            <w:vAlign w:val="center"/>
          </w:tcPr>
          <w:p w14:paraId="5722D413">
            <w:pPr>
              <w:spacing w:line="360" w:lineRule="auto"/>
              <w:jc w:val="center"/>
              <w:rPr>
                <w:color w:val="auto"/>
                <w:szCs w:val="21"/>
                <w:highlight w:val="none"/>
              </w:rPr>
            </w:pPr>
          </w:p>
        </w:tc>
        <w:tc>
          <w:tcPr>
            <w:tcW w:w="709" w:type="dxa"/>
            <w:noWrap w:val="0"/>
            <w:vAlign w:val="center"/>
          </w:tcPr>
          <w:p w14:paraId="56784ABC">
            <w:pPr>
              <w:spacing w:line="360" w:lineRule="auto"/>
              <w:jc w:val="center"/>
              <w:rPr>
                <w:color w:val="auto"/>
                <w:szCs w:val="21"/>
                <w:highlight w:val="none"/>
              </w:rPr>
            </w:pPr>
          </w:p>
        </w:tc>
        <w:tc>
          <w:tcPr>
            <w:tcW w:w="1176" w:type="dxa"/>
            <w:noWrap w:val="0"/>
            <w:vAlign w:val="center"/>
          </w:tcPr>
          <w:p w14:paraId="59C6880E">
            <w:pPr>
              <w:spacing w:line="360" w:lineRule="auto"/>
              <w:jc w:val="center"/>
              <w:rPr>
                <w:color w:val="auto"/>
                <w:szCs w:val="21"/>
                <w:highlight w:val="none"/>
              </w:rPr>
            </w:pPr>
          </w:p>
        </w:tc>
        <w:tc>
          <w:tcPr>
            <w:tcW w:w="1659" w:type="dxa"/>
            <w:noWrap w:val="0"/>
            <w:vAlign w:val="center"/>
          </w:tcPr>
          <w:p w14:paraId="1CD293A9">
            <w:pPr>
              <w:spacing w:line="360" w:lineRule="auto"/>
              <w:jc w:val="center"/>
              <w:rPr>
                <w:color w:val="auto"/>
                <w:szCs w:val="21"/>
                <w:highlight w:val="none"/>
              </w:rPr>
            </w:pPr>
          </w:p>
        </w:tc>
        <w:tc>
          <w:tcPr>
            <w:tcW w:w="850" w:type="dxa"/>
            <w:noWrap w:val="0"/>
            <w:vAlign w:val="center"/>
          </w:tcPr>
          <w:p w14:paraId="465BDCC8">
            <w:pPr>
              <w:spacing w:line="360" w:lineRule="auto"/>
              <w:jc w:val="center"/>
              <w:rPr>
                <w:color w:val="auto"/>
                <w:szCs w:val="21"/>
                <w:highlight w:val="none"/>
              </w:rPr>
            </w:pPr>
          </w:p>
        </w:tc>
      </w:tr>
      <w:tr w14:paraId="61BFA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C940F93">
            <w:pPr>
              <w:spacing w:line="360" w:lineRule="auto"/>
              <w:jc w:val="center"/>
              <w:rPr>
                <w:color w:val="auto"/>
                <w:szCs w:val="21"/>
                <w:highlight w:val="none"/>
              </w:rPr>
            </w:pPr>
          </w:p>
        </w:tc>
        <w:tc>
          <w:tcPr>
            <w:tcW w:w="1064" w:type="dxa"/>
            <w:noWrap w:val="0"/>
            <w:vAlign w:val="center"/>
          </w:tcPr>
          <w:p w14:paraId="2ACF47F4">
            <w:pPr>
              <w:spacing w:line="360" w:lineRule="auto"/>
              <w:jc w:val="center"/>
              <w:rPr>
                <w:color w:val="auto"/>
                <w:szCs w:val="21"/>
                <w:highlight w:val="none"/>
              </w:rPr>
            </w:pPr>
          </w:p>
        </w:tc>
        <w:tc>
          <w:tcPr>
            <w:tcW w:w="795" w:type="dxa"/>
            <w:noWrap w:val="0"/>
            <w:vAlign w:val="center"/>
          </w:tcPr>
          <w:p w14:paraId="0713E19E">
            <w:pPr>
              <w:spacing w:line="360" w:lineRule="auto"/>
              <w:jc w:val="center"/>
              <w:rPr>
                <w:color w:val="auto"/>
                <w:szCs w:val="21"/>
                <w:highlight w:val="none"/>
              </w:rPr>
            </w:pPr>
          </w:p>
        </w:tc>
        <w:tc>
          <w:tcPr>
            <w:tcW w:w="899" w:type="dxa"/>
            <w:noWrap w:val="0"/>
            <w:vAlign w:val="center"/>
          </w:tcPr>
          <w:p w14:paraId="30945173">
            <w:pPr>
              <w:spacing w:line="360" w:lineRule="auto"/>
              <w:jc w:val="center"/>
              <w:rPr>
                <w:color w:val="auto"/>
                <w:szCs w:val="21"/>
                <w:highlight w:val="none"/>
              </w:rPr>
            </w:pPr>
          </w:p>
        </w:tc>
        <w:tc>
          <w:tcPr>
            <w:tcW w:w="709" w:type="dxa"/>
            <w:noWrap w:val="0"/>
            <w:vAlign w:val="center"/>
          </w:tcPr>
          <w:p w14:paraId="5F530049">
            <w:pPr>
              <w:spacing w:line="360" w:lineRule="auto"/>
              <w:jc w:val="center"/>
              <w:rPr>
                <w:color w:val="auto"/>
                <w:szCs w:val="21"/>
                <w:highlight w:val="none"/>
              </w:rPr>
            </w:pPr>
          </w:p>
        </w:tc>
        <w:tc>
          <w:tcPr>
            <w:tcW w:w="709" w:type="dxa"/>
            <w:noWrap w:val="0"/>
            <w:vAlign w:val="center"/>
          </w:tcPr>
          <w:p w14:paraId="350D9E49">
            <w:pPr>
              <w:spacing w:line="360" w:lineRule="auto"/>
              <w:jc w:val="center"/>
              <w:rPr>
                <w:color w:val="auto"/>
                <w:szCs w:val="21"/>
                <w:highlight w:val="none"/>
              </w:rPr>
            </w:pPr>
          </w:p>
        </w:tc>
        <w:tc>
          <w:tcPr>
            <w:tcW w:w="1176" w:type="dxa"/>
            <w:noWrap w:val="0"/>
            <w:vAlign w:val="center"/>
          </w:tcPr>
          <w:p w14:paraId="3F08974F">
            <w:pPr>
              <w:spacing w:line="360" w:lineRule="auto"/>
              <w:jc w:val="center"/>
              <w:rPr>
                <w:color w:val="auto"/>
                <w:szCs w:val="21"/>
                <w:highlight w:val="none"/>
              </w:rPr>
            </w:pPr>
          </w:p>
        </w:tc>
        <w:tc>
          <w:tcPr>
            <w:tcW w:w="1659" w:type="dxa"/>
            <w:noWrap w:val="0"/>
            <w:vAlign w:val="center"/>
          </w:tcPr>
          <w:p w14:paraId="397381CA">
            <w:pPr>
              <w:spacing w:line="360" w:lineRule="auto"/>
              <w:jc w:val="center"/>
              <w:rPr>
                <w:color w:val="auto"/>
                <w:szCs w:val="21"/>
                <w:highlight w:val="none"/>
              </w:rPr>
            </w:pPr>
          </w:p>
        </w:tc>
        <w:tc>
          <w:tcPr>
            <w:tcW w:w="850" w:type="dxa"/>
            <w:noWrap w:val="0"/>
            <w:vAlign w:val="center"/>
          </w:tcPr>
          <w:p w14:paraId="539F39BD">
            <w:pPr>
              <w:spacing w:line="360" w:lineRule="auto"/>
              <w:jc w:val="center"/>
              <w:rPr>
                <w:color w:val="auto"/>
                <w:szCs w:val="21"/>
                <w:highlight w:val="none"/>
              </w:rPr>
            </w:pPr>
          </w:p>
        </w:tc>
      </w:tr>
    </w:tbl>
    <w:p w14:paraId="234CB096">
      <w:pPr>
        <w:spacing w:line="360" w:lineRule="auto"/>
        <w:rPr>
          <w:color w:val="auto"/>
          <w:szCs w:val="21"/>
          <w:highlight w:val="none"/>
        </w:rPr>
      </w:pPr>
    </w:p>
    <w:p w14:paraId="319A9A9C">
      <w:pPr>
        <w:spacing w:before="120" w:beforeLines="50" w:after="120" w:afterLines="50" w:line="360" w:lineRule="auto"/>
        <w:rPr>
          <w:color w:val="auto"/>
          <w:sz w:val="24"/>
          <w:highlight w:val="none"/>
        </w:rPr>
      </w:pPr>
      <w:r>
        <w:rPr>
          <w:color w:val="auto"/>
          <w:szCs w:val="21"/>
          <w:highlight w:val="none"/>
        </w:rPr>
        <w:br w:type="page"/>
      </w:r>
      <w:r>
        <w:rPr>
          <w:rFonts w:hint="eastAsia" w:ascii="仿宋" w:hAnsi="仿宋" w:eastAsia="仿宋" w:cs="仿宋"/>
          <w:b/>
          <w:bCs/>
          <w:color w:val="auto"/>
          <w:sz w:val="28"/>
          <w:szCs w:val="28"/>
          <w:highlight w:val="none"/>
        </w:rPr>
        <w:t>附表三：劳动力计划表</w:t>
      </w:r>
    </w:p>
    <w:p w14:paraId="2D6CC6A2">
      <w:pPr>
        <w:wordWrap w:val="0"/>
        <w:spacing w:line="360" w:lineRule="auto"/>
        <w:jc w:val="center"/>
        <w:rPr>
          <w:color w:val="auto"/>
          <w:szCs w:val="21"/>
          <w:highlight w:val="none"/>
        </w:rPr>
      </w:pPr>
      <w:r>
        <w:rPr>
          <w:color w:val="auto"/>
          <w:szCs w:val="21"/>
          <w:highlight w:val="none"/>
        </w:rPr>
        <w:t xml:space="preserve">                                                                 </w:t>
      </w:r>
      <w:r>
        <w:rPr>
          <w:rFonts w:hint="eastAsia" w:ascii="仿宋" w:hAnsi="仿宋" w:eastAsia="仿宋" w:cs="仿宋"/>
          <w:color w:val="auto"/>
          <w:sz w:val="24"/>
          <w:highlight w:val="none"/>
        </w:rPr>
        <w:t xml:space="preserve">    单位：人</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418"/>
        <w:gridCol w:w="1063"/>
        <w:gridCol w:w="1063"/>
        <w:gridCol w:w="1063"/>
        <w:gridCol w:w="1063"/>
        <w:gridCol w:w="1063"/>
        <w:gridCol w:w="1063"/>
      </w:tblGrid>
      <w:tr w14:paraId="4A944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09" w:type="dxa"/>
            <w:noWrap w:val="0"/>
            <w:vAlign w:val="center"/>
          </w:tcPr>
          <w:p w14:paraId="78AC371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工种</w:t>
            </w:r>
          </w:p>
        </w:tc>
        <w:tc>
          <w:tcPr>
            <w:tcW w:w="7796" w:type="dxa"/>
            <w:gridSpan w:val="7"/>
            <w:noWrap w:val="0"/>
            <w:vAlign w:val="center"/>
          </w:tcPr>
          <w:p w14:paraId="16F660D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按工程施工阶段投入劳动力情况</w:t>
            </w:r>
          </w:p>
        </w:tc>
      </w:tr>
      <w:tr w14:paraId="0651F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1ADC669D">
            <w:pPr>
              <w:spacing w:line="360" w:lineRule="auto"/>
              <w:jc w:val="center"/>
              <w:rPr>
                <w:color w:val="auto"/>
                <w:szCs w:val="21"/>
                <w:highlight w:val="none"/>
              </w:rPr>
            </w:pPr>
          </w:p>
        </w:tc>
        <w:tc>
          <w:tcPr>
            <w:tcW w:w="1418" w:type="dxa"/>
            <w:noWrap w:val="0"/>
            <w:vAlign w:val="center"/>
          </w:tcPr>
          <w:p w14:paraId="0821C67D">
            <w:pPr>
              <w:spacing w:line="360" w:lineRule="auto"/>
              <w:jc w:val="center"/>
              <w:rPr>
                <w:color w:val="auto"/>
                <w:szCs w:val="21"/>
                <w:highlight w:val="none"/>
              </w:rPr>
            </w:pPr>
          </w:p>
        </w:tc>
        <w:tc>
          <w:tcPr>
            <w:tcW w:w="1063" w:type="dxa"/>
            <w:noWrap w:val="0"/>
            <w:vAlign w:val="center"/>
          </w:tcPr>
          <w:p w14:paraId="21CCC8FB">
            <w:pPr>
              <w:spacing w:line="360" w:lineRule="auto"/>
              <w:jc w:val="center"/>
              <w:rPr>
                <w:color w:val="auto"/>
                <w:szCs w:val="21"/>
                <w:highlight w:val="none"/>
              </w:rPr>
            </w:pPr>
          </w:p>
        </w:tc>
        <w:tc>
          <w:tcPr>
            <w:tcW w:w="1063" w:type="dxa"/>
            <w:noWrap w:val="0"/>
            <w:vAlign w:val="center"/>
          </w:tcPr>
          <w:p w14:paraId="7BBD34BC">
            <w:pPr>
              <w:spacing w:line="360" w:lineRule="auto"/>
              <w:jc w:val="center"/>
              <w:rPr>
                <w:color w:val="auto"/>
                <w:szCs w:val="21"/>
                <w:highlight w:val="none"/>
              </w:rPr>
            </w:pPr>
          </w:p>
        </w:tc>
        <w:tc>
          <w:tcPr>
            <w:tcW w:w="1063" w:type="dxa"/>
            <w:noWrap w:val="0"/>
            <w:vAlign w:val="center"/>
          </w:tcPr>
          <w:p w14:paraId="2BDF2ECC">
            <w:pPr>
              <w:spacing w:line="360" w:lineRule="auto"/>
              <w:jc w:val="center"/>
              <w:rPr>
                <w:color w:val="auto"/>
                <w:szCs w:val="21"/>
                <w:highlight w:val="none"/>
              </w:rPr>
            </w:pPr>
          </w:p>
        </w:tc>
        <w:tc>
          <w:tcPr>
            <w:tcW w:w="1063" w:type="dxa"/>
            <w:noWrap w:val="0"/>
            <w:vAlign w:val="center"/>
          </w:tcPr>
          <w:p w14:paraId="3ADAE22B">
            <w:pPr>
              <w:spacing w:line="360" w:lineRule="auto"/>
              <w:jc w:val="center"/>
              <w:rPr>
                <w:color w:val="auto"/>
                <w:szCs w:val="21"/>
                <w:highlight w:val="none"/>
              </w:rPr>
            </w:pPr>
          </w:p>
        </w:tc>
        <w:tc>
          <w:tcPr>
            <w:tcW w:w="1063" w:type="dxa"/>
            <w:noWrap w:val="0"/>
            <w:vAlign w:val="center"/>
          </w:tcPr>
          <w:p w14:paraId="6597A5E0">
            <w:pPr>
              <w:spacing w:line="360" w:lineRule="auto"/>
              <w:jc w:val="center"/>
              <w:rPr>
                <w:color w:val="auto"/>
                <w:szCs w:val="21"/>
                <w:highlight w:val="none"/>
              </w:rPr>
            </w:pPr>
          </w:p>
        </w:tc>
        <w:tc>
          <w:tcPr>
            <w:tcW w:w="1063" w:type="dxa"/>
            <w:noWrap w:val="0"/>
            <w:vAlign w:val="center"/>
          </w:tcPr>
          <w:p w14:paraId="3410F5C9">
            <w:pPr>
              <w:spacing w:line="360" w:lineRule="auto"/>
              <w:jc w:val="center"/>
              <w:rPr>
                <w:color w:val="auto"/>
                <w:szCs w:val="21"/>
                <w:highlight w:val="none"/>
              </w:rPr>
            </w:pPr>
          </w:p>
        </w:tc>
      </w:tr>
      <w:tr w14:paraId="7D126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7E1A13F4">
            <w:pPr>
              <w:spacing w:line="360" w:lineRule="auto"/>
              <w:jc w:val="center"/>
              <w:rPr>
                <w:color w:val="auto"/>
                <w:szCs w:val="21"/>
                <w:highlight w:val="none"/>
              </w:rPr>
            </w:pPr>
          </w:p>
        </w:tc>
        <w:tc>
          <w:tcPr>
            <w:tcW w:w="1418" w:type="dxa"/>
            <w:noWrap w:val="0"/>
            <w:vAlign w:val="center"/>
          </w:tcPr>
          <w:p w14:paraId="13314155">
            <w:pPr>
              <w:spacing w:line="360" w:lineRule="auto"/>
              <w:jc w:val="center"/>
              <w:rPr>
                <w:color w:val="auto"/>
                <w:szCs w:val="21"/>
                <w:highlight w:val="none"/>
              </w:rPr>
            </w:pPr>
          </w:p>
        </w:tc>
        <w:tc>
          <w:tcPr>
            <w:tcW w:w="1063" w:type="dxa"/>
            <w:noWrap w:val="0"/>
            <w:vAlign w:val="center"/>
          </w:tcPr>
          <w:p w14:paraId="2345A93F">
            <w:pPr>
              <w:spacing w:line="360" w:lineRule="auto"/>
              <w:jc w:val="center"/>
              <w:rPr>
                <w:color w:val="auto"/>
                <w:szCs w:val="21"/>
                <w:highlight w:val="none"/>
              </w:rPr>
            </w:pPr>
          </w:p>
        </w:tc>
        <w:tc>
          <w:tcPr>
            <w:tcW w:w="1063" w:type="dxa"/>
            <w:noWrap w:val="0"/>
            <w:vAlign w:val="center"/>
          </w:tcPr>
          <w:p w14:paraId="0AC26192">
            <w:pPr>
              <w:spacing w:line="360" w:lineRule="auto"/>
              <w:jc w:val="center"/>
              <w:rPr>
                <w:color w:val="auto"/>
                <w:szCs w:val="21"/>
                <w:highlight w:val="none"/>
              </w:rPr>
            </w:pPr>
          </w:p>
        </w:tc>
        <w:tc>
          <w:tcPr>
            <w:tcW w:w="1063" w:type="dxa"/>
            <w:noWrap w:val="0"/>
            <w:vAlign w:val="center"/>
          </w:tcPr>
          <w:p w14:paraId="15B5A416">
            <w:pPr>
              <w:spacing w:line="360" w:lineRule="auto"/>
              <w:jc w:val="center"/>
              <w:rPr>
                <w:color w:val="auto"/>
                <w:szCs w:val="21"/>
                <w:highlight w:val="none"/>
              </w:rPr>
            </w:pPr>
          </w:p>
        </w:tc>
        <w:tc>
          <w:tcPr>
            <w:tcW w:w="1063" w:type="dxa"/>
            <w:noWrap w:val="0"/>
            <w:vAlign w:val="center"/>
          </w:tcPr>
          <w:p w14:paraId="6354A882">
            <w:pPr>
              <w:spacing w:line="360" w:lineRule="auto"/>
              <w:jc w:val="center"/>
              <w:rPr>
                <w:color w:val="auto"/>
                <w:szCs w:val="21"/>
                <w:highlight w:val="none"/>
              </w:rPr>
            </w:pPr>
          </w:p>
        </w:tc>
        <w:tc>
          <w:tcPr>
            <w:tcW w:w="1063" w:type="dxa"/>
            <w:noWrap w:val="0"/>
            <w:vAlign w:val="center"/>
          </w:tcPr>
          <w:p w14:paraId="0216F880">
            <w:pPr>
              <w:spacing w:line="360" w:lineRule="auto"/>
              <w:jc w:val="center"/>
              <w:rPr>
                <w:color w:val="auto"/>
                <w:szCs w:val="21"/>
                <w:highlight w:val="none"/>
              </w:rPr>
            </w:pPr>
          </w:p>
        </w:tc>
        <w:tc>
          <w:tcPr>
            <w:tcW w:w="1063" w:type="dxa"/>
            <w:noWrap w:val="0"/>
            <w:vAlign w:val="center"/>
          </w:tcPr>
          <w:p w14:paraId="44E1C474">
            <w:pPr>
              <w:spacing w:line="360" w:lineRule="auto"/>
              <w:jc w:val="center"/>
              <w:rPr>
                <w:color w:val="auto"/>
                <w:szCs w:val="21"/>
                <w:highlight w:val="none"/>
              </w:rPr>
            </w:pPr>
          </w:p>
        </w:tc>
      </w:tr>
      <w:tr w14:paraId="5CF2F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6BF7C5B5">
            <w:pPr>
              <w:spacing w:line="360" w:lineRule="auto"/>
              <w:jc w:val="center"/>
              <w:rPr>
                <w:color w:val="auto"/>
                <w:szCs w:val="21"/>
                <w:highlight w:val="none"/>
              </w:rPr>
            </w:pPr>
          </w:p>
        </w:tc>
        <w:tc>
          <w:tcPr>
            <w:tcW w:w="1418" w:type="dxa"/>
            <w:noWrap w:val="0"/>
            <w:vAlign w:val="center"/>
          </w:tcPr>
          <w:p w14:paraId="09B46AD9">
            <w:pPr>
              <w:spacing w:line="360" w:lineRule="auto"/>
              <w:jc w:val="center"/>
              <w:rPr>
                <w:color w:val="auto"/>
                <w:szCs w:val="21"/>
                <w:highlight w:val="none"/>
              </w:rPr>
            </w:pPr>
          </w:p>
        </w:tc>
        <w:tc>
          <w:tcPr>
            <w:tcW w:w="1063" w:type="dxa"/>
            <w:noWrap w:val="0"/>
            <w:vAlign w:val="center"/>
          </w:tcPr>
          <w:p w14:paraId="05690DA4">
            <w:pPr>
              <w:spacing w:line="360" w:lineRule="auto"/>
              <w:jc w:val="center"/>
              <w:rPr>
                <w:color w:val="auto"/>
                <w:szCs w:val="21"/>
                <w:highlight w:val="none"/>
              </w:rPr>
            </w:pPr>
          </w:p>
        </w:tc>
        <w:tc>
          <w:tcPr>
            <w:tcW w:w="1063" w:type="dxa"/>
            <w:noWrap w:val="0"/>
            <w:vAlign w:val="center"/>
          </w:tcPr>
          <w:p w14:paraId="0CE8D0F4">
            <w:pPr>
              <w:spacing w:line="360" w:lineRule="auto"/>
              <w:jc w:val="center"/>
              <w:rPr>
                <w:color w:val="auto"/>
                <w:szCs w:val="21"/>
                <w:highlight w:val="none"/>
              </w:rPr>
            </w:pPr>
          </w:p>
        </w:tc>
        <w:tc>
          <w:tcPr>
            <w:tcW w:w="1063" w:type="dxa"/>
            <w:noWrap w:val="0"/>
            <w:vAlign w:val="center"/>
          </w:tcPr>
          <w:p w14:paraId="26AA3C60">
            <w:pPr>
              <w:spacing w:line="360" w:lineRule="auto"/>
              <w:jc w:val="center"/>
              <w:rPr>
                <w:color w:val="auto"/>
                <w:szCs w:val="21"/>
                <w:highlight w:val="none"/>
              </w:rPr>
            </w:pPr>
          </w:p>
        </w:tc>
        <w:tc>
          <w:tcPr>
            <w:tcW w:w="1063" w:type="dxa"/>
            <w:noWrap w:val="0"/>
            <w:vAlign w:val="center"/>
          </w:tcPr>
          <w:p w14:paraId="2CB33BD2">
            <w:pPr>
              <w:spacing w:line="360" w:lineRule="auto"/>
              <w:jc w:val="center"/>
              <w:rPr>
                <w:color w:val="auto"/>
                <w:szCs w:val="21"/>
                <w:highlight w:val="none"/>
              </w:rPr>
            </w:pPr>
          </w:p>
        </w:tc>
        <w:tc>
          <w:tcPr>
            <w:tcW w:w="1063" w:type="dxa"/>
            <w:noWrap w:val="0"/>
            <w:vAlign w:val="center"/>
          </w:tcPr>
          <w:p w14:paraId="0C5329CB">
            <w:pPr>
              <w:spacing w:line="360" w:lineRule="auto"/>
              <w:jc w:val="center"/>
              <w:rPr>
                <w:color w:val="auto"/>
                <w:szCs w:val="21"/>
                <w:highlight w:val="none"/>
              </w:rPr>
            </w:pPr>
          </w:p>
        </w:tc>
        <w:tc>
          <w:tcPr>
            <w:tcW w:w="1063" w:type="dxa"/>
            <w:noWrap w:val="0"/>
            <w:vAlign w:val="center"/>
          </w:tcPr>
          <w:p w14:paraId="091850AB">
            <w:pPr>
              <w:spacing w:line="360" w:lineRule="auto"/>
              <w:jc w:val="center"/>
              <w:rPr>
                <w:color w:val="auto"/>
                <w:szCs w:val="21"/>
                <w:highlight w:val="none"/>
              </w:rPr>
            </w:pPr>
          </w:p>
        </w:tc>
      </w:tr>
      <w:tr w14:paraId="66F28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5BC12DDB">
            <w:pPr>
              <w:spacing w:line="360" w:lineRule="auto"/>
              <w:jc w:val="center"/>
              <w:rPr>
                <w:color w:val="auto"/>
                <w:szCs w:val="21"/>
                <w:highlight w:val="none"/>
              </w:rPr>
            </w:pPr>
          </w:p>
        </w:tc>
        <w:tc>
          <w:tcPr>
            <w:tcW w:w="1418" w:type="dxa"/>
            <w:noWrap w:val="0"/>
            <w:vAlign w:val="center"/>
          </w:tcPr>
          <w:p w14:paraId="1E0CD2D2">
            <w:pPr>
              <w:spacing w:line="360" w:lineRule="auto"/>
              <w:jc w:val="center"/>
              <w:rPr>
                <w:color w:val="auto"/>
                <w:szCs w:val="21"/>
                <w:highlight w:val="none"/>
              </w:rPr>
            </w:pPr>
          </w:p>
        </w:tc>
        <w:tc>
          <w:tcPr>
            <w:tcW w:w="1063" w:type="dxa"/>
            <w:noWrap w:val="0"/>
            <w:vAlign w:val="center"/>
          </w:tcPr>
          <w:p w14:paraId="740264A3">
            <w:pPr>
              <w:spacing w:line="360" w:lineRule="auto"/>
              <w:jc w:val="center"/>
              <w:rPr>
                <w:color w:val="auto"/>
                <w:szCs w:val="21"/>
                <w:highlight w:val="none"/>
              </w:rPr>
            </w:pPr>
          </w:p>
        </w:tc>
        <w:tc>
          <w:tcPr>
            <w:tcW w:w="1063" w:type="dxa"/>
            <w:noWrap w:val="0"/>
            <w:vAlign w:val="center"/>
          </w:tcPr>
          <w:p w14:paraId="3D630F7B">
            <w:pPr>
              <w:spacing w:line="360" w:lineRule="auto"/>
              <w:jc w:val="center"/>
              <w:rPr>
                <w:color w:val="auto"/>
                <w:szCs w:val="21"/>
                <w:highlight w:val="none"/>
              </w:rPr>
            </w:pPr>
          </w:p>
        </w:tc>
        <w:tc>
          <w:tcPr>
            <w:tcW w:w="1063" w:type="dxa"/>
            <w:noWrap w:val="0"/>
            <w:vAlign w:val="center"/>
          </w:tcPr>
          <w:p w14:paraId="70EDCA6E">
            <w:pPr>
              <w:spacing w:line="360" w:lineRule="auto"/>
              <w:jc w:val="center"/>
              <w:rPr>
                <w:color w:val="auto"/>
                <w:szCs w:val="21"/>
                <w:highlight w:val="none"/>
              </w:rPr>
            </w:pPr>
          </w:p>
        </w:tc>
        <w:tc>
          <w:tcPr>
            <w:tcW w:w="1063" w:type="dxa"/>
            <w:noWrap w:val="0"/>
            <w:vAlign w:val="center"/>
          </w:tcPr>
          <w:p w14:paraId="1179DEE8">
            <w:pPr>
              <w:spacing w:line="360" w:lineRule="auto"/>
              <w:jc w:val="center"/>
              <w:rPr>
                <w:color w:val="auto"/>
                <w:szCs w:val="21"/>
                <w:highlight w:val="none"/>
              </w:rPr>
            </w:pPr>
          </w:p>
        </w:tc>
        <w:tc>
          <w:tcPr>
            <w:tcW w:w="1063" w:type="dxa"/>
            <w:noWrap w:val="0"/>
            <w:vAlign w:val="center"/>
          </w:tcPr>
          <w:p w14:paraId="77B80604">
            <w:pPr>
              <w:spacing w:line="360" w:lineRule="auto"/>
              <w:jc w:val="center"/>
              <w:rPr>
                <w:color w:val="auto"/>
                <w:szCs w:val="21"/>
                <w:highlight w:val="none"/>
              </w:rPr>
            </w:pPr>
          </w:p>
        </w:tc>
        <w:tc>
          <w:tcPr>
            <w:tcW w:w="1063" w:type="dxa"/>
            <w:noWrap w:val="0"/>
            <w:vAlign w:val="center"/>
          </w:tcPr>
          <w:p w14:paraId="799D1A7F">
            <w:pPr>
              <w:spacing w:line="360" w:lineRule="auto"/>
              <w:jc w:val="center"/>
              <w:rPr>
                <w:color w:val="auto"/>
                <w:szCs w:val="21"/>
                <w:highlight w:val="none"/>
              </w:rPr>
            </w:pPr>
          </w:p>
        </w:tc>
      </w:tr>
      <w:tr w14:paraId="20E52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2FD2A85C">
            <w:pPr>
              <w:spacing w:line="360" w:lineRule="auto"/>
              <w:jc w:val="center"/>
              <w:rPr>
                <w:color w:val="auto"/>
                <w:szCs w:val="21"/>
                <w:highlight w:val="none"/>
              </w:rPr>
            </w:pPr>
          </w:p>
        </w:tc>
        <w:tc>
          <w:tcPr>
            <w:tcW w:w="1418" w:type="dxa"/>
            <w:noWrap w:val="0"/>
            <w:vAlign w:val="center"/>
          </w:tcPr>
          <w:p w14:paraId="5D08EE04">
            <w:pPr>
              <w:spacing w:line="360" w:lineRule="auto"/>
              <w:jc w:val="center"/>
              <w:rPr>
                <w:color w:val="auto"/>
                <w:szCs w:val="21"/>
                <w:highlight w:val="none"/>
              </w:rPr>
            </w:pPr>
          </w:p>
        </w:tc>
        <w:tc>
          <w:tcPr>
            <w:tcW w:w="1063" w:type="dxa"/>
            <w:noWrap w:val="0"/>
            <w:vAlign w:val="center"/>
          </w:tcPr>
          <w:p w14:paraId="663E35CB">
            <w:pPr>
              <w:spacing w:line="360" w:lineRule="auto"/>
              <w:jc w:val="center"/>
              <w:rPr>
                <w:color w:val="auto"/>
                <w:szCs w:val="21"/>
                <w:highlight w:val="none"/>
              </w:rPr>
            </w:pPr>
          </w:p>
        </w:tc>
        <w:tc>
          <w:tcPr>
            <w:tcW w:w="1063" w:type="dxa"/>
            <w:noWrap w:val="0"/>
            <w:vAlign w:val="center"/>
          </w:tcPr>
          <w:p w14:paraId="5148C979">
            <w:pPr>
              <w:spacing w:line="360" w:lineRule="auto"/>
              <w:jc w:val="center"/>
              <w:rPr>
                <w:color w:val="auto"/>
                <w:szCs w:val="21"/>
                <w:highlight w:val="none"/>
              </w:rPr>
            </w:pPr>
          </w:p>
        </w:tc>
        <w:tc>
          <w:tcPr>
            <w:tcW w:w="1063" w:type="dxa"/>
            <w:noWrap w:val="0"/>
            <w:vAlign w:val="center"/>
          </w:tcPr>
          <w:p w14:paraId="75AAE25A">
            <w:pPr>
              <w:spacing w:line="360" w:lineRule="auto"/>
              <w:jc w:val="center"/>
              <w:rPr>
                <w:color w:val="auto"/>
                <w:szCs w:val="21"/>
                <w:highlight w:val="none"/>
              </w:rPr>
            </w:pPr>
          </w:p>
        </w:tc>
        <w:tc>
          <w:tcPr>
            <w:tcW w:w="1063" w:type="dxa"/>
            <w:noWrap w:val="0"/>
            <w:vAlign w:val="center"/>
          </w:tcPr>
          <w:p w14:paraId="4B1D1B5B">
            <w:pPr>
              <w:spacing w:line="360" w:lineRule="auto"/>
              <w:jc w:val="center"/>
              <w:rPr>
                <w:color w:val="auto"/>
                <w:szCs w:val="21"/>
                <w:highlight w:val="none"/>
              </w:rPr>
            </w:pPr>
          </w:p>
        </w:tc>
        <w:tc>
          <w:tcPr>
            <w:tcW w:w="1063" w:type="dxa"/>
            <w:noWrap w:val="0"/>
            <w:vAlign w:val="center"/>
          </w:tcPr>
          <w:p w14:paraId="56F3087C">
            <w:pPr>
              <w:spacing w:line="360" w:lineRule="auto"/>
              <w:jc w:val="center"/>
              <w:rPr>
                <w:color w:val="auto"/>
                <w:szCs w:val="21"/>
                <w:highlight w:val="none"/>
              </w:rPr>
            </w:pPr>
          </w:p>
        </w:tc>
        <w:tc>
          <w:tcPr>
            <w:tcW w:w="1063" w:type="dxa"/>
            <w:noWrap w:val="0"/>
            <w:vAlign w:val="center"/>
          </w:tcPr>
          <w:p w14:paraId="7D406B8E">
            <w:pPr>
              <w:spacing w:line="360" w:lineRule="auto"/>
              <w:jc w:val="center"/>
              <w:rPr>
                <w:color w:val="auto"/>
                <w:szCs w:val="21"/>
                <w:highlight w:val="none"/>
              </w:rPr>
            </w:pPr>
          </w:p>
        </w:tc>
      </w:tr>
      <w:tr w14:paraId="6FDB3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2BB08019">
            <w:pPr>
              <w:spacing w:line="360" w:lineRule="auto"/>
              <w:jc w:val="center"/>
              <w:rPr>
                <w:color w:val="auto"/>
                <w:szCs w:val="21"/>
                <w:highlight w:val="none"/>
              </w:rPr>
            </w:pPr>
          </w:p>
        </w:tc>
        <w:tc>
          <w:tcPr>
            <w:tcW w:w="1418" w:type="dxa"/>
            <w:noWrap w:val="0"/>
            <w:vAlign w:val="center"/>
          </w:tcPr>
          <w:p w14:paraId="47AA5DBF">
            <w:pPr>
              <w:spacing w:line="360" w:lineRule="auto"/>
              <w:jc w:val="center"/>
              <w:rPr>
                <w:color w:val="auto"/>
                <w:szCs w:val="21"/>
                <w:highlight w:val="none"/>
              </w:rPr>
            </w:pPr>
          </w:p>
        </w:tc>
        <w:tc>
          <w:tcPr>
            <w:tcW w:w="1063" w:type="dxa"/>
            <w:noWrap w:val="0"/>
            <w:vAlign w:val="center"/>
          </w:tcPr>
          <w:p w14:paraId="1EF23872">
            <w:pPr>
              <w:spacing w:line="360" w:lineRule="auto"/>
              <w:jc w:val="center"/>
              <w:rPr>
                <w:color w:val="auto"/>
                <w:szCs w:val="21"/>
                <w:highlight w:val="none"/>
              </w:rPr>
            </w:pPr>
          </w:p>
        </w:tc>
        <w:tc>
          <w:tcPr>
            <w:tcW w:w="1063" w:type="dxa"/>
            <w:noWrap w:val="0"/>
            <w:vAlign w:val="center"/>
          </w:tcPr>
          <w:p w14:paraId="5CE0AC15">
            <w:pPr>
              <w:spacing w:line="360" w:lineRule="auto"/>
              <w:jc w:val="center"/>
              <w:rPr>
                <w:color w:val="auto"/>
                <w:szCs w:val="21"/>
                <w:highlight w:val="none"/>
              </w:rPr>
            </w:pPr>
          </w:p>
        </w:tc>
        <w:tc>
          <w:tcPr>
            <w:tcW w:w="1063" w:type="dxa"/>
            <w:noWrap w:val="0"/>
            <w:vAlign w:val="center"/>
          </w:tcPr>
          <w:p w14:paraId="0BC0AC55">
            <w:pPr>
              <w:spacing w:line="360" w:lineRule="auto"/>
              <w:jc w:val="center"/>
              <w:rPr>
                <w:color w:val="auto"/>
                <w:szCs w:val="21"/>
                <w:highlight w:val="none"/>
              </w:rPr>
            </w:pPr>
          </w:p>
        </w:tc>
        <w:tc>
          <w:tcPr>
            <w:tcW w:w="1063" w:type="dxa"/>
            <w:noWrap w:val="0"/>
            <w:vAlign w:val="center"/>
          </w:tcPr>
          <w:p w14:paraId="523E13B4">
            <w:pPr>
              <w:spacing w:line="360" w:lineRule="auto"/>
              <w:jc w:val="center"/>
              <w:rPr>
                <w:color w:val="auto"/>
                <w:szCs w:val="21"/>
                <w:highlight w:val="none"/>
              </w:rPr>
            </w:pPr>
          </w:p>
        </w:tc>
        <w:tc>
          <w:tcPr>
            <w:tcW w:w="1063" w:type="dxa"/>
            <w:noWrap w:val="0"/>
            <w:vAlign w:val="center"/>
          </w:tcPr>
          <w:p w14:paraId="65B94343">
            <w:pPr>
              <w:spacing w:line="360" w:lineRule="auto"/>
              <w:jc w:val="center"/>
              <w:rPr>
                <w:color w:val="auto"/>
                <w:szCs w:val="21"/>
                <w:highlight w:val="none"/>
              </w:rPr>
            </w:pPr>
          </w:p>
        </w:tc>
        <w:tc>
          <w:tcPr>
            <w:tcW w:w="1063" w:type="dxa"/>
            <w:noWrap w:val="0"/>
            <w:vAlign w:val="center"/>
          </w:tcPr>
          <w:p w14:paraId="320F67C9">
            <w:pPr>
              <w:spacing w:line="360" w:lineRule="auto"/>
              <w:jc w:val="center"/>
              <w:rPr>
                <w:color w:val="auto"/>
                <w:szCs w:val="21"/>
                <w:highlight w:val="none"/>
              </w:rPr>
            </w:pPr>
          </w:p>
        </w:tc>
      </w:tr>
      <w:tr w14:paraId="60FA9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181DA0E9">
            <w:pPr>
              <w:spacing w:line="360" w:lineRule="auto"/>
              <w:jc w:val="center"/>
              <w:rPr>
                <w:color w:val="auto"/>
                <w:szCs w:val="21"/>
                <w:highlight w:val="none"/>
              </w:rPr>
            </w:pPr>
          </w:p>
        </w:tc>
        <w:tc>
          <w:tcPr>
            <w:tcW w:w="1418" w:type="dxa"/>
            <w:noWrap w:val="0"/>
            <w:vAlign w:val="center"/>
          </w:tcPr>
          <w:p w14:paraId="0746FAB6">
            <w:pPr>
              <w:spacing w:line="360" w:lineRule="auto"/>
              <w:jc w:val="center"/>
              <w:rPr>
                <w:color w:val="auto"/>
                <w:szCs w:val="21"/>
                <w:highlight w:val="none"/>
              </w:rPr>
            </w:pPr>
          </w:p>
        </w:tc>
        <w:tc>
          <w:tcPr>
            <w:tcW w:w="1063" w:type="dxa"/>
            <w:noWrap w:val="0"/>
            <w:vAlign w:val="center"/>
          </w:tcPr>
          <w:p w14:paraId="2C00E244">
            <w:pPr>
              <w:spacing w:line="360" w:lineRule="auto"/>
              <w:jc w:val="center"/>
              <w:rPr>
                <w:color w:val="auto"/>
                <w:szCs w:val="21"/>
                <w:highlight w:val="none"/>
              </w:rPr>
            </w:pPr>
          </w:p>
        </w:tc>
        <w:tc>
          <w:tcPr>
            <w:tcW w:w="1063" w:type="dxa"/>
            <w:noWrap w:val="0"/>
            <w:vAlign w:val="center"/>
          </w:tcPr>
          <w:p w14:paraId="49A19377">
            <w:pPr>
              <w:spacing w:line="360" w:lineRule="auto"/>
              <w:jc w:val="center"/>
              <w:rPr>
                <w:color w:val="auto"/>
                <w:szCs w:val="21"/>
                <w:highlight w:val="none"/>
              </w:rPr>
            </w:pPr>
          </w:p>
        </w:tc>
        <w:tc>
          <w:tcPr>
            <w:tcW w:w="1063" w:type="dxa"/>
            <w:noWrap w:val="0"/>
            <w:vAlign w:val="center"/>
          </w:tcPr>
          <w:p w14:paraId="71189214">
            <w:pPr>
              <w:spacing w:line="360" w:lineRule="auto"/>
              <w:jc w:val="center"/>
              <w:rPr>
                <w:color w:val="auto"/>
                <w:szCs w:val="21"/>
                <w:highlight w:val="none"/>
              </w:rPr>
            </w:pPr>
          </w:p>
        </w:tc>
        <w:tc>
          <w:tcPr>
            <w:tcW w:w="1063" w:type="dxa"/>
            <w:noWrap w:val="0"/>
            <w:vAlign w:val="center"/>
          </w:tcPr>
          <w:p w14:paraId="11116CB3">
            <w:pPr>
              <w:spacing w:line="360" w:lineRule="auto"/>
              <w:jc w:val="center"/>
              <w:rPr>
                <w:color w:val="auto"/>
                <w:szCs w:val="21"/>
                <w:highlight w:val="none"/>
              </w:rPr>
            </w:pPr>
          </w:p>
        </w:tc>
        <w:tc>
          <w:tcPr>
            <w:tcW w:w="1063" w:type="dxa"/>
            <w:noWrap w:val="0"/>
            <w:vAlign w:val="center"/>
          </w:tcPr>
          <w:p w14:paraId="6F6EFC0E">
            <w:pPr>
              <w:spacing w:line="360" w:lineRule="auto"/>
              <w:jc w:val="center"/>
              <w:rPr>
                <w:color w:val="auto"/>
                <w:szCs w:val="21"/>
                <w:highlight w:val="none"/>
              </w:rPr>
            </w:pPr>
          </w:p>
        </w:tc>
        <w:tc>
          <w:tcPr>
            <w:tcW w:w="1063" w:type="dxa"/>
            <w:noWrap w:val="0"/>
            <w:vAlign w:val="center"/>
          </w:tcPr>
          <w:p w14:paraId="3CDC01C7">
            <w:pPr>
              <w:spacing w:line="360" w:lineRule="auto"/>
              <w:jc w:val="center"/>
              <w:rPr>
                <w:color w:val="auto"/>
                <w:szCs w:val="21"/>
                <w:highlight w:val="none"/>
              </w:rPr>
            </w:pPr>
          </w:p>
        </w:tc>
      </w:tr>
      <w:tr w14:paraId="22728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33CA463D">
            <w:pPr>
              <w:spacing w:line="360" w:lineRule="auto"/>
              <w:jc w:val="center"/>
              <w:rPr>
                <w:color w:val="auto"/>
                <w:szCs w:val="21"/>
                <w:highlight w:val="none"/>
              </w:rPr>
            </w:pPr>
          </w:p>
        </w:tc>
        <w:tc>
          <w:tcPr>
            <w:tcW w:w="1418" w:type="dxa"/>
            <w:noWrap w:val="0"/>
            <w:vAlign w:val="center"/>
          </w:tcPr>
          <w:p w14:paraId="173F8E51">
            <w:pPr>
              <w:spacing w:line="360" w:lineRule="auto"/>
              <w:jc w:val="center"/>
              <w:rPr>
                <w:color w:val="auto"/>
                <w:szCs w:val="21"/>
                <w:highlight w:val="none"/>
              </w:rPr>
            </w:pPr>
          </w:p>
        </w:tc>
        <w:tc>
          <w:tcPr>
            <w:tcW w:w="1063" w:type="dxa"/>
            <w:noWrap w:val="0"/>
            <w:vAlign w:val="center"/>
          </w:tcPr>
          <w:p w14:paraId="167455D6">
            <w:pPr>
              <w:spacing w:line="360" w:lineRule="auto"/>
              <w:jc w:val="center"/>
              <w:rPr>
                <w:color w:val="auto"/>
                <w:szCs w:val="21"/>
                <w:highlight w:val="none"/>
              </w:rPr>
            </w:pPr>
          </w:p>
        </w:tc>
        <w:tc>
          <w:tcPr>
            <w:tcW w:w="1063" w:type="dxa"/>
            <w:noWrap w:val="0"/>
            <w:vAlign w:val="center"/>
          </w:tcPr>
          <w:p w14:paraId="02505A22">
            <w:pPr>
              <w:spacing w:line="360" w:lineRule="auto"/>
              <w:jc w:val="center"/>
              <w:rPr>
                <w:color w:val="auto"/>
                <w:szCs w:val="21"/>
                <w:highlight w:val="none"/>
              </w:rPr>
            </w:pPr>
          </w:p>
        </w:tc>
        <w:tc>
          <w:tcPr>
            <w:tcW w:w="1063" w:type="dxa"/>
            <w:noWrap w:val="0"/>
            <w:vAlign w:val="center"/>
          </w:tcPr>
          <w:p w14:paraId="54C0A956">
            <w:pPr>
              <w:spacing w:line="360" w:lineRule="auto"/>
              <w:jc w:val="center"/>
              <w:rPr>
                <w:color w:val="auto"/>
                <w:szCs w:val="21"/>
                <w:highlight w:val="none"/>
              </w:rPr>
            </w:pPr>
          </w:p>
        </w:tc>
        <w:tc>
          <w:tcPr>
            <w:tcW w:w="1063" w:type="dxa"/>
            <w:noWrap w:val="0"/>
            <w:vAlign w:val="center"/>
          </w:tcPr>
          <w:p w14:paraId="0D6F25BB">
            <w:pPr>
              <w:spacing w:line="360" w:lineRule="auto"/>
              <w:jc w:val="center"/>
              <w:rPr>
                <w:color w:val="auto"/>
                <w:szCs w:val="21"/>
                <w:highlight w:val="none"/>
              </w:rPr>
            </w:pPr>
          </w:p>
        </w:tc>
        <w:tc>
          <w:tcPr>
            <w:tcW w:w="1063" w:type="dxa"/>
            <w:noWrap w:val="0"/>
            <w:vAlign w:val="center"/>
          </w:tcPr>
          <w:p w14:paraId="4AC5C16D">
            <w:pPr>
              <w:spacing w:line="360" w:lineRule="auto"/>
              <w:jc w:val="center"/>
              <w:rPr>
                <w:color w:val="auto"/>
                <w:szCs w:val="21"/>
                <w:highlight w:val="none"/>
              </w:rPr>
            </w:pPr>
          </w:p>
        </w:tc>
        <w:tc>
          <w:tcPr>
            <w:tcW w:w="1063" w:type="dxa"/>
            <w:noWrap w:val="0"/>
            <w:vAlign w:val="center"/>
          </w:tcPr>
          <w:p w14:paraId="677B123B">
            <w:pPr>
              <w:spacing w:line="360" w:lineRule="auto"/>
              <w:jc w:val="center"/>
              <w:rPr>
                <w:color w:val="auto"/>
                <w:szCs w:val="21"/>
                <w:highlight w:val="none"/>
              </w:rPr>
            </w:pPr>
          </w:p>
        </w:tc>
      </w:tr>
      <w:tr w14:paraId="7C897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1831507B">
            <w:pPr>
              <w:spacing w:line="360" w:lineRule="auto"/>
              <w:jc w:val="center"/>
              <w:rPr>
                <w:color w:val="auto"/>
                <w:szCs w:val="21"/>
                <w:highlight w:val="none"/>
              </w:rPr>
            </w:pPr>
          </w:p>
        </w:tc>
        <w:tc>
          <w:tcPr>
            <w:tcW w:w="1418" w:type="dxa"/>
            <w:noWrap w:val="0"/>
            <w:vAlign w:val="center"/>
          </w:tcPr>
          <w:p w14:paraId="520C82D6">
            <w:pPr>
              <w:spacing w:line="360" w:lineRule="auto"/>
              <w:jc w:val="center"/>
              <w:rPr>
                <w:color w:val="auto"/>
                <w:szCs w:val="21"/>
                <w:highlight w:val="none"/>
              </w:rPr>
            </w:pPr>
          </w:p>
        </w:tc>
        <w:tc>
          <w:tcPr>
            <w:tcW w:w="1063" w:type="dxa"/>
            <w:noWrap w:val="0"/>
            <w:vAlign w:val="center"/>
          </w:tcPr>
          <w:p w14:paraId="13BEEC7D">
            <w:pPr>
              <w:spacing w:line="360" w:lineRule="auto"/>
              <w:jc w:val="center"/>
              <w:rPr>
                <w:color w:val="auto"/>
                <w:szCs w:val="21"/>
                <w:highlight w:val="none"/>
              </w:rPr>
            </w:pPr>
          </w:p>
        </w:tc>
        <w:tc>
          <w:tcPr>
            <w:tcW w:w="1063" w:type="dxa"/>
            <w:noWrap w:val="0"/>
            <w:vAlign w:val="center"/>
          </w:tcPr>
          <w:p w14:paraId="0BFE63B3">
            <w:pPr>
              <w:spacing w:line="360" w:lineRule="auto"/>
              <w:jc w:val="center"/>
              <w:rPr>
                <w:color w:val="auto"/>
                <w:szCs w:val="21"/>
                <w:highlight w:val="none"/>
              </w:rPr>
            </w:pPr>
          </w:p>
        </w:tc>
        <w:tc>
          <w:tcPr>
            <w:tcW w:w="1063" w:type="dxa"/>
            <w:noWrap w:val="0"/>
            <w:vAlign w:val="center"/>
          </w:tcPr>
          <w:p w14:paraId="5E4C08BD">
            <w:pPr>
              <w:spacing w:line="360" w:lineRule="auto"/>
              <w:jc w:val="center"/>
              <w:rPr>
                <w:color w:val="auto"/>
                <w:szCs w:val="21"/>
                <w:highlight w:val="none"/>
              </w:rPr>
            </w:pPr>
          </w:p>
        </w:tc>
        <w:tc>
          <w:tcPr>
            <w:tcW w:w="1063" w:type="dxa"/>
            <w:noWrap w:val="0"/>
            <w:vAlign w:val="center"/>
          </w:tcPr>
          <w:p w14:paraId="206446CE">
            <w:pPr>
              <w:spacing w:line="360" w:lineRule="auto"/>
              <w:jc w:val="center"/>
              <w:rPr>
                <w:color w:val="auto"/>
                <w:szCs w:val="21"/>
                <w:highlight w:val="none"/>
              </w:rPr>
            </w:pPr>
          </w:p>
        </w:tc>
        <w:tc>
          <w:tcPr>
            <w:tcW w:w="1063" w:type="dxa"/>
            <w:noWrap w:val="0"/>
            <w:vAlign w:val="center"/>
          </w:tcPr>
          <w:p w14:paraId="7DFF3D56">
            <w:pPr>
              <w:spacing w:line="360" w:lineRule="auto"/>
              <w:jc w:val="center"/>
              <w:rPr>
                <w:color w:val="auto"/>
                <w:szCs w:val="21"/>
                <w:highlight w:val="none"/>
              </w:rPr>
            </w:pPr>
          </w:p>
        </w:tc>
        <w:tc>
          <w:tcPr>
            <w:tcW w:w="1063" w:type="dxa"/>
            <w:noWrap w:val="0"/>
            <w:vAlign w:val="center"/>
          </w:tcPr>
          <w:p w14:paraId="761022E6">
            <w:pPr>
              <w:spacing w:line="360" w:lineRule="auto"/>
              <w:jc w:val="center"/>
              <w:rPr>
                <w:color w:val="auto"/>
                <w:szCs w:val="21"/>
                <w:highlight w:val="none"/>
              </w:rPr>
            </w:pPr>
          </w:p>
        </w:tc>
      </w:tr>
      <w:tr w14:paraId="60A82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0E18730D">
            <w:pPr>
              <w:spacing w:line="360" w:lineRule="auto"/>
              <w:jc w:val="center"/>
              <w:rPr>
                <w:color w:val="auto"/>
                <w:szCs w:val="21"/>
                <w:highlight w:val="none"/>
              </w:rPr>
            </w:pPr>
          </w:p>
        </w:tc>
        <w:tc>
          <w:tcPr>
            <w:tcW w:w="1418" w:type="dxa"/>
            <w:noWrap w:val="0"/>
            <w:vAlign w:val="center"/>
          </w:tcPr>
          <w:p w14:paraId="7EC5C39F">
            <w:pPr>
              <w:spacing w:line="360" w:lineRule="auto"/>
              <w:jc w:val="center"/>
              <w:rPr>
                <w:color w:val="auto"/>
                <w:szCs w:val="21"/>
                <w:highlight w:val="none"/>
              </w:rPr>
            </w:pPr>
          </w:p>
        </w:tc>
        <w:tc>
          <w:tcPr>
            <w:tcW w:w="1063" w:type="dxa"/>
            <w:noWrap w:val="0"/>
            <w:vAlign w:val="center"/>
          </w:tcPr>
          <w:p w14:paraId="49D0F8EB">
            <w:pPr>
              <w:spacing w:line="360" w:lineRule="auto"/>
              <w:jc w:val="center"/>
              <w:rPr>
                <w:color w:val="auto"/>
                <w:szCs w:val="21"/>
                <w:highlight w:val="none"/>
              </w:rPr>
            </w:pPr>
          </w:p>
        </w:tc>
        <w:tc>
          <w:tcPr>
            <w:tcW w:w="1063" w:type="dxa"/>
            <w:noWrap w:val="0"/>
            <w:vAlign w:val="center"/>
          </w:tcPr>
          <w:p w14:paraId="4EE94E21">
            <w:pPr>
              <w:spacing w:line="360" w:lineRule="auto"/>
              <w:jc w:val="center"/>
              <w:rPr>
                <w:color w:val="auto"/>
                <w:szCs w:val="21"/>
                <w:highlight w:val="none"/>
              </w:rPr>
            </w:pPr>
          </w:p>
        </w:tc>
        <w:tc>
          <w:tcPr>
            <w:tcW w:w="1063" w:type="dxa"/>
            <w:noWrap w:val="0"/>
            <w:vAlign w:val="center"/>
          </w:tcPr>
          <w:p w14:paraId="5D0F2485">
            <w:pPr>
              <w:spacing w:line="360" w:lineRule="auto"/>
              <w:jc w:val="center"/>
              <w:rPr>
                <w:color w:val="auto"/>
                <w:szCs w:val="21"/>
                <w:highlight w:val="none"/>
              </w:rPr>
            </w:pPr>
          </w:p>
        </w:tc>
        <w:tc>
          <w:tcPr>
            <w:tcW w:w="1063" w:type="dxa"/>
            <w:noWrap w:val="0"/>
            <w:vAlign w:val="center"/>
          </w:tcPr>
          <w:p w14:paraId="65F1704A">
            <w:pPr>
              <w:spacing w:line="360" w:lineRule="auto"/>
              <w:jc w:val="center"/>
              <w:rPr>
                <w:color w:val="auto"/>
                <w:szCs w:val="21"/>
                <w:highlight w:val="none"/>
              </w:rPr>
            </w:pPr>
          </w:p>
        </w:tc>
        <w:tc>
          <w:tcPr>
            <w:tcW w:w="1063" w:type="dxa"/>
            <w:noWrap w:val="0"/>
            <w:vAlign w:val="center"/>
          </w:tcPr>
          <w:p w14:paraId="58A1516F">
            <w:pPr>
              <w:spacing w:line="360" w:lineRule="auto"/>
              <w:jc w:val="center"/>
              <w:rPr>
                <w:color w:val="auto"/>
                <w:szCs w:val="21"/>
                <w:highlight w:val="none"/>
              </w:rPr>
            </w:pPr>
          </w:p>
        </w:tc>
        <w:tc>
          <w:tcPr>
            <w:tcW w:w="1063" w:type="dxa"/>
            <w:noWrap w:val="0"/>
            <w:vAlign w:val="center"/>
          </w:tcPr>
          <w:p w14:paraId="558906B2">
            <w:pPr>
              <w:spacing w:line="360" w:lineRule="auto"/>
              <w:jc w:val="center"/>
              <w:rPr>
                <w:color w:val="auto"/>
                <w:szCs w:val="21"/>
                <w:highlight w:val="none"/>
              </w:rPr>
            </w:pPr>
          </w:p>
        </w:tc>
      </w:tr>
      <w:tr w14:paraId="07BA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6CAB4C5D">
            <w:pPr>
              <w:spacing w:line="360" w:lineRule="auto"/>
              <w:jc w:val="center"/>
              <w:rPr>
                <w:color w:val="auto"/>
                <w:szCs w:val="21"/>
                <w:highlight w:val="none"/>
              </w:rPr>
            </w:pPr>
          </w:p>
        </w:tc>
        <w:tc>
          <w:tcPr>
            <w:tcW w:w="1418" w:type="dxa"/>
            <w:noWrap w:val="0"/>
            <w:vAlign w:val="center"/>
          </w:tcPr>
          <w:p w14:paraId="28AAD846">
            <w:pPr>
              <w:spacing w:line="360" w:lineRule="auto"/>
              <w:jc w:val="center"/>
              <w:rPr>
                <w:color w:val="auto"/>
                <w:szCs w:val="21"/>
                <w:highlight w:val="none"/>
              </w:rPr>
            </w:pPr>
          </w:p>
        </w:tc>
        <w:tc>
          <w:tcPr>
            <w:tcW w:w="1063" w:type="dxa"/>
            <w:noWrap w:val="0"/>
            <w:vAlign w:val="center"/>
          </w:tcPr>
          <w:p w14:paraId="0E6EAD87">
            <w:pPr>
              <w:spacing w:line="360" w:lineRule="auto"/>
              <w:jc w:val="center"/>
              <w:rPr>
                <w:color w:val="auto"/>
                <w:szCs w:val="21"/>
                <w:highlight w:val="none"/>
              </w:rPr>
            </w:pPr>
          </w:p>
        </w:tc>
        <w:tc>
          <w:tcPr>
            <w:tcW w:w="1063" w:type="dxa"/>
            <w:noWrap w:val="0"/>
            <w:vAlign w:val="center"/>
          </w:tcPr>
          <w:p w14:paraId="4261E0F6">
            <w:pPr>
              <w:spacing w:line="360" w:lineRule="auto"/>
              <w:jc w:val="center"/>
              <w:rPr>
                <w:color w:val="auto"/>
                <w:szCs w:val="21"/>
                <w:highlight w:val="none"/>
              </w:rPr>
            </w:pPr>
          </w:p>
        </w:tc>
        <w:tc>
          <w:tcPr>
            <w:tcW w:w="1063" w:type="dxa"/>
            <w:noWrap w:val="0"/>
            <w:vAlign w:val="center"/>
          </w:tcPr>
          <w:p w14:paraId="12A8E7B3">
            <w:pPr>
              <w:spacing w:line="360" w:lineRule="auto"/>
              <w:jc w:val="center"/>
              <w:rPr>
                <w:color w:val="auto"/>
                <w:szCs w:val="21"/>
                <w:highlight w:val="none"/>
              </w:rPr>
            </w:pPr>
          </w:p>
        </w:tc>
        <w:tc>
          <w:tcPr>
            <w:tcW w:w="1063" w:type="dxa"/>
            <w:noWrap w:val="0"/>
            <w:vAlign w:val="center"/>
          </w:tcPr>
          <w:p w14:paraId="57ABC009">
            <w:pPr>
              <w:spacing w:line="360" w:lineRule="auto"/>
              <w:jc w:val="center"/>
              <w:rPr>
                <w:color w:val="auto"/>
                <w:szCs w:val="21"/>
                <w:highlight w:val="none"/>
              </w:rPr>
            </w:pPr>
          </w:p>
        </w:tc>
        <w:tc>
          <w:tcPr>
            <w:tcW w:w="1063" w:type="dxa"/>
            <w:noWrap w:val="0"/>
            <w:vAlign w:val="center"/>
          </w:tcPr>
          <w:p w14:paraId="1FB1179D">
            <w:pPr>
              <w:spacing w:line="360" w:lineRule="auto"/>
              <w:jc w:val="center"/>
              <w:rPr>
                <w:color w:val="auto"/>
                <w:szCs w:val="21"/>
                <w:highlight w:val="none"/>
              </w:rPr>
            </w:pPr>
          </w:p>
        </w:tc>
        <w:tc>
          <w:tcPr>
            <w:tcW w:w="1063" w:type="dxa"/>
            <w:noWrap w:val="0"/>
            <w:vAlign w:val="center"/>
          </w:tcPr>
          <w:p w14:paraId="3504968B">
            <w:pPr>
              <w:spacing w:line="360" w:lineRule="auto"/>
              <w:jc w:val="center"/>
              <w:rPr>
                <w:color w:val="auto"/>
                <w:szCs w:val="21"/>
                <w:highlight w:val="none"/>
              </w:rPr>
            </w:pPr>
          </w:p>
        </w:tc>
      </w:tr>
      <w:tr w14:paraId="2204F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3960A057">
            <w:pPr>
              <w:spacing w:line="360" w:lineRule="auto"/>
              <w:jc w:val="center"/>
              <w:rPr>
                <w:color w:val="auto"/>
                <w:szCs w:val="21"/>
                <w:highlight w:val="none"/>
              </w:rPr>
            </w:pPr>
          </w:p>
        </w:tc>
        <w:tc>
          <w:tcPr>
            <w:tcW w:w="1418" w:type="dxa"/>
            <w:noWrap w:val="0"/>
            <w:vAlign w:val="center"/>
          </w:tcPr>
          <w:p w14:paraId="20243B1D">
            <w:pPr>
              <w:spacing w:line="360" w:lineRule="auto"/>
              <w:jc w:val="center"/>
              <w:rPr>
                <w:color w:val="auto"/>
                <w:szCs w:val="21"/>
                <w:highlight w:val="none"/>
              </w:rPr>
            </w:pPr>
          </w:p>
        </w:tc>
        <w:tc>
          <w:tcPr>
            <w:tcW w:w="1063" w:type="dxa"/>
            <w:noWrap w:val="0"/>
            <w:vAlign w:val="center"/>
          </w:tcPr>
          <w:p w14:paraId="411BA4BF">
            <w:pPr>
              <w:spacing w:line="360" w:lineRule="auto"/>
              <w:jc w:val="center"/>
              <w:rPr>
                <w:color w:val="auto"/>
                <w:szCs w:val="21"/>
                <w:highlight w:val="none"/>
              </w:rPr>
            </w:pPr>
          </w:p>
        </w:tc>
        <w:tc>
          <w:tcPr>
            <w:tcW w:w="1063" w:type="dxa"/>
            <w:noWrap w:val="0"/>
            <w:vAlign w:val="center"/>
          </w:tcPr>
          <w:p w14:paraId="6DAA4ABD">
            <w:pPr>
              <w:spacing w:line="360" w:lineRule="auto"/>
              <w:jc w:val="center"/>
              <w:rPr>
                <w:color w:val="auto"/>
                <w:szCs w:val="21"/>
                <w:highlight w:val="none"/>
              </w:rPr>
            </w:pPr>
          </w:p>
        </w:tc>
        <w:tc>
          <w:tcPr>
            <w:tcW w:w="1063" w:type="dxa"/>
            <w:noWrap w:val="0"/>
            <w:vAlign w:val="center"/>
          </w:tcPr>
          <w:p w14:paraId="036D7B14">
            <w:pPr>
              <w:spacing w:line="360" w:lineRule="auto"/>
              <w:jc w:val="center"/>
              <w:rPr>
                <w:color w:val="auto"/>
                <w:szCs w:val="21"/>
                <w:highlight w:val="none"/>
              </w:rPr>
            </w:pPr>
          </w:p>
        </w:tc>
        <w:tc>
          <w:tcPr>
            <w:tcW w:w="1063" w:type="dxa"/>
            <w:noWrap w:val="0"/>
            <w:vAlign w:val="center"/>
          </w:tcPr>
          <w:p w14:paraId="44F45AB6">
            <w:pPr>
              <w:spacing w:line="360" w:lineRule="auto"/>
              <w:jc w:val="center"/>
              <w:rPr>
                <w:color w:val="auto"/>
                <w:szCs w:val="21"/>
                <w:highlight w:val="none"/>
              </w:rPr>
            </w:pPr>
          </w:p>
        </w:tc>
        <w:tc>
          <w:tcPr>
            <w:tcW w:w="1063" w:type="dxa"/>
            <w:noWrap w:val="0"/>
            <w:vAlign w:val="center"/>
          </w:tcPr>
          <w:p w14:paraId="632EC1E6">
            <w:pPr>
              <w:spacing w:line="360" w:lineRule="auto"/>
              <w:jc w:val="center"/>
              <w:rPr>
                <w:color w:val="auto"/>
                <w:szCs w:val="21"/>
                <w:highlight w:val="none"/>
              </w:rPr>
            </w:pPr>
          </w:p>
        </w:tc>
        <w:tc>
          <w:tcPr>
            <w:tcW w:w="1063" w:type="dxa"/>
            <w:noWrap w:val="0"/>
            <w:vAlign w:val="center"/>
          </w:tcPr>
          <w:p w14:paraId="148FCCCD">
            <w:pPr>
              <w:spacing w:line="360" w:lineRule="auto"/>
              <w:jc w:val="center"/>
              <w:rPr>
                <w:color w:val="auto"/>
                <w:szCs w:val="21"/>
                <w:highlight w:val="none"/>
              </w:rPr>
            </w:pPr>
          </w:p>
        </w:tc>
      </w:tr>
      <w:tr w14:paraId="7BC53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344BD548">
            <w:pPr>
              <w:spacing w:line="360" w:lineRule="auto"/>
              <w:jc w:val="center"/>
              <w:rPr>
                <w:color w:val="auto"/>
                <w:szCs w:val="21"/>
                <w:highlight w:val="none"/>
              </w:rPr>
            </w:pPr>
          </w:p>
        </w:tc>
        <w:tc>
          <w:tcPr>
            <w:tcW w:w="1418" w:type="dxa"/>
            <w:noWrap w:val="0"/>
            <w:vAlign w:val="center"/>
          </w:tcPr>
          <w:p w14:paraId="39C87A87">
            <w:pPr>
              <w:spacing w:line="360" w:lineRule="auto"/>
              <w:jc w:val="center"/>
              <w:rPr>
                <w:color w:val="auto"/>
                <w:szCs w:val="21"/>
                <w:highlight w:val="none"/>
              </w:rPr>
            </w:pPr>
          </w:p>
        </w:tc>
        <w:tc>
          <w:tcPr>
            <w:tcW w:w="1063" w:type="dxa"/>
            <w:noWrap w:val="0"/>
            <w:vAlign w:val="center"/>
          </w:tcPr>
          <w:p w14:paraId="60E7C1B0">
            <w:pPr>
              <w:spacing w:line="360" w:lineRule="auto"/>
              <w:jc w:val="center"/>
              <w:rPr>
                <w:color w:val="auto"/>
                <w:szCs w:val="21"/>
                <w:highlight w:val="none"/>
              </w:rPr>
            </w:pPr>
          </w:p>
        </w:tc>
        <w:tc>
          <w:tcPr>
            <w:tcW w:w="1063" w:type="dxa"/>
            <w:noWrap w:val="0"/>
            <w:vAlign w:val="center"/>
          </w:tcPr>
          <w:p w14:paraId="438D720D">
            <w:pPr>
              <w:spacing w:line="360" w:lineRule="auto"/>
              <w:jc w:val="center"/>
              <w:rPr>
                <w:color w:val="auto"/>
                <w:szCs w:val="21"/>
                <w:highlight w:val="none"/>
              </w:rPr>
            </w:pPr>
          </w:p>
        </w:tc>
        <w:tc>
          <w:tcPr>
            <w:tcW w:w="1063" w:type="dxa"/>
            <w:noWrap w:val="0"/>
            <w:vAlign w:val="center"/>
          </w:tcPr>
          <w:p w14:paraId="68F3F11E">
            <w:pPr>
              <w:spacing w:line="360" w:lineRule="auto"/>
              <w:jc w:val="center"/>
              <w:rPr>
                <w:color w:val="auto"/>
                <w:szCs w:val="21"/>
                <w:highlight w:val="none"/>
              </w:rPr>
            </w:pPr>
          </w:p>
        </w:tc>
        <w:tc>
          <w:tcPr>
            <w:tcW w:w="1063" w:type="dxa"/>
            <w:noWrap w:val="0"/>
            <w:vAlign w:val="center"/>
          </w:tcPr>
          <w:p w14:paraId="60F08647">
            <w:pPr>
              <w:spacing w:line="360" w:lineRule="auto"/>
              <w:jc w:val="center"/>
              <w:rPr>
                <w:color w:val="auto"/>
                <w:szCs w:val="21"/>
                <w:highlight w:val="none"/>
              </w:rPr>
            </w:pPr>
          </w:p>
        </w:tc>
        <w:tc>
          <w:tcPr>
            <w:tcW w:w="1063" w:type="dxa"/>
            <w:noWrap w:val="0"/>
            <w:vAlign w:val="center"/>
          </w:tcPr>
          <w:p w14:paraId="42869E50">
            <w:pPr>
              <w:spacing w:line="360" w:lineRule="auto"/>
              <w:jc w:val="center"/>
              <w:rPr>
                <w:color w:val="auto"/>
                <w:szCs w:val="21"/>
                <w:highlight w:val="none"/>
              </w:rPr>
            </w:pPr>
          </w:p>
        </w:tc>
        <w:tc>
          <w:tcPr>
            <w:tcW w:w="1063" w:type="dxa"/>
            <w:noWrap w:val="0"/>
            <w:vAlign w:val="center"/>
          </w:tcPr>
          <w:p w14:paraId="319C9504">
            <w:pPr>
              <w:spacing w:line="360" w:lineRule="auto"/>
              <w:jc w:val="center"/>
              <w:rPr>
                <w:color w:val="auto"/>
                <w:szCs w:val="21"/>
                <w:highlight w:val="none"/>
              </w:rPr>
            </w:pPr>
          </w:p>
        </w:tc>
      </w:tr>
      <w:tr w14:paraId="60FB1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64742F23">
            <w:pPr>
              <w:spacing w:line="360" w:lineRule="auto"/>
              <w:jc w:val="center"/>
              <w:rPr>
                <w:color w:val="auto"/>
                <w:szCs w:val="21"/>
                <w:highlight w:val="none"/>
              </w:rPr>
            </w:pPr>
          </w:p>
        </w:tc>
        <w:tc>
          <w:tcPr>
            <w:tcW w:w="1418" w:type="dxa"/>
            <w:noWrap w:val="0"/>
            <w:vAlign w:val="center"/>
          </w:tcPr>
          <w:p w14:paraId="2C7F1CC8">
            <w:pPr>
              <w:spacing w:line="360" w:lineRule="auto"/>
              <w:jc w:val="center"/>
              <w:rPr>
                <w:color w:val="auto"/>
                <w:szCs w:val="21"/>
                <w:highlight w:val="none"/>
              </w:rPr>
            </w:pPr>
          </w:p>
        </w:tc>
        <w:tc>
          <w:tcPr>
            <w:tcW w:w="1063" w:type="dxa"/>
            <w:noWrap w:val="0"/>
            <w:vAlign w:val="center"/>
          </w:tcPr>
          <w:p w14:paraId="0D9FF6F2">
            <w:pPr>
              <w:spacing w:line="360" w:lineRule="auto"/>
              <w:jc w:val="center"/>
              <w:rPr>
                <w:color w:val="auto"/>
                <w:szCs w:val="21"/>
                <w:highlight w:val="none"/>
              </w:rPr>
            </w:pPr>
          </w:p>
        </w:tc>
        <w:tc>
          <w:tcPr>
            <w:tcW w:w="1063" w:type="dxa"/>
            <w:noWrap w:val="0"/>
            <w:vAlign w:val="center"/>
          </w:tcPr>
          <w:p w14:paraId="65BED6AD">
            <w:pPr>
              <w:spacing w:line="360" w:lineRule="auto"/>
              <w:jc w:val="center"/>
              <w:rPr>
                <w:color w:val="auto"/>
                <w:szCs w:val="21"/>
                <w:highlight w:val="none"/>
              </w:rPr>
            </w:pPr>
          </w:p>
        </w:tc>
        <w:tc>
          <w:tcPr>
            <w:tcW w:w="1063" w:type="dxa"/>
            <w:noWrap w:val="0"/>
            <w:vAlign w:val="center"/>
          </w:tcPr>
          <w:p w14:paraId="7E04B942">
            <w:pPr>
              <w:spacing w:line="360" w:lineRule="auto"/>
              <w:jc w:val="center"/>
              <w:rPr>
                <w:color w:val="auto"/>
                <w:szCs w:val="21"/>
                <w:highlight w:val="none"/>
              </w:rPr>
            </w:pPr>
          </w:p>
        </w:tc>
        <w:tc>
          <w:tcPr>
            <w:tcW w:w="1063" w:type="dxa"/>
            <w:noWrap w:val="0"/>
            <w:vAlign w:val="center"/>
          </w:tcPr>
          <w:p w14:paraId="24165547">
            <w:pPr>
              <w:spacing w:line="360" w:lineRule="auto"/>
              <w:jc w:val="center"/>
              <w:rPr>
                <w:color w:val="auto"/>
                <w:szCs w:val="21"/>
                <w:highlight w:val="none"/>
              </w:rPr>
            </w:pPr>
          </w:p>
        </w:tc>
        <w:tc>
          <w:tcPr>
            <w:tcW w:w="1063" w:type="dxa"/>
            <w:noWrap w:val="0"/>
            <w:vAlign w:val="center"/>
          </w:tcPr>
          <w:p w14:paraId="16F01B2E">
            <w:pPr>
              <w:spacing w:line="360" w:lineRule="auto"/>
              <w:jc w:val="center"/>
              <w:rPr>
                <w:color w:val="auto"/>
                <w:szCs w:val="21"/>
                <w:highlight w:val="none"/>
              </w:rPr>
            </w:pPr>
          </w:p>
        </w:tc>
        <w:tc>
          <w:tcPr>
            <w:tcW w:w="1063" w:type="dxa"/>
            <w:noWrap w:val="0"/>
            <w:vAlign w:val="center"/>
          </w:tcPr>
          <w:p w14:paraId="6FEA24CF">
            <w:pPr>
              <w:spacing w:line="360" w:lineRule="auto"/>
              <w:jc w:val="center"/>
              <w:rPr>
                <w:color w:val="auto"/>
                <w:szCs w:val="21"/>
                <w:highlight w:val="none"/>
              </w:rPr>
            </w:pPr>
          </w:p>
        </w:tc>
      </w:tr>
      <w:tr w14:paraId="1E85D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588262C4">
            <w:pPr>
              <w:spacing w:line="360" w:lineRule="auto"/>
              <w:jc w:val="center"/>
              <w:rPr>
                <w:color w:val="auto"/>
                <w:szCs w:val="21"/>
                <w:highlight w:val="none"/>
              </w:rPr>
            </w:pPr>
          </w:p>
        </w:tc>
        <w:tc>
          <w:tcPr>
            <w:tcW w:w="1418" w:type="dxa"/>
            <w:noWrap w:val="0"/>
            <w:vAlign w:val="center"/>
          </w:tcPr>
          <w:p w14:paraId="4AB93CBC">
            <w:pPr>
              <w:spacing w:line="360" w:lineRule="auto"/>
              <w:jc w:val="center"/>
              <w:rPr>
                <w:color w:val="auto"/>
                <w:szCs w:val="21"/>
                <w:highlight w:val="none"/>
              </w:rPr>
            </w:pPr>
          </w:p>
        </w:tc>
        <w:tc>
          <w:tcPr>
            <w:tcW w:w="1063" w:type="dxa"/>
            <w:noWrap w:val="0"/>
            <w:vAlign w:val="center"/>
          </w:tcPr>
          <w:p w14:paraId="59A50DA3">
            <w:pPr>
              <w:spacing w:line="360" w:lineRule="auto"/>
              <w:jc w:val="center"/>
              <w:rPr>
                <w:color w:val="auto"/>
                <w:szCs w:val="21"/>
                <w:highlight w:val="none"/>
              </w:rPr>
            </w:pPr>
          </w:p>
        </w:tc>
        <w:tc>
          <w:tcPr>
            <w:tcW w:w="1063" w:type="dxa"/>
            <w:noWrap w:val="0"/>
            <w:vAlign w:val="center"/>
          </w:tcPr>
          <w:p w14:paraId="2025B554">
            <w:pPr>
              <w:spacing w:line="360" w:lineRule="auto"/>
              <w:jc w:val="center"/>
              <w:rPr>
                <w:color w:val="auto"/>
                <w:szCs w:val="21"/>
                <w:highlight w:val="none"/>
              </w:rPr>
            </w:pPr>
          </w:p>
        </w:tc>
        <w:tc>
          <w:tcPr>
            <w:tcW w:w="1063" w:type="dxa"/>
            <w:noWrap w:val="0"/>
            <w:vAlign w:val="center"/>
          </w:tcPr>
          <w:p w14:paraId="250D5F71">
            <w:pPr>
              <w:spacing w:line="360" w:lineRule="auto"/>
              <w:jc w:val="center"/>
              <w:rPr>
                <w:color w:val="auto"/>
                <w:szCs w:val="21"/>
                <w:highlight w:val="none"/>
              </w:rPr>
            </w:pPr>
          </w:p>
        </w:tc>
        <w:tc>
          <w:tcPr>
            <w:tcW w:w="1063" w:type="dxa"/>
            <w:noWrap w:val="0"/>
            <w:vAlign w:val="center"/>
          </w:tcPr>
          <w:p w14:paraId="64FEBD15">
            <w:pPr>
              <w:spacing w:line="360" w:lineRule="auto"/>
              <w:jc w:val="center"/>
              <w:rPr>
                <w:color w:val="auto"/>
                <w:szCs w:val="21"/>
                <w:highlight w:val="none"/>
              </w:rPr>
            </w:pPr>
          </w:p>
        </w:tc>
        <w:tc>
          <w:tcPr>
            <w:tcW w:w="1063" w:type="dxa"/>
            <w:noWrap w:val="0"/>
            <w:vAlign w:val="center"/>
          </w:tcPr>
          <w:p w14:paraId="743AF31E">
            <w:pPr>
              <w:spacing w:line="360" w:lineRule="auto"/>
              <w:jc w:val="center"/>
              <w:rPr>
                <w:color w:val="auto"/>
                <w:szCs w:val="21"/>
                <w:highlight w:val="none"/>
              </w:rPr>
            </w:pPr>
          </w:p>
        </w:tc>
        <w:tc>
          <w:tcPr>
            <w:tcW w:w="1063" w:type="dxa"/>
            <w:noWrap w:val="0"/>
            <w:vAlign w:val="center"/>
          </w:tcPr>
          <w:p w14:paraId="0980751D">
            <w:pPr>
              <w:spacing w:line="360" w:lineRule="auto"/>
              <w:jc w:val="center"/>
              <w:rPr>
                <w:color w:val="auto"/>
                <w:szCs w:val="21"/>
                <w:highlight w:val="none"/>
              </w:rPr>
            </w:pPr>
          </w:p>
        </w:tc>
      </w:tr>
      <w:tr w14:paraId="4F4FD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3245F341">
            <w:pPr>
              <w:spacing w:line="360" w:lineRule="auto"/>
              <w:jc w:val="center"/>
              <w:rPr>
                <w:color w:val="auto"/>
                <w:szCs w:val="21"/>
                <w:highlight w:val="none"/>
              </w:rPr>
            </w:pPr>
          </w:p>
        </w:tc>
        <w:tc>
          <w:tcPr>
            <w:tcW w:w="1418" w:type="dxa"/>
            <w:noWrap w:val="0"/>
            <w:vAlign w:val="center"/>
          </w:tcPr>
          <w:p w14:paraId="34848F27">
            <w:pPr>
              <w:spacing w:line="360" w:lineRule="auto"/>
              <w:jc w:val="center"/>
              <w:rPr>
                <w:color w:val="auto"/>
                <w:szCs w:val="21"/>
                <w:highlight w:val="none"/>
              </w:rPr>
            </w:pPr>
          </w:p>
        </w:tc>
        <w:tc>
          <w:tcPr>
            <w:tcW w:w="1063" w:type="dxa"/>
            <w:noWrap w:val="0"/>
            <w:vAlign w:val="center"/>
          </w:tcPr>
          <w:p w14:paraId="4ACD0B07">
            <w:pPr>
              <w:spacing w:line="360" w:lineRule="auto"/>
              <w:jc w:val="center"/>
              <w:rPr>
                <w:color w:val="auto"/>
                <w:szCs w:val="21"/>
                <w:highlight w:val="none"/>
              </w:rPr>
            </w:pPr>
          </w:p>
        </w:tc>
        <w:tc>
          <w:tcPr>
            <w:tcW w:w="1063" w:type="dxa"/>
            <w:noWrap w:val="0"/>
            <w:vAlign w:val="center"/>
          </w:tcPr>
          <w:p w14:paraId="2F1CF160">
            <w:pPr>
              <w:spacing w:line="360" w:lineRule="auto"/>
              <w:jc w:val="center"/>
              <w:rPr>
                <w:color w:val="auto"/>
                <w:szCs w:val="21"/>
                <w:highlight w:val="none"/>
              </w:rPr>
            </w:pPr>
          </w:p>
        </w:tc>
        <w:tc>
          <w:tcPr>
            <w:tcW w:w="1063" w:type="dxa"/>
            <w:noWrap w:val="0"/>
            <w:vAlign w:val="center"/>
          </w:tcPr>
          <w:p w14:paraId="3D7E3687">
            <w:pPr>
              <w:spacing w:line="360" w:lineRule="auto"/>
              <w:jc w:val="center"/>
              <w:rPr>
                <w:color w:val="auto"/>
                <w:szCs w:val="21"/>
                <w:highlight w:val="none"/>
              </w:rPr>
            </w:pPr>
          </w:p>
        </w:tc>
        <w:tc>
          <w:tcPr>
            <w:tcW w:w="1063" w:type="dxa"/>
            <w:noWrap w:val="0"/>
            <w:vAlign w:val="center"/>
          </w:tcPr>
          <w:p w14:paraId="6974F4B2">
            <w:pPr>
              <w:spacing w:line="360" w:lineRule="auto"/>
              <w:jc w:val="center"/>
              <w:rPr>
                <w:color w:val="auto"/>
                <w:szCs w:val="21"/>
                <w:highlight w:val="none"/>
              </w:rPr>
            </w:pPr>
          </w:p>
        </w:tc>
        <w:tc>
          <w:tcPr>
            <w:tcW w:w="1063" w:type="dxa"/>
            <w:noWrap w:val="0"/>
            <w:vAlign w:val="center"/>
          </w:tcPr>
          <w:p w14:paraId="188300FA">
            <w:pPr>
              <w:spacing w:line="360" w:lineRule="auto"/>
              <w:jc w:val="center"/>
              <w:rPr>
                <w:color w:val="auto"/>
                <w:szCs w:val="21"/>
                <w:highlight w:val="none"/>
              </w:rPr>
            </w:pPr>
          </w:p>
        </w:tc>
        <w:tc>
          <w:tcPr>
            <w:tcW w:w="1063" w:type="dxa"/>
            <w:noWrap w:val="0"/>
            <w:vAlign w:val="center"/>
          </w:tcPr>
          <w:p w14:paraId="5961B274">
            <w:pPr>
              <w:spacing w:line="360" w:lineRule="auto"/>
              <w:jc w:val="center"/>
              <w:rPr>
                <w:color w:val="auto"/>
                <w:szCs w:val="21"/>
                <w:highlight w:val="none"/>
              </w:rPr>
            </w:pPr>
          </w:p>
        </w:tc>
      </w:tr>
      <w:tr w14:paraId="7E036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52E6AC6A">
            <w:pPr>
              <w:spacing w:line="360" w:lineRule="auto"/>
              <w:jc w:val="center"/>
              <w:rPr>
                <w:color w:val="auto"/>
                <w:szCs w:val="21"/>
                <w:highlight w:val="none"/>
              </w:rPr>
            </w:pPr>
          </w:p>
        </w:tc>
        <w:tc>
          <w:tcPr>
            <w:tcW w:w="1418" w:type="dxa"/>
            <w:noWrap w:val="0"/>
            <w:vAlign w:val="center"/>
          </w:tcPr>
          <w:p w14:paraId="2A399427">
            <w:pPr>
              <w:spacing w:line="360" w:lineRule="auto"/>
              <w:jc w:val="center"/>
              <w:rPr>
                <w:color w:val="auto"/>
                <w:szCs w:val="21"/>
                <w:highlight w:val="none"/>
              </w:rPr>
            </w:pPr>
          </w:p>
        </w:tc>
        <w:tc>
          <w:tcPr>
            <w:tcW w:w="1063" w:type="dxa"/>
            <w:noWrap w:val="0"/>
            <w:vAlign w:val="center"/>
          </w:tcPr>
          <w:p w14:paraId="1DB42E26">
            <w:pPr>
              <w:spacing w:line="360" w:lineRule="auto"/>
              <w:jc w:val="center"/>
              <w:rPr>
                <w:color w:val="auto"/>
                <w:szCs w:val="21"/>
                <w:highlight w:val="none"/>
              </w:rPr>
            </w:pPr>
          </w:p>
        </w:tc>
        <w:tc>
          <w:tcPr>
            <w:tcW w:w="1063" w:type="dxa"/>
            <w:noWrap w:val="0"/>
            <w:vAlign w:val="center"/>
          </w:tcPr>
          <w:p w14:paraId="22DDDDC4">
            <w:pPr>
              <w:spacing w:line="360" w:lineRule="auto"/>
              <w:jc w:val="center"/>
              <w:rPr>
                <w:color w:val="auto"/>
                <w:szCs w:val="21"/>
                <w:highlight w:val="none"/>
              </w:rPr>
            </w:pPr>
          </w:p>
        </w:tc>
        <w:tc>
          <w:tcPr>
            <w:tcW w:w="1063" w:type="dxa"/>
            <w:noWrap w:val="0"/>
            <w:vAlign w:val="center"/>
          </w:tcPr>
          <w:p w14:paraId="3FBCAA5F">
            <w:pPr>
              <w:spacing w:line="360" w:lineRule="auto"/>
              <w:jc w:val="center"/>
              <w:rPr>
                <w:color w:val="auto"/>
                <w:szCs w:val="21"/>
                <w:highlight w:val="none"/>
              </w:rPr>
            </w:pPr>
          </w:p>
        </w:tc>
        <w:tc>
          <w:tcPr>
            <w:tcW w:w="1063" w:type="dxa"/>
            <w:noWrap w:val="0"/>
            <w:vAlign w:val="center"/>
          </w:tcPr>
          <w:p w14:paraId="536F41B4">
            <w:pPr>
              <w:spacing w:line="360" w:lineRule="auto"/>
              <w:jc w:val="center"/>
              <w:rPr>
                <w:color w:val="auto"/>
                <w:szCs w:val="21"/>
                <w:highlight w:val="none"/>
              </w:rPr>
            </w:pPr>
          </w:p>
        </w:tc>
        <w:tc>
          <w:tcPr>
            <w:tcW w:w="1063" w:type="dxa"/>
            <w:noWrap w:val="0"/>
            <w:vAlign w:val="center"/>
          </w:tcPr>
          <w:p w14:paraId="468FFAAF">
            <w:pPr>
              <w:spacing w:line="360" w:lineRule="auto"/>
              <w:jc w:val="center"/>
              <w:rPr>
                <w:color w:val="auto"/>
                <w:szCs w:val="21"/>
                <w:highlight w:val="none"/>
              </w:rPr>
            </w:pPr>
          </w:p>
        </w:tc>
        <w:tc>
          <w:tcPr>
            <w:tcW w:w="1063" w:type="dxa"/>
            <w:noWrap w:val="0"/>
            <w:vAlign w:val="center"/>
          </w:tcPr>
          <w:p w14:paraId="041DE31F">
            <w:pPr>
              <w:spacing w:line="360" w:lineRule="auto"/>
              <w:jc w:val="center"/>
              <w:rPr>
                <w:color w:val="auto"/>
                <w:szCs w:val="21"/>
                <w:highlight w:val="none"/>
              </w:rPr>
            </w:pPr>
          </w:p>
        </w:tc>
      </w:tr>
      <w:tr w14:paraId="7417F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325ABA7A">
            <w:pPr>
              <w:spacing w:line="360" w:lineRule="auto"/>
              <w:jc w:val="center"/>
              <w:rPr>
                <w:color w:val="auto"/>
                <w:szCs w:val="21"/>
                <w:highlight w:val="none"/>
              </w:rPr>
            </w:pPr>
          </w:p>
        </w:tc>
        <w:tc>
          <w:tcPr>
            <w:tcW w:w="1418" w:type="dxa"/>
            <w:noWrap w:val="0"/>
            <w:vAlign w:val="center"/>
          </w:tcPr>
          <w:p w14:paraId="5FB95423">
            <w:pPr>
              <w:spacing w:line="360" w:lineRule="auto"/>
              <w:jc w:val="center"/>
              <w:rPr>
                <w:color w:val="auto"/>
                <w:szCs w:val="21"/>
                <w:highlight w:val="none"/>
              </w:rPr>
            </w:pPr>
          </w:p>
        </w:tc>
        <w:tc>
          <w:tcPr>
            <w:tcW w:w="1063" w:type="dxa"/>
            <w:noWrap w:val="0"/>
            <w:vAlign w:val="center"/>
          </w:tcPr>
          <w:p w14:paraId="4C1956C8">
            <w:pPr>
              <w:spacing w:line="360" w:lineRule="auto"/>
              <w:jc w:val="center"/>
              <w:rPr>
                <w:color w:val="auto"/>
                <w:szCs w:val="21"/>
                <w:highlight w:val="none"/>
              </w:rPr>
            </w:pPr>
          </w:p>
        </w:tc>
        <w:tc>
          <w:tcPr>
            <w:tcW w:w="1063" w:type="dxa"/>
            <w:noWrap w:val="0"/>
            <w:vAlign w:val="center"/>
          </w:tcPr>
          <w:p w14:paraId="15A72DED">
            <w:pPr>
              <w:spacing w:line="360" w:lineRule="auto"/>
              <w:jc w:val="center"/>
              <w:rPr>
                <w:color w:val="auto"/>
                <w:szCs w:val="21"/>
                <w:highlight w:val="none"/>
              </w:rPr>
            </w:pPr>
          </w:p>
        </w:tc>
        <w:tc>
          <w:tcPr>
            <w:tcW w:w="1063" w:type="dxa"/>
            <w:noWrap w:val="0"/>
            <w:vAlign w:val="center"/>
          </w:tcPr>
          <w:p w14:paraId="70DC56D7">
            <w:pPr>
              <w:spacing w:line="360" w:lineRule="auto"/>
              <w:jc w:val="center"/>
              <w:rPr>
                <w:color w:val="auto"/>
                <w:szCs w:val="21"/>
                <w:highlight w:val="none"/>
              </w:rPr>
            </w:pPr>
          </w:p>
        </w:tc>
        <w:tc>
          <w:tcPr>
            <w:tcW w:w="1063" w:type="dxa"/>
            <w:noWrap w:val="0"/>
            <w:vAlign w:val="center"/>
          </w:tcPr>
          <w:p w14:paraId="62469423">
            <w:pPr>
              <w:spacing w:line="360" w:lineRule="auto"/>
              <w:jc w:val="center"/>
              <w:rPr>
                <w:color w:val="auto"/>
                <w:szCs w:val="21"/>
                <w:highlight w:val="none"/>
              </w:rPr>
            </w:pPr>
          </w:p>
        </w:tc>
        <w:tc>
          <w:tcPr>
            <w:tcW w:w="1063" w:type="dxa"/>
            <w:noWrap w:val="0"/>
            <w:vAlign w:val="center"/>
          </w:tcPr>
          <w:p w14:paraId="7AB044E6">
            <w:pPr>
              <w:spacing w:line="360" w:lineRule="auto"/>
              <w:jc w:val="center"/>
              <w:rPr>
                <w:color w:val="auto"/>
                <w:szCs w:val="21"/>
                <w:highlight w:val="none"/>
              </w:rPr>
            </w:pPr>
          </w:p>
        </w:tc>
        <w:tc>
          <w:tcPr>
            <w:tcW w:w="1063" w:type="dxa"/>
            <w:noWrap w:val="0"/>
            <w:vAlign w:val="center"/>
          </w:tcPr>
          <w:p w14:paraId="20F6C4B1">
            <w:pPr>
              <w:spacing w:line="360" w:lineRule="auto"/>
              <w:jc w:val="center"/>
              <w:rPr>
                <w:color w:val="auto"/>
                <w:szCs w:val="21"/>
                <w:highlight w:val="none"/>
              </w:rPr>
            </w:pPr>
          </w:p>
        </w:tc>
      </w:tr>
      <w:tr w14:paraId="14439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62A8D581">
            <w:pPr>
              <w:spacing w:line="360" w:lineRule="auto"/>
              <w:jc w:val="center"/>
              <w:rPr>
                <w:color w:val="auto"/>
                <w:szCs w:val="21"/>
                <w:highlight w:val="none"/>
              </w:rPr>
            </w:pPr>
          </w:p>
        </w:tc>
        <w:tc>
          <w:tcPr>
            <w:tcW w:w="1418" w:type="dxa"/>
            <w:noWrap w:val="0"/>
            <w:vAlign w:val="center"/>
          </w:tcPr>
          <w:p w14:paraId="5317A036">
            <w:pPr>
              <w:spacing w:line="360" w:lineRule="auto"/>
              <w:jc w:val="center"/>
              <w:rPr>
                <w:color w:val="auto"/>
                <w:szCs w:val="21"/>
                <w:highlight w:val="none"/>
              </w:rPr>
            </w:pPr>
          </w:p>
        </w:tc>
        <w:tc>
          <w:tcPr>
            <w:tcW w:w="1063" w:type="dxa"/>
            <w:noWrap w:val="0"/>
            <w:vAlign w:val="center"/>
          </w:tcPr>
          <w:p w14:paraId="5444BC9F">
            <w:pPr>
              <w:spacing w:line="360" w:lineRule="auto"/>
              <w:jc w:val="center"/>
              <w:rPr>
                <w:color w:val="auto"/>
                <w:szCs w:val="21"/>
                <w:highlight w:val="none"/>
              </w:rPr>
            </w:pPr>
          </w:p>
        </w:tc>
        <w:tc>
          <w:tcPr>
            <w:tcW w:w="1063" w:type="dxa"/>
            <w:noWrap w:val="0"/>
            <w:vAlign w:val="center"/>
          </w:tcPr>
          <w:p w14:paraId="56DE97DE">
            <w:pPr>
              <w:spacing w:line="360" w:lineRule="auto"/>
              <w:jc w:val="center"/>
              <w:rPr>
                <w:color w:val="auto"/>
                <w:szCs w:val="21"/>
                <w:highlight w:val="none"/>
              </w:rPr>
            </w:pPr>
          </w:p>
        </w:tc>
        <w:tc>
          <w:tcPr>
            <w:tcW w:w="1063" w:type="dxa"/>
            <w:noWrap w:val="0"/>
            <w:vAlign w:val="center"/>
          </w:tcPr>
          <w:p w14:paraId="12C11960">
            <w:pPr>
              <w:spacing w:line="360" w:lineRule="auto"/>
              <w:jc w:val="center"/>
              <w:rPr>
                <w:color w:val="auto"/>
                <w:szCs w:val="21"/>
                <w:highlight w:val="none"/>
              </w:rPr>
            </w:pPr>
          </w:p>
        </w:tc>
        <w:tc>
          <w:tcPr>
            <w:tcW w:w="1063" w:type="dxa"/>
            <w:noWrap w:val="0"/>
            <w:vAlign w:val="center"/>
          </w:tcPr>
          <w:p w14:paraId="44D0C2BA">
            <w:pPr>
              <w:spacing w:line="360" w:lineRule="auto"/>
              <w:jc w:val="center"/>
              <w:rPr>
                <w:color w:val="auto"/>
                <w:szCs w:val="21"/>
                <w:highlight w:val="none"/>
              </w:rPr>
            </w:pPr>
          </w:p>
        </w:tc>
        <w:tc>
          <w:tcPr>
            <w:tcW w:w="1063" w:type="dxa"/>
            <w:noWrap w:val="0"/>
            <w:vAlign w:val="center"/>
          </w:tcPr>
          <w:p w14:paraId="27D0A862">
            <w:pPr>
              <w:spacing w:line="360" w:lineRule="auto"/>
              <w:jc w:val="center"/>
              <w:rPr>
                <w:color w:val="auto"/>
                <w:szCs w:val="21"/>
                <w:highlight w:val="none"/>
              </w:rPr>
            </w:pPr>
          </w:p>
        </w:tc>
        <w:tc>
          <w:tcPr>
            <w:tcW w:w="1063" w:type="dxa"/>
            <w:noWrap w:val="0"/>
            <w:vAlign w:val="center"/>
          </w:tcPr>
          <w:p w14:paraId="0B211050">
            <w:pPr>
              <w:spacing w:line="360" w:lineRule="auto"/>
              <w:jc w:val="center"/>
              <w:rPr>
                <w:color w:val="auto"/>
                <w:szCs w:val="21"/>
                <w:highlight w:val="none"/>
              </w:rPr>
            </w:pPr>
          </w:p>
        </w:tc>
      </w:tr>
      <w:tr w14:paraId="0F38C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0A898EE3">
            <w:pPr>
              <w:spacing w:line="360" w:lineRule="auto"/>
              <w:jc w:val="center"/>
              <w:rPr>
                <w:color w:val="auto"/>
                <w:szCs w:val="21"/>
                <w:highlight w:val="none"/>
              </w:rPr>
            </w:pPr>
          </w:p>
        </w:tc>
        <w:tc>
          <w:tcPr>
            <w:tcW w:w="1418" w:type="dxa"/>
            <w:noWrap w:val="0"/>
            <w:vAlign w:val="center"/>
          </w:tcPr>
          <w:p w14:paraId="5E4790A8">
            <w:pPr>
              <w:spacing w:line="360" w:lineRule="auto"/>
              <w:jc w:val="center"/>
              <w:rPr>
                <w:color w:val="auto"/>
                <w:szCs w:val="21"/>
                <w:highlight w:val="none"/>
              </w:rPr>
            </w:pPr>
          </w:p>
        </w:tc>
        <w:tc>
          <w:tcPr>
            <w:tcW w:w="1063" w:type="dxa"/>
            <w:noWrap w:val="0"/>
            <w:vAlign w:val="center"/>
          </w:tcPr>
          <w:p w14:paraId="512C508A">
            <w:pPr>
              <w:spacing w:line="360" w:lineRule="auto"/>
              <w:jc w:val="center"/>
              <w:rPr>
                <w:color w:val="auto"/>
                <w:szCs w:val="21"/>
                <w:highlight w:val="none"/>
              </w:rPr>
            </w:pPr>
          </w:p>
        </w:tc>
        <w:tc>
          <w:tcPr>
            <w:tcW w:w="1063" w:type="dxa"/>
            <w:noWrap w:val="0"/>
            <w:vAlign w:val="center"/>
          </w:tcPr>
          <w:p w14:paraId="4A8E79A2">
            <w:pPr>
              <w:spacing w:line="360" w:lineRule="auto"/>
              <w:jc w:val="center"/>
              <w:rPr>
                <w:color w:val="auto"/>
                <w:szCs w:val="21"/>
                <w:highlight w:val="none"/>
              </w:rPr>
            </w:pPr>
          </w:p>
        </w:tc>
        <w:tc>
          <w:tcPr>
            <w:tcW w:w="1063" w:type="dxa"/>
            <w:noWrap w:val="0"/>
            <w:vAlign w:val="center"/>
          </w:tcPr>
          <w:p w14:paraId="241751D1">
            <w:pPr>
              <w:spacing w:line="360" w:lineRule="auto"/>
              <w:jc w:val="center"/>
              <w:rPr>
                <w:color w:val="auto"/>
                <w:szCs w:val="21"/>
                <w:highlight w:val="none"/>
              </w:rPr>
            </w:pPr>
          </w:p>
        </w:tc>
        <w:tc>
          <w:tcPr>
            <w:tcW w:w="1063" w:type="dxa"/>
            <w:noWrap w:val="0"/>
            <w:vAlign w:val="center"/>
          </w:tcPr>
          <w:p w14:paraId="562DE3C3">
            <w:pPr>
              <w:spacing w:line="360" w:lineRule="auto"/>
              <w:jc w:val="center"/>
              <w:rPr>
                <w:color w:val="auto"/>
                <w:szCs w:val="21"/>
                <w:highlight w:val="none"/>
              </w:rPr>
            </w:pPr>
          </w:p>
        </w:tc>
        <w:tc>
          <w:tcPr>
            <w:tcW w:w="1063" w:type="dxa"/>
            <w:noWrap w:val="0"/>
            <w:vAlign w:val="center"/>
          </w:tcPr>
          <w:p w14:paraId="5846304A">
            <w:pPr>
              <w:spacing w:line="360" w:lineRule="auto"/>
              <w:jc w:val="center"/>
              <w:rPr>
                <w:color w:val="auto"/>
                <w:szCs w:val="21"/>
                <w:highlight w:val="none"/>
              </w:rPr>
            </w:pPr>
          </w:p>
        </w:tc>
        <w:tc>
          <w:tcPr>
            <w:tcW w:w="1063" w:type="dxa"/>
            <w:noWrap w:val="0"/>
            <w:vAlign w:val="center"/>
          </w:tcPr>
          <w:p w14:paraId="3D5ED68F">
            <w:pPr>
              <w:spacing w:line="360" w:lineRule="auto"/>
              <w:jc w:val="center"/>
              <w:rPr>
                <w:color w:val="auto"/>
                <w:szCs w:val="21"/>
                <w:highlight w:val="none"/>
              </w:rPr>
            </w:pPr>
          </w:p>
        </w:tc>
      </w:tr>
      <w:tr w14:paraId="7642C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750B8FFD">
            <w:pPr>
              <w:spacing w:line="360" w:lineRule="auto"/>
              <w:jc w:val="center"/>
              <w:rPr>
                <w:color w:val="auto"/>
                <w:szCs w:val="21"/>
                <w:highlight w:val="none"/>
              </w:rPr>
            </w:pPr>
          </w:p>
        </w:tc>
        <w:tc>
          <w:tcPr>
            <w:tcW w:w="1418" w:type="dxa"/>
            <w:noWrap w:val="0"/>
            <w:vAlign w:val="center"/>
          </w:tcPr>
          <w:p w14:paraId="695D540B">
            <w:pPr>
              <w:spacing w:line="360" w:lineRule="auto"/>
              <w:jc w:val="center"/>
              <w:rPr>
                <w:color w:val="auto"/>
                <w:szCs w:val="21"/>
                <w:highlight w:val="none"/>
              </w:rPr>
            </w:pPr>
          </w:p>
        </w:tc>
        <w:tc>
          <w:tcPr>
            <w:tcW w:w="1063" w:type="dxa"/>
            <w:noWrap w:val="0"/>
            <w:vAlign w:val="center"/>
          </w:tcPr>
          <w:p w14:paraId="72CE257B">
            <w:pPr>
              <w:spacing w:line="360" w:lineRule="auto"/>
              <w:jc w:val="center"/>
              <w:rPr>
                <w:color w:val="auto"/>
                <w:szCs w:val="21"/>
                <w:highlight w:val="none"/>
              </w:rPr>
            </w:pPr>
          </w:p>
        </w:tc>
        <w:tc>
          <w:tcPr>
            <w:tcW w:w="1063" w:type="dxa"/>
            <w:noWrap w:val="0"/>
            <w:vAlign w:val="center"/>
          </w:tcPr>
          <w:p w14:paraId="47B3CAB3">
            <w:pPr>
              <w:spacing w:line="360" w:lineRule="auto"/>
              <w:jc w:val="center"/>
              <w:rPr>
                <w:color w:val="auto"/>
                <w:szCs w:val="21"/>
                <w:highlight w:val="none"/>
              </w:rPr>
            </w:pPr>
          </w:p>
        </w:tc>
        <w:tc>
          <w:tcPr>
            <w:tcW w:w="1063" w:type="dxa"/>
            <w:noWrap w:val="0"/>
            <w:vAlign w:val="center"/>
          </w:tcPr>
          <w:p w14:paraId="7648D225">
            <w:pPr>
              <w:spacing w:line="360" w:lineRule="auto"/>
              <w:jc w:val="center"/>
              <w:rPr>
                <w:color w:val="auto"/>
                <w:szCs w:val="21"/>
                <w:highlight w:val="none"/>
              </w:rPr>
            </w:pPr>
          </w:p>
        </w:tc>
        <w:tc>
          <w:tcPr>
            <w:tcW w:w="1063" w:type="dxa"/>
            <w:noWrap w:val="0"/>
            <w:vAlign w:val="center"/>
          </w:tcPr>
          <w:p w14:paraId="44A9F4A0">
            <w:pPr>
              <w:spacing w:line="360" w:lineRule="auto"/>
              <w:jc w:val="center"/>
              <w:rPr>
                <w:color w:val="auto"/>
                <w:szCs w:val="21"/>
                <w:highlight w:val="none"/>
              </w:rPr>
            </w:pPr>
          </w:p>
        </w:tc>
        <w:tc>
          <w:tcPr>
            <w:tcW w:w="1063" w:type="dxa"/>
            <w:noWrap w:val="0"/>
            <w:vAlign w:val="center"/>
          </w:tcPr>
          <w:p w14:paraId="40E73FEF">
            <w:pPr>
              <w:spacing w:line="360" w:lineRule="auto"/>
              <w:jc w:val="center"/>
              <w:rPr>
                <w:color w:val="auto"/>
                <w:szCs w:val="21"/>
                <w:highlight w:val="none"/>
              </w:rPr>
            </w:pPr>
          </w:p>
        </w:tc>
        <w:tc>
          <w:tcPr>
            <w:tcW w:w="1063" w:type="dxa"/>
            <w:noWrap w:val="0"/>
            <w:vAlign w:val="center"/>
          </w:tcPr>
          <w:p w14:paraId="464D1715">
            <w:pPr>
              <w:spacing w:line="360" w:lineRule="auto"/>
              <w:jc w:val="center"/>
              <w:rPr>
                <w:color w:val="auto"/>
                <w:szCs w:val="21"/>
                <w:highlight w:val="none"/>
              </w:rPr>
            </w:pPr>
          </w:p>
        </w:tc>
      </w:tr>
      <w:tr w14:paraId="16072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0CFE6C70">
            <w:pPr>
              <w:spacing w:line="360" w:lineRule="auto"/>
              <w:jc w:val="center"/>
              <w:rPr>
                <w:color w:val="auto"/>
                <w:szCs w:val="21"/>
                <w:highlight w:val="none"/>
              </w:rPr>
            </w:pPr>
          </w:p>
        </w:tc>
        <w:tc>
          <w:tcPr>
            <w:tcW w:w="1418" w:type="dxa"/>
            <w:noWrap w:val="0"/>
            <w:vAlign w:val="center"/>
          </w:tcPr>
          <w:p w14:paraId="51546A17">
            <w:pPr>
              <w:spacing w:line="360" w:lineRule="auto"/>
              <w:jc w:val="center"/>
              <w:rPr>
                <w:color w:val="auto"/>
                <w:szCs w:val="21"/>
                <w:highlight w:val="none"/>
              </w:rPr>
            </w:pPr>
          </w:p>
        </w:tc>
        <w:tc>
          <w:tcPr>
            <w:tcW w:w="1063" w:type="dxa"/>
            <w:noWrap w:val="0"/>
            <w:vAlign w:val="center"/>
          </w:tcPr>
          <w:p w14:paraId="7C1CA2DA">
            <w:pPr>
              <w:spacing w:line="360" w:lineRule="auto"/>
              <w:jc w:val="center"/>
              <w:rPr>
                <w:color w:val="auto"/>
                <w:szCs w:val="21"/>
                <w:highlight w:val="none"/>
              </w:rPr>
            </w:pPr>
          </w:p>
        </w:tc>
        <w:tc>
          <w:tcPr>
            <w:tcW w:w="1063" w:type="dxa"/>
            <w:noWrap w:val="0"/>
            <w:vAlign w:val="center"/>
          </w:tcPr>
          <w:p w14:paraId="4E5B2CEA">
            <w:pPr>
              <w:spacing w:line="360" w:lineRule="auto"/>
              <w:jc w:val="center"/>
              <w:rPr>
                <w:color w:val="auto"/>
                <w:szCs w:val="21"/>
                <w:highlight w:val="none"/>
              </w:rPr>
            </w:pPr>
          </w:p>
        </w:tc>
        <w:tc>
          <w:tcPr>
            <w:tcW w:w="1063" w:type="dxa"/>
            <w:noWrap w:val="0"/>
            <w:vAlign w:val="center"/>
          </w:tcPr>
          <w:p w14:paraId="1AF2B2A6">
            <w:pPr>
              <w:spacing w:line="360" w:lineRule="auto"/>
              <w:jc w:val="center"/>
              <w:rPr>
                <w:color w:val="auto"/>
                <w:szCs w:val="21"/>
                <w:highlight w:val="none"/>
              </w:rPr>
            </w:pPr>
          </w:p>
        </w:tc>
        <w:tc>
          <w:tcPr>
            <w:tcW w:w="1063" w:type="dxa"/>
            <w:noWrap w:val="0"/>
            <w:vAlign w:val="center"/>
          </w:tcPr>
          <w:p w14:paraId="0C4AA0E5">
            <w:pPr>
              <w:spacing w:line="360" w:lineRule="auto"/>
              <w:jc w:val="center"/>
              <w:rPr>
                <w:color w:val="auto"/>
                <w:szCs w:val="21"/>
                <w:highlight w:val="none"/>
              </w:rPr>
            </w:pPr>
          </w:p>
        </w:tc>
        <w:tc>
          <w:tcPr>
            <w:tcW w:w="1063" w:type="dxa"/>
            <w:noWrap w:val="0"/>
            <w:vAlign w:val="center"/>
          </w:tcPr>
          <w:p w14:paraId="4B58866C">
            <w:pPr>
              <w:spacing w:line="360" w:lineRule="auto"/>
              <w:jc w:val="center"/>
              <w:rPr>
                <w:color w:val="auto"/>
                <w:szCs w:val="21"/>
                <w:highlight w:val="none"/>
              </w:rPr>
            </w:pPr>
          </w:p>
        </w:tc>
        <w:tc>
          <w:tcPr>
            <w:tcW w:w="1063" w:type="dxa"/>
            <w:noWrap w:val="0"/>
            <w:vAlign w:val="center"/>
          </w:tcPr>
          <w:p w14:paraId="59FB8A06">
            <w:pPr>
              <w:spacing w:line="360" w:lineRule="auto"/>
              <w:jc w:val="center"/>
              <w:rPr>
                <w:color w:val="auto"/>
                <w:szCs w:val="21"/>
                <w:highlight w:val="none"/>
              </w:rPr>
            </w:pPr>
          </w:p>
        </w:tc>
      </w:tr>
      <w:tr w14:paraId="278C8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47437589">
            <w:pPr>
              <w:spacing w:line="360" w:lineRule="auto"/>
              <w:jc w:val="center"/>
              <w:rPr>
                <w:color w:val="auto"/>
                <w:szCs w:val="21"/>
                <w:highlight w:val="none"/>
              </w:rPr>
            </w:pPr>
          </w:p>
        </w:tc>
        <w:tc>
          <w:tcPr>
            <w:tcW w:w="1418" w:type="dxa"/>
            <w:noWrap w:val="0"/>
            <w:vAlign w:val="center"/>
          </w:tcPr>
          <w:p w14:paraId="6DF33DBC">
            <w:pPr>
              <w:spacing w:line="360" w:lineRule="auto"/>
              <w:jc w:val="center"/>
              <w:rPr>
                <w:color w:val="auto"/>
                <w:szCs w:val="21"/>
                <w:highlight w:val="none"/>
              </w:rPr>
            </w:pPr>
          </w:p>
        </w:tc>
        <w:tc>
          <w:tcPr>
            <w:tcW w:w="1063" w:type="dxa"/>
            <w:noWrap w:val="0"/>
            <w:vAlign w:val="center"/>
          </w:tcPr>
          <w:p w14:paraId="638B90E7">
            <w:pPr>
              <w:spacing w:line="360" w:lineRule="auto"/>
              <w:jc w:val="center"/>
              <w:rPr>
                <w:color w:val="auto"/>
                <w:szCs w:val="21"/>
                <w:highlight w:val="none"/>
              </w:rPr>
            </w:pPr>
          </w:p>
        </w:tc>
        <w:tc>
          <w:tcPr>
            <w:tcW w:w="1063" w:type="dxa"/>
            <w:noWrap w:val="0"/>
            <w:vAlign w:val="center"/>
          </w:tcPr>
          <w:p w14:paraId="5153231E">
            <w:pPr>
              <w:spacing w:line="360" w:lineRule="auto"/>
              <w:jc w:val="center"/>
              <w:rPr>
                <w:color w:val="auto"/>
                <w:szCs w:val="21"/>
                <w:highlight w:val="none"/>
              </w:rPr>
            </w:pPr>
          </w:p>
        </w:tc>
        <w:tc>
          <w:tcPr>
            <w:tcW w:w="1063" w:type="dxa"/>
            <w:noWrap w:val="0"/>
            <w:vAlign w:val="center"/>
          </w:tcPr>
          <w:p w14:paraId="3DE4236B">
            <w:pPr>
              <w:spacing w:line="360" w:lineRule="auto"/>
              <w:jc w:val="center"/>
              <w:rPr>
                <w:color w:val="auto"/>
                <w:szCs w:val="21"/>
                <w:highlight w:val="none"/>
              </w:rPr>
            </w:pPr>
          </w:p>
        </w:tc>
        <w:tc>
          <w:tcPr>
            <w:tcW w:w="1063" w:type="dxa"/>
            <w:noWrap w:val="0"/>
            <w:vAlign w:val="center"/>
          </w:tcPr>
          <w:p w14:paraId="59B46C4A">
            <w:pPr>
              <w:spacing w:line="360" w:lineRule="auto"/>
              <w:jc w:val="center"/>
              <w:rPr>
                <w:color w:val="auto"/>
                <w:szCs w:val="21"/>
                <w:highlight w:val="none"/>
              </w:rPr>
            </w:pPr>
          </w:p>
        </w:tc>
        <w:tc>
          <w:tcPr>
            <w:tcW w:w="1063" w:type="dxa"/>
            <w:noWrap w:val="0"/>
            <w:vAlign w:val="center"/>
          </w:tcPr>
          <w:p w14:paraId="40D53082">
            <w:pPr>
              <w:spacing w:line="360" w:lineRule="auto"/>
              <w:jc w:val="center"/>
              <w:rPr>
                <w:color w:val="auto"/>
                <w:szCs w:val="21"/>
                <w:highlight w:val="none"/>
              </w:rPr>
            </w:pPr>
          </w:p>
        </w:tc>
        <w:tc>
          <w:tcPr>
            <w:tcW w:w="1063" w:type="dxa"/>
            <w:noWrap w:val="0"/>
            <w:vAlign w:val="center"/>
          </w:tcPr>
          <w:p w14:paraId="2EE2FD15">
            <w:pPr>
              <w:spacing w:line="360" w:lineRule="auto"/>
              <w:jc w:val="center"/>
              <w:rPr>
                <w:color w:val="auto"/>
                <w:szCs w:val="21"/>
                <w:highlight w:val="none"/>
              </w:rPr>
            </w:pPr>
          </w:p>
        </w:tc>
      </w:tr>
      <w:tr w14:paraId="1197E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673EFBB2">
            <w:pPr>
              <w:spacing w:line="360" w:lineRule="auto"/>
              <w:jc w:val="center"/>
              <w:rPr>
                <w:color w:val="auto"/>
                <w:szCs w:val="21"/>
                <w:highlight w:val="none"/>
              </w:rPr>
            </w:pPr>
          </w:p>
        </w:tc>
        <w:tc>
          <w:tcPr>
            <w:tcW w:w="1418" w:type="dxa"/>
            <w:noWrap w:val="0"/>
            <w:vAlign w:val="center"/>
          </w:tcPr>
          <w:p w14:paraId="44B6EB67">
            <w:pPr>
              <w:spacing w:line="360" w:lineRule="auto"/>
              <w:jc w:val="center"/>
              <w:rPr>
                <w:color w:val="auto"/>
                <w:szCs w:val="21"/>
                <w:highlight w:val="none"/>
              </w:rPr>
            </w:pPr>
          </w:p>
        </w:tc>
        <w:tc>
          <w:tcPr>
            <w:tcW w:w="1063" w:type="dxa"/>
            <w:noWrap w:val="0"/>
            <w:vAlign w:val="center"/>
          </w:tcPr>
          <w:p w14:paraId="58B63DC9">
            <w:pPr>
              <w:spacing w:line="360" w:lineRule="auto"/>
              <w:jc w:val="center"/>
              <w:rPr>
                <w:color w:val="auto"/>
                <w:szCs w:val="21"/>
                <w:highlight w:val="none"/>
              </w:rPr>
            </w:pPr>
          </w:p>
        </w:tc>
        <w:tc>
          <w:tcPr>
            <w:tcW w:w="1063" w:type="dxa"/>
            <w:noWrap w:val="0"/>
            <w:vAlign w:val="center"/>
          </w:tcPr>
          <w:p w14:paraId="2CA6404D">
            <w:pPr>
              <w:spacing w:line="360" w:lineRule="auto"/>
              <w:jc w:val="center"/>
              <w:rPr>
                <w:color w:val="auto"/>
                <w:szCs w:val="21"/>
                <w:highlight w:val="none"/>
              </w:rPr>
            </w:pPr>
          </w:p>
        </w:tc>
        <w:tc>
          <w:tcPr>
            <w:tcW w:w="1063" w:type="dxa"/>
            <w:noWrap w:val="0"/>
            <w:vAlign w:val="center"/>
          </w:tcPr>
          <w:p w14:paraId="4656E0C0">
            <w:pPr>
              <w:spacing w:line="360" w:lineRule="auto"/>
              <w:jc w:val="center"/>
              <w:rPr>
                <w:color w:val="auto"/>
                <w:szCs w:val="21"/>
                <w:highlight w:val="none"/>
              </w:rPr>
            </w:pPr>
          </w:p>
        </w:tc>
        <w:tc>
          <w:tcPr>
            <w:tcW w:w="1063" w:type="dxa"/>
            <w:noWrap w:val="0"/>
            <w:vAlign w:val="center"/>
          </w:tcPr>
          <w:p w14:paraId="0B3C1DAC">
            <w:pPr>
              <w:spacing w:line="360" w:lineRule="auto"/>
              <w:jc w:val="center"/>
              <w:rPr>
                <w:color w:val="auto"/>
                <w:szCs w:val="21"/>
                <w:highlight w:val="none"/>
              </w:rPr>
            </w:pPr>
          </w:p>
        </w:tc>
        <w:tc>
          <w:tcPr>
            <w:tcW w:w="1063" w:type="dxa"/>
            <w:noWrap w:val="0"/>
            <w:vAlign w:val="center"/>
          </w:tcPr>
          <w:p w14:paraId="706E5741">
            <w:pPr>
              <w:spacing w:line="360" w:lineRule="auto"/>
              <w:jc w:val="center"/>
              <w:rPr>
                <w:color w:val="auto"/>
                <w:szCs w:val="21"/>
                <w:highlight w:val="none"/>
              </w:rPr>
            </w:pPr>
          </w:p>
        </w:tc>
        <w:tc>
          <w:tcPr>
            <w:tcW w:w="1063" w:type="dxa"/>
            <w:noWrap w:val="0"/>
            <w:vAlign w:val="center"/>
          </w:tcPr>
          <w:p w14:paraId="31A0EA60">
            <w:pPr>
              <w:spacing w:line="360" w:lineRule="auto"/>
              <w:jc w:val="center"/>
              <w:rPr>
                <w:color w:val="auto"/>
                <w:szCs w:val="21"/>
                <w:highlight w:val="none"/>
              </w:rPr>
            </w:pPr>
          </w:p>
        </w:tc>
      </w:tr>
    </w:tbl>
    <w:p w14:paraId="3D493063">
      <w:pPr>
        <w:spacing w:line="360" w:lineRule="auto"/>
        <w:rPr>
          <w:color w:val="auto"/>
          <w:szCs w:val="21"/>
          <w:highlight w:val="none"/>
        </w:rPr>
      </w:pPr>
    </w:p>
    <w:p w14:paraId="4E5DCAE8">
      <w:pPr>
        <w:spacing w:before="120" w:beforeLines="50" w:after="240" w:afterLines="100" w:line="360" w:lineRule="auto"/>
        <w:rPr>
          <w:color w:val="auto"/>
          <w:sz w:val="24"/>
          <w:highlight w:val="none"/>
        </w:rPr>
      </w:pPr>
      <w:r>
        <w:rPr>
          <w:color w:val="auto"/>
          <w:szCs w:val="21"/>
          <w:highlight w:val="none"/>
        </w:rPr>
        <w:br w:type="page"/>
      </w:r>
      <w:r>
        <w:rPr>
          <w:rFonts w:hint="eastAsia" w:ascii="仿宋" w:hAnsi="仿宋" w:eastAsia="仿宋" w:cs="仿宋"/>
          <w:b/>
          <w:bCs/>
          <w:color w:val="auto"/>
          <w:sz w:val="28"/>
          <w:szCs w:val="28"/>
          <w:highlight w:val="none"/>
        </w:rPr>
        <w:t>附表四：计划开、竣工日期与施工进度表和网络计划图</w:t>
      </w:r>
    </w:p>
    <w:p w14:paraId="219D8F2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1．投标人应递交施工进度表和网络计划图，说明按招标文件要求的计划工期进行施工的各个关键日期。</w:t>
      </w:r>
    </w:p>
    <w:p w14:paraId="7C3D993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2．施工进度表可采用横道图表示。</w:t>
      </w:r>
    </w:p>
    <w:p w14:paraId="6D5B018C">
      <w:pPr>
        <w:spacing w:before="120" w:beforeLines="50" w:after="240" w:afterLines="100" w:line="360" w:lineRule="auto"/>
        <w:rPr>
          <w:color w:val="auto"/>
          <w:szCs w:val="21"/>
          <w:highlight w:val="none"/>
        </w:rPr>
      </w:pPr>
      <w:r>
        <w:rPr>
          <w:color w:val="auto"/>
          <w:szCs w:val="21"/>
          <w:highlight w:val="none"/>
        </w:rPr>
        <w:br w:type="page"/>
      </w:r>
      <w:r>
        <w:rPr>
          <w:rFonts w:hint="eastAsia" w:ascii="仿宋" w:hAnsi="仿宋" w:eastAsia="仿宋" w:cs="仿宋"/>
          <w:b/>
          <w:bCs/>
          <w:color w:val="auto"/>
          <w:sz w:val="28"/>
          <w:szCs w:val="28"/>
          <w:highlight w:val="none"/>
        </w:rPr>
        <w:t>附表五：施工总平面图</w:t>
      </w:r>
    </w:p>
    <w:p w14:paraId="2E4F054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投标人应递交一份施工总平面图，绘出现场临时设施布置图表并附文字说明，说明临时设施、加工车间、现场办公、设备及仓储、供电、供水、卫生、生活、道路、消防等设施的情况和布置。</w:t>
      </w:r>
    </w:p>
    <w:p w14:paraId="11EB208F">
      <w:pPr>
        <w:spacing w:before="120" w:beforeLines="50" w:after="240" w:afterLines="100" w:line="360" w:lineRule="auto"/>
        <w:rPr>
          <w:color w:val="auto"/>
          <w:sz w:val="24"/>
          <w:highlight w:val="none"/>
        </w:rPr>
      </w:pPr>
      <w:r>
        <w:rPr>
          <w:color w:val="auto"/>
          <w:szCs w:val="21"/>
          <w:highlight w:val="none"/>
        </w:rPr>
        <w:br w:type="page"/>
      </w:r>
      <w:r>
        <w:rPr>
          <w:rFonts w:hint="eastAsia" w:ascii="仿宋" w:hAnsi="仿宋" w:eastAsia="仿宋" w:cs="仿宋"/>
          <w:b/>
          <w:bCs/>
          <w:color w:val="auto"/>
          <w:sz w:val="28"/>
          <w:szCs w:val="28"/>
          <w:highlight w:val="none"/>
        </w:rPr>
        <w:t>附表六：临时用地表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2079"/>
        <w:gridCol w:w="2079"/>
        <w:gridCol w:w="2079"/>
      </w:tblGrid>
      <w:tr w14:paraId="44632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center"/>
          </w:tcPr>
          <w:p w14:paraId="0C27516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用途</w:t>
            </w:r>
          </w:p>
        </w:tc>
        <w:tc>
          <w:tcPr>
            <w:tcW w:w="2079" w:type="dxa"/>
            <w:noWrap w:val="0"/>
            <w:vAlign w:val="center"/>
          </w:tcPr>
          <w:p w14:paraId="0F87E24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面 积（平方米）</w:t>
            </w:r>
          </w:p>
        </w:tc>
        <w:tc>
          <w:tcPr>
            <w:tcW w:w="2079" w:type="dxa"/>
            <w:noWrap w:val="0"/>
            <w:vAlign w:val="center"/>
          </w:tcPr>
          <w:p w14:paraId="65ABE55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位  置</w:t>
            </w:r>
          </w:p>
        </w:tc>
        <w:tc>
          <w:tcPr>
            <w:tcW w:w="2079" w:type="dxa"/>
            <w:noWrap w:val="0"/>
            <w:vAlign w:val="center"/>
          </w:tcPr>
          <w:p w14:paraId="5AD3D42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需用时间</w:t>
            </w:r>
          </w:p>
        </w:tc>
      </w:tr>
      <w:tr w14:paraId="5A9AF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48FFF090">
            <w:pPr>
              <w:spacing w:line="360" w:lineRule="auto"/>
              <w:rPr>
                <w:color w:val="auto"/>
                <w:szCs w:val="21"/>
                <w:highlight w:val="none"/>
              </w:rPr>
            </w:pPr>
          </w:p>
        </w:tc>
        <w:tc>
          <w:tcPr>
            <w:tcW w:w="2079" w:type="dxa"/>
            <w:noWrap w:val="0"/>
            <w:vAlign w:val="top"/>
          </w:tcPr>
          <w:p w14:paraId="3E113698">
            <w:pPr>
              <w:spacing w:line="360" w:lineRule="auto"/>
              <w:rPr>
                <w:color w:val="auto"/>
                <w:szCs w:val="21"/>
                <w:highlight w:val="none"/>
              </w:rPr>
            </w:pPr>
          </w:p>
        </w:tc>
        <w:tc>
          <w:tcPr>
            <w:tcW w:w="2079" w:type="dxa"/>
            <w:noWrap w:val="0"/>
            <w:vAlign w:val="top"/>
          </w:tcPr>
          <w:p w14:paraId="42188B50">
            <w:pPr>
              <w:spacing w:line="360" w:lineRule="auto"/>
              <w:rPr>
                <w:color w:val="auto"/>
                <w:szCs w:val="21"/>
                <w:highlight w:val="none"/>
              </w:rPr>
            </w:pPr>
          </w:p>
        </w:tc>
        <w:tc>
          <w:tcPr>
            <w:tcW w:w="2079" w:type="dxa"/>
            <w:noWrap w:val="0"/>
            <w:vAlign w:val="top"/>
          </w:tcPr>
          <w:p w14:paraId="392572C7">
            <w:pPr>
              <w:spacing w:line="360" w:lineRule="auto"/>
              <w:rPr>
                <w:color w:val="auto"/>
                <w:szCs w:val="21"/>
                <w:highlight w:val="none"/>
              </w:rPr>
            </w:pPr>
          </w:p>
        </w:tc>
      </w:tr>
      <w:tr w14:paraId="6BCD3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0D6DDEE">
            <w:pPr>
              <w:spacing w:line="360" w:lineRule="auto"/>
              <w:rPr>
                <w:color w:val="auto"/>
                <w:szCs w:val="21"/>
                <w:highlight w:val="none"/>
              </w:rPr>
            </w:pPr>
          </w:p>
        </w:tc>
        <w:tc>
          <w:tcPr>
            <w:tcW w:w="2079" w:type="dxa"/>
            <w:noWrap w:val="0"/>
            <w:vAlign w:val="top"/>
          </w:tcPr>
          <w:p w14:paraId="10F4F699">
            <w:pPr>
              <w:spacing w:line="360" w:lineRule="auto"/>
              <w:rPr>
                <w:color w:val="auto"/>
                <w:szCs w:val="21"/>
                <w:highlight w:val="none"/>
              </w:rPr>
            </w:pPr>
          </w:p>
        </w:tc>
        <w:tc>
          <w:tcPr>
            <w:tcW w:w="2079" w:type="dxa"/>
            <w:noWrap w:val="0"/>
            <w:vAlign w:val="top"/>
          </w:tcPr>
          <w:p w14:paraId="663319C2">
            <w:pPr>
              <w:spacing w:line="360" w:lineRule="auto"/>
              <w:rPr>
                <w:color w:val="auto"/>
                <w:szCs w:val="21"/>
                <w:highlight w:val="none"/>
              </w:rPr>
            </w:pPr>
          </w:p>
        </w:tc>
        <w:tc>
          <w:tcPr>
            <w:tcW w:w="2079" w:type="dxa"/>
            <w:noWrap w:val="0"/>
            <w:vAlign w:val="top"/>
          </w:tcPr>
          <w:p w14:paraId="2FCE0E1A">
            <w:pPr>
              <w:spacing w:line="360" w:lineRule="auto"/>
              <w:rPr>
                <w:color w:val="auto"/>
                <w:szCs w:val="21"/>
                <w:highlight w:val="none"/>
              </w:rPr>
            </w:pPr>
          </w:p>
        </w:tc>
      </w:tr>
      <w:tr w14:paraId="6C689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5A375665">
            <w:pPr>
              <w:spacing w:line="360" w:lineRule="auto"/>
              <w:rPr>
                <w:color w:val="auto"/>
                <w:szCs w:val="21"/>
                <w:highlight w:val="none"/>
              </w:rPr>
            </w:pPr>
          </w:p>
        </w:tc>
        <w:tc>
          <w:tcPr>
            <w:tcW w:w="2079" w:type="dxa"/>
            <w:noWrap w:val="0"/>
            <w:vAlign w:val="top"/>
          </w:tcPr>
          <w:p w14:paraId="2B19E528">
            <w:pPr>
              <w:spacing w:line="360" w:lineRule="auto"/>
              <w:rPr>
                <w:color w:val="auto"/>
                <w:szCs w:val="21"/>
                <w:highlight w:val="none"/>
              </w:rPr>
            </w:pPr>
          </w:p>
        </w:tc>
        <w:tc>
          <w:tcPr>
            <w:tcW w:w="2079" w:type="dxa"/>
            <w:noWrap w:val="0"/>
            <w:vAlign w:val="top"/>
          </w:tcPr>
          <w:p w14:paraId="684ABFB2">
            <w:pPr>
              <w:spacing w:line="360" w:lineRule="auto"/>
              <w:rPr>
                <w:color w:val="auto"/>
                <w:szCs w:val="21"/>
                <w:highlight w:val="none"/>
              </w:rPr>
            </w:pPr>
          </w:p>
        </w:tc>
        <w:tc>
          <w:tcPr>
            <w:tcW w:w="2079" w:type="dxa"/>
            <w:noWrap w:val="0"/>
            <w:vAlign w:val="top"/>
          </w:tcPr>
          <w:p w14:paraId="0E61D3F7">
            <w:pPr>
              <w:spacing w:line="360" w:lineRule="auto"/>
              <w:rPr>
                <w:color w:val="auto"/>
                <w:szCs w:val="21"/>
                <w:highlight w:val="none"/>
              </w:rPr>
            </w:pPr>
          </w:p>
        </w:tc>
      </w:tr>
      <w:tr w14:paraId="1CBA0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45F35985">
            <w:pPr>
              <w:spacing w:line="360" w:lineRule="auto"/>
              <w:rPr>
                <w:color w:val="auto"/>
                <w:szCs w:val="21"/>
                <w:highlight w:val="none"/>
              </w:rPr>
            </w:pPr>
          </w:p>
        </w:tc>
        <w:tc>
          <w:tcPr>
            <w:tcW w:w="2079" w:type="dxa"/>
            <w:noWrap w:val="0"/>
            <w:vAlign w:val="top"/>
          </w:tcPr>
          <w:p w14:paraId="13C678EE">
            <w:pPr>
              <w:spacing w:line="360" w:lineRule="auto"/>
              <w:rPr>
                <w:color w:val="auto"/>
                <w:szCs w:val="21"/>
                <w:highlight w:val="none"/>
              </w:rPr>
            </w:pPr>
          </w:p>
        </w:tc>
        <w:tc>
          <w:tcPr>
            <w:tcW w:w="2079" w:type="dxa"/>
            <w:noWrap w:val="0"/>
            <w:vAlign w:val="top"/>
          </w:tcPr>
          <w:p w14:paraId="6E368CF3">
            <w:pPr>
              <w:spacing w:line="360" w:lineRule="auto"/>
              <w:rPr>
                <w:color w:val="auto"/>
                <w:szCs w:val="21"/>
                <w:highlight w:val="none"/>
              </w:rPr>
            </w:pPr>
          </w:p>
        </w:tc>
        <w:tc>
          <w:tcPr>
            <w:tcW w:w="2079" w:type="dxa"/>
            <w:noWrap w:val="0"/>
            <w:vAlign w:val="top"/>
          </w:tcPr>
          <w:p w14:paraId="7A282234">
            <w:pPr>
              <w:spacing w:line="360" w:lineRule="auto"/>
              <w:rPr>
                <w:color w:val="auto"/>
                <w:szCs w:val="21"/>
                <w:highlight w:val="none"/>
              </w:rPr>
            </w:pPr>
          </w:p>
        </w:tc>
      </w:tr>
      <w:tr w14:paraId="6C0E1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AF38418">
            <w:pPr>
              <w:spacing w:line="360" w:lineRule="auto"/>
              <w:rPr>
                <w:color w:val="auto"/>
                <w:szCs w:val="21"/>
                <w:highlight w:val="none"/>
              </w:rPr>
            </w:pPr>
          </w:p>
        </w:tc>
        <w:tc>
          <w:tcPr>
            <w:tcW w:w="2079" w:type="dxa"/>
            <w:noWrap w:val="0"/>
            <w:vAlign w:val="top"/>
          </w:tcPr>
          <w:p w14:paraId="6A1153BA">
            <w:pPr>
              <w:spacing w:line="360" w:lineRule="auto"/>
              <w:rPr>
                <w:color w:val="auto"/>
                <w:szCs w:val="21"/>
                <w:highlight w:val="none"/>
              </w:rPr>
            </w:pPr>
          </w:p>
        </w:tc>
        <w:tc>
          <w:tcPr>
            <w:tcW w:w="2079" w:type="dxa"/>
            <w:noWrap w:val="0"/>
            <w:vAlign w:val="top"/>
          </w:tcPr>
          <w:p w14:paraId="44957804">
            <w:pPr>
              <w:spacing w:line="360" w:lineRule="auto"/>
              <w:rPr>
                <w:color w:val="auto"/>
                <w:szCs w:val="21"/>
                <w:highlight w:val="none"/>
              </w:rPr>
            </w:pPr>
          </w:p>
        </w:tc>
        <w:tc>
          <w:tcPr>
            <w:tcW w:w="2079" w:type="dxa"/>
            <w:noWrap w:val="0"/>
            <w:vAlign w:val="top"/>
          </w:tcPr>
          <w:p w14:paraId="0202BC37">
            <w:pPr>
              <w:spacing w:line="360" w:lineRule="auto"/>
              <w:rPr>
                <w:color w:val="auto"/>
                <w:szCs w:val="21"/>
                <w:highlight w:val="none"/>
              </w:rPr>
            </w:pPr>
          </w:p>
        </w:tc>
      </w:tr>
      <w:tr w14:paraId="0B345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C5299EC">
            <w:pPr>
              <w:spacing w:line="360" w:lineRule="auto"/>
              <w:rPr>
                <w:color w:val="auto"/>
                <w:szCs w:val="21"/>
                <w:highlight w:val="none"/>
              </w:rPr>
            </w:pPr>
          </w:p>
        </w:tc>
        <w:tc>
          <w:tcPr>
            <w:tcW w:w="2079" w:type="dxa"/>
            <w:noWrap w:val="0"/>
            <w:vAlign w:val="top"/>
          </w:tcPr>
          <w:p w14:paraId="0257175B">
            <w:pPr>
              <w:spacing w:line="360" w:lineRule="auto"/>
              <w:rPr>
                <w:color w:val="auto"/>
                <w:szCs w:val="21"/>
                <w:highlight w:val="none"/>
              </w:rPr>
            </w:pPr>
          </w:p>
        </w:tc>
        <w:tc>
          <w:tcPr>
            <w:tcW w:w="2079" w:type="dxa"/>
            <w:noWrap w:val="0"/>
            <w:vAlign w:val="top"/>
          </w:tcPr>
          <w:p w14:paraId="37FE4BF5">
            <w:pPr>
              <w:spacing w:line="360" w:lineRule="auto"/>
              <w:rPr>
                <w:color w:val="auto"/>
                <w:szCs w:val="21"/>
                <w:highlight w:val="none"/>
              </w:rPr>
            </w:pPr>
          </w:p>
        </w:tc>
        <w:tc>
          <w:tcPr>
            <w:tcW w:w="2079" w:type="dxa"/>
            <w:noWrap w:val="0"/>
            <w:vAlign w:val="top"/>
          </w:tcPr>
          <w:p w14:paraId="5D9A536E">
            <w:pPr>
              <w:spacing w:line="360" w:lineRule="auto"/>
              <w:rPr>
                <w:color w:val="auto"/>
                <w:szCs w:val="21"/>
                <w:highlight w:val="none"/>
              </w:rPr>
            </w:pPr>
          </w:p>
        </w:tc>
      </w:tr>
      <w:tr w14:paraId="6AEB6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BCC17FA">
            <w:pPr>
              <w:spacing w:line="360" w:lineRule="auto"/>
              <w:rPr>
                <w:color w:val="auto"/>
                <w:szCs w:val="21"/>
                <w:highlight w:val="none"/>
              </w:rPr>
            </w:pPr>
          </w:p>
        </w:tc>
        <w:tc>
          <w:tcPr>
            <w:tcW w:w="2079" w:type="dxa"/>
            <w:noWrap w:val="0"/>
            <w:vAlign w:val="top"/>
          </w:tcPr>
          <w:p w14:paraId="138DA2AF">
            <w:pPr>
              <w:spacing w:line="360" w:lineRule="auto"/>
              <w:rPr>
                <w:color w:val="auto"/>
                <w:szCs w:val="21"/>
                <w:highlight w:val="none"/>
              </w:rPr>
            </w:pPr>
          </w:p>
        </w:tc>
        <w:tc>
          <w:tcPr>
            <w:tcW w:w="2079" w:type="dxa"/>
            <w:noWrap w:val="0"/>
            <w:vAlign w:val="top"/>
          </w:tcPr>
          <w:p w14:paraId="69EF98E1">
            <w:pPr>
              <w:spacing w:line="360" w:lineRule="auto"/>
              <w:rPr>
                <w:color w:val="auto"/>
                <w:szCs w:val="21"/>
                <w:highlight w:val="none"/>
              </w:rPr>
            </w:pPr>
          </w:p>
        </w:tc>
        <w:tc>
          <w:tcPr>
            <w:tcW w:w="2079" w:type="dxa"/>
            <w:noWrap w:val="0"/>
            <w:vAlign w:val="top"/>
          </w:tcPr>
          <w:p w14:paraId="6052E707">
            <w:pPr>
              <w:spacing w:line="360" w:lineRule="auto"/>
              <w:rPr>
                <w:color w:val="auto"/>
                <w:szCs w:val="21"/>
                <w:highlight w:val="none"/>
              </w:rPr>
            </w:pPr>
          </w:p>
        </w:tc>
      </w:tr>
      <w:tr w14:paraId="042D9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395DC29">
            <w:pPr>
              <w:spacing w:line="360" w:lineRule="auto"/>
              <w:rPr>
                <w:color w:val="auto"/>
                <w:szCs w:val="21"/>
                <w:highlight w:val="none"/>
              </w:rPr>
            </w:pPr>
          </w:p>
        </w:tc>
        <w:tc>
          <w:tcPr>
            <w:tcW w:w="2079" w:type="dxa"/>
            <w:noWrap w:val="0"/>
            <w:vAlign w:val="top"/>
          </w:tcPr>
          <w:p w14:paraId="31CB331F">
            <w:pPr>
              <w:spacing w:line="360" w:lineRule="auto"/>
              <w:rPr>
                <w:color w:val="auto"/>
                <w:szCs w:val="21"/>
                <w:highlight w:val="none"/>
              </w:rPr>
            </w:pPr>
          </w:p>
        </w:tc>
        <w:tc>
          <w:tcPr>
            <w:tcW w:w="2079" w:type="dxa"/>
            <w:noWrap w:val="0"/>
            <w:vAlign w:val="top"/>
          </w:tcPr>
          <w:p w14:paraId="176A32BA">
            <w:pPr>
              <w:spacing w:line="360" w:lineRule="auto"/>
              <w:rPr>
                <w:color w:val="auto"/>
                <w:szCs w:val="21"/>
                <w:highlight w:val="none"/>
              </w:rPr>
            </w:pPr>
          </w:p>
        </w:tc>
        <w:tc>
          <w:tcPr>
            <w:tcW w:w="2079" w:type="dxa"/>
            <w:noWrap w:val="0"/>
            <w:vAlign w:val="top"/>
          </w:tcPr>
          <w:p w14:paraId="5EF3D00C">
            <w:pPr>
              <w:spacing w:line="360" w:lineRule="auto"/>
              <w:rPr>
                <w:color w:val="auto"/>
                <w:szCs w:val="21"/>
                <w:highlight w:val="none"/>
              </w:rPr>
            </w:pPr>
          </w:p>
        </w:tc>
      </w:tr>
      <w:tr w14:paraId="1D4E2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E3EA76A">
            <w:pPr>
              <w:spacing w:line="360" w:lineRule="auto"/>
              <w:rPr>
                <w:color w:val="auto"/>
                <w:szCs w:val="21"/>
                <w:highlight w:val="none"/>
              </w:rPr>
            </w:pPr>
          </w:p>
        </w:tc>
        <w:tc>
          <w:tcPr>
            <w:tcW w:w="2079" w:type="dxa"/>
            <w:noWrap w:val="0"/>
            <w:vAlign w:val="top"/>
          </w:tcPr>
          <w:p w14:paraId="17BF95B3">
            <w:pPr>
              <w:spacing w:line="360" w:lineRule="auto"/>
              <w:rPr>
                <w:color w:val="auto"/>
                <w:szCs w:val="21"/>
                <w:highlight w:val="none"/>
              </w:rPr>
            </w:pPr>
          </w:p>
        </w:tc>
        <w:tc>
          <w:tcPr>
            <w:tcW w:w="2079" w:type="dxa"/>
            <w:noWrap w:val="0"/>
            <w:vAlign w:val="top"/>
          </w:tcPr>
          <w:p w14:paraId="07646B22">
            <w:pPr>
              <w:spacing w:line="360" w:lineRule="auto"/>
              <w:rPr>
                <w:color w:val="auto"/>
                <w:szCs w:val="21"/>
                <w:highlight w:val="none"/>
              </w:rPr>
            </w:pPr>
          </w:p>
        </w:tc>
        <w:tc>
          <w:tcPr>
            <w:tcW w:w="2079" w:type="dxa"/>
            <w:noWrap w:val="0"/>
            <w:vAlign w:val="top"/>
          </w:tcPr>
          <w:p w14:paraId="5D946C2F">
            <w:pPr>
              <w:spacing w:line="360" w:lineRule="auto"/>
              <w:rPr>
                <w:color w:val="auto"/>
                <w:szCs w:val="21"/>
                <w:highlight w:val="none"/>
              </w:rPr>
            </w:pPr>
          </w:p>
        </w:tc>
      </w:tr>
      <w:tr w14:paraId="63120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33D5952">
            <w:pPr>
              <w:spacing w:line="360" w:lineRule="auto"/>
              <w:rPr>
                <w:color w:val="auto"/>
                <w:szCs w:val="21"/>
                <w:highlight w:val="none"/>
              </w:rPr>
            </w:pPr>
          </w:p>
        </w:tc>
        <w:tc>
          <w:tcPr>
            <w:tcW w:w="2079" w:type="dxa"/>
            <w:noWrap w:val="0"/>
            <w:vAlign w:val="top"/>
          </w:tcPr>
          <w:p w14:paraId="4E274A29">
            <w:pPr>
              <w:spacing w:line="360" w:lineRule="auto"/>
              <w:rPr>
                <w:color w:val="auto"/>
                <w:szCs w:val="21"/>
                <w:highlight w:val="none"/>
              </w:rPr>
            </w:pPr>
          </w:p>
        </w:tc>
        <w:tc>
          <w:tcPr>
            <w:tcW w:w="2079" w:type="dxa"/>
            <w:noWrap w:val="0"/>
            <w:vAlign w:val="top"/>
          </w:tcPr>
          <w:p w14:paraId="4832AF45">
            <w:pPr>
              <w:spacing w:line="360" w:lineRule="auto"/>
              <w:rPr>
                <w:color w:val="auto"/>
                <w:szCs w:val="21"/>
                <w:highlight w:val="none"/>
              </w:rPr>
            </w:pPr>
          </w:p>
        </w:tc>
        <w:tc>
          <w:tcPr>
            <w:tcW w:w="2079" w:type="dxa"/>
            <w:noWrap w:val="0"/>
            <w:vAlign w:val="top"/>
          </w:tcPr>
          <w:p w14:paraId="5F66EB29">
            <w:pPr>
              <w:spacing w:line="360" w:lineRule="auto"/>
              <w:rPr>
                <w:color w:val="auto"/>
                <w:szCs w:val="21"/>
                <w:highlight w:val="none"/>
              </w:rPr>
            </w:pPr>
          </w:p>
        </w:tc>
      </w:tr>
      <w:tr w14:paraId="562AA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D43F3D8">
            <w:pPr>
              <w:spacing w:line="360" w:lineRule="auto"/>
              <w:rPr>
                <w:color w:val="auto"/>
                <w:szCs w:val="21"/>
                <w:highlight w:val="none"/>
              </w:rPr>
            </w:pPr>
          </w:p>
        </w:tc>
        <w:tc>
          <w:tcPr>
            <w:tcW w:w="2079" w:type="dxa"/>
            <w:noWrap w:val="0"/>
            <w:vAlign w:val="top"/>
          </w:tcPr>
          <w:p w14:paraId="2502ADFA">
            <w:pPr>
              <w:spacing w:line="360" w:lineRule="auto"/>
              <w:rPr>
                <w:color w:val="auto"/>
                <w:szCs w:val="21"/>
                <w:highlight w:val="none"/>
              </w:rPr>
            </w:pPr>
          </w:p>
        </w:tc>
        <w:tc>
          <w:tcPr>
            <w:tcW w:w="2079" w:type="dxa"/>
            <w:noWrap w:val="0"/>
            <w:vAlign w:val="top"/>
          </w:tcPr>
          <w:p w14:paraId="4C1DDC6B">
            <w:pPr>
              <w:spacing w:line="360" w:lineRule="auto"/>
              <w:rPr>
                <w:color w:val="auto"/>
                <w:szCs w:val="21"/>
                <w:highlight w:val="none"/>
              </w:rPr>
            </w:pPr>
          </w:p>
        </w:tc>
        <w:tc>
          <w:tcPr>
            <w:tcW w:w="2079" w:type="dxa"/>
            <w:noWrap w:val="0"/>
            <w:vAlign w:val="top"/>
          </w:tcPr>
          <w:p w14:paraId="7EF370AA">
            <w:pPr>
              <w:spacing w:line="360" w:lineRule="auto"/>
              <w:rPr>
                <w:color w:val="auto"/>
                <w:szCs w:val="21"/>
                <w:highlight w:val="none"/>
              </w:rPr>
            </w:pPr>
          </w:p>
        </w:tc>
      </w:tr>
      <w:tr w14:paraId="0529C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515A46E9">
            <w:pPr>
              <w:spacing w:line="360" w:lineRule="auto"/>
              <w:rPr>
                <w:color w:val="auto"/>
                <w:szCs w:val="21"/>
                <w:highlight w:val="none"/>
              </w:rPr>
            </w:pPr>
          </w:p>
        </w:tc>
        <w:tc>
          <w:tcPr>
            <w:tcW w:w="2079" w:type="dxa"/>
            <w:noWrap w:val="0"/>
            <w:vAlign w:val="top"/>
          </w:tcPr>
          <w:p w14:paraId="17FF6408">
            <w:pPr>
              <w:spacing w:line="360" w:lineRule="auto"/>
              <w:rPr>
                <w:color w:val="auto"/>
                <w:szCs w:val="21"/>
                <w:highlight w:val="none"/>
              </w:rPr>
            </w:pPr>
          </w:p>
        </w:tc>
        <w:tc>
          <w:tcPr>
            <w:tcW w:w="2079" w:type="dxa"/>
            <w:noWrap w:val="0"/>
            <w:vAlign w:val="top"/>
          </w:tcPr>
          <w:p w14:paraId="0408ABF8">
            <w:pPr>
              <w:spacing w:line="360" w:lineRule="auto"/>
              <w:rPr>
                <w:color w:val="auto"/>
                <w:szCs w:val="21"/>
                <w:highlight w:val="none"/>
              </w:rPr>
            </w:pPr>
          </w:p>
        </w:tc>
        <w:tc>
          <w:tcPr>
            <w:tcW w:w="2079" w:type="dxa"/>
            <w:noWrap w:val="0"/>
            <w:vAlign w:val="top"/>
          </w:tcPr>
          <w:p w14:paraId="693E2DFD">
            <w:pPr>
              <w:spacing w:line="360" w:lineRule="auto"/>
              <w:rPr>
                <w:color w:val="auto"/>
                <w:szCs w:val="21"/>
                <w:highlight w:val="none"/>
              </w:rPr>
            </w:pPr>
          </w:p>
        </w:tc>
      </w:tr>
      <w:tr w14:paraId="774FC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4AA5BEF1">
            <w:pPr>
              <w:spacing w:line="360" w:lineRule="auto"/>
              <w:rPr>
                <w:color w:val="auto"/>
                <w:szCs w:val="21"/>
                <w:highlight w:val="none"/>
              </w:rPr>
            </w:pPr>
          </w:p>
        </w:tc>
        <w:tc>
          <w:tcPr>
            <w:tcW w:w="2079" w:type="dxa"/>
            <w:noWrap w:val="0"/>
            <w:vAlign w:val="top"/>
          </w:tcPr>
          <w:p w14:paraId="3ACD4016">
            <w:pPr>
              <w:spacing w:line="360" w:lineRule="auto"/>
              <w:rPr>
                <w:color w:val="auto"/>
                <w:szCs w:val="21"/>
                <w:highlight w:val="none"/>
              </w:rPr>
            </w:pPr>
          </w:p>
        </w:tc>
        <w:tc>
          <w:tcPr>
            <w:tcW w:w="2079" w:type="dxa"/>
            <w:noWrap w:val="0"/>
            <w:vAlign w:val="top"/>
          </w:tcPr>
          <w:p w14:paraId="388C9514">
            <w:pPr>
              <w:spacing w:line="360" w:lineRule="auto"/>
              <w:rPr>
                <w:color w:val="auto"/>
                <w:szCs w:val="21"/>
                <w:highlight w:val="none"/>
              </w:rPr>
            </w:pPr>
          </w:p>
        </w:tc>
        <w:tc>
          <w:tcPr>
            <w:tcW w:w="2079" w:type="dxa"/>
            <w:noWrap w:val="0"/>
            <w:vAlign w:val="top"/>
          </w:tcPr>
          <w:p w14:paraId="180670B7">
            <w:pPr>
              <w:spacing w:line="360" w:lineRule="auto"/>
              <w:rPr>
                <w:color w:val="auto"/>
                <w:szCs w:val="21"/>
                <w:highlight w:val="none"/>
              </w:rPr>
            </w:pPr>
          </w:p>
        </w:tc>
      </w:tr>
      <w:tr w14:paraId="38CD7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04C3419">
            <w:pPr>
              <w:spacing w:line="360" w:lineRule="auto"/>
              <w:rPr>
                <w:color w:val="auto"/>
                <w:szCs w:val="21"/>
                <w:highlight w:val="none"/>
              </w:rPr>
            </w:pPr>
          </w:p>
        </w:tc>
        <w:tc>
          <w:tcPr>
            <w:tcW w:w="2079" w:type="dxa"/>
            <w:noWrap w:val="0"/>
            <w:vAlign w:val="top"/>
          </w:tcPr>
          <w:p w14:paraId="114F3145">
            <w:pPr>
              <w:spacing w:line="360" w:lineRule="auto"/>
              <w:rPr>
                <w:color w:val="auto"/>
                <w:szCs w:val="21"/>
                <w:highlight w:val="none"/>
              </w:rPr>
            </w:pPr>
          </w:p>
        </w:tc>
        <w:tc>
          <w:tcPr>
            <w:tcW w:w="2079" w:type="dxa"/>
            <w:noWrap w:val="0"/>
            <w:vAlign w:val="top"/>
          </w:tcPr>
          <w:p w14:paraId="39519600">
            <w:pPr>
              <w:spacing w:line="360" w:lineRule="auto"/>
              <w:rPr>
                <w:color w:val="auto"/>
                <w:szCs w:val="21"/>
                <w:highlight w:val="none"/>
              </w:rPr>
            </w:pPr>
          </w:p>
        </w:tc>
        <w:tc>
          <w:tcPr>
            <w:tcW w:w="2079" w:type="dxa"/>
            <w:noWrap w:val="0"/>
            <w:vAlign w:val="top"/>
          </w:tcPr>
          <w:p w14:paraId="2B9AB223">
            <w:pPr>
              <w:spacing w:line="360" w:lineRule="auto"/>
              <w:rPr>
                <w:color w:val="auto"/>
                <w:szCs w:val="21"/>
                <w:highlight w:val="none"/>
              </w:rPr>
            </w:pPr>
          </w:p>
        </w:tc>
      </w:tr>
      <w:tr w14:paraId="19A70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A2682BF">
            <w:pPr>
              <w:spacing w:line="360" w:lineRule="auto"/>
              <w:rPr>
                <w:color w:val="auto"/>
                <w:szCs w:val="21"/>
                <w:highlight w:val="none"/>
              </w:rPr>
            </w:pPr>
          </w:p>
        </w:tc>
        <w:tc>
          <w:tcPr>
            <w:tcW w:w="2079" w:type="dxa"/>
            <w:noWrap w:val="0"/>
            <w:vAlign w:val="top"/>
          </w:tcPr>
          <w:p w14:paraId="7ECB9B8F">
            <w:pPr>
              <w:spacing w:line="360" w:lineRule="auto"/>
              <w:rPr>
                <w:color w:val="auto"/>
                <w:szCs w:val="21"/>
                <w:highlight w:val="none"/>
              </w:rPr>
            </w:pPr>
          </w:p>
        </w:tc>
        <w:tc>
          <w:tcPr>
            <w:tcW w:w="2079" w:type="dxa"/>
            <w:noWrap w:val="0"/>
            <w:vAlign w:val="top"/>
          </w:tcPr>
          <w:p w14:paraId="2B93F08C">
            <w:pPr>
              <w:spacing w:line="360" w:lineRule="auto"/>
              <w:rPr>
                <w:color w:val="auto"/>
                <w:szCs w:val="21"/>
                <w:highlight w:val="none"/>
              </w:rPr>
            </w:pPr>
          </w:p>
        </w:tc>
        <w:tc>
          <w:tcPr>
            <w:tcW w:w="2079" w:type="dxa"/>
            <w:noWrap w:val="0"/>
            <w:vAlign w:val="top"/>
          </w:tcPr>
          <w:p w14:paraId="2610BDD0">
            <w:pPr>
              <w:spacing w:line="360" w:lineRule="auto"/>
              <w:rPr>
                <w:color w:val="auto"/>
                <w:szCs w:val="21"/>
                <w:highlight w:val="none"/>
              </w:rPr>
            </w:pPr>
          </w:p>
        </w:tc>
      </w:tr>
      <w:tr w14:paraId="3B547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7FD4A17">
            <w:pPr>
              <w:spacing w:line="360" w:lineRule="auto"/>
              <w:rPr>
                <w:color w:val="auto"/>
                <w:szCs w:val="21"/>
                <w:highlight w:val="none"/>
              </w:rPr>
            </w:pPr>
          </w:p>
        </w:tc>
        <w:tc>
          <w:tcPr>
            <w:tcW w:w="2079" w:type="dxa"/>
            <w:noWrap w:val="0"/>
            <w:vAlign w:val="top"/>
          </w:tcPr>
          <w:p w14:paraId="17AA1A65">
            <w:pPr>
              <w:spacing w:line="360" w:lineRule="auto"/>
              <w:rPr>
                <w:color w:val="auto"/>
                <w:szCs w:val="21"/>
                <w:highlight w:val="none"/>
              </w:rPr>
            </w:pPr>
          </w:p>
        </w:tc>
        <w:tc>
          <w:tcPr>
            <w:tcW w:w="2079" w:type="dxa"/>
            <w:noWrap w:val="0"/>
            <w:vAlign w:val="top"/>
          </w:tcPr>
          <w:p w14:paraId="1C7019C8">
            <w:pPr>
              <w:spacing w:line="360" w:lineRule="auto"/>
              <w:rPr>
                <w:color w:val="auto"/>
                <w:szCs w:val="21"/>
                <w:highlight w:val="none"/>
              </w:rPr>
            </w:pPr>
          </w:p>
        </w:tc>
        <w:tc>
          <w:tcPr>
            <w:tcW w:w="2079" w:type="dxa"/>
            <w:noWrap w:val="0"/>
            <w:vAlign w:val="top"/>
          </w:tcPr>
          <w:p w14:paraId="280672AD">
            <w:pPr>
              <w:spacing w:line="360" w:lineRule="auto"/>
              <w:rPr>
                <w:color w:val="auto"/>
                <w:szCs w:val="21"/>
                <w:highlight w:val="none"/>
              </w:rPr>
            </w:pPr>
          </w:p>
        </w:tc>
      </w:tr>
      <w:tr w14:paraId="241F7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438B77C3">
            <w:pPr>
              <w:spacing w:line="360" w:lineRule="auto"/>
              <w:rPr>
                <w:color w:val="auto"/>
                <w:szCs w:val="21"/>
                <w:highlight w:val="none"/>
              </w:rPr>
            </w:pPr>
          </w:p>
        </w:tc>
        <w:tc>
          <w:tcPr>
            <w:tcW w:w="2079" w:type="dxa"/>
            <w:noWrap w:val="0"/>
            <w:vAlign w:val="top"/>
          </w:tcPr>
          <w:p w14:paraId="5ECDB079">
            <w:pPr>
              <w:spacing w:line="360" w:lineRule="auto"/>
              <w:rPr>
                <w:color w:val="auto"/>
                <w:szCs w:val="21"/>
                <w:highlight w:val="none"/>
              </w:rPr>
            </w:pPr>
          </w:p>
        </w:tc>
        <w:tc>
          <w:tcPr>
            <w:tcW w:w="2079" w:type="dxa"/>
            <w:noWrap w:val="0"/>
            <w:vAlign w:val="top"/>
          </w:tcPr>
          <w:p w14:paraId="5556C1BC">
            <w:pPr>
              <w:spacing w:line="360" w:lineRule="auto"/>
              <w:rPr>
                <w:color w:val="auto"/>
                <w:szCs w:val="21"/>
                <w:highlight w:val="none"/>
              </w:rPr>
            </w:pPr>
          </w:p>
        </w:tc>
        <w:tc>
          <w:tcPr>
            <w:tcW w:w="2079" w:type="dxa"/>
            <w:noWrap w:val="0"/>
            <w:vAlign w:val="top"/>
          </w:tcPr>
          <w:p w14:paraId="7051E31A">
            <w:pPr>
              <w:spacing w:line="360" w:lineRule="auto"/>
              <w:rPr>
                <w:color w:val="auto"/>
                <w:szCs w:val="21"/>
                <w:highlight w:val="none"/>
              </w:rPr>
            </w:pPr>
          </w:p>
        </w:tc>
      </w:tr>
      <w:tr w14:paraId="65359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CD090AF">
            <w:pPr>
              <w:spacing w:line="360" w:lineRule="auto"/>
              <w:rPr>
                <w:color w:val="auto"/>
                <w:szCs w:val="21"/>
                <w:highlight w:val="none"/>
              </w:rPr>
            </w:pPr>
          </w:p>
        </w:tc>
        <w:tc>
          <w:tcPr>
            <w:tcW w:w="2079" w:type="dxa"/>
            <w:noWrap w:val="0"/>
            <w:vAlign w:val="top"/>
          </w:tcPr>
          <w:p w14:paraId="4AC19C77">
            <w:pPr>
              <w:spacing w:line="360" w:lineRule="auto"/>
              <w:rPr>
                <w:color w:val="auto"/>
                <w:szCs w:val="21"/>
                <w:highlight w:val="none"/>
              </w:rPr>
            </w:pPr>
          </w:p>
        </w:tc>
        <w:tc>
          <w:tcPr>
            <w:tcW w:w="2079" w:type="dxa"/>
            <w:noWrap w:val="0"/>
            <w:vAlign w:val="top"/>
          </w:tcPr>
          <w:p w14:paraId="2761E237">
            <w:pPr>
              <w:spacing w:line="360" w:lineRule="auto"/>
              <w:rPr>
                <w:color w:val="auto"/>
                <w:szCs w:val="21"/>
                <w:highlight w:val="none"/>
              </w:rPr>
            </w:pPr>
          </w:p>
        </w:tc>
        <w:tc>
          <w:tcPr>
            <w:tcW w:w="2079" w:type="dxa"/>
            <w:noWrap w:val="0"/>
            <w:vAlign w:val="top"/>
          </w:tcPr>
          <w:p w14:paraId="388EE1BC">
            <w:pPr>
              <w:spacing w:line="360" w:lineRule="auto"/>
              <w:rPr>
                <w:color w:val="auto"/>
                <w:szCs w:val="21"/>
                <w:highlight w:val="none"/>
              </w:rPr>
            </w:pPr>
          </w:p>
        </w:tc>
      </w:tr>
      <w:tr w14:paraId="6CFDF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5A87FFCA">
            <w:pPr>
              <w:spacing w:line="360" w:lineRule="auto"/>
              <w:rPr>
                <w:color w:val="auto"/>
                <w:szCs w:val="21"/>
                <w:highlight w:val="none"/>
              </w:rPr>
            </w:pPr>
          </w:p>
        </w:tc>
        <w:tc>
          <w:tcPr>
            <w:tcW w:w="2079" w:type="dxa"/>
            <w:noWrap w:val="0"/>
            <w:vAlign w:val="top"/>
          </w:tcPr>
          <w:p w14:paraId="754DDEEE">
            <w:pPr>
              <w:spacing w:line="360" w:lineRule="auto"/>
              <w:rPr>
                <w:color w:val="auto"/>
                <w:szCs w:val="21"/>
                <w:highlight w:val="none"/>
              </w:rPr>
            </w:pPr>
          </w:p>
        </w:tc>
        <w:tc>
          <w:tcPr>
            <w:tcW w:w="2079" w:type="dxa"/>
            <w:noWrap w:val="0"/>
            <w:vAlign w:val="top"/>
          </w:tcPr>
          <w:p w14:paraId="3C60998A">
            <w:pPr>
              <w:spacing w:line="360" w:lineRule="auto"/>
              <w:rPr>
                <w:color w:val="auto"/>
                <w:szCs w:val="21"/>
                <w:highlight w:val="none"/>
              </w:rPr>
            </w:pPr>
          </w:p>
        </w:tc>
        <w:tc>
          <w:tcPr>
            <w:tcW w:w="2079" w:type="dxa"/>
            <w:noWrap w:val="0"/>
            <w:vAlign w:val="top"/>
          </w:tcPr>
          <w:p w14:paraId="496FE4CD">
            <w:pPr>
              <w:spacing w:line="360" w:lineRule="auto"/>
              <w:rPr>
                <w:color w:val="auto"/>
                <w:szCs w:val="21"/>
                <w:highlight w:val="none"/>
              </w:rPr>
            </w:pPr>
          </w:p>
        </w:tc>
      </w:tr>
      <w:tr w14:paraId="06ED0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1EDC5C97">
            <w:pPr>
              <w:spacing w:line="360" w:lineRule="auto"/>
              <w:rPr>
                <w:color w:val="auto"/>
                <w:szCs w:val="21"/>
                <w:highlight w:val="none"/>
              </w:rPr>
            </w:pPr>
          </w:p>
        </w:tc>
        <w:tc>
          <w:tcPr>
            <w:tcW w:w="2079" w:type="dxa"/>
            <w:noWrap w:val="0"/>
            <w:vAlign w:val="top"/>
          </w:tcPr>
          <w:p w14:paraId="1D625CAA">
            <w:pPr>
              <w:spacing w:line="360" w:lineRule="auto"/>
              <w:rPr>
                <w:color w:val="auto"/>
                <w:szCs w:val="21"/>
                <w:highlight w:val="none"/>
              </w:rPr>
            </w:pPr>
          </w:p>
        </w:tc>
        <w:tc>
          <w:tcPr>
            <w:tcW w:w="2079" w:type="dxa"/>
            <w:noWrap w:val="0"/>
            <w:vAlign w:val="top"/>
          </w:tcPr>
          <w:p w14:paraId="2FF8AB6F">
            <w:pPr>
              <w:spacing w:line="360" w:lineRule="auto"/>
              <w:rPr>
                <w:color w:val="auto"/>
                <w:szCs w:val="21"/>
                <w:highlight w:val="none"/>
              </w:rPr>
            </w:pPr>
          </w:p>
        </w:tc>
        <w:tc>
          <w:tcPr>
            <w:tcW w:w="2079" w:type="dxa"/>
            <w:noWrap w:val="0"/>
            <w:vAlign w:val="top"/>
          </w:tcPr>
          <w:p w14:paraId="0520A3A4">
            <w:pPr>
              <w:spacing w:line="360" w:lineRule="auto"/>
              <w:rPr>
                <w:color w:val="auto"/>
                <w:szCs w:val="21"/>
                <w:highlight w:val="none"/>
              </w:rPr>
            </w:pPr>
          </w:p>
        </w:tc>
      </w:tr>
      <w:tr w14:paraId="1581D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25AC1AA">
            <w:pPr>
              <w:spacing w:line="360" w:lineRule="auto"/>
              <w:rPr>
                <w:color w:val="auto"/>
                <w:szCs w:val="21"/>
                <w:highlight w:val="none"/>
              </w:rPr>
            </w:pPr>
          </w:p>
        </w:tc>
        <w:tc>
          <w:tcPr>
            <w:tcW w:w="2079" w:type="dxa"/>
            <w:noWrap w:val="0"/>
            <w:vAlign w:val="top"/>
          </w:tcPr>
          <w:p w14:paraId="661CA3B0">
            <w:pPr>
              <w:spacing w:line="360" w:lineRule="auto"/>
              <w:rPr>
                <w:color w:val="auto"/>
                <w:szCs w:val="21"/>
                <w:highlight w:val="none"/>
              </w:rPr>
            </w:pPr>
          </w:p>
        </w:tc>
        <w:tc>
          <w:tcPr>
            <w:tcW w:w="2079" w:type="dxa"/>
            <w:noWrap w:val="0"/>
            <w:vAlign w:val="top"/>
          </w:tcPr>
          <w:p w14:paraId="2EE24321">
            <w:pPr>
              <w:spacing w:line="360" w:lineRule="auto"/>
              <w:rPr>
                <w:color w:val="auto"/>
                <w:szCs w:val="21"/>
                <w:highlight w:val="none"/>
              </w:rPr>
            </w:pPr>
          </w:p>
        </w:tc>
        <w:tc>
          <w:tcPr>
            <w:tcW w:w="2079" w:type="dxa"/>
            <w:noWrap w:val="0"/>
            <w:vAlign w:val="top"/>
          </w:tcPr>
          <w:p w14:paraId="225246BD">
            <w:pPr>
              <w:spacing w:line="360" w:lineRule="auto"/>
              <w:rPr>
                <w:color w:val="auto"/>
                <w:szCs w:val="21"/>
                <w:highlight w:val="none"/>
              </w:rPr>
            </w:pPr>
          </w:p>
        </w:tc>
      </w:tr>
      <w:tr w14:paraId="23110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7BE1896">
            <w:pPr>
              <w:spacing w:line="360" w:lineRule="auto"/>
              <w:rPr>
                <w:color w:val="auto"/>
                <w:szCs w:val="21"/>
                <w:highlight w:val="none"/>
              </w:rPr>
            </w:pPr>
          </w:p>
        </w:tc>
        <w:tc>
          <w:tcPr>
            <w:tcW w:w="2079" w:type="dxa"/>
            <w:noWrap w:val="0"/>
            <w:vAlign w:val="top"/>
          </w:tcPr>
          <w:p w14:paraId="10629D64">
            <w:pPr>
              <w:spacing w:line="360" w:lineRule="auto"/>
              <w:rPr>
                <w:color w:val="auto"/>
                <w:szCs w:val="21"/>
                <w:highlight w:val="none"/>
              </w:rPr>
            </w:pPr>
          </w:p>
        </w:tc>
        <w:tc>
          <w:tcPr>
            <w:tcW w:w="2079" w:type="dxa"/>
            <w:noWrap w:val="0"/>
            <w:vAlign w:val="top"/>
          </w:tcPr>
          <w:p w14:paraId="1F6694B3">
            <w:pPr>
              <w:spacing w:line="360" w:lineRule="auto"/>
              <w:rPr>
                <w:color w:val="auto"/>
                <w:szCs w:val="21"/>
                <w:highlight w:val="none"/>
              </w:rPr>
            </w:pPr>
          </w:p>
        </w:tc>
        <w:tc>
          <w:tcPr>
            <w:tcW w:w="2079" w:type="dxa"/>
            <w:noWrap w:val="0"/>
            <w:vAlign w:val="top"/>
          </w:tcPr>
          <w:p w14:paraId="245E0D12">
            <w:pPr>
              <w:spacing w:line="360" w:lineRule="auto"/>
              <w:rPr>
                <w:color w:val="auto"/>
                <w:szCs w:val="21"/>
                <w:highlight w:val="none"/>
              </w:rPr>
            </w:pPr>
          </w:p>
        </w:tc>
      </w:tr>
      <w:tr w14:paraId="42920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76DD0ED">
            <w:pPr>
              <w:spacing w:line="360" w:lineRule="auto"/>
              <w:rPr>
                <w:color w:val="auto"/>
                <w:szCs w:val="21"/>
                <w:highlight w:val="none"/>
              </w:rPr>
            </w:pPr>
          </w:p>
        </w:tc>
        <w:tc>
          <w:tcPr>
            <w:tcW w:w="2079" w:type="dxa"/>
            <w:noWrap w:val="0"/>
            <w:vAlign w:val="top"/>
          </w:tcPr>
          <w:p w14:paraId="5F08A682">
            <w:pPr>
              <w:spacing w:line="360" w:lineRule="auto"/>
              <w:rPr>
                <w:color w:val="auto"/>
                <w:szCs w:val="21"/>
                <w:highlight w:val="none"/>
              </w:rPr>
            </w:pPr>
          </w:p>
        </w:tc>
        <w:tc>
          <w:tcPr>
            <w:tcW w:w="2079" w:type="dxa"/>
            <w:noWrap w:val="0"/>
            <w:vAlign w:val="top"/>
          </w:tcPr>
          <w:p w14:paraId="1EC6C238">
            <w:pPr>
              <w:spacing w:line="360" w:lineRule="auto"/>
              <w:rPr>
                <w:color w:val="auto"/>
                <w:szCs w:val="21"/>
                <w:highlight w:val="none"/>
              </w:rPr>
            </w:pPr>
          </w:p>
        </w:tc>
        <w:tc>
          <w:tcPr>
            <w:tcW w:w="2079" w:type="dxa"/>
            <w:noWrap w:val="0"/>
            <w:vAlign w:val="top"/>
          </w:tcPr>
          <w:p w14:paraId="70F74AC2">
            <w:pPr>
              <w:spacing w:line="360" w:lineRule="auto"/>
              <w:rPr>
                <w:color w:val="auto"/>
                <w:szCs w:val="21"/>
                <w:highlight w:val="none"/>
              </w:rPr>
            </w:pPr>
          </w:p>
        </w:tc>
      </w:tr>
      <w:tr w14:paraId="6807F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13C4EFA5">
            <w:pPr>
              <w:spacing w:line="360" w:lineRule="auto"/>
              <w:rPr>
                <w:color w:val="auto"/>
                <w:szCs w:val="21"/>
                <w:highlight w:val="none"/>
              </w:rPr>
            </w:pPr>
          </w:p>
        </w:tc>
        <w:tc>
          <w:tcPr>
            <w:tcW w:w="2079" w:type="dxa"/>
            <w:noWrap w:val="0"/>
            <w:vAlign w:val="top"/>
          </w:tcPr>
          <w:p w14:paraId="61633C74">
            <w:pPr>
              <w:spacing w:line="360" w:lineRule="auto"/>
              <w:rPr>
                <w:color w:val="auto"/>
                <w:szCs w:val="21"/>
                <w:highlight w:val="none"/>
              </w:rPr>
            </w:pPr>
          </w:p>
        </w:tc>
        <w:tc>
          <w:tcPr>
            <w:tcW w:w="2079" w:type="dxa"/>
            <w:noWrap w:val="0"/>
            <w:vAlign w:val="top"/>
          </w:tcPr>
          <w:p w14:paraId="55B9B70E">
            <w:pPr>
              <w:spacing w:line="360" w:lineRule="auto"/>
              <w:rPr>
                <w:color w:val="auto"/>
                <w:szCs w:val="21"/>
                <w:highlight w:val="none"/>
              </w:rPr>
            </w:pPr>
          </w:p>
        </w:tc>
        <w:tc>
          <w:tcPr>
            <w:tcW w:w="2079" w:type="dxa"/>
            <w:noWrap w:val="0"/>
            <w:vAlign w:val="top"/>
          </w:tcPr>
          <w:p w14:paraId="14669508">
            <w:pPr>
              <w:spacing w:line="360" w:lineRule="auto"/>
              <w:rPr>
                <w:color w:val="auto"/>
                <w:szCs w:val="21"/>
                <w:highlight w:val="none"/>
              </w:rPr>
            </w:pPr>
          </w:p>
        </w:tc>
      </w:tr>
    </w:tbl>
    <w:p w14:paraId="2537252D">
      <w:pPr>
        <w:spacing w:line="420" w:lineRule="exact"/>
        <w:rPr>
          <w:color w:val="auto"/>
          <w:szCs w:val="21"/>
          <w:highlight w:val="none"/>
        </w:rPr>
      </w:pPr>
    </w:p>
    <w:p w14:paraId="50D6FAC8">
      <w:pPr>
        <w:spacing w:before="120" w:beforeLines="50" w:after="120" w:afterLines="50" w:line="360" w:lineRule="auto"/>
        <w:jc w:val="center"/>
        <w:outlineLvl w:val="1"/>
        <w:rPr>
          <w:rFonts w:hint="eastAsia" w:ascii="仿宋" w:hAnsi="仿宋" w:eastAsia="仿宋" w:cs="仿宋"/>
          <w:b/>
          <w:bCs/>
          <w:color w:val="auto"/>
          <w:sz w:val="28"/>
          <w:szCs w:val="28"/>
          <w:highlight w:val="none"/>
        </w:rPr>
      </w:pPr>
      <w:bookmarkStart w:id="1879" w:name="_Toc23557"/>
      <w:bookmarkStart w:id="1880" w:name="_Toc27459"/>
      <w:bookmarkStart w:id="1881" w:name="_Toc20245"/>
      <w:bookmarkStart w:id="1882" w:name="_Toc9744"/>
      <w:bookmarkStart w:id="1883" w:name="_Toc1662"/>
      <w:bookmarkStart w:id="1884" w:name="_Toc19009"/>
      <w:bookmarkStart w:id="1885" w:name="_Toc20873"/>
      <w:r>
        <w:rPr>
          <w:b/>
          <w:bCs/>
          <w:color w:val="auto"/>
          <w:sz w:val="28"/>
          <w:szCs w:val="28"/>
          <w:highlight w:val="none"/>
        </w:rPr>
        <w:br w:type="page"/>
      </w:r>
      <w:bookmarkStart w:id="1886" w:name="_Toc9033"/>
      <w:bookmarkStart w:id="1887" w:name="_Toc20996"/>
      <w:bookmarkStart w:id="1888" w:name="_Toc17624"/>
      <w:bookmarkStart w:id="1889" w:name="_Toc26288"/>
      <w:bookmarkStart w:id="1890" w:name="_Toc13643"/>
      <w:bookmarkStart w:id="1891" w:name="_Toc22522"/>
      <w:bookmarkStart w:id="1892" w:name="_Toc8082"/>
      <w:bookmarkStart w:id="1893" w:name="_Toc17838"/>
      <w:bookmarkStart w:id="1894" w:name="_Toc30041"/>
      <w:bookmarkStart w:id="1895" w:name="_Toc3169"/>
      <w:bookmarkStart w:id="1896" w:name="_Toc18836"/>
      <w:bookmarkStart w:id="1897" w:name="_Toc18145"/>
      <w:bookmarkStart w:id="1898" w:name="_Toc2754"/>
      <w:bookmarkStart w:id="1899" w:name="_Toc14944"/>
      <w:bookmarkStart w:id="1900" w:name="_Toc13943"/>
      <w:bookmarkStart w:id="1901" w:name="_Toc14457"/>
      <w:r>
        <w:rPr>
          <w:rFonts w:hint="eastAsia" w:ascii="仿宋" w:hAnsi="仿宋" w:eastAsia="仿宋" w:cs="仿宋"/>
          <w:b/>
          <w:bCs/>
          <w:color w:val="auto"/>
          <w:sz w:val="28"/>
          <w:szCs w:val="28"/>
          <w:highlight w:val="none"/>
        </w:rPr>
        <w:t>六、项目管理机构</w:t>
      </w:r>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p>
    <w:p w14:paraId="311ED105">
      <w:pPr>
        <w:spacing w:after="240" w:afterLines="100" w:line="36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（一）项目管理机构组成表</w:t>
      </w:r>
    </w:p>
    <w:tbl>
      <w:tblPr>
        <w:tblStyle w:val="28"/>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822"/>
        <w:gridCol w:w="821"/>
        <w:gridCol w:w="1314"/>
        <w:gridCol w:w="893"/>
        <w:gridCol w:w="913"/>
        <w:gridCol w:w="985"/>
        <w:gridCol w:w="2465"/>
        <w:gridCol w:w="820"/>
      </w:tblGrid>
      <w:tr w14:paraId="18AF4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vMerge w:val="restart"/>
            <w:noWrap w:val="0"/>
            <w:vAlign w:val="center"/>
          </w:tcPr>
          <w:p w14:paraId="68847B3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职务</w:t>
            </w:r>
          </w:p>
        </w:tc>
        <w:tc>
          <w:tcPr>
            <w:tcW w:w="822" w:type="dxa"/>
            <w:vMerge w:val="restart"/>
            <w:noWrap w:val="0"/>
            <w:vAlign w:val="center"/>
          </w:tcPr>
          <w:p w14:paraId="4554B51A">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821" w:type="dxa"/>
            <w:vMerge w:val="restart"/>
            <w:noWrap w:val="0"/>
            <w:vAlign w:val="center"/>
          </w:tcPr>
          <w:p w14:paraId="2A0E7A67">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职称</w:t>
            </w:r>
          </w:p>
        </w:tc>
        <w:tc>
          <w:tcPr>
            <w:tcW w:w="6570" w:type="dxa"/>
            <w:gridSpan w:val="5"/>
            <w:noWrap w:val="0"/>
            <w:vAlign w:val="center"/>
          </w:tcPr>
          <w:p w14:paraId="76649CB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执业或职业资格证明</w:t>
            </w:r>
          </w:p>
        </w:tc>
        <w:tc>
          <w:tcPr>
            <w:tcW w:w="820" w:type="dxa"/>
            <w:vMerge w:val="restart"/>
            <w:noWrap w:val="0"/>
            <w:vAlign w:val="center"/>
          </w:tcPr>
          <w:p w14:paraId="56B6A09D">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6120F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vMerge w:val="continue"/>
            <w:noWrap w:val="0"/>
            <w:vAlign w:val="center"/>
          </w:tcPr>
          <w:p w14:paraId="15F4972B">
            <w:pPr>
              <w:jc w:val="center"/>
              <w:rPr>
                <w:rFonts w:hint="eastAsia" w:ascii="仿宋" w:hAnsi="仿宋" w:eastAsia="仿宋" w:cs="仿宋"/>
                <w:color w:val="auto"/>
                <w:sz w:val="24"/>
                <w:highlight w:val="none"/>
              </w:rPr>
            </w:pPr>
          </w:p>
        </w:tc>
        <w:tc>
          <w:tcPr>
            <w:tcW w:w="822" w:type="dxa"/>
            <w:vMerge w:val="continue"/>
            <w:noWrap w:val="0"/>
            <w:vAlign w:val="center"/>
          </w:tcPr>
          <w:p w14:paraId="49EAD027">
            <w:pPr>
              <w:jc w:val="center"/>
              <w:rPr>
                <w:rFonts w:hint="eastAsia" w:ascii="仿宋" w:hAnsi="仿宋" w:eastAsia="仿宋" w:cs="仿宋"/>
                <w:color w:val="auto"/>
                <w:sz w:val="24"/>
                <w:highlight w:val="none"/>
              </w:rPr>
            </w:pPr>
          </w:p>
        </w:tc>
        <w:tc>
          <w:tcPr>
            <w:tcW w:w="821" w:type="dxa"/>
            <w:vMerge w:val="continue"/>
            <w:noWrap w:val="0"/>
            <w:vAlign w:val="center"/>
          </w:tcPr>
          <w:p w14:paraId="1C9A0CF8">
            <w:pPr>
              <w:jc w:val="center"/>
              <w:rPr>
                <w:rFonts w:hint="eastAsia" w:ascii="仿宋" w:hAnsi="仿宋" w:eastAsia="仿宋" w:cs="仿宋"/>
                <w:color w:val="auto"/>
                <w:sz w:val="24"/>
                <w:highlight w:val="none"/>
              </w:rPr>
            </w:pPr>
          </w:p>
        </w:tc>
        <w:tc>
          <w:tcPr>
            <w:tcW w:w="1314" w:type="dxa"/>
            <w:noWrap w:val="0"/>
            <w:vAlign w:val="center"/>
          </w:tcPr>
          <w:p w14:paraId="4E913F0A">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证书名称</w:t>
            </w:r>
          </w:p>
        </w:tc>
        <w:tc>
          <w:tcPr>
            <w:tcW w:w="893" w:type="dxa"/>
            <w:noWrap w:val="0"/>
            <w:vAlign w:val="center"/>
          </w:tcPr>
          <w:p w14:paraId="2BBB927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级别</w:t>
            </w:r>
          </w:p>
        </w:tc>
        <w:tc>
          <w:tcPr>
            <w:tcW w:w="913" w:type="dxa"/>
            <w:noWrap w:val="0"/>
            <w:vAlign w:val="center"/>
          </w:tcPr>
          <w:p w14:paraId="4B248647">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证号</w:t>
            </w:r>
          </w:p>
        </w:tc>
        <w:tc>
          <w:tcPr>
            <w:tcW w:w="985" w:type="dxa"/>
            <w:noWrap w:val="0"/>
            <w:vAlign w:val="center"/>
          </w:tcPr>
          <w:p w14:paraId="17D6535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w:t>
            </w:r>
          </w:p>
        </w:tc>
        <w:tc>
          <w:tcPr>
            <w:tcW w:w="2465" w:type="dxa"/>
            <w:noWrap w:val="0"/>
            <w:vAlign w:val="center"/>
          </w:tcPr>
          <w:p w14:paraId="52CEA10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养老保险</w:t>
            </w:r>
          </w:p>
        </w:tc>
        <w:tc>
          <w:tcPr>
            <w:tcW w:w="820" w:type="dxa"/>
            <w:vMerge w:val="continue"/>
            <w:noWrap w:val="0"/>
            <w:vAlign w:val="center"/>
          </w:tcPr>
          <w:p w14:paraId="34C1CE74">
            <w:pPr>
              <w:jc w:val="center"/>
              <w:rPr>
                <w:rFonts w:hint="eastAsia" w:ascii="仿宋" w:hAnsi="仿宋" w:eastAsia="仿宋" w:cs="仿宋"/>
                <w:color w:val="auto"/>
                <w:sz w:val="24"/>
                <w:highlight w:val="none"/>
              </w:rPr>
            </w:pPr>
          </w:p>
        </w:tc>
      </w:tr>
      <w:tr w14:paraId="5C772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58983E6C">
            <w:pPr>
              <w:jc w:val="center"/>
              <w:rPr>
                <w:rFonts w:hint="eastAsia" w:ascii="仿宋" w:hAnsi="仿宋" w:eastAsia="仿宋" w:cs="仿宋"/>
                <w:color w:val="auto"/>
                <w:sz w:val="24"/>
                <w:highlight w:val="none"/>
              </w:rPr>
            </w:pPr>
          </w:p>
        </w:tc>
        <w:tc>
          <w:tcPr>
            <w:tcW w:w="822" w:type="dxa"/>
            <w:noWrap w:val="0"/>
            <w:vAlign w:val="center"/>
          </w:tcPr>
          <w:p w14:paraId="3764228E">
            <w:pPr>
              <w:jc w:val="center"/>
              <w:rPr>
                <w:rFonts w:hint="eastAsia" w:ascii="仿宋" w:hAnsi="仿宋" w:eastAsia="仿宋" w:cs="仿宋"/>
                <w:color w:val="auto"/>
                <w:sz w:val="24"/>
                <w:highlight w:val="none"/>
              </w:rPr>
            </w:pPr>
          </w:p>
        </w:tc>
        <w:tc>
          <w:tcPr>
            <w:tcW w:w="821" w:type="dxa"/>
            <w:noWrap w:val="0"/>
            <w:vAlign w:val="center"/>
          </w:tcPr>
          <w:p w14:paraId="481C882B">
            <w:pPr>
              <w:jc w:val="center"/>
              <w:rPr>
                <w:rFonts w:hint="eastAsia" w:ascii="仿宋" w:hAnsi="仿宋" w:eastAsia="仿宋" w:cs="仿宋"/>
                <w:color w:val="auto"/>
                <w:sz w:val="24"/>
                <w:highlight w:val="none"/>
              </w:rPr>
            </w:pPr>
          </w:p>
        </w:tc>
        <w:tc>
          <w:tcPr>
            <w:tcW w:w="1314" w:type="dxa"/>
            <w:noWrap w:val="0"/>
            <w:vAlign w:val="center"/>
          </w:tcPr>
          <w:p w14:paraId="05EAA31C">
            <w:pPr>
              <w:jc w:val="center"/>
              <w:rPr>
                <w:rFonts w:hint="eastAsia" w:ascii="仿宋" w:hAnsi="仿宋" w:eastAsia="仿宋" w:cs="仿宋"/>
                <w:color w:val="auto"/>
                <w:sz w:val="24"/>
                <w:highlight w:val="none"/>
              </w:rPr>
            </w:pPr>
          </w:p>
        </w:tc>
        <w:tc>
          <w:tcPr>
            <w:tcW w:w="893" w:type="dxa"/>
            <w:noWrap w:val="0"/>
            <w:vAlign w:val="center"/>
          </w:tcPr>
          <w:p w14:paraId="0FD3A6E0">
            <w:pPr>
              <w:jc w:val="center"/>
              <w:rPr>
                <w:rFonts w:hint="eastAsia" w:ascii="仿宋" w:hAnsi="仿宋" w:eastAsia="仿宋" w:cs="仿宋"/>
                <w:color w:val="auto"/>
                <w:sz w:val="24"/>
                <w:highlight w:val="none"/>
              </w:rPr>
            </w:pPr>
          </w:p>
        </w:tc>
        <w:tc>
          <w:tcPr>
            <w:tcW w:w="913" w:type="dxa"/>
            <w:noWrap w:val="0"/>
            <w:vAlign w:val="center"/>
          </w:tcPr>
          <w:p w14:paraId="08477596">
            <w:pPr>
              <w:jc w:val="center"/>
              <w:rPr>
                <w:rFonts w:hint="eastAsia" w:ascii="仿宋" w:hAnsi="仿宋" w:eastAsia="仿宋" w:cs="仿宋"/>
                <w:color w:val="auto"/>
                <w:sz w:val="24"/>
                <w:highlight w:val="none"/>
              </w:rPr>
            </w:pPr>
          </w:p>
        </w:tc>
        <w:tc>
          <w:tcPr>
            <w:tcW w:w="985" w:type="dxa"/>
            <w:noWrap w:val="0"/>
            <w:vAlign w:val="center"/>
          </w:tcPr>
          <w:p w14:paraId="3B1A4A9D">
            <w:pPr>
              <w:jc w:val="center"/>
              <w:rPr>
                <w:rFonts w:hint="eastAsia" w:ascii="仿宋" w:hAnsi="仿宋" w:eastAsia="仿宋" w:cs="仿宋"/>
                <w:color w:val="auto"/>
                <w:sz w:val="24"/>
                <w:highlight w:val="none"/>
              </w:rPr>
            </w:pPr>
          </w:p>
        </w:tc>
        <w:tc>
          <w:tcPr>
            <w:tcW w:w="2465" w:type="dxa"/>
            <w:noWrap w:val="0"/>
            <w:vAlign w:val="center"/>
          </w:tcPr>
          <w:p w14:paraId="7A8EAF57">
            <w:pPr>
              <w:jc w:val="center"/>
              <w:rPr>
                <w:rFonts w:hint="eastAsia" w:ascii="仿宋" w:hAnsi="仿宋" w:eastAsia="仿宋" w:cs="仿宋"/>
                <w:color w:val="auto"/>
                <w:sz w:val="24"/>
                <w:highlight w:val="none"/>
              </w:rPr>
            </w:pPr>
          </w:p>
        </w:tc>
        <w:tc>
          <w:tcPr>
            <w:tcW w:w="820" w:type="dxa"/>
            <w:noWrap w:val="0"/>
            <w:vAlign w:val="center"/>
          </w:tcPr>
          <w:p w14:paraId="4989C4F3">
            <w:pPr>
              <w:jc w:val="center"/>
              <w:rPr>
                <w:rFonts w:hint="eastAsia" w:ascii="仿宋" w:hAnsi="仿宋" w:eastAsia="仿宋" w:cs="仿宋"/>
                <w:color w:val="auto"/>
                <w:sz w:val="24"/>
                <w:highlight w:val="none"/>
              </w:rPr>
            </w:pPr>
          </w:p>
        </w:tc>
      </w:tr>
      <w:tr w14:paraId="2A879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011E9E28">
            <w:pPr>
              <w:jc w:val="center"/>
              <w:rPr>
                <w:color w:val="auto"/>
                <w:szCs w:val="21"/>
                <w:highlight w:val="none"/>
              </w:rPr>
            </w:pPr>
          </w:p>
        </w:tc>
        <w:tc>
          <w:tcPr>
            <w:tcW w:w="822" w:type="dxa"/>
            <w:noWrap w:val="0"/>
            <w:vAlign w:val="center"/>
          </w:tcPr>
          <w:p w14:paraId="253A2071">
            <w:pPr>
              <w:jc w:val="center"/>
              <w:rPr>
                <w:color w:val="auto"/>
                <w:szCs w:val="21"/>
                <w:highlight w:val="none"/>
              </w:rPr>
            </w:pPr>
          </w:p>
        </w:tc>
        <w:tc>
          <w:tcPr>
            <w:tcW w:w="821" w:type="dxa"/>
            <w:noWrap w:val="0"/>
            <w:vAlign w:val="center"/>
          </w:tcPr>
          <w:p w14:paraId="5AD1494D">
            <w:pPr>
              <w:jc w:val="center"/>
              <w:rPr>
                <w:color w:val="auto"/>
                <w:szCs w:val="21"/>
                <w:highlight w:val="none"/>
              </w:rPr>
            </w:pPr>
          </w:p>
        </w:tc>
        <w:tc>
          <w:tcPr>
            <w:tcW w:w="1314" w:type="dxa"/>
            <w:noWrap w:val="0"/>
            <w:vAlign w:val="center"/>
          </w:tcPr>
          <w:p w14:paraId="445158D3">
            <w:pPr>
              <w:jc w:val="center"/>
              <w:rPr>
                <w:color w:val="auto"/>
                <w:szCs w:val="21"/>
                <w:highlight w:val="none"/>
              </w:rPr>
            </w:pPr>
          </w:p>
        </w:tc>
        <w:tc>
          <w:tcPr>
            <w:tcW w:w="893" w:type="dxa"/>
            <w:noWrap w:val="0"/>
            <w:vAlign w:val="center"/>
          </w:tcPr>
          <w:p w14:paraId="788DF3ED">
            <w:pPr>
              <w:jc w:val="center"/>
              <w:rPr>
                <w:color w:val="auto"/>
                <w:szCs w:val="21"/>
                <w:highlight w:val="none"/>
              </w:rPr>
            </w:pPr>
          </w:p>
        </w:tc>
        <w:tc>
          <w:tcPr>
            <w:tcW w:w="913" w:type="dxa"/>
            <w:noWrap w:val="0"/>
            <w:vAlign w:val="center"/>
          </w:tcPr>
          <w:p w14:paraId="117B9713">
            <w:pPr>
              <w:jc w:val="center"/>
              <w:rPr>
                <w:color w:val="auto"/>
                <w:szCs w:val="21"/>
                <w:highlight w:val="none"/>
              </w:rPr>
            </w:pPr>
          </w:p>
        </w:tc>
        <w:tc>
          <w:tcPr>
            <w:tcW w:w="985" w:type="dxa"/>
            <w:noWrap w:val="0"/>
            <w:vAlign w:val="center"/>
          </w:tcPr>
          <w:p w14:paraId="059ECD2D">
            <w:pPr>
              <w:jc w:val="center"/>
              <w:rPr>
                <w:color w:val="auto"/>
                <w:szCs w:val="21"/>
                <w:highlight w:val="none"/>
              </w:rPr>
            </w:pPr>
          </w:p>
        </w:tc>
        <w:tc>
          <w:tcPr>
            <w:tcW w:w="2465" w:type="dxa"/>
            <w:noWrap w:val="0"/>
            <w:vAlign w:val="center"/>
          </w:tcPr>
          <w:p w14:paraId="127DE447">
            <w:pPr>
              <w:jc w:val="center"/>
              <w:rPr>
                <w:color w:val="auto"/>
                <w:szCs w:val="21"/>
                <w:highlight w:val="none"/>
              </w:rPr>
            </w:pPr>
          </w:p>
        </w:tc>
        <w:tc>
          <w:tcPr>
            <w:tcW w:w="820" w:type="dxa"/>
            <w:noWrap w:val="0"/>
            <w:vAlign w:val="center"/>
          </w:tcPr>
          <w:p w14:paraId="0BA65A54">
            <w:pPr>
              <w:jc w:val="center"/>
              <w:rPr>
                <w:color w:val="auto"/>
                <w:szCs w:val="21"/>
                <w:highlight w:val="none"/>
              </w:rPr>
            </w:pPr>
          </w:p>
        </w:tc>
      </w:tr>
      <w:tr w14:paraId="4ED37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57BAA3C8">
            <w:pPr>
              <w:jc w:val="center"/>
              <w:rPr>
                <w:color w:val="auto"/>
                <w:szCs w:val="21"/>
                <w:highlight w:val="none"/>
              </w:rPr>
            </w:pPr>
          </w:p>
        </w:tc>
        <w:tc>
          <w:tcPr>
            <w:tcW w:w="822" w:type="dxa"/>
            <w:noWrap w:val="0"/>
            <w:vAlign w:val="center"/>
          </w:tcPr>
          <w:p w14:paraId="398510C4">
            <w:pPr>
              <w:jc w:val="center"/>
              <w:rPr>
                <w:color w:val="auto"/>
                <w:szCs w:val="21"/>
                <w:highlight w:val="none"/>
              </w:rPr>
            </w:pPr>
          </w:p>
        </w:tc>
        <w:tc>
          <w:tcPr>
            <w:tcW w:w="821" w:type="dxa"/>
            <w:noWrap w:val="0"/>
            <w:vAlign w:val="center"/>
          </w:tcPr>
          <w:p w14:paraId="445991BD">
            <w:pPr>
              <w:jc w:val="center"/>
              <w:rPr>
                <w:color w:val="auto"/>
                <w:szCs w:val="21"/>
                <w:highlight w:val="none"/>
              </w:rPr>
            </w:pPr>
          </w:p>
        </w:tc>
        <w:tc>
          <w:tcPr>
            <w:tcW w:w="1314" w:type="dxa"/>
            <w:noWrap w:val="0"/>
            <w:vAlign w:val="center"/>
          </w:tcPr>
          <w:p w14:paraId="5A6D1072">
            <w:pPr>
              <w:jc w:val="center"/>
              <w:rPr>
                <w:color w:val="auto"/>
                <w:szCs w:val="21"/>
                <w:highlight w:val="none"/>
              </w:rPr>
            </w:pPr>
          </w:p>
        </w:tc>
        <w:tc>
          <w:tcPr>
            <w:tcW w:w="893" w:type="dxa"/>
            <w:noWrap w:val="0"/>
            <w:vAlign w:val="center"/>
          </w:tcPr>
          <w:p w14:paraId="392C2506">
            <w:pPr>
              <w:jc w:val="center"/>
              <w:rPr>
                <w:color w:val="auto"/>
                <w:szCs w:val="21"/>
                <w:highlight w:val="none"/>
              </w:rPr>
            </w:pPr>
          </w:p>
        </w:tc>
        <w:tc>
          <w:tcPr>
            <w:tcW w:w="913" w:type="dxa"/>
            <w:noWrap w:val="0"/>
            <w:vAlign w:val="center"/>
          </w:tcPr>
          <w:p w14:paraId="15D45811">
            <w:pPr>
              <w:jc w:val="center"/>
              <w:rPr>
                <w:color w:val="auto"/>
                <w:szCs w:val="21"/>
                <w:highlight w:val="none"/>
              </w:rPr>
            </w:pPr>
          </w:p>
        </w:tc>
        <w:tc>
          <w:tcPr>
            <w:tcW w:w="985" w:type="dxa"/>
            <w:noWrap w:val="0"/>
            <w:vAlign w:val="center"/>
          </w:tcPr>
          <w:p w14:paraId="0BF41412">
            <w:pPr>
              <w:jc w:val="center"/>
              <w:rPr>
                <w:color w:val="auto"/>
                <w:szCs w:val="21"/>
                <w:highlight w:val="none"/>
              </w:rPr>
            </w:pPr>
          </w:p>
        </w:tc>
        <w:tc>
          <w:tcPr>
            <w:tcW w:w="2465" w:type="dxa"/>
            <w:noWrap w:val="0"/>
            <w:vAlign w:val="center"/>
          </w:tcPr>
          <w:p w14:paraId="75233344">
            <w:pPr>
              <w:jc w:val="center"/>
              <w:rPr>
                <w:color w:val="auto"/>
                <w:szCs w:val="21"/>
                <w:highlight w:val="none"/>
              </w:rPr>
            </w:pPr>
          </w:p>
        </w:tc>
        <w:tc>
          <w:tcPr>
            <w:tcW w:w="820" w:type="dxa"/>
            <w:noWrap w:val="0"/>
            <w:vAlign w:val="center"/>
          </w:tcPr>
          <w:p w14:paraId="74AD6E54">
            <w:pPr>
              <w:jc w:val="center"/>
              <w:rPr>
                <w:color w:val="auto"/>
                <w:szCs w:val="21"/>
                <w:highlight w:val="none"/>
              </w:rPr>
            </w:pPr>
          </w:p>
        </w:tc>
      </w:tr>
      <w:tr w14:paraId="2EA22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4B82C571">
            <w:pPr>
              <w:jc w:val="center"/>
              <w:rPr>
                <w:color w:val="auto"/>
                <w:szCs w:val="21"/>
                <w:highlight w:val="none"/>
              </w:rPr>
            </w:pPr>
          </w:p>
        </w:tc>
        <w:tc>
          <w:tcPr>
            <w:tcW w:w="822" w:type="dxa"/>
            <w:noWrap w:val="0"/>
            <w:vAlign w:val="center"/>
          </w:tcPr>
          <w:p w14:paraId="4F866B3F">
            <w:pPr>
              <w:jc w:val="center"/>
              <w:rPr>
                <w:color w:val="auto"/>
                <w:szCs w:val="21"/>
                <w:highlight w:val="none"/>
              </w:rPr>
            </w:pPr>
          </w:p>
        </w:tc>
        <w:tc>
          <w:tcPr>
            <w:tcW w:w="821" w:type="dxa"/>
            <w:noWrap w:val="0"/>
            <w:vAlign w:val="center"/>
          </w:tcPr>
          <w:p w14:paraId="41D142AF">
            <w:pPr>
              <w:jc w:val="center"/>
              <w:rPr>
                <w:color w:val="auto"/>
                <w:szCs w:val="21"/>
                <w:highlight w:val="none"/>
              </w:rPr>
            </w:pPr>
          </w:p>
        </w:tc>
        <w:tc>
          <w:tcPr>
            <w:tcW w:w="1314" w:type="dxa"/>
            <w:noWrap w:val="0"/>
            <w:vAlign w:val="center"/>
          </w:tcPr>
          <w:p w14:paraId="018ED86F">
            <w:pPr>
              <w:jc w:val="center"/>
              <w:rPr>
                <w:color w:val="auto"/>
                <w:szCs w:val="21"/>
                <w:highlight w:val="none"/>
              </w:rPr>
            </w:pPr>
          </w:p>
        </w:tc>
        <w:tc>
          <w:tcPr>
            <w:tcW w:w="893" w:type="dxa"/>
            <w:noWrap w:val="0"/>
            <w:vAlign w:val="center"/>
          </w:tcPr>
          <w:p w14:paraId="248418D0">
            <w:pPr>
              <w:jc w:val="center"/>
              <w:rPr>
                <w:color w:val="auto"/>
                <w:szCs w:val="21"/>
                <w:highlight w:val="none"/>
              </w:rPr>
            </w:pPr>
          </w:p>
        </w:tc>
        <w:tc>
          <w:tcPr>
            <w:tcW w:w="913" w:type="dxa"/>
            <w:noWrap w:val="0"/>
            <w:vAlign w:val="center"/>
          </w:tcPr>
          <w:p w14:paraId="21E76E0F">
            <w:pPr>
              <w:jc w:val="center"/>
              <w:rPr>
                <w:color w:val="auto"/>
                <w:szCs w:val="21"/>
                <w:highlight w:val="none"/>
              </w:rPr>
            </w:pPr>
          </w:p>
        </w:tc>
        <w:tc>
          <w:tcPr>
            <w:tcW w:w="985" w:type="dxa"/>
            <w:noWrap w:val="0"/>
            <w:vAlign w:val="center"/>
          </w:tcPr>
          <w:p w14:paraId="26386521">
            <w:pPr>
              <w:jc w:val="center"/>
              <w:rPr>
                <w:color w:val="auto"/>
                <w:szCs w:val="21"/>
                <w:highlight w:val="none"/>
              </w:rPr>
            </w:pPr>
          </w:p>
        </w:tc>
        <w:tc>
          <w:tcPr>
            <w:tcW w:w="2465" w:type="dxa"/>
            <w:noWrap w:val="0"/>
            <w:vAlign w:val="center"/>
          </w:tcPr>
          <w:p w14:paraId="343FF936">
            <w:pPr>
              <w:jc w:val="center"/>
              <w:rPr>
                <w:color w:val="auto"/>
                <w:szCs w:val="21"/>
                <w:highlight w:val="none"/>
              </w:rPr>
            </w:pPr>
          </w:p>
        </w:tc>
        <w:tc>
          <w:tcPr>
            <w:tcW w:w="820" w:type="dxa"/>
            <w:noWrap w:val="0"/>
            <w:vAlign w:val="center"/>
          </w:tcPr>
          <w:p w14:paraId="6D901356">
            <w:pPr>
              <w:jc w:val="center"/>
              <w:rPr>
                <w:color w:val="auto"/>
                <w:szCs w:val="21"/>
                <w:highlight w:val="none"/>
              </w:rPr>
            </w:pPr>
          </w:p>
        </w:tc>
      </w:tr>
      <w:tr w14:paraId="51705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5B939D62">
            <w:pPr>
              <w:jc w:val="center"/>
              <w:rPr>
                <w:color w:val="auto"/>
                <w:szCs w:val="21"/>
                <w:highlight w:val="none"/>
              </w:rPr>
            </w:pPr>
          </w:p>
        </w:tc>
        <w:tc>
          <w:tcPr>
            <w:tcW w:w="822" w:type="dxa"/>
            <w:noWrap w:val="0"/>
            <w:vAlign w:val="center"/>
          </w:tcPr>
          <w:p w14:paraId="0AF1BB4B">
            <w:pPr>
              <w:jc w:val="center"/>
              <w:rPr>
                <w:color w:val="auto"/>
                <w:szCs w:val="21"/>
                <w:highlight w:val="none"/>
              </w:rPr>
            </w:pPr>
          </w:p>
        </w:tc>
        <w:tc>
          <w:tcPr>
            <w:tcW w:w="821" w:type="dxa"/>
            <w:noWrap w:val="0"/>
            <w:vAlign w:val="center"/>
          </w:tcPr>
          <w:p w14:paraId="2D6D3CD4">
            <w:pPr>
              <w:jc w:val="center"/>
              <w:rPr>
                <w:color w:val="auto"/>
                <w:szCs w:val="21"/>
                <w:highlight w:val="none"/>
              </w:rPr>
            </w:pPr>
          </w:p>
        </w:tc>
        <w:tc>
          <w:tcPr>
            <w:tcW w:w="1314" w:type="dxa"/>
            <w:noWrap w:val="0"/>
            <w:vAlign w:val="center"/>
          </w:tcPr>
          <w:p w14:paraId="7B04744B">
            <w:pPr>
              <w:jc w:val="center"/>
              <w:rPr>
                <w:color w:val="auto"/>
                <w:szCs w:val="21"/>
                <w:highlight w:val="none"/>
              </w:rPr>
            </w:pPr>
          </w:p>
        </w:tc>
        <w:tc>
          <w:tcPr>
            <w:tcW w:w="893" w:type="dxa"/>
            <w:noWrap w:val="0"/>
            <w:vAlign w:val="center"/>
          </w:tcPr>
          <w:p w14:paraId="28FF9B71">
            <w:pPr>
              <w:jc w:val="center"/>
              <w:rPr>
                <w:color w:val="auto"/>
                <w:szCs w:val="21"/>
                <w:highlight w:val="none"/>
              </w:rPr>
            </w:pPr>
          </w:p>
        </w:tc>
        <w:tc>
          <w:tcPr>
            <w:tcW w:w="913" w:type="dxa"/>
            <w:noWrap w:val="0"/>
            <w:vAlign w:val="center"/>
          </w:tcPr>
          <w:p w14:paraId="4B405A3E">
            <w:pPr>
              <w:jc w:val="center"/>
              <w:rPr>
                <w:color w:val="auto"/>
                <w:szCs w:val="21"/>
                <w:highlight w:val="none"/>
              </w:rPr>
            </w:pPr>
          </w:p>
        </w:tc>
        <w:tc>
          <w:tcPr>
            <w:tcW w:w="985" w:type="dxa"/>
            <w:noWrap w:val="0"/>
            <w:vAlign w:val="center"/>
          </w:tcPr>
          <w:p w14:paraId="0DE69A38">
            <w:pPr>
              <w:jc w:val="center"/>
              <w:rPr>
                <w:color w:val="auto"/>
                <w:szCs w:val="21"/>
                <w:highlight w:val="none"/>
              </w:rPr>
            </w:pPr>
          </w:p>
        </w:tc>
        <w:tc>
          <w:tcPr>
            <w:tcW w:w="2465" w:type="dxa"/>
            <w:noWrap w:val="0"/>
            <w:vAlign w:val="center"/>
          </w:tcPr>
          <w:p w14:paraId="70AE9453">
            <w:pPr>
              <w:jc w:val="center"/>
              <w:rPr>
                <w:color w:val="auto"/>
                <w:szCs w:val="21"/>
                <w:highlight w:val="none"/>
              </w:rPr>
            </w:pPr>
          </w:p>
        </w:tc>
        <w:tc>
          <w:tcPr>
            <w:tcW w:w="820" w:type="dxa"/>
            <w:noWrap w:val="0"/>
            <w:vAlign w:val="center"/>
          </w:tcPr>
          <w:p w14:paraId="61AA1F51">
            <w:pPr>
              <w:jc w:val="center"/>
              <w:rPr>
                <w:color w:val="auto"/>
                <w:szCs w:val="21"/>
                <w:highlight w:val="none"/>
              </w:rPr>
            </w:pPr>
          </w:p>
        </w:tc>
      </w:tr>
      <w:tr w14:paraId="211BA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63C4A47A">
            <w:pPr>
              <w:jc w:val="center"/>
              <w:rPr>
                <w:color w:val="auto"/>
                <w:szCs w:val="21"/>
                <w:highlight w:val="none"/>
              </w:rPr>
            </w:pPr>
          </w:p>
        </w:tc>
        <w:tc>
          <w:tcPr>
            <w:tcW w:w="822" w:type="dxa"/>
            <w:noWrap w:val="0"/>
            <w:vAlign w:val="center"/>
          </w:tcPr>
          <w:p w14:paraId="54A821AE">
            <w:pPr>
              <w:jc w:val="center"/>
              <w:rPr>
                <w:color w:val="auto"/>
                <w:szCs w:val="21"/>
                <w:highlight w:val="none"/>
              </w:rPr>
            </w:pPr>
          </w:p>
        </w:tc>
        <w:tc>
          <w:tcPr>
            <w:tcW w:w="821" w:type="dxa"/>
            <w:noWrap w:val="0"/>
            <w:vAlign w:val="center"/>
          </w:tcPr>
          <w:p w14:paraId="65A6F932">
            <w:pPr>
              <w:jc w:val="center"/>
              <w:rPr>
                <w:color w:val="auto"/>
                <w:szCs w:val="21"/>
                <w:highlight w:val="none"/>
              </w:rPr>
            </w:pPr>
          </w:p>
        </w:tc>
        <w:tc>
          <w:tcPr>
            <w:tcW w:w="1314" w:type="dxa"/>
            <w:noWrap w:val="0"/>
            <w:vAlign w:val="center"/>
          </w:tcPr>
          <w:p w14:paraId="6C016817">
            <w:pPr>
              <w:jc w:val="center"/>
              <w:rPr>
                <w:color w:val="auto"/>
                <w:szCs w:val="21"/>
                <w:highlight w:val="none"/>
              </w:rPr>
            </w:pPr>
          </w:p>
        </w:tc>
        <w:tc>
          <w:tcPr>
            <w:tcW w:w="893" w:type="dxa"/>
            <w:noWrap w:val="0"/>
            <w:vAlign w:val="center"/>
          </w:tcPr>
          <w:p w14:paraId="626EB6D5">
            <w:pPr>
              <w:jc w:val="center"/>
              <w:rPr>
                <w:color w:val="auto"/>
                <w:szCs w:val="21"/>
                <w:highlight w:val="none"/>
              </w:rPr>
            </w:pPr>
          </w:p>
        </w:tc>
        <w:tc>
          <w:tcPr>
            <w:tcW w:w="913" w:type="dxa"/>
            <w:noWrap w:val="0"/>
            <w:vAlign w:val="center"/>
          </w:tcPr>
          <w:p w14:paraId="5B4BF8C3">
            <w:pPr>
              <w:jc w:val="center"/>
              <w:rPr>
                <w:color w:val="auto"/>
                <w:szCs w:val="21"/>
                <w:highlight w:val="none"/>
              </w:rPr>
            </w:pPr>
          </w:p>
        </w:tc>
        <w:tc>
          <w:tcPr>
            <w:tcW w:w="985" w:type="dxa"/>
            <w:noWrap w:val="0"/>
            <w:vAlign w:val="center"/>
          </w:tcPr>
          <w:p w14:paraId="74E8D07E">
            <w:pPr>
              <w:jc w:val="center"/>
              <w:rPr>
                <w:color w:val="auto"/>
                <w:szCs w:val="21"/>
                <w:highlight w:val="none"/>
              </w:rPr>
            </w:pPr>
          </w:p>
        </w:tc>
        <w:tc>
          <w:tcPr>
            <w:tcW w:w="2465" w:type="dxa"/>
            <w:noWrap w:val="0"/>
            <w:vAlign w:val="center"/>
          </w:tcPr>
          <w:p w14:paraId="20138EF2">
            <w:pPr>
              <w:jc w:val="center"/>
              <w:rPr>
                <w:color w:val="auto"/>
                <w:szCs w:val="21"/>
                <w:highlight w:val="none"/>
              </w:rPr>
            </w:pPr>
          </w:p>
        </w:tc>
        <w:tc>
          <w:tcPr>
            <w:tcW w:w="820" w:type="dxa"/>
            <w:noWrap w:val="0"/>
            <w:vAlign w:val="center"/>
          </w:tcPr>
          <w:p w14:paraId="0C3818E8">
            <w:pPr>
              <w:jc w:val="center"/>
              <w:rPr>
                <w:color w:val="auto"/>
                <w:szCs w:val="21"/>
                <w:highlight w:val="none"/>
              </w:rPr>
            </w:pPr>
          </w:p>
        </w:tc>
      </w:tr>
      <w:tr w14:paraId="5954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31B23586">
            <w:pPr>
              <w:jc w:val="center"/>
              <w:rPr>
                <w:color w:val="auto"/>
                <w:szCs w:val="21"/>
                <w:highlight w:val="none"/>
              </w:rPr>
            </w:pPr>
          </w:p>
        </w:tc>
        <w:tc>
          <w:tcPr>
            <w:tcW w:w="822" w:type="dxa"/>
            <w:noWrap w:val="0"/>
            <w:vAlign w:val="center"/>
          </w:tcPr>
          <w:p w14:paraId="35D9C66F">
            <w:pPr>
              <w:jc w:val="center"/>
              <w:rPr>
                <w:color w:val="auto"/>
                <w:szCs w:val="21"/>
                <w:highlight w:val="none"/>
              </w:rPr>
            </w:pPr>
          </w:p>
        </w:tc>
        <w:tc>
          <w:tcPr>
            <w:tcW w:w="821" w:type="dxa"/>
            <w:noWrap w:val="0"/>
            <w:vAlign w:val="center"/>
          </w:tcPr>
          <w:p w14:paraId="78C46294">
            <w:pPr>
              <w:jc w:val="center"/>
              <w:rPr>
                <w:color w:val="auto"/>
                <w:szCs w:val="21"/>
                <w:highlight w:val="none"/>
              </w:rPr>
            </w:pPr>
          </w:p>
        </w:tc>
        <w:tc>
          <w:tcPr>
            <w:tcW w:w="1314" w:type="dxa"/>
            <w:noWrap w:val="0"/>
            <w:vAlign w:val="center"/>
          </w:tcPr>
          <w:p w14:paraId="649D084F">
            <w:pPr>
              <w:jc w:val="center"/>
              <w:rPr>
                <w:color w:val="auto"/>
                <w:szCs w:val="21"/>
                <w:highlight w:val="none"/>
              </w:rPr>
            </w:pPr>
          </w:p>
        </w:tc>
        <w:tc>
          <w:tcPr>
            <w:tcW w:w="893" w:type="dxa"/>
            <w:noWrap w:val="0"/>
            <w:vAlign w:val="center"/>
          </w:tcPr>
          <w:p w14:paraId="2196A9B5">
            <w:pPr>
              <w:jc w:val="center"/>
              <w:rPr>
                <w:color w:val="auto"/>
                <w:szCs w:val="21"/>
                <w:highlight w:val="none"/>
              </w:rPr>
            </w:pPr>
          </w:p>
        </w:tc>
        <w:tc>
          <w:tcPr>
            <w:tcW w:w="913" w:type="dxa"/>
            <w:noWrap w:val="0"/>
            <w:vAlign w:val="center"/>
          </w:tcPr>
          <w:p w14:paraId="173E06F5">
            <w:pPr>
              <w:jc w:val="center"/>
              <w:rPr>
                <w:color w:val="auto"/>
                <w:szCs w:val="21"/>
                <w:highlight w:val="none"/>
              </w:rPr>
            </w:pPr>
          </w:p>
        </w:tc>
        <w:tc>
          <w:tcPr>
            <w:tcW w:w="985" w:type="dxa"/>
            <w:noWrap w:val="0"/>
            <w:vAlign w:val="center"/>
          </w:tcPr>
          <w:p w14:paraId="2AFB4453">
            <w:pPr>
              <w:jc w:val="center"/>
              <w:rPr>
                <w:color w:val="auto"/>
                <w:szCs w:val="21"/>
                <w:highlight w:val="none"/>
              </w:rPr>
            </w:pPr>
          </w:p>
        </w:tc>
        <w:tc>
          <w:tcPr>
            <w:tcW w:w="2465" w:type="dxa"/>
            <w:noWrap w:val="0"/>
            <w:vAlign w:val="center"/>
          </w:tcPr>
          <w:p w14:paraId="0DAF6DF9">
            <w:pPr>
              <w:jc w:val="center"/>
              <w:rPr>
                <w:color w:val="auto"/>
                <w:szCs w:val="21"/>
                <w:highlight w:val="none"/>
              </w:rPr>
            </w:pPr>
          </w:p>
        </w:tc>
        <w:tc>
          <w:tcPr>
            <w:tcW w:w="820" w:type="dxa"/>
            <w:noWrap w:val="0"/>
            <w:vAlign w:val="center"/>
          </w:tcPr>
          <w:p w14:paraId="02ED1085">
            <w:pPr>
              <w:jc w:val="center"/>
              <w:rPr>
                <w:color w:val="auto"/>
                <w:szCs w:val="21"/>
                <w:highlight w:val="none"/>
              </w:rPr>
            </w:pPr>
          </w:p>
        </w:tc>
      </w:tr>
      <w:tr w14:paraId="40E80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070953B6">
            <w:pPr>
              <w:jc w:val="center"/>
              <w:rPr>
                <w:color w:val="auto"/>
                <w:szCs w:val="21"/>
                <w:highlight w:val="none"/>
              </w:rPr>
            </w:pPr>
          </w:p>
        </w:tc>
        <w:tc>
          <w:tcPr>
            <w:tcW w:w="822" w:type="dxa"/>
            <w:noWrap w:val="0"/>
            <w:vAlign w:val="center"/>
          </w:tcPr>
          <w:p w14:paraId="19EBC7E9">
            <w:pPr>
              <w:jc w:val="center"/>
              <w:rPr>
                <w:color w:val="auto"/>
                <w:szCs w:val="21"/>
                <w:highlight w:val="none"/>
              </w:rPr>
            </w:pPr>
          </w:p>
        </w:tc>
        <w:tc>
          <w:tcPr>
            <w:tcW w:w="821" w:type="dxa"/>
            <w:noWrap w:val="0"/>
            <w:vAlign w:val="center"/>
          </w:tcPr>
          <w:p w14:paraId="667D8DC5">
            <w:pPr>
              <w:jc w:val="center"/>
              <w:rPr>
                <w:color w:val="auto"/>
                <w:szCs w:val="21"/>
                <w:highlight w:val="none"/>
              </w:rPr>
            </w:pPr>
          </w:p>
        </w:tc>
        <w:tc>
          <w:tcPr>
            <w:tcW w:w="1314" w:type="dxa"/>
            <w:noWrap w:val="0"/>
            <w:vAlign w:val="center"/>
          </w:tcPr>
          <w:p w14:paraId="5A1B185A">
            <w:pPr>
              <w:jc w:val="center"/>
              <w:rPr>
                <w:color w:val="auto"/>
                <w:szCs w:val="21"/>
                <w:highlight w:val="none"/>
              </w:rPr>
            </w:pPr>
          </w:p>
        </w:tc>
        <w:tc>
          <w:tcPr>
            <w:tcW w:w="893" w:type="dxa"/>
            <w:noWrap w:val="0"/>
            <w:vAlign w:val="center"/>
          </w:tcPr>
          <w:p w14:paraId="1CB22427">
            <w:pPr>
              <w:jc w:val="center"/>
              <w:rPr>
                <w:color w:val="auto"/>
                <w:szCs w:val="21"/>
                <w:highlight w:val="none"/>
              </w:rPr>
            </w:pPr>
          </w:p>
        </w:tc>
        <w:tc>
          <w:tcPr>
            <w:tcW w:w="913" w:type="dxa"/>
            <w:noWrap w:val="0"/>
            <w:vAlign w:val="center"/>
          </w:tcPr>
          <w:p w14:paraId="603B07E7">
            <w:pPr>
              <w:jc w:val="center"/>
              <w:rPr>
                <w:color w:val="auto"/>
                <w:szCs w:val="21"/>
                <w:highlight w:val="none"/>
              </w:rPr>
            </w:pPr>
          </w:p>
        </w:tc>
        <w:tc>
          <w:tcPr>
            <w:tcW w:w="985" w:type="dxa"/>
            <w:noWrap w:val="0"/>
            <w:vAlign w:val="center"/>
          </w:tcPr>
          <w:p w14:paraId="3426E59C">
            <w:pPr>
              <w:jc w:val="center"/>
              <w:rPr>
                <w:color w:val="auto"/>
                <w:szCs w:val="21"/>
                <w:highlight w:val="none"/>
              </w:rPr>
            </w:pPr>
          </w:p>
        </w:tc>
        <w:tc>
          <w:tcPr>
            <w:tcW w:w="2465" w:type="dxa"/>
            <w:noWrap w:val="0"/>
            <w:vAlign w:val="center"/>
          </w:tcPr>
          <w:p w14:paraId="1FA44898">
            <w:pPr>
              <w:jc w:val="center"/>
              <w:rPr>
                <w:color w:val="auto"/>
                <w:szCs w:val="21"/>
                <w:highlight w:val="none"/>
              </w:rPr>
            </w:pPr>
          </w:p>
        </w:tc>
        <w:tc>
          <w:tcPr>
            <w:tcW w:w="820" w:type="dxa"/>
            <w:noWrap w:val="0"/>
            <w:vAlign w:val="center"/>
          </w:tcPr>
          <w:p w14:paraId="6ECEA917">
            <w:pPr>
              <w:jc w:val="center"/>
              <w:rPr>
                <w:color w:val="auto"/>
                <w:szCs w:val="21"/>
                <w:highlight w:val="none"/>
              </w:rPr>
            </w:pPr>
          </w:p>
        </w:tc>
      </w:tr>
      <w:tr w14:paraId="1D1DB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210AE2BB">
            <w:pPr>
              <w:jc w:val="center"/>
              <w:rPr>
                <w:color w:val="auto"/>
                <w:szCs w:val="21"/>
                <w:highlight w:val="none"/>
              </w:rPr>
            </w:pPr>
          </w:p>
        </w:tc>
        <w:tc>
          <w:tcPr>
            <w:tcW w:w="822" w:type="dxa"/>
            <w:noWrap w:val="0"/>
            <w:vAlign w:val="center"/>
          </w:tcPr>
          <w:p w14:paraId="71B61119">
            <w:pPr>
              <w:jc w:val="center"/>
              <w:rPr>
                <w:color w:val="auto"/>
                <w:szCs w:val="21"/>
                <w:highlight w:val="none"/>
              </w:rPr>
            </w:pPr>
          </w:p>
        </w:tc>
        <w:tc>
          <w:tcPr>
            <w:tcW w:w="821" w:type="dxa"/>
            <w:noWrap w:val="0"/>
            <w:vAlign w:val="center"/>
          </w:tcPr>
          <w:p w14:paraId="06A57684">
            <w:pPr>
              <w:jc w:val="center"/>
              <w:rPr>
                <w:color w:val="auto"/>
                <w:szCs w:val="21"/>
                <w:highlight w:val="none"/>
              </w:rPr>
            </w:pPr>
          </w:p>
        </w:tc>
        <w:tc>
          <w:tcPr>
            <w:tcW w:w="1314" w:type="dxa"/>
            <w:noWrap w:val="0"/>
            <w:vAlign w:val="center"/>
          </w:tcPr>
          <w:p w14:paraId="589935DB">
            <w:pPr>
              <w:jc w:val="center"/>
              <w:rPr>
                <w:color w:val="auto"/>
                <w:szCs w:val="21"/>
                <w:highlight w:val="none"/>
              </w:rPr>
            </w:pPr>
          </w:p>
        </w:tc>
        <w:tc>
          <w:tcPr>
            <w:tcW w:w="893" w:type="dxa"/>
            <w:noWrap w:val="0"/>
            <w:vAlign w:val="center"/>
          </w:tcPr>
          <w:p w14:paraId="2836090D">
            <w:pPr>
              <w:jc w:val="center"/>
              <w:rPr>
                <w:color w:val="auto"/>
                <w:szCs w:val="21"/>
                <w:highlight w:val="none"/>
              </w:rPr>
            </w:pPr>
          </w:p>
        </w:tc>
        <w:tc>
          <w:tcPr>
            <w:tcW w:w="913" w:type="dxa"/>
            <w:noWrap w:val="0"/>
            <w:vAlign w:val="center"/>
          </w:tcPr>
          <w:p w14:paraId="6F5D0A6F">
            <w:pPr>
              <w:jc w:val="center"/>
              <w:rPr>
                <w:color w:val="auto"/>
                <w:szCs w:val="21"/>
                <w:highlight w:val="none"/>
              </w:rPr>
            </w:pPr>
          </w:p>
        </w:tc>
        <w:tc>
          <w:tcPr>
            <w:tcW w:w="985" w:type="dxa"/>
            <w:noWrap w:val="0"/>
            <w:vAlign w:val="center"/>
          </w:tcPr>
          <w:p w14:paraId="0E439563">
            <w:pPr>
              <w:jc w:val="center"/>
              <w:rPr>
                <w:color w:val="auto"/>
                <w:szCs w:val="21"/>
                <w:highlight w:val="none"/>
              </w:rPr>
            </w:pPr>
          </w:p>
        </w:tc>
        <w:tc>
          <w:tcPr>
            <w:tcW w:w="2465" w:type="dxa"/>
            <w:noWrap w:val="0"/>
            <w:vAlign w:val="center"/>
          </w:tcPr>
          <w:p w14:paraId="2006BA8F">
            <w:pPr>
              <w:jc w:val="center"/>
              <w:rPr>
                <w:color w:val="auto"/>
                <w:szCs w:val="21"/>
                <w:highlight w:val="none"/>
              </w:rPr>
            </w:pPr>
          </w:p>
        </w:tc>
        <w:tc>
          <w:tcPr>
            <w:tcW w:w="820" w:type="dxa"/>
            <w:noWrap w:val="0"/>
            <w:vAlign w:val="center"/>
          </w:tcPr>
          <w:p w14:paraId="23A0D9BC">
            <w:pPr>
              <w:jc w:val="center"/>
              <w:rPr>
                <w:color w:val="auto"/>
                <w:szCs w:val="21"/>
                <w:highlight w:val="none"/>
              </w:rPr>
            </w:pPr>
          </w:p>
        </w:tc>
      </w:tr>
      <w:tr w14:paraId="451C8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7C773EF8">
            <w:pPr>
              <w:jc w:val="center"/>
              <w:rPr>
                <w:color w:val="auto"/>
                <w:szCs w:val="21"/>
                <w:highlight w:val="none"/>
              </w:rPr>
            </w:pPr>
          </w:p>
        </w:tc>
        <w:tc>
          <w:tcPr>
            <w:tcW w:w="822" w:type="dxa"/>
            <w:noWrap w:val="0"/>
            <w:vAlign w:val="center"/>
          </w:tcPr>
          <w:p w14:paraId="6963D224">
            <w:pPr>
              <w:jc w:val="center"/>
              <w:rPr>
                <w:color w:val="auto"/>
                <w:szCs w:val="21"/>
                <w:highlight w:val="none"/>
              </w:rPr>
            </w:pPr>
          </w:p>
        </w:tc>
        <w:tc>
          <w:tcPr>
            <w:tcW w:w="821" w:type="dxa"/>
            <w:noWrap w:val="0"/>
            <w:vAlign w:val="center"/>
          </w:tcPr>
          <w:p w14:paraId="722117EB">
            <w:pPr>
              <w:jc w:val="center"/>
              <w:rPr>
                <w:color w:val="auto"/>
                <w:szCs w:val="21"/>
                <w:highlight w:val="none"/>
              </w:rPr>
            </w:pPr>
          </w:p>
        </w:tc>
        <w:tc>
          <w:tcPr>
            <w:tcW w:w="1314" w:type="dxa"/>
            <w:noWrap w:val="0"/>
            <w:vAlign w:val="center"/>
          </w:tcPr>
          <w:p w14:paraId="1E803B05">
            <w:pPr>
              <w:jc w:val="center"/>
              <w:rPr>
                <w:color w:val="auto"/>
                <w:szCs w:val="21"/>
                <w:highlight w:val="none"/>
              </w:rPr>
            </w:pPr>
          </w:p>
        </w:tc>
        <w:tc>
          <w:tcPr>
            <w:tcW w:w="893" w:type="dxa"/>
            <w:noWrap w:val="0"/>
            <w:vAlign w:val="center"/>
          </w:tcPr>
          <w:p w14:paraId="3432FAE7">
            <w:pPr>
              <w:jc w:val="center"/>
              <w:rPr>
                <w:color w:val="auto"/>
                <w:szCs w:val="21"/>
                <w:highlight w:val="none"/>
              </w:rPr>
            </w:pPr>
          </w:p>
        </w:tc>
        <w:tc>
          <w:tcPr>
            <w:tcW w:w="913" w:type="dxa"/>
            <w:noWrap w:val="0"/>
            <w:vAlign w:val="center"/>
          </w:tcPr>
          <w:p w14:paraId="243D6DF8">
            <w:pPr>
              <w:jc w:val="center"/>
              <w:rPr>
                <w:color w:val="auto"/>
                <w:szCs w:val="21"/>
                <w:highlight w:val="none"/>
              </w:rPr>
            </w:pPr>
          </w:p>
        </w:tc>
        <w:tc>
          <w:tcPr>
            <w:tcW w:w="985" w:type="dxa"/>
            <w:noWrap w:val="0"/>
            <w:vAlign w:val="center"/>
          </w:tcPr>
          <w:p w14:paraId="68AFA25E">
            <w:pPr>
              <w:jc w:val="center"/>
              <w:rPr>
                <w:color w:val="auto"/>
                <w:szCs w:val="21"/>
                <w:highlight w:val="none"/>
              </w:rPr>
            </w:pPr>
          </w:p>
        </w:tc>
        <w:tc>
          <w:tcPr>
            <w:tcW w:w="2465" w:type="dxa"/>
            <w:noWrap w:val="0"/>
            <w:vAlign w:val="center"/>
          </w:tcPr>
          <w:p w14:paraId="4634D0ED">
            <w:pPr>
              <w:jc w:val="center"/>
              <w:rPr>
                <w:color w:val="auto"/>
                <w:szCs w:val="21"/>
                <w:highlight w:val="none"/>
              </w:rPr>
            </w:pPr>
          </w:p>
        </w:tc>
        <w:tc>
          <w:tcPr>
            <w:tcW w:w="820" w:type="dxa"/>
            <w:noWrap w:val="0"/>
            <w:vAlign w:val="center"/>
          </w:tcPr>
          <w:p w14:paraId="62F6AB0B">
            <w:pPr>
              <w:jc w:val="center"/>
              <w:rPr>
                <w:color w:val="auto"/>
                <w:szCs w:val="21"/>
                <w:highlight w:val="none"/>
              </w:rPr>
            </w:pPr>
          </w:p>
        </w:tc>
      </w:tr>
      <w:tr w14:paraId="2555F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53DC7007">
            <w:pPr>
              <w:jc w:val="center"/>
              <w:rPr>
                <w:color w:val="auto"/>
                <w:szCs w:val="21"/>
                <w:highlight w:val="none"/>
              </w:rPr>
            </w:pPr>
          </w:p>
        </w:tc>
        <w:tc>
          <w:tcPr>
            <w:tcW w:w="822" w:type="dxa"/>
            <w:noWrap w:val="0"/>
            <w:vAlign w:val="center"/>
          </w:tcPr>
          <w:p w14:paraId="3A36382E">
            <w:pPr>
              <w:jc w:val="center"/>
              <w:rPr>
                <w:color w:val="auto"/>
                <w:szCs w:val="21"/>
                <w:highlight w:val="none"/>
              </w:rPr>
            </w:pPr>
          </w:p>
        </w:tc>
        <w:tc>
          <w:tcPr>
            <w:tcW w:w="821" w:type="dxa"/>
            <w:noWrap w:val="0"/>
            <w:vAlign w:val="center"/>
          </w:tcPr>
          <w:p w14:paraId="68B9FA2E">
            <w:pPr>
              <w:jc w:val="center"/>
              <w:rPr>
                <w:color w:val="auto"/>
                <w:szCs w:val="21"/>
                <w:highlight w:val="none"/>
              </w:rPr>
            </w:pPr>
          </w:p>
        </w:tc>
        <w:tc>
          <w:tcPr>
            <w:tcW w:w="1314" w:type="dxa"/>
            <w:noWrap w:val="0"/>
            <w:vAlign w:val="center"/>
          </w:tcPr>
          <w:p w14:paraId="018595CF">
            <w:pPr>
              <w:jc w:val="center"/>
              <w:rPr>
                <w:color w:val="auto"/>
                <w:szCs w:val="21"/>
                <w:highlight w:val="none"/>
              </w:rPr>
            </w:pPr>
          </w:p>
        </w:tc>
        <w:tc>
          <w:tcPr>
            <w:tcW w:w="893" w:type="dxa"/>
            <w:noWrap w:val="0"/>
            <w:vAlign w:val="center"/>
          </w:tcPr>
          <w:p w14:paraId="0C252150">
            <w:pPr>
              <w:jc w:val="center"/>
              <w:rPr>
                <w:color w:val="auto"/>
                <w:szCs w:val="21"/>
                <w:highlight w:val="none"/>
              </w:rPr>
            </w:pPr>
          </w:p>
        </w:tc>
        <w:tc>
          <w:tcPr>
            <w:tcW w:w="913" w:type="dxa"/>
            <w:noWrap w:val="0"/>
            <w:vAlign w:val="center"/>
          </w:tcPr>
          <w:p w14:paraId="33A5636D">
            <w:pPr>
              <w:jc w:val="center"/>
              <w:rPr>
                <w:color w:val="auto"/>
                <w:szCs w:val="21"/>
                <w:highlight w:val="none"/>
              </w:rPr>
            </w:pPr>
          </w:p>
        </w:tc>
        <w:tc>
          <w:tcPr>
            <w:tcW w:w="985" w:type="dxa"/>
            <w:noWrap w:val="0"/>
            <w:vAlign w:val="center"/>
          </w:tcPr>
          <w:p w14:paraId="2AA44D24">
            <w:pPr>
              <w:jc w:val="center"/>
              <w:rPr>
                <w:color w:val="auto"/>
                <w:szCs w:val="21"/>
                <w:highlight w:val="none"/>
              </w:rPr>
            </w:pPr>
          </w:p>
        </w:tc>
        <w:tc>
          <w:tcPr>
            <w:tcW w:w="2465" w:type="dxa"/>
            <w:noWrap w:val="0"/>
            <w:vAlign w:val="center"/>
          </w:tcPr>
          <w:p w14:paraId="134D5912">
            <w:pPr>
              <w:jc w:val="center"/>
              <w:rPr>
                <w:color w:val="auto"/>
                <w:szCs w:val="21"/>
                <w:highlight w:val="none"/>
              </w:rPr>
            </w:pPr>
          </w:p>
        </w:tc>
        <w:tc>
          <w:tcPr>
            <w:tcW w:w="820" w:type="dxa"/>
            <w:noWrap w:val="0"/>
            <w:vAlign w:val="center"/>
          </w:tcPr>
          <w:p w14:paraId="43FD5284">
            <w:pPr>
              <w:jc w:val="center"/>
              <w:rPr>
                <w:color w:val="auto"/>
                <w:szCs w:val="21"/>
                <w:highlight w:val="none"/>
              </w:rPr>
            </w:pPr>
          </w:p>
        </w:tc>
      </w:tr>
      <w:tr w14:paraId="737D9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1DBFFB24">
            <w:pPr>
              <w:jc w:val="center"/>
              <w:rPr>
                <w:color w:val="auto"/>
                <w:szCs w:val="21"/>
                <w:highlight w:val="none"/>
              </w:rPr>
            </w:pPr>
          </w:p>
        </w:tc>
        <w:tc>
          <w:tcPr>
            <w:tcW w:w="822" w:type="dxa"/>
            <w:noWrap w:val="0"/>
            <w:vAlign w:val="center"/>
          </w:tcPr>
          <w:p w14:paraId="5120429A">
            <w:pPr>
              <w:jc w:val="center"/>
              <w:rPr>
                <w:color w:val="auto"/>
                <w:szCs w:val="21"/>
                <w:highlight w:val="none"/>
              </w:rPr>
            </w:pPr>
          </w:p>
        </w:tc>
        <w:tc>
          <w:tcPr>
            <w:tcW w:w="821" w:type="dxa"/>
            <w:noWrap w:val="0"/>
            <w:vAlign w:val="center"/>
          </w:tcPr>
          <w:p w14:paraId="5594DB48">
            <w:pPr>
              <w:jc w:val="center"/>
              <w:rPr>
                <w:color w:val="auto"/>
                <w:szCs w:val="21"/>
                <w:highlight w:val="none"/>
              </w:rPr>
            </w:pPr>
          </w:p>
        </w:tc>
        <w:tc>
          <w:tcPr>
            <w:tcW w:w="1314" w:type="dxa"/>
            <w:noWrap w:val="0"/>
            <w:vAlign w:val="center"/>
          </w:tcPr>
          <w:p w14:paraId="73D1E3E9">
            <w:pPr>
              <w:jc w:val="center"/>
              <w:rPr>
                <w:color w:val="auto"/>
                <w:szCs w:val="21"/>
                <w:highlight w:val="none"/>
              </w:rPr>
            </w:pPr>
          </w:p>
        </w:tc>
        <w:tc>
          <w:tcPr>
            <w:tcW w:w="893" w:type="dxa"/>
            <w:noWrap w:val="0"/>
            <w:vAlign w:val="center"/>
          </w:tcPr>
          <w:p w14:paraId="39BF4947">
            <w:pPr>
              <w:jc w:val="center"/>
              <w:rPr>
                <w:color w:val="auto"/>
                <w:szCs w:val="21"/>
                <w:highlight w:val="none"/>
              </w:rPr>
            </w:pPr>
          </w:p>
        </w:tc>
        <w:tc>
          <w:tcPr>
            <w:tcW w:w="913" w:type="dxa"/>
            <w:noWrap w:val="0"/>
            <w:vAlign w:val="center"/>
          </w:tcPr>
          <w:p w14:paraId="48C3078D">
            <w:pPr>
              <w:jc w:val="center"/>
              <w:rPr>
                <w:color w:val="auto"/>
                <w:szCs w:val="21"/>
                <w:highlight w:val="none"/>
              </w:rPr>
            </w:pPr>
          </w:p>
        </w:tc>
        <w:tc>
          <w:tcPr>
            <w:tcW w:w="985" w:type="dxa"/>
            <w:noWrap w:val="0"/>
            <w:vAlign w:val="center"/>
          </w:tcPr>
          <w:p w14:paraId="575732DE">
            <w:pPr>
              <w:jc w:val="center"/>
              <w:rPr>
                <w:color w:val="auto"/>
                <w:szCs w:val="21"/>
                <w:highlight w:val="none"/>
              </w:rPr>
            </w:pPr>
          </w:p>
        </w:tc>
        <w:tc>
          <w:tcPr>
            <w:tcW w:w="2465" w:type="dxa"/>
            <w:noWrap w:val="0"/>
            <w:vAlign w:val="center"/>
          </w:tcPr>
          <w:p w14:paraId="2548FD0E">
            <w:pPr>
              <w:jc w:val="center"/>
              <w:rPr>
                <w:color w:val="auto"/>
                <w:szCs w:val="21"/>
                <w:highlight w:val="none"/>
              </w:rPr>
            </w:pPr>
          </w:p>
        </w:tc>
        <w:tc>
          <w:tcPr>
            <w:tcW w:w="820" w:type="dxa"/>
            <w:noWrap w:val="0"/>
            <w:vAlign w:val="center"/>
          </w:tcPr>
          <w:p w14:paraId="0710274E">
            <w:pPr>
              <w:jc w:val="center"/>
              <w:rPr>
                <w:color w:val="auto"/>
                <w:szCs w:val="21"/>
                <w:highlight w:val="none"/>
              </w:rPr>
            </w:pPr>
          </w:p>
        </w:tc>
      </w:tr>
      <w:tr w14:paraId="21485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7C58DB33">
            <w:pPr>
              <w:jc w:val="center"/>
              <w:rPr>
                <w:color w:val="auto"/>
                <w:szCs w:val="21"/>
                <w:highlight w:val="none"/>
              </w:rPr>
            </w:pPr>
          </w:p>
        </w:tc>
        <w:tc>
          <w:tcPr>
            <w:tcW w:w="822" w:type="dxa"/>
            <w:noWrap w:val="0"/>
            <w:vAlign w:val="center"/>
          </w:tcPr>
          <w:p w14:paraId="316BCAF9">
            <w:pPr>
              <w:jc w:val="center"/>
              <w:rPr>
                <w:color w:val="auto"/>
                <w:szCs w:val="21"/>
                <w:highlight w:val="none"/>
              </w:rPr>
            </w:pPr>
          </w:p>
        </w:tc>
        <w:tc>
          <w:tcPr>
            <w:tcW w:w="821" w:type="dxa"/>
            <w:noWrap w:val="0"/>
            <w:vAlign w:val="center"/>
          </w:tcPr>
          <w:p w14:paraId="59E9A253">
            <w:pPr>
              <w:jc w:val="center"/>
              <w:rPr>
                <w:color w:val="auto"/>
                <w:szCs w:val="21"/>
                <w:highlight w:val="none"/>
              </w:rPr>
            </w:pPr>
          </w:p>
        </w:tc>
        <w:tc>
          <w:tcPr>
            <w:tcW w:w="1314" w:type="dxa"/>
            <w:noWrap w:val="0"/>
            <w:vAlign w:val="center"/>
          </w:tcPr>
          <w:p w14:paraId="3C5315B3">
            <w:pPr>
              <w:jc w:val="center"/>
              <w:rPr>
                <w:color w:val="auto"/>
                <w:szCs w:val="21"/>
                <w:highlight w:val="none"/>
              </w:rPr>
            </w:pPr>
          </w:p>
        </w:tc>
        <w:tc>
          <w:tcPr>
            <w:tcW w:w="893" w:type="dxa"/>
            <w:noWrap w:val="0"/>
            <w:vAlign w:val="center"/>
          </w:tcPr>
          <w:p w14:paraId="22868E84">
            <w:pPr>
              <w:jc w:val="center"/>
              <w:rPr>
                <w:color w:val="auto"/>
                <w:szCs w:val="21"/>
                <w:highlight w:val="none"/>
              </w:rPr>
            </w:pPr>
          </w:p>
        </w:tc>
        <w:tc>
          <w:tcPr>
            <w:tcW w:w="913" w:type="dxa"/>
            <w:noWrap w:val="0"/>
            <w:vAlign w:val="center"/>
          </w:tcPr>
          <w:p w14:paraId="52AAFBD0">
            <w:pPr>
              <w:jc w:val="center"/>
              <w:rPr>
                <w:color w:val="auto"/>
                <w:szCs w:val="21"/>
                <w:highlight w:val="none"/>
              </w:rPr>
            </w:pPr>
          </w:p>
        </w:tc>
        <w:tc>
          <w:tcPr>
            <w:tcW w:w="985" w:type="dxa"/>
            <w:noWrap w:val="0"/>
            <w:vAlign w:val="center"/>
          </w:tcPr>
          <w:p w14:paraId="58E8480E">
            <w:pPr>
              <w:jc w:val="center"/>
              <w:rPr>
                <w:color w:val="auto"/>
                <w:szCs w:val="21"/>
                <w:highlight w:val="none"/>
              </w:rPr>
            </w:pPr>
          </w:p>
        </w:tc>
        <w:tc>
          <w:tcPr>
            <w:tcW w:w="2465" w:type="dxa"/>
            <w:noWrap w:val="0"/>
            <w:vAlign w:val="center"/>
          </w:tcPr>
          <w:p w14:paraId="48C4F8AE">
            <w:pPr>
              <w:jc w:val="center"/>
              <w:rPr>
                <w:color w:val="auto"/>
                <w:szCs w:val="21"/>
                <w:highlight w:val="none"/>
              </w:rPr>
            </w:pPr>
          </w:p>
        </w:tc>
        <w:tc>
          <w:tcPr>
            <w:tcW w:w="820" w:type="dxa"/>
            <w:noWrap w:val="0"/>
            <w:vAlign w:val="center"/>
          </w:tcPr>
          <w:p w14:paraId="6879B439">
            <w:pPr>
              <w:jc w:val="center"/>
              <w:rPr>
                <w:color w:val="auto"/>
                <w:szCs w:val="21"/>
                <w:highlight w:val="none"/>
              </w:rPr>
            </w:pPr>
          </w:p>
        </w:tc>
      </w:tr>
      <w:tr w14:paraId="0C806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3FC4D280">
            <w:pPr>
              <w:jc w:val="center"/>
              <w:rPr>
                <w:color w:val="auto"/>
                <w:szCs w:val="21"/>
                <w:highlight w:val="none"/>
              </w:rPr>
            </w:pPr>
          </w:p>
        </w:tc>
        <w:tc>
          <w:tcPr>
            <w:tcW w:w="822" w:type="dxa"/>
            <w:noWrap w:val="0"/>
            <w:vAlign w:val="center"/>
          </w:tcPr>
          <w:p w14:paraId="7E6FDEED">
            <w:pPr>
              <w:jc w:val="center"/>
              <w:rPr>
                <w:color w:val="auto"/>
                <w:szCs w:val="21"/>
                <w:highlight w:val="none"/>
              </w:rPr>
            </w:pPr>
          </w:p>
        </w:tc>
        <w:tc>
          <w:tcPr>
            <w:tcW w:w="821" w:type="dxa"/>
            <w:noWrap w:val="0"/>
            <w:vAlign w:val="center"/>
          </w:tcPr>
          <w:p w14:paraId="6CB722E9">
            <w:pPr>
              <w:jc w:val="center"/>
              <w:rPr>
                <w:color w:val="auto"/>
                <w:szCs w:val="21"/>
                <w:highlight w:val="none"/>
              </w:rPr>
            </w:pPr>
          </w:p>
        </w:tc>
        <w:tc>
          <w:tcPr>
            <w:tcW w:w="1314" w:type="dxa"/>
            <w:noWrap w:val="0"/>
            <w:vAlign w:val="center"/>
          </w:tcPr>
          <w:p w14:paraId="1C659B04">
            <w:pPr>
              <w:jc w:val="center"/>
              <w:rPr>
                <w:color w:val="auto"/>
                <w:szCs w:val="21"/>
                <w:highlight w:val="none"/>
              </w:rPr>
            </w:pPr>
          </w:p>
        </w:tc>
        <w:tc>
          <w:tcPr>
            <w:tcW w:w="893" w:type="dxa"/>
            <w:noWrap w:val="0"/>
            <w:vAlign w:val="center"/>
          </w:tcPr>
          <w:p w14:paraId="13E75FA6">
            <w:pPr>
              <w:jc w:val="center"/>
              <w:rPr>
                <w:color w:val="auto"/>
                <w:szCs w:val="21"/>
                <w:highlight w:val="none"/>
              </w:rPr>
            </w:pPr>
          </w:p>
        </w:tc>
        <w:tc>
          <w:tcPr>
            <w:tcW w:w="913" w:type="dxa"/>
            <w:noWrap w:val="0"/>
            <w:vAlign w:val="center"/>
          </w:tcPr>
          <w:p w14:paraId="4AB34936">
            <w:pPr>
              <w:jc w:val="center"/>
              <w:rPr>
                <w:color w:val="auto"/>
                <w:szCs w:val="21"/>
                <w:highlight w:val="none"/>
              </w:rPr>
            </w:pPr>
          </w:p>
        </w:tc>
        <w:tc>
          <w:tcPr>
            <w:tcW w:w="985" w:type="dxa"/>
            <w:noWrap w:val="0"/>
            <w:vAlign w:val="center"/>
          </w:tcPr>
          <w:p w14:paraId="3DDEE4B7">
            <w:pPr>
              <w:jc w:val="center"/>
              <w:rPr>
                <w:color w:val="auto"/>
                <w:szCs w:val="21"/>
                <w:highlight w:val="none"/>
              </w:rPr>
            </w:pPr>
          </w:p>
        </w:tc>
        <w:tc>
          <w:tcPr>
            <w:tcW w:w="2465" w:type="dxa"/>
            <w:noWrap w:val="0"/>
            <w:vAlign w:val="center"/>
          </w:tcPr>
          <w:p w14:paraId="0A1CF4C2">
            <w:pPr>
              <w:jc w:val="center"/>
              <w:rPr>
                <w:color w:val="auto"/>
                <w:szCs w:val="21"/>
                <w:highlight w:val="none"/>
              </w:rPr>
            </w:pPr>
          </w:p>
        </w:tc>
        <w:tc>
          <w:tcPr>
            <w:tcW w:w="820" w:type="dxa"/>
            <w:noWrap w:val="0"/>
            <w:vAlign w:val="center"/>
          </w:tcPr>
          <w:p w14:paraId="23D0AC0A">
            <w:pPr>
              <w:jc w:val="center"/>
              <w:rPr>
                <w:color w:val="auto"/>
                <w:szCs w:val="21"/>
                <w:highlight w:val="none"/>
              </w:rPr>
            </w:pPr>
          </w:p>
        </w:tc>
      </w:tr>
      <w:tr w14:paraId="33606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0D5FB58B">
            <w:pPr>
              <w:jc w:val="center"/>
              <w:rPr>
                <w:color w:val="auto"/>
                <w:szCs w:val="21"/>
                <w:highlight w:val="none"/>
              </w:rPr>
            </w:pPr>
          </w:p>
        </w:tc>
        <w:tc>
          <w:tcPr>
            <w:tcW w:w="822" w:type="dxa"/>
            <w:noWrap w:val="0"/>
            <w:vAlign w:val="center"/>
          </w:tcPr>
          <w:p w14:paraId="7A7EE9C2">
            <w:pPr>
              <w:jc w:val="center"/>
              <w:rPr>
                <w:color w:val="auto"/>
                <w:szCs w:val="21"/>
                <w:highlight w:val="none"/>
              </w:rPr>
            </w:pPr>
          </w:p>
        </w:tc>
        <w:tc>
          <w:tcPr>
            <w:tcW w:w="821" w:type="dxa"/>
            <w:noWrap w:val="0"/>
            <w:vAlign w:val="center"/>
          </w:tcPr>
          <w:p w14:paraId="3D7BCE03">
            <w:pPr>
              <w:jc w:val="center"/>
              <w:rPr>
                <w:color w:val="auto"/>
                <w:szCs w:val="21"/>
                <w:highlight w:val="none"/>
              </w:rPr>
            </w:pPr>
          </w:p>
        </w:tc>
        <w:tc>
          <w:tcPr>
            <w:tcW w:w="1314" w:type="dxa"/>
            <w:noWrap w:val="0"/>
            <w:vAlign w:val="center"/>
          </w:tcPr>
          <w:p w14:paraId="50790212">
            <w:pPr>
              <w:jc w:val="center"/>
              <w:rPr>
                <w:color w:val="auto"/>
                <w:szCs w:val="21"/>
                <w:highlight w:val="none"/>
              </w:rPr>
            </w:pPr>
          </w:p>
        </w:tc>
        <w:tc>
          <w:tcPr>
            <w:tcW w:w="893" w:type="dxa"/>
            <w:noWrap w:val="0"/>
            <w:vAlign w:val="center"/>
          </w:tcPr>
          <w:p w14:paraId="28F105B0">
            <w:pPr>
              <w:jc w:val="center"/>
              <w:rPr>
                <w:color w:val="auto"/>
                <w:szCs w:val="21"/>
                <w:highlight w:val="none"/>
              </w:rPr>
            </w:pPr>
          </w:p>
        </w:tc>
        <w:tc>
          <w:tcPr>
            <w:tcW w:w="913" w:type="dxa"/>
            <w:noWrap w:val="0"/>
            <w:vAlign w:val="center"/>
          </w:tcPr>
          <w:p w14:paraId="280D4B28">
            <w:pPr>
              <w:jc w:val="center"/>
              <w:rPr>
                <w:color w:val="auto"/>
                <w:szCs w:val="21"/>
                <w:highlight w:val="none"/>
              </w:rPr>
            </w:pPr>
          </w:p>
        </w:tc>
        <w:tc>
          <w:tcPr>
            <w:tcW w:w="985" w:type="dxa"/>
            <w:noWrap w:val="0"/>
            <w:vAlign w:val="center"/>
          </w:tcPr>
          <w:p w14:paraId="6EDF3C8E">
            <w:pPr>
              <w:jc w:val="center"/>
              <w:rPr>
                <w:color w:val="auto"/>
                <w:szCs w:val="21"/>
                <w:highlight w:val="none"/>
              </w:rPr>
            </w:pPr>
          </w:p>
        </w:tc>
        <w:tc>
          <w:tcPr>
            <w:tcW w:w="2465" w:type="dxa"/>
            <w:noWrap w:val="0"/>
            <w:vAlign w:val="center"/>
          </w:tcPr>
          <w:p w14:paraId="21527C86">
            <w:pPr>
              <w:jc w:val="center"/>
              <w:rPr>
                <w:color w:val="auto"/>
                <w:szCs w:val="21"/>
                <w:highlight w:val="none"/>
              </w:rPr>
            </w:pPr>
          </w:p>
        </w:tc>
        <w:tc>
          <w:tcPr>
            <w:tcW w:w="820" w:type="dxa"/>
            <w:noWrap w:val="0"/>
            <w:vAlign w:val="center"/>
          </w:tcPr>
          <w:p w14:paraId="614D069D">
            <w:pPr>
              <w:jc w:val="center"/>
              <w:rPr>
                <w:color w:val="auto"/>
                <w:szCs w:val="21"/>
                <w:highlight w:val="none"/>
              </w:rPr>
            </w:pPr>
          </w:p>
        </w:tc>
      </w:tr>
      <w:tr w14:paraId="5F18C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6D5370CF">
            <w:pPr>
              <w:jc w:val="center"/>
              <w:rPr>
                <w:color w:val="auto"/>
                <w:szCs w:val="21"/>
                <w:highlight w:val="none"/>
              </w:rPr>
            </w:pPr>
          </w:p>
        </w:tc>
        <w:tc>
          <w:tcPr>
            <w:tcW w:w="822" w:type="dxa"/>
            <w:noWrap w:val="0"/>
            <w:vAlign w:val="center"/>
          </w:tcPr>
          <w:p w14:paraId="0EFA5FC3">
            <w:pPr>
              <w:jc w:val="center"/>
              <w:rPr>
                <w:color w:val="auto"/>
                <w:szCs w:val="21"/>
                <w:highlight w:val="none"/>
              </w:rPr>
            </w:pPr>
          </w:p>
        </w:tc>
        <w:tc>
          <w:tcPr>
            <w:tcW w:w="821" w:type="dxa"/>
            <w:noWrap w:val="0"/>
            <w:vAlign w:val="center"/>
          </w:tcPr>
          <w:p w14:paraId="79C096D9">
            <w:pPr>
              <w:jc w:val="center"/>
              <w:rPr>
                <w:color w:val="auto"/>
                <w:szCs w:val="21"/>
                <w:highlight w:val="none"/>
              </w:rPr>
            </w:pPr>
          </w:p>
        </w:tc>
        <w:tc>
          <w:tcPr>
            <w:tcW w:w="1314" w:type="dxa"/>
            <w:noWrap w:val="0"/>
            <w:vAlign w:val="center"/>
          </w:tcPr>
          <w:p w14:paraId="77E9F3C8">
            <w:pPr>
              <w:jc w:val="center"/>
              <w:rPr>
                <w:color w:val="auto"/>
                <w:szCs w:val="21"/>
                <w:highlight w:val="none"/>
              </w:rPr>
            </w:pPr>
          </w:p>
        </w:tc>
        <w:tc>
          <w:tcPr>
            <w:tcW w:w="893" w:type="dxa"/>
            <w:noWrap w:val="0"/>
            <w:vAlign w:val="center"/>
          </w:tcPr>
          <w:p w14:paraId="676F84D8">
            <w:pPr>
              <w:jc w:val="center"/>
              <w:rPr>
                <w:color w:val="auto"/>
                <w:szCs w:val="21"/>
                <w:highlight w:val="none"/>
              </w:rPr>
            </w:pPr>
          </w:p>
        </w:tc>
        <w:tc>
          <w:tcPr>
            <w:tcW w:w="913" w:type="dxa"/>
            <w:noWrap w:val="0"/>
            <w:vAlign w:val="center"/>
          </w:tcPr>
          <w:p w14:paraId="42C1EA82">
            <w:pPr>
              <w:jc w:val="center"/>
              <w:rPr>
                <w:color w:val="auto"/>
                <w:szCs w:val="21"/>
                <w:highlight w:val="none"/>
              </w:rPr>
            </w:pPr>
          </w:p>
        </w:tc>
        <w:tc>
          <w:tcPr>
            <w:tcW w:w="985" w:type="dxa"/>
            <w:noWrap w:val="0"/>
            <w:vAlign w:val="center"/>
          </w:tcPr>
          <w:p w14:paraId="77CD6CBD">
            <w:pPr>
              <w:jc w:val="center"/>
              <w:rPr>
                <w:color w:val="auto"/>
                <w:szCs w:val="21"/>
                <w:highlight w:val="none"/>
              </w:rPr>
            </w:pPr>
          </w:p>
        </w:tc>
        <w:tc>
          <w:tcPr>
            <w:tcW w:w="2465" w:type="dxa"/>
            <w:noWrap w:val="0"/>
            <w:vAlign w:val="center"/>
          </w:tcPr>
          <w:p w14:paraId="678CC565">
            <w:pPr>
              <w:jc w:val="center"/>
              <w:rPr>
                <w:color w:val="auto"/>
                <w:szCs w:val="21"/>
                <w:highlight w:val="none"/>
              </w:rPr>
            </w:pPr>
          </w:p>
        </w:tc>
        <w:tc>
          <w:tcPr>
            <w:tcW w:w="820" w:type="dxa"/>
            <w:noWrap w:val="0"/>
            <w:vAlign w:val="center"/>
          </w:tcPr>
          <w:p w14:paraId="30BB1FCB">
            <w:pPr>
              <w:jc w:val="center"/>
              <w:rPr>
                <w:color w:val="auto"/>
                <w:szCs w:val="21"/>
                <w:highlight w:val="none"/>
              </w:rPr>
            </w:pPr>
          </w:p>
        </w:tc>
      </w:tr>
      <w:tr w14:paraId="76045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7722611C">
            <w:pPr>
              <w:jc w:val="center"/>
              <w:rPr>
                <w:color w:val="auto"/>
                <w:szCs w:val="21"/>
                <w:highlight w:val="none"/>
              </w:rPr>
            </w:pPr>
          </w:p>
        </w:tc>
        <w:tc>
          <w:tcPr>
            <w:tcW w:w="822" w:type="dxa"/>
            <w:noWrap w:val="0"/>
            <w:vAlign w:val="center"/>
          </w:tcPr>
          <w:p w14:paraId="592BD0DB">
            <w:pPr>
              <w:jc w:val="center"/>
              <w:rPr>
                <w:color w:val="auto"/>
                <w:szCs w:val="21"/>
                <w:highlight w:val="none"/>
              </w:rPr>
            </w:pPr>
          </w:p>
        </w:tc>
        <w:tc>
          <w:tcPr>
            <w:tcW w:w="821" w:type="dxa"/>
            <w:noWrap w:val="0"/>
            <w:vAlign w:val="center"/>
          </w:tcPr>
          <w:p w14:paraId="4DB75951">
            <w:pPr>
              <w:jc w:val="center"/>
              <w:rPr>
                <w:color w:val="auto"/>
                <w:szCs w:val="21"/>
                <w:highlight w:val="none"/>
              </w:rPr>
            </w:pPr>
          </w:p>
        </w:tc>
        <w:tc>
          <w:tcPr>
            <w:tcW w:w="1314" w:type="dxa"/>
            <w:noWrap w:val="0"/>
            <w:vAlign w:val="center"/>
          </w:tcPr>
          <w:p w14:paraId="0883927A">
            <w:pPr>
              <w:jc w:val="center"/>
              <w:rPr>
                <w:color w:val="auto"/>
                <w:szCs w:val="21"/>
                <w:highlight w:val="none"/>
              </w:rPr>
            </w:pPr>
          </w:p>
        </w:tc>
        <w:tc>
          <w:tcPr>
            <w:tcW w:w="893" w:type="dxa"/>
            <w:noWrap w:val="0"/>
            <w:vAlign w:val="center"/>
          </w:tcPr>
          <w:p w14:paraId="7B934E06">
            <w:pPr>
              <w:jc w:val="center"/>
              <w:rPr>
                <w:color w:val="auto"/>
                <w:szCs w:val="21"/>
                <w:highlight w:val="none"/>
              </w:rPr>
            </w:pPr>
          </w:p>
        </w:tc>
        <w:tc>
          <w:tcPr>
            <w:tcW w:w="913" w:type="dxa"/>
            <w:noWrap w:val="0"/>
            <w:vAlign w:val="center"/>
          </w:tcPr>
          <w:p w14:paraId="148B5F36">
            <w:pPr>
              <w:jc w:val="center"/>
              <w:rPr>
                <w:color w:val="auto"/>
                <w:szCs w:val="21"/>
                <w:highlight w:val="none"/>
              </w:rPr>
            </w:pPr>
          </w:p>
        </w:tc>
        <w:tc>
          <w:tcPr>
            <w:tcW w:w="985" w:type="dxa"/>
            <w:noWrap w:val="0"/>
            <w:vAlign w:val="center"/>
          </w:tcPr>
          <w:p w14:paraId="4CA1C8A1">
            <w:pPr>
              <w:jc w:val="center"/>
              <w:rPr>
                <w:color w:val="auto"/>
                <w:szCs w:val="21"/>
                <w:highlight w:val="none"/>
              </w:rPr>
            </w:pPr>
          </w:p>
        </w:tc>
        <w:tc>
          <w:tcPr>
            <w:tcW w:w="2465" w:type="dxa"/>
            <w:noWrap w:val="0"/>
            <w:vAlign w:val="center"/>
          </w:tcPr>
          <w:p w14:paraId="19C5E925">
            <w:pPr>
              <w:jc w:val="center"/>
              <w:rPr>
                <w:color w:val="auto"/>
                <w:szCs w:val="21"/>
                <w:highlight w:val="none"/>
              </w:rPr>
            </w:pPr>
          </w:p>
        </w:tc>
        <w:tc>
          <w:tcPr>
            <w:tcW w:w="820" w:type="dxa"/>
            <w:noWrap w:val="0"/>
            <w:vAlign w:val="center"/>
          </w:tcPr>
          <w:p w14:paraId="5D8BD513">
            <w:pPr>
              <w:jc w:val="center"/>
              <w:rPr>
                <w:color w:val="auto"/>
                <w:szCs w:val="21"/>
                <w:highlight w:val="none"/>
              </w:rPr>
            </w:pPr>
          </w:p>
        </w:tc>
      </w:tr>
      <w:tr w14:paraId="3153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6EAEB033">
            <w:pPr>
              <w:jc w:val="center"/>
              <w:rPr>
                <w:color w:val="auto"/>
                <w:szCs w:val="21"/>
                <w:highlight w:val="none"/>
              </w:rPr>
            </w:pPr>
          </w:p>
        </w:tc>
        <w:tc>
          <w:tcPr>
            <w:tcW w:w="822" w:type="dxa"/>
            <w:noWrap w:val="0"/>
            <w:vAlign w:val="center"/>
          </w:tcPr>
          <w:p w14:paraId="65E50399">
            <w:pPr>
              <w:jc w:val="center"/>
              <w:rPr>
                <w:color w:val="auto"/>
                <w:szCs w:val="21"/>
                <w:highlight w:val="none"/>
              </w:rPr>
            </w:pPr>
          </w:p>
        </w:tc>
        <w:tc>
          <w:tcPr>
            <w:tcW w:w="821" w:type="dxa"/>
            <w:noWrap w:val="0"/>
            <w:vAlign w:val="center"/>
          </w:tcPr>
          <w:p w14:paraId="18711710">
            <w:pPr>
              <w:jc w:val="center"/>
              <w:rPr>
                <w:color w:val="auto"/>
                <w:szCs w:val="21"/>
                <w:highlight w:val="none"/>
              </w:rPr>
            </w:pPr>
          </w:p>
        </w:tc>
        <w:tc>
          <w:tcPr>
            <w:tcW w:w="1314" w:type="dxa"/>
            <w:noWrap w:val="0"/>
            <w:vAlign w:val="center"/>
          </w:tcPr>
          <w:p w14:paraId="03EC1F1F">
            <w:pPr>
              <w:jc w:val="center"/>
              <w:rPr>
                <w:color w:val="auto"/>
                <w:szCs w:val="21"/>
                <w:highlight w:val="none"/>
              </w:rPr>
            </w:pPr>
          </w:p>
        </w:tc>
        <w:tc>
          <w:tcPr>
            <w:tcW w:w="893" w:type="dxa"/>
            <w:noWrap w:val="0"/>
            <w:vAlign w:val="center"/>
          </w:tcPr>
          <w:p w14:paraId="171618F8">
            <w:pPr>
              <w:jc w:val="center"/>
              <w:rPr>
                <w:color w:val="auto"/>
                <w:szCs w:val="21"/>
                <w:highlight w:val="none"/>
              </w:rPr>
            </w:pPr>
          </w:p>
        </w:tc>
        <w:tc>
          <w:tcPr>
            <w:tcW w:w="913" w:type="dxa"/>
            <w:noWrap w:val="0"/>
            <w:vAlign w:val="center"/>
          </w:tcPr>
          <w:p w14:paraId="3C487EF3">
            <w:pPr>
              <w:jc w:val="center"/>
              <w:rPr>
                <w:color w:val="auto"/>
                <w:szCs w:val="21"/>
                <w:highlight w:val="none"/>
              </w:rPr>
            </w:pPr>
          </w:p>
        </w:tc>
        <w:tc>
          <w:tcPr>
            <w:tcW w:w="985" w:type="dxa"/>
            <w:noWrap w:val="0"/>
            <w:vAlign w:val="center"/>
          </w:tcPr>
          <w:p w14:paraId="5B5615A2">
            <w:pPr>
              <w:jc w:val="center"/>
              <w:rPr>
                <w:color w:val="auto"/>
                <w:szCs w:val="21"/>
                <w:highlight w:val="none"/>
              </w:rPr>
            </w:pPr>
          </w:p>
        </w:tc>
        <w:tc>
          <w:tcPr>
            <w:tcW w:w="2465" w:type="dxa"/>
            <w:noWrap w:val="0"/>
            <w:vAlign w:val="center"/>
          </w:tcPr>
          <w:p w14:paraId="4932F917">
            <w:pPr>
              <w:jc w:val="center"/>
              <w:rPr>
                <w:color w:val="auto"/>
                <w:szCs w:val="21"/>
                <w:highlight w:val="none"/>
              </w:rPr>
            </w:pPr>
          </w:p>
        </w:tc>
        <w:tc>
          <w:tcPr>
            <w:tcW w:w="820" w:type="dxa"/>
            <w:noWrap w:val="0"/>
            <w:vAlign w:val="center"/>
          </w:tcPr>
          <w:p w14:paraId="15A74E2F">
            <w:pPr>
              <w:jc w:val="center"/>
              <w:rPr>
                <w:color w:val="auto"/>
                <w:szCs w:val="21"/>
                <w:highlight w:val="none"/>
              </w:rPr>
            </w:pPr>
          </w:p>
        </w:tc>
      </w:tr>
      <w:tr w14:paraId="10BA6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2AA36ECC">
            <w:pPr>
              <w:jc w:val="center"/>
              <w:rPr>
                <w:color w:val="auto"/>
                <w:szCs w:val="21"/>
                <w:highlight w:val="none"/>
              </w:rPr>
            </w:pPr>
          </w:p>
        </w:tc>
        <w:tc>
          <w:tcPr>
            <w:tcW w:w="822" w:type="dxa"/>
            <w:noWrap w:val="0"/>
            <w:vAlign w:val="center"/>
          </w:tcPr>
          <w:p w14:paraId="7F7ED62F">
            <w:pPr>
              <w:jc w:val="center"/>
              <w:rPr>
                <w:color w:val="auto"/>
                <w:szCs w:val="21"/>
                <w:highlight w:val="none"/>
              </w:rPr>
            </w:pPr>
          </w:p>
        </w:tc>
        <w:tc>
          <w:tcPr>
            <w:tcW w:w="821" w:type="dxa"/>
            <w:noWrap w:val="0"/>
            <w:vAlign w:val="center"/>
          </w:tcPr>
          <w:p w14:paraId="4F3072D7">
            <w:pPr>
              <w:jc w:val="center"/>
              <w:rPr>
                <w:color w:val="auto"/>
                <w:szCs w:val="21"/>
                <w:highlight w:val="none"/>
              </w:rPr>
            </w:pPr>
          </w:p>
        </w:tc>
        <w:tc>
          <w:tcPr>
            <w:tcW w:w="1314" w:type="dxa"/>
            <w:noWrap w:val="0"/>
            <w:vAlign w:val="center"/>
          </w:tcPr>
          <w:p w14:paraId="1EB663B9">
            <w:pPr>
              <w:jc w:val="center"/>
              <w:rPr>
                <w:color w:val="auto"/>
                <w:szCs w:val="21"/>
                <w:highlight w:val="none"/>
              </w:rPr>
            </w:pPr>
          </w:p>
        </w:tc>
        <w:tc>
          <w:tcPr>
            <w:tcW w:w="893" w:type="dxa"/>
            <w:noWrap w:val="0"/>
            <w:vAlign w:val="center"/>
          </w:tcPr>
          <w:p w14:paraId="61F8C45D">
            <w:pPr>
              <w:jc w:val="center"/>
              <w:rPr>
                <w:color w:val="auto"/>
                <w:szCs w:val="21"/>
                <w:highlight w:val="none"/>
              </w:rPr>
            </w:pPr>
          </w:p>
        </w:tc>
        <w:tc>
          <w:tcPr>
            <w:tcW w:w="913" w:type="dxa"/>
            <w:noWrap w:val="0"/>
            <w:vAlign w:val="center"/>
          </w:tcPr>
          <w:p w14:paraId="69E2535F">
            <w:pPr>
              <w:jc w:val="center"/>
              <w:rPr>
                <w:color w:val="auto"/>
                <w:szCs w:val="21"/>
                <w:highlight w:val="none"/>
              </w:rPr>
            </w:pPr>
          </w:p>
        </w:tc>
        <w:tc>
          <w:tcPr>
            <w:tcW w:w="985" w:type="dxa"/>
            <w:noWrap w:val="0"/>
            <w:vAlign w:val="center"/>
          </w:tcPr>
          <w:p w14:paraId="2600AF05">
            <w:pPr>
              <w:jc w:val="center"/>
              <w:rPr>
                <w:color w:val="auto"/>
                <w:szCs w:val="21"/>
                <w:highlight w:val="none"/>
              </w:rPr>
            </w:pPr>
          </w:p>
        </w:tc>
        <w:tc>
          <w:tcPr>
            <w:tcW w:w="2465" w:type="dxa"/>
            <w:noWrap w:val="0"/>
            <w:vAlign w:val="center"/>
          </w:tcPr>
          <w:p w14:paraId="7FA32138">
            <w:pPr>
              <w:jc w:val="center"/>
              <w:rPr>
                <w:color w:val="auto"/>
                <w:szCs w:val="21"/>
                <w:highlight w:val="none"/>
              </w:rPr>
            </w:pPr>
          </w:p>
        </w:tc>
        <w:tc>
          <w:tcPr>
            <w:tcW w:w="820" w:type="dxa"/>
            <w:noWrap w:val="0"/>
            <w:vAlign w:val="center"/>
          </w:tcPr>
          <w:p w14:paraId="62681781">
            <w:pPr>
              <w:jc w:val="center"/>
              <w:rPr>
                <w:color w:val="auto"/>
                <w:szCs w:val="21"/>
                <w:highlight w:val="none"/>
              </w:rPr>
            </w:pPr>
          </w:p>
        </w:tc>
      </w:tr>
      <w:tr w14:paraId="42D06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0A514E47">
            <w:pPr>
              <w:jc w:val="center"/>
              <w:rPr>
                <w:color w:val="auto"/>
                <w:szCs w:val="21"/>
                <w:highlight w:val="none"/>
              </w:rPr>
            </w:pPr>
          </w:p>
          <w:p w14:paraId="6DE4D58E">
            <w:pPr>
              <w:jc w:val="center"/>
              <w:rPr>
                <w:color w:val="auto"/>
                <w:szCs w:val="21"/>
                <w:highlight w:val="none"/>
              </w:rPr>
            </w:pPr>
          </w:p>
        </w:tc>
        <w:tc>
          <w:tcPr>
            <w:tcW w:w="822" w:type="dxa"/>
            <w:noWrap w:val="0"/>
            <w:vAlign w:val="center"/>
          </w:tcPr>
          <w:p w14:paraId="1C9EB03F">
            <w:pPr>
              <w:jc w:val="center"/>
              <w:rPr>
                <w:color w:val="auto"/>
                <w:szCs w:val="21"/>
                <w:highlight w:val="none"/>
              </w:rPr>
            </w:pPr>
          </w:p>
        </w:tc>
        <w:tc>
          <w:tcPr>
            <w:tcW w:w="821" w:type="dxa"/>
            <w:noWrap w:val="0"/>
            <w:vAlign w:val="center"/>
          </w:tcPr>
          <w:p w14:paraId="7FABE0E0">
            <w:pPr>
              <w:jc w:val="center"/>
              <w:rPr>
                <w:color w:val="auto"/>
                <w:szCs w:val="21"/>
                <w:highlight w:val="none"/>
              </w:rPr>
            </w:pPr>
          </w:p>
        </w:tc>
        <w:tc>
          <w:tcPr>
            <w:tcW w:w="1314" w:type="dxa"/>
            <w:noWrap w:val="0"/>
            <w:vAlign w:val="center"/>
          </w:tcPr>
          <w:p w14:paraId="144EF1F8">
            <w:pPr>
              <w:jc w:val="center"/>
              <w:rPr>
                <w:color w:val="auto"/>
                <w:szCs w:val="21"/>
                <w:highlight w:val="none"/>
              </w:rPr>
            </w:pPr>
          </w:p>
        </w:tc>
        <w:tc>
          <w:tcPr>
            <w:tcW w:w="893" w:type="dxa"/>
            <w:noWrap w:val="0"/>
            <w:vAlign w:val="center"/>
          </w:tcPr>
          <w:p w14:paraId="760359E8">
            <w:pPr>
              <w:jc w:val="center"/>
              <w:rPr>
                <w:color w:val="auto"/>
                <w:szCs w:val="21"/>
                <w:highlight w:val="none"/>
              </w:rPr>
            </w:pPr>
          </w:p>
        </w:tc>
        <w:tc>
          <w:tcPr>
            <w:tcW w:w="913" w:type="dxa"/>
            <w:noWrap w:val="0"/>
            <w:vAlign w:val="center"/>
          </w:tcPr>
          <w:p w14:paraId="7110A6D9">
            <w:pPr>
              <w:jc w:val="center"/>
              <w:rPr>
                <w:color w:val="auto"/>
                <w:szCs w:val="21"/>
                <w:highlight w:val="none"/>
              </w:rPr>
            </w:pPr>
          </w:p>
        </w:tc>
        <w:tc>
          <w:tcPr>
            <w:tcW w:w="985" w:type="dxa"/>
            <w:noWrap w:val="0"/>
            <w:vAlign w:val="center"/>
          </w:tcPr>
          <w:p w14:paraId="123228EF">
            <w:pPr>
              <w:jc w:val="center"/>
              <w:rPr>
                <w:color w:val="auto"/>
                <w:szCs w:val="21"/>
                <w:highlight w:val="none"/>
              </w:rPr>
            </w:pPr>
          </w:p>
        </w:tc>
        <w:tc>
          <w:tcPr>
            <w:tcW w:w="2465" w:type="dxa"/>
            <w:noWrap w:val="0"/>
            <w:vAlign w:val="center"/>
          </w:tcPr>
          <w:p w14:paraId="1486B647">
            <w:pPr>
              <w:jc w:val="center"/>
              <w:rPr>
                <w:color w:val="auto"/>
                <w:szCs w:val="21"/>
                <w:highlight w:val="none"/>
              </w:rPr>
            </w:pPr>
          </w:p>
        </w:tc>
        <w:tc>
          <w:tcPr>
            <w:tcW w:w="820" w:type="dxa"/>
            <w:noWrap w:val="0"/>
            <w:vAlign w:val="center"/>
          </w:tcPr>
          <w:p w14:paraId="15E1BBFC">
            <w:pPr>
              <w:jc w:val="center"/>
              <w:rPr>
                <w:color w:val="auto"/>
                <w:szCs w:val="21"/>
                <w:highlight w:val="none"/>
              </w:rPr>
            </w:pPr>
          </w:p>
        </w:tc>
      </w:tr>
      <w:tr w14:paraId="59DD4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3C31FBAC">
            <w:pPr>
              <w:jc w:val="center"/>
              <w:rPr>
                <w:color w:val="auto"/>
                <w:szCs w:val="21"/>
                <w:highlight w:val="none"/>
              </w:rPr>
            </w:pPr>
          </w:p>
        </w:tc>
        <w:tc>
          <w:tcPr>
            <w:tcW w:w="822" w:type="dxa"/>
            <w:noWrap w:val="0"/>
            <w:vAlign w:val="center"/>
          </w:tcPr>
          <w:p w14:paraId="1A16C250">
            <w:pPr>
              <w:jc w:val="center"/>
              <w:rPr>
                <w:color w:val="auto"/>
                <w:szCs w:val="21"/>
                <w:highlight w:val="none"/>
              </w:rPr>
            </w:pPr>
          </w:p>
        </w:tc>
        <w:tc>
          <w:tcPr>
            <w:tcW w:w="821" w:type="dxa"/>
            <w:noWrap w:val="0"/>
            <w:vAlign w:val="center"/>
          </w:tcPr>
          <w:p w14:paraId="736C5DD4">
            <w:pPr>
              <w:jc w:val="center"/>
              <w:rPr>
                <w:color w:val="auto"/>
                <w:szCs w:val="21"/>
                <w:highlight w:val="none"/>
              </w:rPr>
            </w:pPr>
          </w:p>
        </w:tc>
        <w:tc>
          <w:tcPr>
            <w:tcW w:w="1314" w:type="dxa"/>
            <w:noWrap w:val="0"/>
            <w:vAlign w:val="center"/>
          </w:tcPr>
          <w:p w14:paraId="1748C880">
            <w:pPr>
              <w:jc w:val="center"/>
              <w:rPr>
                <w:color w:val="auto"/>
                <w:szCs w:val="21"/>
                <w:highlight w:val="none"/>
              </w:rPr>
            </w:pPr>
          </w:p>
        </w:tc>
        <w:tc>
          <w:tcPr>
            <w:tcW w:w="893" w:type="dxa"/>
            <w:noWrap w:val="0"/>
            <w:vAlign w:val="center"/>
          </w:tcPr>
          <w:p w14:paraId="5E0A2595">
            <w:pPr>
              <w:jc w:val="center"/>
              <w:rPr>
                <w:color w:val="auto"/>
                <w:szCs w:val="21"/>
                <w:highlight w:val="none"/>
              </w:rPr>
            </w:pPr>
          </w:p>
        </w:tc>
        <w:tc>
          <w:tcPr>
            <w:tcW w:w="913" w:type="dxa"/>
            <w:noWrap w:val="0"/>
            <w:vAlign w:val="center"/>
          </w:tcPr>
          <w:p w14:paraId="1376753C">
            <w:pPr>
              <w:jc w:val="center"/>
              <w:rPr>
                <w:color w:val="auto"/>
                <w:szCs w:val="21"/>
                <w:highlight w:val="none"/>
              </w:rPr>
            </w:pPr>
          </w:p>
        </w:tc>
        <w:tc>
          <w:tcPr>
            <w:tcW w:w="985" w:type="dxa"/>
            <w:noWrap w:val="0"/>
            <w:vAlign w:val="center"/>
          </w:tcPr>
          <w:p w14:paraId="37DB85C4">
            <w:pPr>
              <w:jc w:val="center"/>
              <w:rPr>
                <w:color w:val="auto"/>
                <w:szCs w:val="21"/>
                <w:highlight w:val="none"/>
              </w:rPr>
            </w:pPr>
          </w:p>
        </w:tc>
        <w:tc>
          <w:tcPr>
            <w:tcW w:w="2465" w:type="dxa"/>
            <w:noWrap w:val="0"/>
            <w:vAlign w:val="center"/>
          </w:tcPr>
          <w:p w14:paraId="1992F93D">
            <w:pPr>
              <w:jc w:val="center"/>
              <w:rPr>
                <w:color w:val="auto"/>
                <w:szCs w:val="21"/>
                <w:highlight w:val="none"/>
              </w:rPr>
            </w:pPr>
          </w:p>
        </w:tc>
        <w:tc>
          <w:tcPr>
            <w:tcW w:w="820" w:type="dxa"/>
            <w:noWrap w:val="0"/>
            <w:vAlign w:val="center"/>
          </w:tcPr>
          <w:p w14:paraId="516AA5F7">
            <w:pPr>
              <w:jc w:val="center"/>
              <w:rPr>
                <w:color w:val="auto"/>
                <w:szCs w:val="21"/>
                <w:highlight w:val="none"/>
              </w:rPr>
            </w:pPr>
          </w:p>
        </w:tc>
      </w:tr>
    </w:tbl>
    <w:p w14:paraId="21B5FC8D">
      <w:pPr>
        <w:spacing w:line="360" w:lineRule="auto"/>
        <w:rPr>
          <w:color w:val="auto"/>
          <w:szCs w:val="21"/>
          <w:highlight w:val="none"/>
        </w:rPr>
      </w:pPr>
    </w:p>
    <w:p w14:paraId="1B5196A0">
      <w:pPr>
        <w:spacing w:before="120" w:beforeLines="50" w:after="240" w:afterLines="100" w:line="360" w:lineRule="auto"/>
        <w:jc w:val="center"/>
        <w:rPr>
          <w:color w:val="auto"/>
          <w:sz w:val="24"/>
          <w:highlight w:val="none"/>
        </w:rPr>
      </w:pPr>
      <w:r>
        <w:rPr>
          <w:color w:val="auto"/>
          <w:szCs w:val="21"/>
          <w:highlight w:val="none"/>
        </w:rPr>
        <w:br w:type="page"/>
      </w:r>
      <w:r>
        <w:rPr>
          <w:rFonts w:hint="eastAsia" w:ascii="仿宋" w:hAnsi="仿宋" w:eastAsia="仿宋" w:cs="仿宋"/>
          <w:b/>
          <w:bCs/>
          <w:color w:val="auto"/>
          <w:sz w:val="28"/>
          <w:szCs w:val="28"/>
          <w:highlight w:val="none"/>
        </w:rPr>
        <w:t>（二）主要人员简历表</w:t>
      </w:r>
    </w:p>
    <w:p w14:paraId="5412DF61">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附1：项目经理简历表</w:t>
      </w:r>
    </w:p>
    <w:p w14:paraId="03CA5252">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须附满足第二章第1.4.1项规定的相关证明材料，及未担任其他在施建设工程项目项目经理的承诺书，管理过的项目业绩须附满足第二章第1.4.1项规定的证明材料。类似项目限于以项目经理身份参与的项目。</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2"/>
        <w:gridCol w:w="1035"/>
        <w:gridCol w:w="1134"/>
        <w:gridCol w:w="1275"/>
        <w:gridCol w:w="1843"/>
        <w:gridCol w:w="2126"/>
      </w:tblGrid>
      <w:tr w14:paraId="07B2B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225630B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1035" w:type="dxa"/>
            <w:noWrap w:val="0"/>
            <w:vAlign w:val="center"/>
          </w:tcPr>
          <w:p w14:paraId="411EBE47">
            <w:pPr>
              <w:jc w:val="center"/>
              <w:rPr>
                <w:rFonts w:hint="eastAsia" w:ascii="仿宋" w:hAnsi="仿宋" w:eastAsia="仿宋" w:cs="仿宋"/>
                <w:color w:val="auto"/>
                <w:sz w:val="24"/>
                <w:highlight w:val="none"/>
              </w:rPr>
            </w:pPr>
          </w:p>
        </w:tc>
        <w:tc>
          <w:tcPr>
            <w:tcW w:w="1134" w:type="dxa"/>
            <w:noWrap w:val="0"/>
            <w:vAlign w:val="center"/>
          </w:tcPr>
          <w:p w14:paraId="6E17098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年龄</w:t>
            </w:r>
          </w:p>
        </w:tc>
        <w:tc>
          <w:tcPr>
            <w:tcW w:w="1275" w:type="dxa"/>
            <w:noWrap w:val="0"/>
            <w:vAlign w:val="center"/>
          </w:tcPr>
          <w:p w14:paraId="18CBFDB5">
            <w:pPr>
              <w:jc w:val="center"/>
              <w:rPr>
                <w:rFonts w:hint="eastAsia" w:ascii="仿宋" w:hAnsi="仿宋" w:eastAsia="仿宋" w:cs="仿宋"/>
                <w:color w:val="auto"/>
                <w:sz w:val="24"/>
                <w:highlight w:val="none"/>
              </w:rPr>
            </w:pPr>
          </w:p>
        </w:tc>
        <w:tc>
          <w:tcPr>
            <w:tcW w:w="1843" w:type="dxa"/>
            <w:noWrap w:val="0"/>
            <w:vAlign w:val="center"/>
          </w:tcPr>
          <w:p w14:paraId="1B7CC5A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学历</w:t>
            </w:r>
          </w:p>
        </w:tc>
        <w:tc>
          <w:tcPr>
            <w:tcW w:w="2126" w:type="dxa"/>
            <w:noWrap w:val="0"/>
            <w:vAlign w:val="center"/>
          </w:tcPr>
          <w:p w14:paraId="0A79AED4">
            <w:pPr>
              <w:jc w:val="center"/>
              <w:rPr>
                <w:rFonts w:hint="eastAsia" w:ascii="仿宋" w:hAnsi="仿宋" w:eastAsia="仿宋" w:cs="仿宋"/>
                <w:color w:val="auto"/>
                <w:sz w:val="24"/>
                <w:highlight w:val="none"/>
              </w:rPr>
            </w:pPr>
          </w:p>
        </w:tc>
      </w:tr>
      <w:tr w14:paraId="2801A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3AE0CE7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职称</w:t>
            </w:r>
          </w:p>
        </w:tc>
        <w:tc>
          <w:tcPr>
            <w:tcW w:w="1035" w:type="dxa"/>
            <w:noWrap w:val="0"/>
            <w:vAlign w:val="center"/>
          </w:tcPr>
          <w:p w14:paraId="1491BDB9">
            <w:pPr>
              <w:jc w:val="center"/>
              <w:rPr>
                <w:rFonts w:hint="eastAsia" w:ascii="仿宋" w:hAnsi="仿宋" w:eastAsia="仿宋" w:cs="仿宋"/>
                <w:color w:val="auto"/>
                <w:sz w:val="24"/>
                <w:highlight w:val="none"/>
              </w:rPr>
            </w:pPr>
          </w:p>
        </w:tc>
        <w:tc>
          <w:tcPr>
            <w:tcW w:w="1134" w:type="dxa"/>
            <w:noWrap w:val="0"/>
            <w:vAlign w:val="center"/>
          </w:tcPr>
          <w:p w14:paraId="4DE1347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职务</w:t>
            </w:r>
          </w:p>
        </w:tc>
        <w:tc>
          <w:tcPr>
            <w:tcW w:w="1275" w:type="dxa"/>
            <w:noWrap w:val="0"/>
            <w:vAlign w:val="center"/>
          </w:tcPr>
          <w:p w14:paraId="1D23A18E">
            <w:pPr>
              <w:jc w:val="center"/>
              <w:rPr>
                <w:rFonts w:hint="eastAsia" w:ascii="仿宋" w:hAnsi="仿宋" w:eastAsia="仿宋" w:cs="仿宋"/>
                <w:color w:val="auto"/>
                <w:sz w:val="24"/>
                <w:highlight w:val="none"/>
              </w:rPr>
            </w:pPr>
          </w:p>
        </w:tc>
        <w:tc>
          <w:tcPr>
            <w:tcW w:w="1843" w:type="dxa"/>
            <w:noWrap w:val="0"/>
            <w:vAlign w:val="center"/>
          </w:tcPr>
          <w:p w14:paraId="5449EE0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拟在本工程任职</w:t>
            </w:r>
          </w:p>
        </w:tc>
        <w:tc>
          <w:tcPr>
            <w:tcW w:w="2126" w:type="dxa"/>
            <w:noWrap w:val="0"/>
            <w:vAlign w:val="center"/>
          </w:tcPr>
          <w:p w14:paraId="324A886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w:t>
            </w:r>
          </w:p>
        </w:tc>
      </w:tr>
      <w:tr w14:paraId="37E3C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1" w:type="dxa"/>
            <w:gridSpan w:val="3"/>
            <w:noWrap w:val="0"/>
            <w:vAlign w:val="center"/>
          </w:tcPr>
          <w:p w14:paraId="66FF330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建造师注册证书等级</w:t>
            </w:r>
          </w:p>
        </w:tc>
        <w:tc>
          <w:tcPr>
            <w:tcW w:w="1275" w:type="dxa"/>
            <w:noWrap w:val="0"/>
            <w:vAlign w:val="center"/>
          </w:tcPr>
          <w:p w14:paraId="6818394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级</w:t>
            </w:r>
          </w:p>
        </w:tc>
        <w:tc>
          <w:tcPr>
            <w:tcW w:w="1843" w:type="dxa"/>
            <w:noWrap w:val="0"/>
            <w:vAlign w:val="center"/>
          </w:tcPr>
          <w:p w14:paraId="74532B4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建造师专业</w:t>
            </w:r>
          </w:p>
        </w:tc>
        <w:tc>
          <w:tcPr>
            <w:tcW w:w="2126" w:type="dxa"/>
            <w:noWrap w:val="0"/>
            <w:vAlign w:val="center"/>
          </w:tcPr>
          <w:p w14:paraId="2573BC38">
            <w:pPr>
              <w:jc w:val="center"/>
              <w:rPr>
                <w:rFonts w:hint="eastAsia" w:ascii="仿宋" w:hAnsi="仿宋" w:eastAsia="仿宋" w:cs="仿宋"/>
                <w:color w:val="auto"/>
                <w:sz w:val="24"/>
                <w:highlight w:val="none"/>
              </w:rPr>
            </w:pPr>
          </w:p>
        </w:tc>
      </w:tr>
      <w:tr w14:paraId="348D2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1" w:type="dxa"/>
            <w:gridSpan w:val="3"/>
            <w:noWrap w:val="0"/>
            <w:vAlign w:val="center"/>
          </w:tcPr>
          <w:p w14:paraId="2D88FD07">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安全生产考核合格证书</w:t>
            </w:r>
          </w:p>
        </w:tc>
        <w:tc>
          <w:tcPr>
            <w:tcW w:w="5244" w:type="dxa"/>
            <w:gridSpan w:val="3"/>
            <w:noWrap w:val="0"/>
            <w:vAlign w:val="center"/>
          </w:tcPr>
          <w:p w14:paraId="75CD5E08">
            <w:pPr>
              <w:jc w:val="center"/>
              <w:rPr>
                <w:rFonts w:hint="eastAsia" w:ascii="仿宋" w:hAnsi="仿宋" w:eastAsia="仿宋" w:cs="仿宋"/>
                <w:color w:val="auto"/>
                <w:sz w:val="24"/>
                <w:highlight w:val="none"/>
              </w:rPr>
            </w:pPr>
          </w:p>
        </w:tc>
      </w:tr>
      <w:tr w14:paraId="12C8D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0931088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毕业学校</w:t>
            </w:r>
          </w:p>
        </w:tc>
        <w:tc>
          <w:tcPr>
            <w:tcW w:w="7413" w:type="dxa"/>
            <w:gridSpan w:val="5"/>
            <w:noWrap w:val="0"/>
            <w:vAlign w:val="center"/>
          </w:tcPr>
          <w:p w14:paraId="6EA2C34D">
            <w:pPr>
              <w:ind w:firstLine="960" w:firstLine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年毕业于                  学校            专业</w:t>
            </w:r>
          </w:p>
        </w:tc>
      </w:tr>
      <w:tr w14:paraId="45AAE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05" w:type="dxa"/>
            <w:gridSpan w:val="6"/>
            <w:noWrap w:val="0"/>
            <w:vAlign w:val="center"/>
          </w:tcPr>
          <w:p w14:paraId="08FF0EC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主要工作经历</w:t>
            </w:r>
          </w:p>
        </w:tc>
      </w:tr>
      <w:tr w14:paraId="162E1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2F18E12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时  间</w:t>
            </w:r>
          </w:p>
        </w:tc>
        <w:tc>
          <w:tcPr>
            <w:tcW w:w="3444" w:type="dxa"/>
            <w:gridSpan w:val="3"/>
            <w:noWrap w:val="0"/>
            <w:vAlign w:val="center"/>
          </w:tcPr>
          <w:p w14:paraId="2784F1B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参加过的类似项目名称</w:t>
            </w:r>
          </w:p>
        </w:tc>
        <w:tc>
          <w:tcPr>
            <w:tcW w:w="1843" w:type="dxa"/>
            <w:noWrap w:val="0"/>
            <w:vAlign w:val="center"/>
          </w:tcPr>
          <w:p w14:paraId="49CF0E4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工程概况说明</w:t>
            </w:r>
          </w:p>
        </w:tc>
        <w:tc>
          <w:tcPr>
            <w:tcW w:w="2126" w:type="dxa"/>
            <w:noWrap w:val="0"/>
            <w:vAlign w:val="center"/>
          </w:tcPr>
          <w:p w14:paraId="2526A5B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发包人及联系</w:t>
            </w:r>
          </w:p>
          <w:p w14:paraId="1ADDFA8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r>
      <w:tr w14:paraId="3B9B9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5A605861">
            <w:pPr>
              <w:jc w:val="center"/>
              <w:rPr>
                <w:color w:val="auto"/>
                <w:sz w:val="24"/>
                <w:highlight w:val="none"/>
              </w:rPr>
            </w:pPr>
          </w:p>
        </w:tc>
        <w:tc>
          <w:tcPr>
            <w:tcW w:w="3444" w:type="dxa"/>
            <w:gridSpan w:val="3"/>
            <w:noWrap w:val="0"/>
            <w:vAlign w:val="center"/>
          </w:tcPr>
          <w:p w14:paraId="7E507596">
            <w:pPr>
              <w:jc w:val="center"/>
              <w:rPr>
                <w:color w:val="auto"/>
                <w:sz w:val="24"/>
                <w:highlight w:val="none"/>
              </w:rPr>
            </w:pPr>
          </w:p>
        </w:tc>
        <w:tc>
          <w:tcPr>
            <w:tcW w:w="1843" w:type="dxa"/>
            <w:noWrap w:val="0"/>
            <w:vAlign w:val="center"/>
          </w:tcPr>
          <w:p w14:paraId="5C2C97A6">
            <w:pPr>
              <w:jc w:val="center"/>
              <w:rPr>
                <w:color w:val="auto"/>
                <w:sz w:val="24"/>
                <w:highlight w:val="none"/>
              </w:rPr>
            </w:pPr>
          </w:p>
        </w:tc>
        <w:tc>
          <w:tcPr>
            <w:tcW w:w="2126" w:type="dxa"/>
            <w:noWrap w:val="0"/>
            <w:vAlign w:val="center"/>
          </w:tcPr>
          <w:p w14:paraId="62722F9C">
            <w:pPr>
              <w:jc w:val="center"/>
              <w:rPr>
                <w:color w:val="auto"/>
                <w:sz w:val="24"/>
                <w:highlight w:val="none"/>
              </w:rPr>
            </w:pPr>
          </w:p>
        </w:tc>
      </w:tr>
      <w:tr w14:paraId="0ACBC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6B75C74F">
            <w:pPr>
              <w:jc w:val="center"/>
              <w:rPr>
                <w:color w:val="auto"/>
                <w:sz w:val="24"/>
                <w:highlight w:val="none"/>
              </w:rPr>
            </w:pPr>
          </w:p>
          <w:p w14:paraId="6122B140">
            <w:pPr>
              <w:jc w:val="center"/>
              <w:rPr>
                <w:color w:val="auto"/>
                <w:sz w:val="24"/>
                <w:highlight w:val="none"/>
              </w:rPr>
            </w:pPr>
          </w:p>
        </w:tc>
        <w:tc>
          <w:tcPr>
            <w:tcW w:w="3444" w:type="dxa"/>
            <w:gridSpan w:val="3"/>
            <w:noWrap w:val="0"/>
            <w:vAlign w:val="center"/>
          </w:tcPr>
          <w:p w14:paraId="4652F6EA">
            <w:pPr>
              <w:jc w:val="center"/>
              <w:rPr>
                <w:color w:val="auto"/>
                <w:sz w:val="24"/>
                <w:highlight w:val="none"/>
              </w:rPr>
            </w:pPr>
          </w:p>
        </w:tc>
        <w:tc>
          <w:tcPr>
            <w:tcW w:w="1843" w:type="dxa"/>
            <w:noWrap w:val="0"/>
            <w:vAlign w:val="center"/>
          </w:tcPr>
          <w:p w14:paraId="06C27DD2">
            <w:pPr>
              <w:jc w:val="center"/>
              <w:rPr>
                <w:color w:val="auto"/>
                <w:sz w:val="24"/>
                <w:highlight w:val="none"/>
              </w:rPr>
            </w:pPr>
          </w:p>
        </w:tc>
        <w:tc>
          <w:tcPr>
            <w:tcW w:w="2126" w:type="dxa"/>
            <w:noWrap w:val="0"/>
            <w:vAlign w:val="center"/>
          </w:tcPr>
          <w:p w14:paraId="63F8C762">
            <w:pPr>
              <w:jc w:val="center"/>
              <w:rPr>
                <w:color w:val="auto"/>
                <w:sz w:val="24"/>
                <w:highlight w:val="none"/>
              </w:rPr>
            </w:pPr>
          </w:p>
        </w:tc>
      </w:tr>
      <w:tr w14:paraId="5A161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25257CFE">
            <w:pPr>
              <w:jc w:val="center"/>
              <w:rPr>
                <w:color w:val="auto"/>
                <w:sz w:val="24"/>
                <w:highlight w:val="none"/>
              </w:rPr>
            </w:pPr>
          </w:p>
        </w:tc>
        <w:tc>
          <w:tcPr>
            <w:tcW w:w="3444" w:type="dxa"/>
            <w:gridSpan w:val="3"/>
            <w:noWrap w:val="0"/>
            <w:vAlign w:val="center"/>
          </w:tcPr>
          <w:p w14:paraId="67C14C48">
            <w:pPr>
              <w:jc w:val="center"/>
              <w:rPr>
                <w:color w:val="auto"/>
                <w:sz w:val="24"/>
                <w:highlight w:val="none"/>
              </w:rPr>
            </w:pPr>
          </w:p>
        </w:tc>
        <w:tc>
          <w:tcPr>
            <w:tcW w:w="1843" w:type="dxa"/>
            <w:noWrap w:val="0"/>
            <w:vAlign w:val="center"/>
          </w:tcPr>
          <w:p w14:paraId="5BDE82C2">
            <w:pPr>
              <w:jc w:val="center"/>
              <w:rPr>
                <w:color w:val="auto"/>
                <w:sz w:val="24"/>
                <w:highlight w:val="none"/>
              </w:rPr>
            </w:pPr>
          </w:p>
        </w:tc>
        <w:tc>
          <w:tcPr>
            <w:tcW w:w="2126" w:type="dxa"/>
            <w:noWrap w:val="0"/>
            <w:vAlign w:val="center"/>
          </w:tcPr>
          <w:p w14:paraId="741D1EBC">
            <w:pPr>
              <w:jc w:val="center"/>
              <w:rPr>
                <w:color w:val="auto"/>
                <w:sz w:val="24"/>
                <w:highlight w:val="none"/>
              </w:rPr>
            </w:pPr>
          </w:p>
        </w:tc>
      </w:tr>
      <w:tr w14:paraId="3B1C7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41C76562">
            <w:pPr>
              <w:jc w:val="center"/>
              <w:rPr>
                <w:color w:val="auto"/>
                <w:sz w:val="24"/>
                <w:highlight w:val="none"/>
              </w:rPr>
            </w:pPr>
          </w:p>
        </w:tc>
        <w:tc>
          <w:tcPr>
            <w:tcW w:w="3444" w:type="dxa"/>
            <w:gridSpan w:val="3"/>
            <w:noWrap w:val="0"/>
            <w:vAlign w:val="center"/>
          </w:tcPr>
          <w:p w14:paraId="3C541248">
            <w:pPr>
              <w:jc w:val="center"/>
              <w:rPr>
                <w:color w:val="auto"/>
                <w:sz w:val="24"/>
                <w:highlight w:val="none"/>
              </w:rPr>
            </w:pPr>
          </w:p>
        </w:tc>
        <w:tc>
          <w:tcPr>
            <w:tcW w:w="1843" w:type="dxa"/>
            <w:noWrap w:val="0"/>
            <w:vAlign w:val="center"/>
          </w:tcPr>
          <w:p w14:paraId="13952346">
            <w:pPr>
              <w:jc w:val="center"/>
              <w:rPr>
                <w:color w:val="auto"/>
                <w:sz w:val="24"/>
                <w:highlight w:val="none"/>
              </w:rPr>
            </w:pPr>
          </w:p>
        </w:tc>
        <w:tc>
          <w:tcPr>
            <w:tcW w:w="2126" w:type="dxa"/>
            <w:noWrap w:val="0"/>
            <w:vAlign w:val="center"/>
          </w:tcPr>
          <w:p w14:paraId="089C28AF">
            <w:pPr>
              <w:jc w:val="center"/>
              <w:rPr>
                <w:color w:val="auto"/>
                <w:sz w:val="24"/>
                <w:highlight w:val="none"/>
              </w:rPr>
            </w:pPr>
          </w:p>
        </w:tc>
      </w:tr>
      <w:tr w14:paraId="63EE0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12B81795">
            <w:pPr>
              <w:jc w:val="center"/>
              <w:rPr>
                <w:color w:val="auto"/>
                <w:sz w:val="24"/>
                <w:highlight w:val="none"/>
              </w:rPr>
            </w:pPr>
          </w:p>
        </w:tc>
        <w:tc>
          <w:tcPr>
            <w:tcW w:w="3444" w:type="dxa"/>
            <w:gridSpan w:val="3"/>
            <w:noWrap w:val="0"/>
            <w:vAlign w:val="center"/>
          </w:tcPr>
          <w:p w14:paraId="79E23D6C">
            <w:pPr>
              <w:jc w:val="center"/>
              <w:rPr>
                <w:color w:val="auto"/>
                <w:sz w:val="24"/>
                <w:highlight w:val="none"/>
              </w:rPr>
            </w:pPr>
          </w:p>
        </w:tc>
        <w:tc>
          <w:tcPr>
            <w:tcW w:w="1843" w:type="dxa"/>
            <w:noWrap w:val="0"/>
            <w:vAlign w:val="center"/>
          </w:tcPr>
          <w:p w14:paraId="3AF26332">
            <w:pPr>
              <w:jc w:val="center"/>
              <w:rPr>
                <w:color w:val="auto"/>
                <w:sz w:val="24"/>
                <w:highlight w:val="none"/>
              </w:rPr>
            </w:pPr>
          </w:p>
        </w:tc>
        <w:tc>
          <w:tcPr>
            <w:tcW w:w="2126" w:type="dxa"/>
            <w:noWrap w:val="0"/>
            <w:vAlign w:val="center"/>
          </w:tcPr>
          <w:p w14:paraId="6DDD74B6">
            <w:pPr>
              <w:jc w:val="center"/>
              <w:rPr>
                <w:color w:val="auto"/>
                <w:sz w:val="24"/>
                <w:highlight w:val="none"/>
              </w:rPr>
            </w:pPr>
          </w:p>
        </w:tc>
      </w:tr>
      <w:tr w14:paraId="37799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2ADACF22">
            <w:pPr>
              <w:jc w:val="center"/>
              <w:rPr>
                <w:color w:val="auto"/>
                <w:sz w:val="24"/>
                <w:highlight w:val="none"/>
              </w:rPr>
            </w:pPr>
          </w:p>
        </w:tc>
        <w:tc>
          <w:tcPr>
            <w:tcW w:w="3444" w:type="dxa"/>
            <w:gridSpan w:val="3"/>
            <w:noWrap w:val="0"/>
            <w:vAlign w:val="center"/>
          </w:tcPr>
          <w:p w14:paraId="49606BD4">
            <w:pPr>
              <w:jc w:val="center"/>
              <w:rPr>
                <w:color w:val="auto"/>
                <w:sz w:val="24"/>
                <w:highlight w:val="none"/>
              </w:rPr>
            </w:pPr>
          </w:p>
        </w:tc>
        <w:tc>
          <w:tcPr>
            <w:tcW w:w="1843" w:type="dxa"/>
            <w:noWrap w:val="0"/>
            <w:vAlign w:val="center"/>
          </w:tcPr>
          <w:p w14:paraId="410EF8A0">
            <w:pPr>
              <w:jc w:val="center"/>
              <w:rPr>
                <w:color w:val="auto"/>
                <w:sz w:val="24"/>
                <w:highlight w:val="none"/>
              </w:rPr>
            </w:pPr>
          </w:p>
        </w:tc>
        <w:tc>
          <w:tcPr>
            <w:tcW w:w="2126" w:type="dxa"/>
            <w:noWrap w:val="0"/>
            <w:vAlign w:val="center"/>
          </w:tcPr>
          <w:p w14:paraId="765648EB">
            <w:pPr>
              <w:jc w:val="center"/>
              <w:rPr>
                <w:color w:val="auto"/>
                <w:sz w:val="24"/>
                <w:highlight w:val="none"/>
              </w:rPr>
            </w:pPr>
          </w:p>
        </w:tc>
      </w:tr>
      <w:tr w14:paraId="1DEBA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70FCC730">
            <w:pPr>
              <w:jc w:val="center"/>
              <w:rPr>
                <w:color w:val="auto"/>
                <w:sz w:val="24"/>
                <w:highlight w:val="none"/>
              </w:rPr>
            </w:pPr>
          </w:p>
        </w:tc>
        <w:tc>
          <w:tcPr>
            <w:tcW w:w="3444" w:type="dxa"/>
            <w:gridSpan w:val="3"/>
            <w:noWrap w:val="0"/>
            <w:vAlign w:val="center"/>
          </w:tcPr>
          <w:p w14:paraId="5190296C">
            <w:pPr>
              <w:jc w:val="center"/>
              <w:rPr>
                <w:color w:val="auto"/>
                <w:sz w:val="24"/>
                <w:highlight w:val="none"/>
              </w:rPr>
            </w:pPr>
          </w:p>
        </w:tc>
        <w:tc>
          <w:tcPr>
            <w:tcW w:w="1843" w:type="dxa"/>
            <w:noWrap w:val="0"/>
            <w:vAlign w:val="center"/>
          </w:tcPr>
          <w:p w14:paraId="378DBB9B">
            <w:pPr>
              <w:jc w:val="center"/>
              <w:rPr>
                <w:color w:val="auto"/>
                <w:sz w:val="24"/>
                <w:highlight w:val="none"/>
              </w:rPr>
            </w:pPr>
          </w:p>
        </w:tc>
        <w:tc>
          <w:tcPr>
            <w:tcW w:w="2126" w:type="dxa"/>
            <w:noWrap w:val="0"/>
            <w:vAlign w:val="center"/>
          </w:tcPr>
          <w:p w14:paraId="5EB2CDDE">
            <w:pPr>
              <w:jc w:val="center"/>
              <w:rPr>
                <w:color w:val="auto"/>
                <w:sz w:val="24"/>
                <w:highlight w:val="none"/>
              </w:rPr>
            </w:pPr>
          </w:p>
        </w:tc>
      </w:tr>
    </w:tbl>
    <w:p w14:paraId="06EFBD82">
      <w:pPr>
        <w:spacing w:line="360" w:lineRule="auto"/>
        <w:rPr>
          <w:color w:val="auto"/>
          <w:sz w:val="24"/>
          <w:highlight w:val="none"/>
        </w:rPr>
      </w:pPr>
    </w:p>
    <w:p w14:paraId="4073F8AE">
      <w:pPr>
        <w:spacing w:line="360" w:lineRule="auto"/>
        <w:rPr>
          <w:color w:val="auto"/>
          <w:szCs w:val="21"/>
          <w:highlight w:val="none"/>
        </w:rPr>
      </w:pPr>
    </w:p>
    <w:p w14:paraId="62BD19B0">
      <w:pPr>
        <w:spacing w:line="360" w:lineRule="auto"/>
        <w:rPr>
          <w:rFonts w:hint="eastAsia" w:ascii="仿宋" w:hAnsi="仿宋" w:eastAsia="仿宋" w:cs="仿宋"/>
          <w:b/>
          <w:bCs/>
          <w:color w:val="auto"/>
          <w:sz w:val="24"/>
          <w:highlight w:val="none"/>
        </w:rPr>
      </w:pPr>
      <w:r>
        <w:rPr>
          <w:color w:val="auto"/>
          <w:szCs w:val="21"/>
          <w:highlight w:val="none"/>
        </w:rPr>
        <w:br w:type="page"/>
      </w:r>
      <w:r>
        <w:rPr>
          <w:rFonts w:hint="eastAsia" w:ascii="仿宋" w:hAnsi="仿宋" w:eastAsia="仿宋" w:cs="仿宋"/>
          <w:b/>
          <w:bCs/>
          <w:color w:val="auto"/>
          <w:sz w:val="28"/>
          <w:szCs w:val="28"/>
          <w:highlight w:val="none"/>
        </w:rPr>
        <w:t>附1-1：承诺书</w:t>
      </w:r>
    </w:p>
    <w:p w14:paraId="1F42BC00">
      <w:pPr>
        <w:spacing w:before="240" w:beforeLines="100" w:after="240" w:afterLines="100"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承诺书</w:t>
      </w:r>
    </w:p>
    <w:p w14:paraId="46E3F8A8">
      <w:pPr>
        <w:spacing w:after="240" w:afterLines="10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（招标人名称）：</w:t>
      </w:r>
    </w:p>
    <w:p w14:paraId="5E17817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我方在此声明，我方拟派往</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标段（以下简称“本工程”）的项目经理</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（项目经理姓名）现阶段没有担任任何在施建设工程项目的项目经理。</w:t>
      </w:r>
    </w:p>
    <w:p w14:paraId="16699EA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我方保证上述信息的真实和准确，并愿意承担因我方就此弄虚作假所引起的一切法律后果。</w:t>
      </w:r>
    </w:p>
    <w:p w14:paraId="5FEBB4E2">
      <w:pPr>
        <w:spacing w:line="360" w:lineRule="auto"/>
        <w:ind w:firstLine="480" w:firstLineChars="200"/>
        <w:rPr>
          <w:rFonts w:hint="eastAsia" w:ascii="仿宋" w:hAnsi="仿宋" w:eastAsia="仿宋" w:cs="仿宋"/>
          <w:color w:val="auto"/>
          <w:sz w:val="24"/>
          <w:highlight w:val="none"/>
        </w:rPr>
      </w:pPr>
    </w:p>
    <w:p w14:paraId="27081B8F">
      <w:pPr>
        <w:spacing w:line="360" w:lineRule="auto"/>
        <w:ind w:firstLine="480" w:firstLineChars="200"/>
        <w:rPr>
          <w:rFonts w:hint="eastAsia" w:ascii="仿宋" w:hAnsi="仿宋" w:eastAsia="仿宋" w:cs="仿宋"/>
          <w:color w:val="auto"/>
          <w:sz w:val="24"/>
          <w:highlight w:val="none"/>
        </w:rPr>
      </w:pPr>
    </w:p>
    <w:p w14:paraId="06F2FA1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特此承诺。</w:t>
      </w:r>
    </w:p>
    <w:p w14:paraId="60DCC1FC">
      <w:pPr>
        <w:spacing w:line="360" w:lineRule="auto"/>
        <w:ind w:firstLine="480" w:firstLineChars="200"/>
        <w:rPr>
          <w:rFonts w:hint="eastAsia" w:ascii="仿宋" w:hAnsi="仿宋" w:eastAsia="仿宋" w:cs="仿宋"/>
          <w:color w:val="auto"/>
          <w:sz w:val="24"/>
          <w:highlight w:val="none"/>
        </w:rPr>
      </w:pPr>
    </w:p>
    <w:p w14:paraId="65A0A970">
      <w:pPr>
        <w:spacing w:line="360" w:lineRule="auto"/>
        <w:ind w:firstLine="480" w:firstLineChars="200"/>
        <w:rPr>
          <w:rFonts w:hint="eastAsia" w:ascii="仿宋" w:hAnsi="仿宋" w:eastAsia="仿宋" w:cs="仿宋"/>
          <w:color w:val="auto"/>
          <w:sz w:val="24"/>
          <w:highlight w:val="none"/>
        </w:rPr>
      </w:pPr>
    </w:p>
    <w:p w14:paraId="651DC946">
      <w:pPr>
        <w:spacing w:line="360" w:lineRule="auto"/>
        <w:ind w:firstLine="480" w:firstLineChars="200"/>
        <w:rPr>
          <w:rFonts w:hint="eastAsia" w:ascii="仿宋" w:hAnsi="仿宋" w:eastAsia="仿宋" w:cs="仿宋"/>
          <w:color w:val="auto"/>
          <w:sz w:val="24"/>
          <w:highlight w:val="none"/>
        </w:rPr>
      </w:pPr>
    </w:p>
    <w:p w14:paraId="35C2BBD6">
      <w:pPr>
        <w:spacing w:line="360" w:lineRule="auto"/>
        <w:ind w:firstLine="480" w:firstLineChars="200"/>
        <w:rPr>
          <w:rFonts w:hint="eastAsia" w:ascii="仿宋" w:hAnsi="仿宋" w:eastAsia="仿宋" w:cs="仿宋"/>
          <w:color w:val="auto"/>
          <w:sz w:val="24"/>
          <w:highlight w:val="none"/>
        </w:rPr>
      </w:pPr>
    </w:p>
    <w:p w14:paraId="37937851">
      <w:pPr>
        <w:spacing w:line="360" w:lineRule="auto"/>
        <w:ind w:firstLine="480" w:firstLineChars="200"/>
        <w:rPr>
          <w:rFonts w:hint="eastAsia" w:ascii="仿宋" w:hAnsi="仿宋" w:eastAsia="仿宋" w:cs="仿宋"/>
          <w:color w:val="auto"/>
          <w:sz w:val="24"/>
          <w:highlight w:val="none"/>
        </w:rPr>
      </w:pPr>
    </w:p>
    <w:p w14:paraId="4FE78744">
      <w:pPr>
        <w:spacing w:line="360" w:lineRule="auto"/>
        <w:ind w:firstLine="480" w:firstLineChars="200"/>
        <w:jc w:val="right"/>
        <w:rPr>
          <w:rFonts w:hint="eastAsia" w:ascii="仿宋" w:hAnsi="仿宋" w:eastAsia="仿宋" w:cs="仿宋"/>
          <w:color w:val="auto"/>
          <w:sz w:val="24"/>
          <w:highlight w:val="none"/>
        </w:rPr>
      </w:pPr>
    </w:p>
    <w:p w14:paraId="0BA53DD0">
      <w:pPr>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（盖单位章）</w:t>
      </w:r>
    </w:p>
    <w:p w14:paraId="6EA3ACF7">
      <w:pPr>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kern w:val="0"/>
          <w:position w:val="-2"/>
          <w:sz w:val="24"/>
          <w:highlight w:val="none"/>
        </w:rPr>
        <w:t>签字或盖章</w:t>
      </w:r>
      <w:r>
        <w:rPr>
          <w:rFonts w:hint="eastAsia" w:ascii="仿宋" w:hAnsi="仿宋" w:eastAsia="仿宋" w:cs="仿宋"/>
          <w:color w:val="auto"/>
          <w:sz w:val="24"/>
          <w:highlight w:val="none"/>
        </w:rPr>
        <w:t>）</w:t>
      </w:r>
    </w:p>
    <w:p w14:paraId="3CCD5066">
      <w:pPr>
        <w:spacing w:line="360" w:lineRule="auto"/>
        <w:jc w:val="right"/>
        <w:rPr>
          <w:rFonts w:hint="eastAsia" w:ascii="仿宋" w:hAnsi="仿宋" w:eastAsia="仿宋" w:cs="仿宋"/>
          <w:color w:val="auto"/>
          <w:sz w:val="24"/>
          <w:highlight w:val="none"/>
        </w:rPr>
      </w:pPr>
    </w:p>
    <w:p w14:paraId="7960E541">
      <w:pPr>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7A3030A4">
      <w:pPr>
        <w:spacing w:line="360" w:lineRule="auto"/>
        <w:rPr>
          <w:color w:val="auto"/>
          <w:szCs w:val="21"/>
          <w:highlight w:val="none"/>
        </w:rPr>
      </w:pPr>
    </w:p>
    <w:p w14:paraId="3C6DF9C6">
      <w:pPr>
        <w:spacing w:line="360" w:lineRule="auto"/>
        <w:rPr>
          <w:color w:val="auto"/>
          <w:szCs w:val="21"/>
          <w:highlight w:val="none"/>
        </w:rPr>
      </w:pPr>
    </w:p>
    <w:p w14:paraId="3FFF9955">
      <w:pPr>
        <w:spacing w:line="360" w:lineRule="auto"/>
        <w:rPr>
          <w:color w:val="auto"/>
          <w:szCs w:val="21"/>
          <w:highlight w:val="none"/>
        </w:rPr>
      </w:pPr>
    </w:p>
    <w:p w14:paraId="1103B3DE">
      <w:pPr>
        <w:spacing w:line="360" w:lineRule="auto"/>
        <w:rPr>
          <w:color w:val="auto"/>
          <w:szCs w:val="21"/>
          <w:highlight w:val="none"/>
        </w:rPr>
      </w:pPr>
    </w:p>
    <w:p w14:paraId="3EE38B9A">
      <w:pPr>
        <w:spacing w:line="360" w:lineRule="auto"/>
        <w:rPr>
          <w:color w:val="auto"/>
          <w:szCs w:val="21"/>
          <w:highlight w:val="none"/>
        </w:rPr>
      </w:pPr>
    </w:p>
    <w:p w14:paraId="0E93F025">
      <w:pPr>
        <w:spacing w:line="360" w:lineRule="auto"/>
        <w:rPr>
          <w:color w:val="auto"/>
          <w:szCs w:val="21"/>
          <w:highlight w:val="none"/>
        </w:rPr>
      </w:pPr>
    </w:p>
    <w:p w14:paraId="74384BAD">
      <w:pPr>
        <w:spacing w:line="360" w:lineRule="auto"/>
        <w:rPr>
          <w:b/>
          <w:bCs/>
          <w:color w:val="auto"/>
          <w:szCs w:val="21"/>
          <w:highlight w:val="none"/>
        </w:rPr>
      </w:pPr>
      <w:r>
        <w:rPr>
          <w:b/>
          <w:bCs/>
          <w:color w:val="auto"/>
          <w:szCs w:val="21"/>
          <w:highlight w:val="none"/>
        </w:rPr>
        <w:br w:type="page"/>
      </w:r>
      <w:r>
        <w:rPr>
          <w:rFonts w:hint="eastAsia" w:ascii="仿宋" w:hAnsi="仿宋" w:eastAsia="仿宋" w:cs="仿宋"/>
          <w:b/>
          <w:bCs/>
          <w:color w:val="auto"/>
          <w:sz w:val="28"/>
          <w:szCs w:val="28"/>
          <w:highlight w:val="none"/>
        </w:rPr>
        <w:t>附2：</w:t>
      </w:r>
      <w:bookmarkStart w:id="1902" w:name="OLE_LINK8"/>
      <w:r>
        <w:rPr>
          <w:rFonts w:hint="eastAsia" w:ascii="仿宋" w:hAnsi="仿宋" w:eastAsia="仿宋" w:cs="仿宋"/>
          <w:b/>
          <w:bCs/>
          <w:color w:val="auto"/>
          <w:sz w:val="28"/>
          <w:szCs w:val="28"/>
          <w:highlight w:val="none"/>
        </w:rPr>
        <w:t>主要项目管理人员</w:t>
      </w:r>
      <w:bookmarkEnd w:id="1902"/>
      <w:r>
        <w:rPr>
          <w:rFonts w:hint="eastAsia" w:ascii="仿宋" w:hAnsi="仿宋" w:eastAsia="仿宋" w:cs="仿宋"/>
          <w:b/>
          <w:bCs/>
          <w:color w:val="auto"/>
          <w:sz w:val="28"/>
          <w:szCs w:val="28"/>
          <w:highlight w:val="none"/>
        </w:rPr>
        <w:t>简历表</w:t>
      </w:r>
    </w:p>
    <w:p w14:paraId="7B5AD8B9">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主要项目管理人员指第二章投标须知前附表10.</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1项规定的岗位人员及投标人拟派的其他岗位人员。应附注册资格证书（如有）、身份证、职称证（如有）、学历证（如有）、养老保险复印件，专职安全生产管理人员应附安全生产考核合格证书，主要业绩须附合同协议书（如有）。</w:t>
      </w:r>
    </w:p>
    <w:tbl>
      <w:tblPr>
        <w:tblStyle w:val="28"/>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771"/>
        <w:gridCol w:w="645"/>
        <w:gridCol w:w="2762"/>
        <w:gridCol w:w="1293"/>
        <w:gridCol w:w="3783"/>
      </w:tblGrid>
      <w:tr w14:paraId="0D22B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371" w:type="dxa"/>
            <w:gridSpan w:val="2"/>
            <w:noWrap w:val="0"/>
            <w:vAlign w:val="center"/>
          </w:tcPr>
          <w:p w14:paraId="1F7027A3">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岗位名称</w:t>
            </w:r>
          </w:p>
        </w:tc>
        <w:tc>
          <w:tcPr>
            <w:tcW w:w="8483" w:type="dxa"/>
            <w:gridSpan w:val="4"/>
            <w:noWrap w:val="0"/>
            <w:vAlign w:val="center"/>
          </w:tcPr>
          <w:p w14:paraId="2662F55D">
            <w:pPr>
              <w:spacing w:line="640" w:lineRule="exact"/>
              <w:jc w:val="center"/>
              <w:rPr>
                <w:rFonts w:hint="eastAsia" w:ascii="仿宋" w:hAnsi="仿宋" w:eastAsia="仿宋" w:cs="仿宋"/>
                <w:color w:val="auto"/>
                <w:sz w:val="24"/>
                <w:highlight w:val="none"/>
              </w:rPr>
            </w:pPr>
          </w:p>
        </w:tc>
      </w:tr>
      <w:tr w14:paraId="0CE19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371" w:type="dxa"/>
            <w:gridSpan w:val="2"/>
            <w:noWrap w:val="0"/>
            <w:vAlign w:val="center"/>
          </w:tcPr>
          <w:p w14:paraId="5C0512FF">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    名</w:t>
            </w:r>
          </w:p>
        </w:tc>
        <w:tc>
          <w:tcPr>
            <w:tcW w:w="3407" w:type="dxa"/>
            <w:gridSpan w:val="2"/>
            <w:noWrap w:val="0"/>
            <w:vAlign w:val="center"/>
          </w:tcPr>
          <w:p w14:paraId="7AC89C3E">
            <w:pPr>
              <w:spacing w:line="640" w:lineRule="exact"/>
              <w:jc w:val="center"/>
              <w:rPr>
                <w:rFonts w:hint="eastAsia" w:ascii="仿宋" w:hAnsi="仿宋" w:eastAsia="仿宋" w:cs="仿宋"/>
                <w:color w:val="auto"/>
                <w:sz w:val="24"/>
                <w:highlight w:val="none"/>
              </w:rPr>
            </w:pPr>
          </w:p>
        </w:tc>
        <w:tc>
          <w:tcPr>
            <w:tcW w:w="1293" w:type="dxa"/>
            <w:noWrap w:val="0"/>
            <w:vAlign w:val="center"/>
          </w:tcPr>
          <w:p w14:paraId="1909FA55">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年    龄</w:t>
            </w:r>
          </w:p>
        </w:tc>
        <w:tc>
          <w:tcPr>
            <w:tcW w:w="3783" w:type="dxa"/>
            <w:noWrap w:val="0"/>
            <w:vAlign w:val="center"/>
          </w:tcPr>
          <w:p w14:paraId="2A3200CA">
            <w:pPr>
              <w:spacing w:line="640" w:lineRule="exact"/>
              <w:jc w:val="center"/>
              <w:rPr>
                <w:rFonts w:hint="eastAsia" w:ascii="仿宋" w:hAnsi="仿宋" w:eastAsia="仿宋" w:cs="仿宋"/>
                <w:color w:val="auto"/>
                <w:sz w:val="24"/>
                <w:highlight w:val="none"/>
              </w:rPr>
            </w:pPr>
          </w:p>
        </w:tc>
      </w:tr>
      <w:tr w14:paraId="6370A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371" w:type="dxa"/>
            <w:gridSpan w:val="2"/>
            <w:noWrap w:val="0"/>
            <w:vAlign w:val="center"/>
          </w:tcPr>
          <w:p w14:paraId="7B80C56E">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性    别</w:t>
            </w:r>
          </w:p>
        </w:tc>
        <w:tc>
          <w:tcPr>
            <w:tcW w:w="3407" w:type="dxa"/>
            <w:gridSpan w:val="2"/>
            <w:noWrap w:val="0"/>
            <w:vAlign w:val="center"/>
          </w:tcPr>
          <w:p w14:paraId="0AFEFF57">
            <w:pPr>
              <w:spacing w:line="640" w:lineRule="exact"/>
              <w:jc w:val="center"/>
              <w:rPr>
                <w:rFonts w:hint="eastAsia" w:ascii="仿宋" w:hAnsi="仿宋" w:eastAsia="仿宋" w:cs="仿宋"/>
                <w:color w:val="auto"/>
                <w:sz w:val="24"/>
                <w:highlight w:val="none"/>
              </w:rPr>
            </w:pPr>
          </w:p>
        </w:tc>
        <w:tc>
          <w:tcPr>
            <w:tcW w:w="1293" w:type="dxa"/>
            <w:noWrap w:val="0"/>
            <w:vAlign w:val="center"/>
          </w:tcPr>
          <w:p w14:paraId="0078EE0D">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毕业学校</w:t>
            </w:r>
          </w:p>
        </w:tc>
        <w:tc>
          <w:tcPr>
            <w:tcW w:w="3783" w:type="dxa"/>
            <w:noWrap w:val="0"/>
            <w:vAlign w:val="center"/>
          </w:tcPr>
          <w:p w14:paraId="266E5072">
            <w:pPr>
              <w:spacing w:line="640" w:lineRule="exact"/>
              <w:jc w:val="center"/>
              <w:rPr>
                <w:rFonts w:hint="eastAsia" w:ascii="仿宋" w:hAnsi="仿宋" w:eastAsia="仿宋" w:cs="仿宋"/>
                <w:color w:val="auto"/>
                <w:sz w:val="24"/>
                <w:highlight w:val="none"/>
              </w:rPr>
            </w:pPr>
          </w:p>
        </w:tc>
      </w:tr>
      <w:tr w14:paraId="07FD6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1371" w:type="dxa"/>
            <w:gridSpan w:val="2"/>
            <w:noWrap w:val="0"/>
            <w:vAlign w:val="center"/>
          </w:tcPr>
          <w:p w14:paraId="081E60E1">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学历和</w:t>
            </w:r>
          </w:p>
          <w:p w14:paraId="0254F6EB">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w:t>
            </w:r>
          </w:p>
        </w:tc>
        <w:tc>
          <w:tcPr>
            <w:tcW w:w="3407" w:type="dxa"/>
            <w:gridSpan w:val="2"/>
            <w:noWrap w:val="0"/>
            <w:vAlign w:val="center"/>
          </w:tcPr>
          <w:p w14:paraId="18F0DCE4">
            <w:pPr>
              <w:spacing w:line="640" w:lineRule="exact"/>
              <w:jc w:val="center"/>
              <w:rPr>
                <w:rFonts w:hint="eastAsia" w:ascii="仿宋" w:hAnsi="仿宋" w:eastAsia="仿宋" w:cs="仿宋"/>
                <w:color w:val="auto"/>
                <w:sz w:val="24"/>
                <w:highlight w:val="none"/>
              </w:rPr>
            </w:pPr>
          </w:p>
        </w:tc>
        <w:tc>
          <w:tcPr>
            <w:tcW w:w="1293" w:type="dxa"/>
            <w:noWrap w:val="0"/>
            <w:vAlign w:val="center"/>
          </w:tcPr>
          <w:p w14:paraId="676D3BD4">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毕业时间</w:t>
            </w:r>
          </w:p>
        </w:tc>
        <w:tc>
          <w:tcPr>
            <w:tcW w:w="3783" w:type="dxa"/>
            <w:noWrap w:val="0"/>
            <w:vAlign w:val="center"/>
          </w:tcPr>
          <w:p w14:paraId="3463CD6C">
            <w:pPr>
              <w:spacing w:line="640" w:lineRule="exact"/>
              <w:jc w:val="center"/>
              <w:rPr>
                <w:rFonts w:hint="eastAsia" w:ascii="仿宋" w:hAnsi="仿宋" w:eastAsia="仿宋" w:cs="仿宋"/>
                <w:color w:val="auto"/>
                <w:sz w:val="24"/>
                <w:highlight w:val="none"/>
              </w:rPr>
            </w:pPr>
          </w:p>
        </w:tc>
      </w:tr>
      <w:tr w14:paraId="18A5B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2016" w:type="dxa"/>
            <w:gridSpan w:val="3"/>
            <w:noWrap w:val="0"/>
            <w:vAlign w:val="center"/>
          </w:tcPr>
          <w:p w14:paraId="1440751B">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拥有的执业资格</w:t>
            </w:r>
          </w:p>
        </w:tc>
        <w:tc>
          <w:tcPr>
            <w:tcW w:w="2762" w:type="dxa"/>
            <w:noWrap w:val="0"/>
            <w:vAlign w:val="center"/>
          </w:tcPr>
          <w:p w14:paraId="2D968A53">
            <w:pPr>
              <w:spacing w:line="640" w:lineRule="exact"/>
              <w:jc w:val="center"/>
              <w:rPr>
                <w:rFonts w:hint="eastAsia" w:ascii="仿宋" w:hAnsi="仿宋" w:eastAsia="仿宋" w:cs="仿宋"/>
                <w:color w:val="auto"/>
                <w:sz w:val="24"/>
                <w:highlight w:val="none"/>
              </w:rPr>
            </w:pPr>
          </w:p>
        </w:tc>
        <w:tc>
          <w:tcPr>
            <w:tcW w:w="1293" w:type="dxa"/>
            <w:noWrap w:val="0"/>
            <w:vAlign w:val="center"/>
          </w:tcPr>
          <w:p w14:paraId="5DCB2E58">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专业职称</w:t>
            </w:r>
          </w:p>
        </w:tc>
        <w:tc>
          <w:tcPr>
            <w:tcW w:w="3783" w:type="dxa"/>
            <w:noWrap w:val="0"/>
            <w:vAlign w:val="center"/>
          </w:tcPr>
          <w:p w14:paraId="0ED2AFDE">
            <w:pPr>
              <w:spacing w:line="640" w:lineRule="exact"/>
              <w:jc w:val="center"/>
              <w:rPr>
                <w:rFonts w:hint="eastAsia" w:ascii="仿宋" w:hAnsi="仿宋" w:eastAsia="仿宋" w:cs="仿宋"/>
                <w:color w:val="auto"/>
                <w:sz w:val="24"/>
                <w:highlight w:val="none"/>
              </w:rPr>
            </w:pPr>
          </w:p>
        </w:tc>
      </w:tr>
      <w:tr w14:paraId="02D2A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016" w:type="dxa"/>
            <w:gridSpan w:val="3"/>
            <w:noWrap w:val="0"/>
            <w:vAlign w:val="center"/>
          </w:tcPr>
          <w:p w14:paraId="4B67AC61">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执业资格证书</w:t>
            </w:r>
          </w:p>
          <w:p w14:paraId="088063AE">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编号</w:t>
            </w:r>
          </w:p>
        </w:tc>
        <w:tc>
          <w:tcPr>
            <w:tcW w:w="2762" w:type="dxa"/>
            <w:noWrap w:val="0"/>
            <w:vAlign w:val="center"/>
          </w:tcPr>
          <w:p w14:paraId="468E0572">
            <w:pPr>
              <w:spacing w:line="640" w:lineRule="exact"/>
              <w:jc w:val="center"/>
              <w:rPr>
                <w:rFonts w:hint="eastAsia" w:ascii="仿宋" w:hAnsi="仿宋" w:eastAsia="仿宋" w:cs="仿宋"/>
                <w:color w:val="auto"/>
                <w:sz w:val="24"/>
                <w:highlight w:val="none"/>
              </w:rPr>
            </w:pPr>
          </w:p>
        </w:tc>
        <w:tc>
          <w:tcPr>
            <w:tcW w:w="1293" w:type="dxa"/>
            <w:noWrap w:val="0"/>
            <w:vAlign w:val="center"/>
          </w:tcPr>
          <w:p w14:paraId="65025FA0">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工作年限</w:t>
            </w:r>
          </w:p>
        </w:tc>
        <w:tc>
          <w:tcPr>
            <w:tcW w:w="3783" w:type="dxa"/>
            <w:noWrap w:val="0"/>
            <w:vAlign w:val="center"/>
          </w:tcPr>
          <w:p w14:paraId="71D1CBBD">
            <w:pPr>
              <w:spacing w:line="640" w:lineRule="exact"/>
              <w:jc w:val="center"/>
              <w:rPr>
                <w:rFonts w:hint="eastAsia" w:ascii="仿宋" w:hAnsi="仿宋" w:eastAsia="仿宋" w:cs="仿宋"/>
                <w:color w:val="auto"/>
                <w:sz w:val="24"/>
                <w:highlight w:val="none"/>
              </w:rPr>
            </w:pPr>
          </w:p>
        </w:tc>
      </w:tr>
      <w:tr w14:paraId="08D1A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0" w:hRule="atLeast"/>
          <w:jc w:val="center"/>
        </w:trPr>
        <w:tc>
          <w:tcPr>
            <w:tcW w:w="600" w:type="dxa"/>
            <w:noWrap w:val="0"/>
            <w:vAlign w:val="center"/>
          </w:tcPr>
          <w:p w14:paraId="50F13AB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主</w:t>
            </w:r>
          </w:p>
          <w:p w14:paraId="0A5C9BD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要</w:t>
            </w:r>
          </w:p>
          <w:p w14:paraId="1EBE919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w:t>
            </w:r>
          </w:p>
          <w:p w14:paraId="587CFE0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作</w:t>
            </w:r>
          </w:p>
          <w:p w14:paraId="07AE19D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业</w:t>
            </w:r>
          </w:p>
          <w:p w14:paraId="2FE70FD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绩</w:t>
            </w:r>
          </w:p>
          <w:p w14:paraId="663543C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及</w:t>
            </w:r>
          </w:p>
          <w:p w14:paraId="579D3BE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担</w:t>
            </w:r>
          </w:p>
          <w:p w14:paraId="3EC391E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任</w:t>
            </w:r>
          </w:p>
          <w:p w14:paraId="27B13B9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的</w:t>
            </w:r>
          </w:p>
          <w:p w14:paraId="0C3BC08D">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主</w:t>
            </w:r>
          </w:p>
          <w:p w14:paraId="6C33414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要</w:t>
            </w:r>
          </w:p>
          <w:p w14:paraId="7310652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w:t>
            </w:r>
          </w:p>
          <w:p w14:paraId="7B3536C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作</w:t>
            </w:r>
          </w:p>
          <w:p w14:paraId="607BDC56">
            <w:pPr>
              <w:jc w:val="center"/>
              <w:rPr>
                <w:rFonts w:hint="eastAsia" w:ascii="仿宋" w:hAnsi="仿宋" w:eastAsia="仿宋" w:cs="仿宋"/>
                <w:color w:val="auto"/>
                <w:sz w:val="24"/>
                <w:highlight w:val="none"/>
              </w:rPr>
            </w:pPr>
          </w:p>
        </w:tc>
        <w:tc>
          <w:tcPr>
            <w:tcW w:w="9254" w:type="dxa"/>
            <w:gridSpan w:val="5"/>
            <w:noWrap w:val="0"/>
            <w:vAlign w:val="center"/>
          </w:tcPr>
          <w:p w14:paraId="60872684">
            <w:pPr>
              <w:jc w:val="center"/>
              <w:rPr>
                <w:rFonts w:hint="eastAsia" w:ascii="仿宋" w:hAnsi="仿宋" w:eastAsia="仿宋" w:cs="仿宋"/>
                <w:color w:val="auto"/>
                <w:sz w:val="24"/>
                <w:highlight w:val="none"/>
              </w:rPr>
            </w:pPr>
          </w:p>
        </w:tc>
      </w:tr>
    </w:tbl>
    <w:p w14:paraId="03564DF9">
      <w:pPr>
        <w:spacing w:line="360" w:lineRule="auto"/>
        <w:ind w:right="420"/>
        <w:rPr>
          <w:color w:val="auto"/>
          <w:szCs w:val="21"/>
          <w:highlight w:val="none"/>
        </w:rPr>
      </w:pPr>
    </w:p>
    <w:p w14:paraId="65C08D3B">
      <w:pPr>
        <w:spacing w:line="360" w:lineRule="auto"/>
        <w:ind w:right="420"/>
        <w:rPr>
          <w:color w:val="auto"/>
          <w:szCs w:val="21"/>
          <w:highlight w:val="none"/>
        </w:rPr>
      </w:pPr>
    </w:p>
    <w:p w14:paraId="2EFB3530">
      <w:pPr>
        <w:spacing w:before="240" w:beforeLines="100" w:after="120" w:afterLines="50" w:line="360" w:lineRule="auto"/>
        <w:jc w:val="center"/>
        <w:outlineLvl w:val="1"/>
        <w:rPr>
          <w:rFonts w:hint="eastAsia" w:ascii="仿宋" w:hAnsi="仿宋" w:eastAsia="仿宋" w:cs="仿宋"/>
          <w:b/>
          <w:bCs/>
          <w:color w:val="auto"/>
          <w:sz w:val="28"/>
          <w:szCs w:val="28"/>
          <w:highlight w:val="none"/>
        </w:rPr>
      </w:pPr>
      <w:r>
        <w:rPr>
          <w:color w:val="auto"/>
          <w:szCs w:val="21"/>
          <w:highlight w:val="none"/>
        </w:rPr>
        <w:br w:type="page"/>
      </w:r>
      <w:bookmarkStart w:id="1903" w:name="_Toc29364"/>
      <w:bookmarkStart w:id="1904" w:name="_Toc26920"/>
      <w:bookmarkStart w:id="1905" w:name="_Toc5038"/>
      <w:bookmarkStart w:id="1906" w:name="_Toc29724"/>
      <w:bookmarkStart w:id="1907" w:name="_Toc31103"/>
      <w:bookmarkStart w:id="1908" w:name="_Toc7953"/>
      <w:bookmarkStart w:id="1909" w:name="_Toc8664"/>
      <w:bookmarkStart w:id="1910" w:name="_Toc20494"/>
      <w:bookmarkStart w:id="1911" w:name="_Toc19940"/>
      <w:bookmarkStart w:id="1912" w:name="_Toc1288"/>
      <w:bookmarkStart w:id="1913" w:name="_Toc2671"/>
      <w:bookmarkStart w:id="1914" w:name="_Toc9432"/>
      <w:bookmarkStart w:id="1915" w:name="_Toc17937"/>
      <w:bookmarkStart w:id="1916" w:name="_Toc24288"/>
      <w:bookmarkStart w:id="1917" w:name="_Toc9809"/>
      <w:bookmarkStart w:id="1918" w:name="_Toc12494"/>
      <w:bookmarkStart w:id="1919" w:name="_Toc26697"/>
      <w:bookmarkStart w:id="1920" w:name="_Toc3807"/>
      <w:bookmarkStart w:id="1921" w:name="_Toc28181"/>
      <w:bookmarkStart w:id="1922" w:name="_Toc10408"/>
      <w:bookmarkStart w:id="1923" w:name="_Toc30139"/>
      <w:bookmarkStart w:id="1924" w:name="_Toc18562"/>
      <w:bookmarkStart w:id="1925" w:name="_Toc117"/>
      <w:r>
        <w:rPr>
          <w:rFonts w:hint="eastAsia" w:ascii="仿宋" w:hAnsi="仿宋" w:eastAsia="仿宋" w:cs="仿宋"/>
          <w:b/>
          <w:bCs/>
          <w:color w:val="auto"/>
          <w:sz w:val="28"/>
          <w:szCs w:val="28"/>
          <w:highlight w:val="none"/>
        </w:rPr>
        <w:t>七、资格审查资料</w:t>
      </w:r>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p>
    <w:p w14:paraId="6A406F07">
      <w:pPr>
        <w:spacing w:before="120" w:beforeLines="50" w:after="120" w:afterLines="50" w:line="360" w:lineRule="auto"/>
        <w:ind w:left="843" w:hanging="843" w:hangingChars="300"/>
        <w:jc w:val="center"/>
        <w:outlineLvl w:val="2"/>
        <w:rPr>
          <w:rFonts w:hint="eastAsia" w:ascii="仿宋" w:hAnsi="仿宋" w:eastAsia="仿宋" w:cs="仿宋"/>
          <w:b/>
          <w:bCs/>
          <w:color w:val="auto"/>
          <w:sz w:val="28"/>
          <w:szCs w:val="28"/>
          <w:highlight w:val="none"/>
        </w:rPr>
      </w:pPr>
      <w:bookmarkStart w:id="1926" w:name="_Toc22855"/>
      <w:bookmarkStart w:id="1927" w:name="_Toc10497"/>
      <w:bookmarkStart w:id="1928" w:name="_Toc25092"/>
      <w:bookmarkStart w:id="1929" w:name="_Toc25486"/>
      <w:bookmarkStart w:id="1930" w:name="_Toc10370"/>
      <w:bookmarkStart w:id="1931" w:name="_Toc23949"/>
      <w:bookmarkStart w:id="1932" w:name="_Toc4783"/>
      <w:bookmarkStart w:id="1933" w:name="_Toc4666"/>
      <w:bookmarkStart w:id="1934" w:name="_Toc8915"/>
      <w:bookmarkStart w:id="1935" w:name="_Toc30844"/>
      <w:bookmarkStart w:id="1936" w:name="_Toc9669"/>
      <w:bookmarkStart w:id="1937" w:name="_Toc15087"/>
      <w:bookmarkStart w:id="1938" w:name="_Toc12470"/>
      <w:bookmarkStart w:id="1939" w:name="_Toc19602"/>
      <w:bookmarkStart w:id="1940" w:name="_Toc24598"/>
      <w:bookmarkStart w:id="1941" w:name="_Toc9398"/>
      <w:bookmarkStart w:id="1942" w:name="_Toc27137"/>
      <w:bookmarkStart w:id="1943" w:name="_Toc26752"/>
      <w:bookmarkStart w:id="1944" w:name="_Toc18609"/>
      <w:bookmarkStart w:id="1945" w:name="_Toc30495"/>
      <w:bookmarkStart w:id="1946" w:name="_Toc3954"/>
      <w:bookmarkStart w:id="1947" w:name="_Toc10133"/>
      <w:bookmarkStart w:id="1948" w:name="_Toc12676"/>
      <w:r>
        <w:rPr>
          <w:rFonts w:hint="eastAsia" w:ascii="仿宋" w:hAnsi="仿宋" w:eastAsia="仿宋" w:cs="仿宋"/>
          <w:b/>
          <w:bCs/>
          <w:color w:val="auto"/>
          <w:sz w:val="28"/>
          <w:szCs w:val="28"/>
          <w:highlight w:val="none"/>
        </w:rPr>
        <w:t>（一）投标人基本情况表</w:t>
      </w:r>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5"/>
        <w:gridCol w:w="897"/>
        <w:gridCol w:w="1021"/>
        <w:gridCol w:w="993"/>
        <w:gridCol w:w="283"/>
        <w:gridCol w:w="195"/>
        <w:gridCol w:w="1246"/>
        <w:gridCol w:w="260"/>
        <w:gridCol w:w="709"/>
        <w:gridCol w:w="1416"/>
      </w:tblGrid>
      <w:tr w14:paraId="7F842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096021B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投标人名称</w:t>
            </w:r>
          </w:p>
        </w:tc>
        <w:tc>
          <w:tcPr>
            <w:tcW w:w="7020" w:type="dxa"/>
            <w:gridSpan w:val="9"/>
            <w:noWrap w:val="0"/>
            <w:vAlign w:val="center"/>
          </w:tcPr>
          <w:p w14:paraId="428721AD">
            <w:pPr>
              <w:jc w:val="center"/>
              <w:rPr>
                <w:rFonts w:hint="eastAsia" w:ascii="仿宋" w:hAnsi="仿宋" w:eastAsia="仿宋" w:cs="仿宋"/>
                <w:color w:val="auto"/>
                <w:sz w:val="24"/>
                <w:highlight w:val="none"/>
              </w:rPr>
            </w:pPr>
          </w:p>
        </w:tc>
      </w:tr>
      <w:tr w14:paraId="00B20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074B914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注册地址</w:t>
            </w:r>
          </w:p>
        </w:tc>
        <w:tc>
          <w:tcPr>
            <w:tcW w:w="3389" w:type="dxa"/>
            <w:gridSpan w:val="5"/>
            <w:noWrap w:val="0"/>
            <w:vAlign w:val="center"/>
          </w:tcPr>
          <w:p w14:paraId="15E4EDD5">
            <w:pPr>
              <w:jc w:val="center"/>
              <w:rPr>
                <w:rFonts w:hint="eastAsia" w:ascii="仿宋" w:hAnsi="仿宋" w:eastAsia="仿宋" w:cs="仿宋"/>
                <w:color w:val="auto"/>
                <w:sz w:val="24"/>
                <w:highlight w:val="none"/>
              </w:rPr>
            </w:pPr>
          </w:p>
        </w:tc>
        <w:tc>
          <w:tcPr>
            <w:tcW w:w="1246" w:type="dxa"/>
            <w:noWrap w:val="0"/>
            <w:vAlign w:val="center"/>
          </w:tcPr>
          <w:p w14:paraId="62F97DC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邮政编码</w:t>
            </w:r>
          </w:p>
        </w:tc>
        <w:tc>
          <w:tcPr>
            <w:tcW w:w="2385" w:type="dxa"/>
            <w:gridSpan w:val="3"/>
            <w:noWrap w:val="0"/>
            <w:vAlign w:val="center"/>
          </w:tcPr>
          <w:p w14:paraId="65859FFC">
            <w:pPr>
              <w:jc w:val="center"/>
              <w:rPr>
                <w:rFonts w:hint="eastAsia" w:ascii="仿宋" w:hAnsi="仿宋" w:eastAsia="仿宋" w:cs="仿宋"/>
                <w:color w:val="auto"/>
                <w:sz w:val="24"/>
                <w:highlight w:val="none"/>
              </w:rPr>
            </w:pPr>
          </w:p>
        </w:tc>
      </w:tr>
      <w:tr w14:paraId="2A4BC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Merge w:val="restart"/>
            <w:noWrap w:val="0"/>
            <w:vAlign w:val="center"/>
          </w:tcPr>
          <w:p w14:paraId="0330FC1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联系方式</w:t>
            </w:r>
          </w:p>
        </w:tc>
        <w:tc>
          <w:tcPr>
            <w:tcW w:w="897" w:type="dxa"/>
            <w:noWrap w:val="0"/>
            <w:vAlign w:val="center"/>
          </w:tcPr>
          <w:p w14:paraId="15BD8FE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p>
        </w:tc>
        <w:tc>
          <w:tcPr>
            <w:tcW w:w="2492" w:type="dxa"/>
            <w:gridSpan w:val="4"/>
            <w:noWrap w:val="0"/>
            <w:vAlign w:val="center"/>
          </w:tcPr>
          <w:p w14:paraId="29B2EF88">
            <w:pPr>
              <w:jc w:val="center"/>
              <w:rPr>
                <w:rFonts w:hint="eastAsia" w:ascii="仿宋" w:hAnsi="仿宋" w:eastAsia="仿宋" w:cs="仿宋"/>
                <w:color w:val="auto"/>
                <w:sz w:val="24"/>
                <w:highlight w:val="none"/>
              </w:rPr>
            </w:pPr>
          </w:p>
        </w:tc>
        <w:tc>
          <w:tcPr>
            <w:tcW w:w="1246" w:type="dxa"/>
            <w:noWrap w:val="0"/>
            <w:vAlign w:val="center"/>
          </w:tcPr>
          <w:p w14:paraId="3865738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c>
          <w:tcPr>
            <w:tcW w:w="2385" w:type="dxa"/>
            <w:gridSpan w:val="3"/>
            <w:noWrap w:val="0"/>
            <w:vAlign w:val="center"/>
          </w:tcPr>
          <w:p w14:paraId="7AA0AC8E">
            <w:pPr>
              <w:jc w:val="center"/>
              <w:rPr>
                <w:rFonts w:hint="eastAsia" w:ascii="仿宋" w:hAnsi="仿宋" w:eastAsia="仿宋" w:cs="仿宋"/>
                <w:color w:val="auto"/>
                <w:sz w:val="24"/>
                <w:highlight w:val="none"/>
              </w:rPr>
            </w:pPr>
          </w:p>
        </w:tc>
      </w:tr>
      <w:tr w14:paraId="6D332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Merge w:val="continue"/>
            <w:noWrap w:val="0"/>
            <w:vAlign w:val="center"/>
          </w:tcPr>
          <w:p w14:paraId="4060B99C">
            <w:pPr>
              <w:jc w:val="center"/>
              <w:rPr>
                <w:rFonts w:hint="eastAsia" w:ascii="仿宋" w:hAnsi="仿宋" w:eastAsia="仿宋" w:cs="仿宋"/>
                <w:color w:val="auto"/>
                <w:sz w:val="24"/>
                <w:highlight w:val="none"/>
              </w:rPr>
            </w:pPr>
          </w:p>
        </w:tc>
        <w:tc>
          <w:tcPr>
            <w:tcW w:w="897" w:type="dxa"/>
            <w:noWrap w:val="0"/>
            <w:vAlign w:val="center"/>
          </w:tcPr>
          <w:p w14:paraId="0FE1830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传真</w:t>
            </w:r>
          </w:p>
        </w:tc>
        <w:tc>
          <w:tcPr>
            <w:tcW w:w="2492" w:type="dxa"/>
            <w:gridSpan w:val="4"/>
            <w:noWrap w:val="0"/>
            <w:vAlign w:val="center"/>
          </w:tcPr>
          <w:p w14:paraId="4BBC9A2B">
            <w:pPr>
              <w:jc w:val="center"/>
              <w:rPr>
                <w:rFonts w:hint="eastAsia" w:ascii="仿宋" w:hAnsi="仿宋" w:eastAsia="仿宋" w:cs="仿宋"/>
                <w:color w:val="auto"/>
                <w:sz w:val="24"/>
                <w:highlight w:val="none"/>
              </w:rPr>
            </w:pPr>
          </w:p>
        </w:tc>
        <w:tc>
          <w:tcPr>
            <w:tcW w:w="1246" w:type="dxa"/>
            <w:noWrap w:val="0"/>
            <w:vAlign w:val="center"/>
          </w:tcPr>
          <w:p w14:paraId="7390C3E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网址</w:t>
            </w:r>
          </w:p>
        </w:tc>
        <w:tc>
          <w:tcPr>
            <w:tcW w:w="2385" w:type="dxa"/>
            <w:gridSpan w:val="3"/>
            <w:noWrap w:val="0"/>
            <w:vAlign w:val="center"/>
          </w:tcPr>
          <w:p w14:paraId="18E6C49E">
            <w:pPr>
              <w:jc w:val="center"/>
              <w:rPr>
                <w:rFonts w:hint="eastAsia" w:ascii="仿宋" w:hAnsi="仿宋" w:eastAsia="仿宋" w:cs="仿宋"/>
                <w:color w:val="auto"/>
                <w:sz w:val="24"/>
                <w:highlight w:val="none"/>
              </w:rPr>
            </w:pPr>
          </w:p>
        </w:tc>
      </w:tr>
      <w:tr w14:paraId="31675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78BFE9F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组织结构</w:t>
            </w:r>
          </w:p>
        </w:tc>
        <w:tc>
          <w:tcPr>
            <w:tcW w:w="7020" w:type="dxa"/>
            <w:gridSpan w:val="9"/>
            <w:noWrap w:val="0"/>
            <w:vAlign w:val="center"/>
          </w:tcPr>
          <w:p w14:paraId="159C064B">
            <w:pPr>
              <w:jc w:val="center"/>
              <w:rPr>
                <w:rFonts w:hint="eastAsia" w:ascii="仿宋" w:hAnsi="仿宋" w:eastAsia="仿宋" w:cs="仿宋"/>
                <w:color w:val="auto"/>
                <w:sz w:val="24"/>
                <w:highlight w:val="none"/>
              </w:rPr>
            </w:pPr>
          </w:p>
        </w:tc>
      </w:tr>
      <w:tr w14:paraId="4FD99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2966D4C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w:t>
            </w:r>
          </w:p>
        </w:tc>
        <w:tc>
          <w:tcPr>
            <w:tcW w:w="897" w:type="dxa"/>
            <w:noWrap w:val="0"/>
            <w:vAlign w:val="center"/>
          </w:tcPr>
          <w:p w14:paraId="701A3C3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1021" w:type="dxa"/>
            <w:noWrap w:val="0"/>
            <w:vAlign w:val="center"/>
          </w:tcPr>
          <w:p w14:paraId="224A43D0">
            <w:pPr>
              <w:jc w:val="center"/>
              <w:rPr>
                <w:rFonts w:hint="eastAsia" w:ascii="仿宋" w:hAnsi="仿宋" w:eastAsia="仿宋" w:cs="仿宋"/>
                <w:color w:val="auto"/>
                <w:sz w:val="24"/>
                <w:highlight w:val="none"/>
              </w:rPr>
            </w:pPr>
          </w:p>
        </w:tc>
        <w:tc>
          <w:tcPr>
            <w:tcW w:w="1276" w:type="dxa"/>
            <w:gridSpan w:val="2"/>
            <w:noWrap w:val="0"/>
            <w:vAlign w:val="center"/>
          </w:tcPr>
          <w:p w14:paraId="112F198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技术职称</w:t>
            </w:r>
          </w:p>
        </w:tc>
        <w:tc>
          <w:tcPr>
            <w:tcW w:w="1701" w:type="dxa"/>
            <w:gridSpan w:val="3"/>
            <w:noWrap w:val="0"/>
            <w:vAlign w:val="center"/>
          </w:tcPr>
          <w:p w14:paraId="32472ABF">
            <w:pPr>
              <w:jc w:val="center"/>
              <w:rPr>
                <w:rFonts w:hint="eastAsia" w:ascii="仿宋" w:hAnsi="仿宋" w:eastAsia="仿宋" w:cs="仿宋"/>
                <w:color w:val="auto"/>
                <w:sz w:val="24"/>
                <w:highlight w:val="none"/>
              </w:rPr>
            </w:pPr>
          </w:p>
        </w:tc>
        <w:tc>
          <w:tcPr>
            <w:tcW w:w="709" w:type="dxa"/>
            <w:noWrap w:val="0"/>
            <w:vAlign w:val="center"/>
          </w:tcPr>
          <w:p w14:paraId="4722E91D">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c>
          <w:tcPr>
            <w:tcW w:w="1416" w:type="dxa"/>
            <w:noWrap w:val="0"/>
            <w:vAlign w:val="center"/>
          </w:tcPr>
          <w:p w14:paraId="69AA938F">
            <w:pPr>
              <w:jc w:val="center"/>
              <w:rPr>
                <w:rFonts w:hint="eastAsia" w:ascii="仿宋" w:hAnsi="仿宋" w:eastAsia="仿宋" w:cs="仿宋"/>
                <w:color w:val="auto"/>
                <w:sz w:val="24"/>
                <w:highlight w:val="none"/>
              </w:rPr>
            </w:pPr>
          </w:p>
        </w:tc>
      </w:tr>
      <w:tr w14:paraId="02A7D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6BB5E5B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技术负责人</w:t>
            </w:r>
          </w:p>
        </w:tc>
        <w:tc>
          <w:tcPr>
            <w:tcW w:w="897" w:type="dxa"/>
            <w:noWrap w:val="0"/>
            <w:vAlign w:val="center"/>
          </w:tcPr>
          <w:p w14:paraId="5F978FC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1021" w:type="dxa"/>
            <w:noWrap w:val="0"/>
            <w:vAlign w:val="center"/>
          </w:tcPr>
          <w:p w14:paraId="0DA193BB">
            <w:pPr>
              <w:jc w:val="center"/>
              <w:rPr>
                <w:rFonts w:hint="eastAsia" w:ascii="仿宋" w:hAnsi="仿宋" w:eastAsia="仿宋" w:cs="仿宋"/>
                <w:color w:val="auto"/>
                <w:sz w:val="24"/>
                <w:highlight w:val="none"/>
              </w:rPr>
            </w:pPr>
          </w:p>
        </w:tc>
        <w:tc>
          <w:tcPr>
            <w:tcW w:w="1276" w:type="dxa"/>
            <w:gridSpan w:val="2"/>
            <w:noWrap w:val="0"/>
            <w:vAlign w:val="center"/>
          </w:tcPr>
          <w:p w14:paraId="58A25C5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技术职称</w:t>
            </w:r>
          </w:p>
        </w:tc>
        <w:tc>
          <w:tcPr>
            <w:tcW w:w="1701" w:type="dxa"/>
            <w:gridSpan w:val="3"/>
            <w:noWrap w:val="0"/>
            <w:vAlign w:val="center"/>
          </w:tcPr>
          <w:p w14:paraId="0D7AA04B">
            <w:pPr>
              <w:jc w:val="center"/>
              <w:rPr>
                <w:rFonts w:hint="eastAsia" w:ascii="仿宋" w:hAnsi="仿宋" w:eastAsia="仿宋" w:cs="仿宋"/>
                <w:color w:val="auto"/>
                <w:sz w:val="24"/>
                <w:highlight w:val="none"/>
              </w:rPr>
            </w:pPr>
          </w:p>
        </w:tc>
        <w:tc>
          <w:tcPr>
            <w:tcW w:w="709" w:type="dxa"/>
            <w:noWrap w:val="0"/>
            <w:vAlign w:val="center"/>
          </w:tcPr>
          <w:p w14:paraId="37E06AE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c>
          <w:tcPr>
            <w:tcW w:w="1416" w:type="dxa"/>
            <w:noWrap w:val="0"/>
            <w:vAlign w:val="center"/>
          </w:tcPr>
          <w:p w14:paraId="6B19B911">
            <w:pPr>
              <w:jc w:val="center"/>
              <w:rPr>
                <w:rFonts w:hint="eastAsia" w:ascii="仿宋" w:hAnsi="仿宋" w:eastAsia="仿宋" w:cs="仿宋"/>
                <w:color w:val="auto"/>
                <w:sz w:val="24"/>
                <w:highlight w:val="none"/>
              </w:rPr>
            </w:pPr>
          </w:p>
        </w:tc>
      </w:tr>
      <w:tr w14:paraId="0D3AA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3E2EC6E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成立时间</w:t>
            </w:r>
          </w:p>
        </w:tc>
        <w:tc>
          <w:tcPr>
            <w:tcW w:w="1918" w:type="dxa"/>
            <w:gridSpan w:val="2"/>
            <w:noWrap w:val="0"/>
            <w:vAlign w:val="center"/>
          </w:tcPr>
          <w:p w14:paraId="4CE7A65A">
            <w:pPr>
              <w:jc w:val="center"/>
              <w:rPr>
                <w:rFonts w:hint="eastAsia" w:ascii="仿宋" w:hAnsi="仿宋" w:eastAsia="仿宋" w:cs="仿宋"/>
                <w:color w:val="auto"/>
                <w:sz w:val="24"/>
                <w:highlight w:val="none"/>
              </w:rPr>
            </w:pPr>
          </w:p>
        </w:tc>
        <w:tc>
          <w:tcPr>
            <w:tcW w:w="5102" w:type="dxa"/>
            <w:gridSpan w:val="7"/>
            <w:noWrap w:val="0"/>
            <w:vAlign w:val="center"/>
          </w:tcPr>
          <w:p w14:paraId="3EF5D35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员工总人数：</w:t>
            </w:r>
          </w:p>
        </w:tc>
      </w:tr>
      <w:tr w14:paraId="52FD4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12AFC1C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企业资质</w:t>
            </w:r>
          </w:p>
          <w:p w14:paraId="59F474F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等级</w:t>
            </w:r>
          </w:p>
        </w:tc>
        <w:tc>
          <w:tcPr>
            <w:tcW w:w="897" w:type="dxa"/>
            <w:noWrap w:val="0"/>
            <w:vAlign w:val="center"/>
          </w:tcPr>
          <w:p w14:paraId="77E290A2">
            <w:pPr>
              <w:jc w:val="center"/>
              <w:rPr>
                <w:rFonts w:hint="eastAsia" w:ascii="仿宋" w:hAnsi="仿宋" w:eastAsia="仿宋" w:cs="仿宋"/>
                <w:color w:val="auto"/>
                <w:sz w:val="24"/>
                <w:highlight w:val="none"/>
              </w:rPr>
            </w:pPr>
          </w:p>
        </w:tc>
        <w:tc>
          <w:tcPr>
            <w:tcW w:w="1021" w:type="dxa"/>
            <w:noWrap w:val="0"/>
            <w:vAlign w:val="center"/>
          </w:tcPr>
          <w:p w14:paraId="3EA1003D">
            <w:pPr>
              <w:jc w:val="center"/>
              <w:rPr>
                <w:rFonts w:hint="eastAsia" w:ascii="仿宋" w:hAnsi="仿宋" w:eastAsia="仿宋" w:cs="仿宋"/>
                <w:color w:val="auto"/>
                <w:sz w:val="24"/>
                <w:highlight w:val="none"/>
              </w:rPr>
            </w:pPr>
          </w:p>
        </w:tc>
        <w:tc>
          <w:tcPr>
            <w:tcW w:w="993" w:type="dxa"/>
            <w:vMerge w:val="restart"/>
            <w:noWrap w:val="0"/>
            <w:vAlign w:val="center"/>
          </w:tcPr>
          <w:p w14:paraId="6FFC8D8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其中</w:t>
            </w:r>
          </w:p>
        </w:tc>
        <w:tc>
          <w:tcPr>
            <w:tcW w:w="1984" w:type="dxa"/>
            <w:gridSpan w:val="4"/>
            <w:noWrap w:val="0"/>
            <w:vAlign w:val="center"/>
          </w:tcPr>
          <w:p w14:paraId="7DCF198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w:t>
            </w:r>
          </w:p>
        </w:tc>
        <w:tc>
          <w:tcPr>
            <w:tcW w:w="2125" w:type="dxa"/>
            <w:gridSpan w:val="2"/>
            <w:noWrap w:val="0"/>
            <w:vAlign w:val="center"/>
          </w:tcPr>
          <w:p w14:paraId="0162F2EF">
            <w:pPr>
              <w:jc w:val="center"/>
              <w:rPr>
                <w:rFonts w:hint="eastAsia" w:ascii="仿宋" w:hAnsi="仿宋" w:eastAsia="仿宋" w:cs="仿宋"/>
                <w:color w:val="auto"/>
                <w:sz w:val="24"/>
                <w:highlight w:val="none"/>
              </w:rPr>
            </w:pPr>
          </w:p>
        </w:tc>
      </w:tr>
      <w:tr w14:paraId="1A655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32E2E29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营业执照号</w:t>
            </w:r>
          </w:p>
        </w:tc>
        <w:tc>
          <w:tcPr>
            <w:tcW w:w="897" w:type="dxa"/>
            <w:noWrap w:val="0"/>
            <w:vAlign w:val="center"/>
          </w:tcPr>
          <w:p w14:paraId="1205EE8E">
            <w:pPr>
              <w:jc w:val="center"/>
              <w:rPr>
                <w:rFonts w:hint="eastAsia" w:ascii="仿宋" w:hAnsi="仿宋" w:eastAsia="仿宋" w:cs="仿宋"/>
                <w:color w:val="auto"/>
                <w:sz w:val="24"/>
                <w:highlight w:val="none"/>
              </w:rPr>
            </w:pPr>
          </w:p>
        </w:tc>
        <w:tc>
          <w:tcPr>
            <w:tcW w:w="1021" w:type="dxa"/>
            <w:noWrap w:val="0"/>
            <w:vAlign w:val="center"/>
          </w:tcPr>
          <w:p w14:paraId="559CF677">
            <w:pPr>
              <w:jc w:val="center"/>
              <w:rPr>
                <w:rFonts w:hint="eastAsia" w:ascii="仿宋" w:hAnsi="仿宋" w:eastAsia="仿宋" w:cs="仿宋"/>
                <w:color w:val="auto"/>
                <w:sz w:val="24"/>
                <w:highlight w:val="none"/>
              </w:rPr>
            </w:pPr>
          </w:p>
        </w:tc>
        <w:tc>
          <w:tcPr>
            <w:tcW w:w="993" w:type="dxa"/>
            <w:vMerge w:val="continue"/>
            <w:noWrap w:val="0"/>
            <w:vAlign w:val="center"/>
          </w:tcPr>
          <w:p w14:paraId="25FFFEC6">
            <w:pPr>
              <w:jc w:val="center"/>
              <w:rPr>
                <w:rFonts w:hint="eastAsia" w:ascii="仿宋" w:hAnsi="仿宋" w:eastAsia="仿宋" w:cs="仿宋"/>
                <w:color w:val="auto"/>
                <w:sz w:val="24"/>
                <w:highlight w:val="none"/>
              </w:rPr>
            </w:pPr>
          </w:p>
        </w:tc>
        <w:tc>
          <w:tcPr>
            <w:tcW w:w="1984" w:type="dxa"/>
            <w:gridSpan w:val="4"/>
            <w:noWrap w:val="0"/>
            <w:vAlign w:val="center"/>
          </w:tcPr>
          <w:p w14:paraId="539D24D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高级职称人员</w:t>
            </w:r>
          </w:p>
        </w:tc>
        <w:tc>
          <w:tcPr>
            <w:tcW w:w="2125" w:type="dxa"/>
            <w:gridSpan w:val="2"/>
            <w:noWrap w:val="0"/>
            <w:vAlign w:val="center"/>
          </w:tcPr>
          <w:p w14:paraId="20F6091C">
            <w:pPr>
              <w:jc w:val="center"/>
              <w:rPr>
                <w:rFonts w:hint="eastAsia" w:ascii="仿宋" w:hAnsi="仿宋" w:eastAsia="仿宋" w:cs="仿宋"/>
                <w:color w:val="auto"/>
                <w:sz w:val="24"/>
                <w:highlight w:val="none"/>
              </w:rPr>
            </w:pPr>
          </w:p>
        </w:tc>
      </w:tr>
      <w:tr w14:paraId="18156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607CB9B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注册资金</w:t>
            </w:r>
          </w:p>
        </w:tc>
        <w:tc>
          <w:tcPr>
            <w:tcW w:w="897" w:type="dxa"/>
            <w:noWrap w:val="0"/>
            <w:vAlign w:val="center"/>
          </w:tcPr>
          <w:p w14:paraId="574C6D39">
            <w:pPr>
              <w:jc w:val="center"/>
              <w:rPr>
                <w:rFonts w:hint="eastAsia" w:ascii="仿宋" w:hAnsi="仿宋" w:eastAsia="仿宋" w:cs="仿宋"/>
                <w:color w:val="auto"/>
                <w:sz w:val="24"/>
                <w:highlight w:val="none"/>
              </w:rPr>
            </w:pPr>
          </w:p>
        </w:tc>
        <w:tc>
          <w:tcPr>
            <w:tcW w:w="1021" w:type="dxa"/>
            <w:noWrap w:val="0"/>
            <w:vAlign w:val="center"/>
          </w:tcPr>
          <w:p w14:paraId="3AA5FF8F">
            <w:pPr>
              <w:jc w:val="center"/>
              <w:rPr>
                <w:rFonts w:hint="eastAsia" w:ascii="仿宋" w:hAnsi="仿宋" w:eastAsia="仿宋" w:cs="仿宋"/>
                <w:color w:val="auto"/>
                <w:sz w:val="24"/>
                <w:highlight w:val="none"/>
              </w:rPr>
            </w:pPr>
          </w:p>
        </w:tc>
        <w:tc>
          <w:tcPr>
            <w:tcW w:w="993" w:type="dxa"/>
            <w:vMerge w:val="continue"/>
            <w:noWrap w:val="0"/>
            <w:vAlign w:val="center"/>
          </w:tcPr>
          <w:p w14:paraId="6F899EFB">
            <w:pPr>
              <w:jc w:val="center"/>
              <w:rPr>
                <w:rFonts w:hint="eastAsia" w:ascii="仿宋" w:hAnsi="仿宋" w:eastAsia="仿宋" w:cs="仿宋"/>
                <w:color w:val="auto"/>
                <w:sz w:val="24"/>
                <w:highlight w:val="none"/>
              </w:rPr>
            </w:pPr>
          </w:p>
        </w:tc>
        <w:tc>
          <w:tcPr>
            <w:tcW w:w="1984" w:type="dxa"/>
            <w:gridSpan w:val="4"/>
            <w:noWrap w:val="0"/>
            <w:vAlign w:val="center"/>
          </w:tcPr>
          <w:p w14:paraId="543680CA">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中级职称人员</w:t>
            </w:r>
          </w:p>
        </w:tc>
        <w:tc>
          <w:tcPr>
            <w:tcW w:w="2125" w:type="dxa"/>
            <w:gridSpan w:val="2"/>
            <w:noWrap w:val="0"/>
            <w:vAlign w:val="center"/>
          </w:tcPr>
          <w:p w14:paraId="7AE0A9BF">
            <w:pPr>
              <w:jc w:val="center"/>
              <w:rPr>
                <w:rFonts w:hint="eastAsia" w:ascii="仿宋" w:hAnsi="仿宋" w:eastAsia="仿宋" w:cs="仿宋"/>
                <w:color w:val="auto"/>
                <w:sz w:val="24"/>
                <w:highlight w:val="none"/>
              </w:rPr>
            </w:pPr>
          </w:p>
        </w:tc>
      </w:tr>
      <w:tr w14:paraId="42B29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0AC8103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开户银行</w:t>
            </w:r>
          </w:p>
        </w:tc>
        <w:tc>
          <w:tcPr>
            <w:tcW w:w="897" w:type="dxa"/>
            <w:noWrap w:val="0"/>
            <w:vAlign w:val="center"/>
          </w:tcPr>
          <w:p w14:paraId="4B655BA4">
            <w:pPr>
              <w:jc w:val="center"/>
              <w:rPr>
                <w:rFonts w:hint="eastAsia" w:ascii="仿宋" w:hAnsi="仿宋" w:eastAsia="仿宋" w:cs="仿宋"/>
                <w:color w:val="auto"/>
                <w:sz w:val="24"/>
                <w:highlight w:val="none"/>
              </w:rPr>
            </w:pPr>
          </w:p>
        </w:tc>
        <w:tc>
          <w:tcPr>
            <w:tcW w:w="1021" w:type="dxa"/>
            <w:noWrap w:val="0"/>
            <w:vAlign w:val="center"/>
          </w:tcPr>
          <w:p w14:paraId="09140B69">
            <w:pPr>
              <w:jc w:val="center"/>
              <w:rPr>
                <w:rFonts w:hint="eastAsia" w:ascii="仿宋" w:hAnsi="仿宋" w:eastAsia="仿宋" w:cs="仿宋"/>
                <w:color w:val="auto"/>
                <w:sz w:val="24"/>
                <w:highlight w:val="none"/>
              </w:rPr>
            </w:pPr>
          </w:p>
        </w:tc>
        <w:tc>
          <w:tcPr>
            <w:tcW w:w="993" w:type="dxa"/>
            <w:vMerge w:val="continue"/>
            <w:noWrap w:val="0"/>
            <w:vAlign w:val="center"/>
          </w:tcPr>
          <w:p w14:paraId="7C19491C">
            <w:pPr>
              <w:jc w:val="center"/>
              <w:rPr>
                <w:rFonts w:hint="eastAsia" w:ascii="仿宋" w:hAnsi="仿宋" w:eastAsia="仿宋" w:cs="仿宋"/>
                <w:color w:val="auto"/>
                <w:sz w:val="24"/>
                <w:highlight w:val="none"/>
              </w:rPr>
            </w:pPr>
          </w:p>
        </w:tc>
        <w:tc>
          <w:tcPr>
            <w:tcW w:w="1984" w:type="dxa"/>
            <w:gridSpan w:val="4"/>
            <w:noWrap w:val="0"/>
            <w:vAlign w:val="center"/>
          </w:tcPr>
          <w:p w14:paraId="66D939B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初级职称人员</w:t>
            </w:r>
          </w:p>
        </w:tc>
        <w:tc>
          <w:tcPr>
            <w:tcW w:w="2125" w:type="dxa"/>
            <w:gridSpan w:val="2"/>
            <w:noWrap w:val="0"/>
            <w:vAlign w:val="center"/>
          </w:tcPr>
          <w:p w14:paraId="34876978">
            <w:pPr>
              <w:jc w:val="center"/>
              <w:rPr>
                <w:rFonts w:hint="eastAsia" w:ascii="仿宋" w:hAnsi="仿宋" w:eastAsia="仿宋" w:cs="仿宋"/>
                <w:color w:val="auto"/>
                <w:sz w:val="24"/>
                <w:highlight w:val="none"/>
              </w:rPr>
            </w:pPr>
          </w:p>
        </w:tc>
      </w:tr>
      <w:tr w14:paraId="7F24F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698B4607">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账号</w:t>
            </w:r>
          </w:p>
        </w:tc>
        <w:tc>
          <w:tcPr>
            <w:tcW w:w="897" w:type="dxa"/>
            <w:noWrap w:val="0"/>
            <w:vAlign w:val="center"/>
          </w:tcPr>
          <w:p w14:paraId="34BD26DB">
            <w:pPr>
              <w:jc w:val="center"/>
              <w:rPr>
                <w:rFonts w:hint="eastAsia" w:ascii="仿宋" w:hAnsi="仿宋" w:eastAsia="仿宋" w:cs="仿宋"/>
                <w:color w:val="auto"/>
                <w:sz w:val="24"/>
                <w:highlight w:val="none"/>
              </w:rPr>
            </w:pPr>
          </w:p>
        </w:tc>
        <w:tc>
          <w:tcPr>
            <w:tcW w:w="1021" w:type="dxa"/>
            <w:noWrap w:val="0"/>
            <w:vAlign w:val="center"/>
          </w:tcPr>
          <w:p w14:paraId="28E572BA">
            <w:pPr>
              <w:jc w:val="center"/>
              <w:rPr>
                <w:rFonts w:hint="eastAsia" w:ascii="仿宋" w:hAnsi="仿宋" w:eastAsia="仿宋" w:cs="仿宋"/>
                <w:color w:val="auto"/>
                <w:sz w:val="24"/>
                <w:highlight w:val="none"/>
              </w:rPr>
            </w:pPr>
          </w:p>
        </w:tc>
        <w:tc>
          <w:tcPr>
            <w:tcW w:w="993" w:type="dxa"/>
            <w:vMerge w:val="continue"/>
            <w:noWrap w:val="0"/>
            <w:vAlign w:val="center"/>
          </w:tcPr>
          <w:p w14:paraId="45C23FEF">
            <w:pPr>
              <w:jc w:val="center"/>
              <w:rPr>
                <w:rFonts w:hint="eastAsia" w:ascii="仿宋" w:hAnsi="仿宋" w:eastAsia="仿宋" w:cs="仿宋"/>
                <w:color w:val="auto"/>
                <w:sz w:val="24"/>
                <w:highlight w:val="none"/>
              </w:rPr>
            </w:pPr>
          </w:p>
        </w:tc>
        <w:tc>
          <w:tcPr>
            <w:tcW w:w="1984" w:type="dxa"/>
            <w:gridSpan w:val="4"/>
            <w:noWrap w:val="0"/>
            <w:vAlign w:val="center"/>
          </w:tcPr>
          <w:p w14:paraId="7EA60E1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  工</w:t>
            </w:r>
          </w:p>
        </w:tc>
        <w:tc>
          <w:tcPr>
            <w:tcW w:w="2125" w:type="dxa"/>
            <w:gridSpan w:val="2"/>
            <w:noWrap w:val="0"/>
            <w:vAlign w:val="center"/>
          </w:tcPr>
          <w:p w14:paraId="0B50323E">
            <w:pPr>
              <w:jc w:val="center"/>
              <w:rPr>
                <w:rFonts w:hint="eastAsia" w:ascii="仿宋" w:hAnsi="仿宋" w:eastAsia="仿宋" w:cs="仿宋"/>
                <w:color w:val="auto"/>
                <w:sz w:val="24"/>
                <w:highlight w:val="none"/>
              </w:rPr>
            </w:pPr>
          </w:p>
        </w:tc>
      </w:tr>
      <w:tr w14:paraId="2EDA2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1485" w:type="dxa"/>
            <w:noWrap w:val="0"/>
            <w:vAlign w:val="center"/>
          </w:tcPr>
          <w:p w14:paraId="2B78D52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经营范围</w:t>
            </w:r>
          </w:p>
        </w:tc>
        <w:tc>
          <w:tcPr>
            <w:tcW w:w="7020" w:type="dxa"/>
            <w:gridSpan w:val="9"/>
            <w:noWrap w:val="0"/>
            <w:vAlign w:val="center"/>
          </w:tcPr>
          <w:p w14:paraId="5669B761">
            <w:pPr>
              <w:jc w:val="center"/>
              <w:rPr>
                <w:rFonts w:hint="eastAsia" w:ascii="仿宋" w:hAnsi="仿宋" w:eastAsia="仿宋" w:cs="仿宋"/>
                <w:color w:val="auto"/>
                <w:sz w:val="24"/>
                <w:highlight w:val="none"/>
              </w:rPr>
            </w:pPr>
          </w:p>
        </w:tc>
      </w:tr>
      <w:tr w14:paraId="2EEAA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3EBC983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c>
          <w:tcPr>
            <w:tcW w:w="7020" w:type="dxa"/>
            <w:gridSpan w:val="9"/>
            <w:noWrap w:val="0"/>
            <w:vAlign w:val="center"/>
          </w:tcPr>
          <w:p w14:paraId="223B9AA2">
            <w:pPr>
              <w:jc w:val="center"/>
              <w:rPr>
                <w:rFonts w:hint="eastAsia" w:ascii="仿宋" w:hAnsi="仿宋" w:eastAsia="仿宋" w:cs="仿宋"/>
                <w:color w:val="auto"/>
                <w:sz w:val="24"/>
                <w:highlight w:val="none"/>
              </w:rPr>
            </w:pPr>
          </w:p>
        </w:tc>
      </w:tr>
    </w:tbl>
    <w:p w14:paraId="032A9D75">
      <w:pPr>
        <w:spacing w:line="360" w:lineRule="auto"/>
        <w:ind w:firstLine="723" w:firstLineChars="300"/>
        <w:rPr>
          <w:rFonts w:hint="eastAsia" w:ascii="仿宋" w:hAnsi="仿宋" w:eastAsia="仿宋" w:cs="仿宋"/>
          <w:color w:val="auto"/>
          <w:sz w:val="24"/>
          <w:highlight w:val="none"/>
        </w:rPr>
      </w:pPr>
      <w:bookmarkStart w:id="1949" w:name="_Toc17528"/>
      <w:bookmarkStart w:id="1950" w:name="_Toc16949"/>
      <w:bookmarkStart w:id="1951" w:name="_Toc17780"/>
      <w:bookmarkStart w:id="1952" w:name="_Toc1863"/>
      <w:bookmarkStart w:id="1953" w:name="_Toc7243"/>
      <w:bookmarkStart w:id="1954" w:name="_Toc22280"/>
      <w:bookmarkStart w:id="1955" w:name="_Toc2250"/>
      <w:bookmarkStart w:id="1956" w:name="_Toc1752"/>
      <w:bookmarkStart w:id="1957" w:name="_Toc30766"/>
      <w:bookmarkStart w:id="1958" w:name="_Toc25891"/>
      <w:bookmarkStart w:id="1959" w:name="_Toc25182"/>
      <w:r>
        <w:rPr>
          <w:rFonts w:hint="eastAsia" w:ascii="仿宋" w:hAnsi="仿宋" w:eastAsia="仿宋" w:cs="仿宋"/>
          <w:b/>
          <w:bCs/>
          <w:color w:val="auto"/>
          <w:sz w:val="24"/>
          <w:highlight w:val="none"/>
        </w:rPr>
        <w:t>注：本表后应附营业执照、投标人资质证书和安全生产许可</w:t>
      </w:r>
      <w:r>
        <w:rPr>
          <w:rFonts w:hint="eastAsia" w:ascii="仿宋" w:hAnsi="仿宋" w:eastAsia="仿宋" w:cs="仿宋"/>
          <w:b/>
          <w:bCs/>
          <w:color w:val="auto"/>
          <w:sz w:val="24"/>
          <w:highlight w:val="none"/>
          <w:lang w:val="en-US" w:eastAsia="zh-CN"/>
        </w:rPr>
        <w:t>证</w:t>
      </w:r>
      <w:r>
        <w:rPr>
          <w:rFonts w:hint="eastAsia" w:ascii="仿宋" w:hAnsi="仿宋" w:eastAsia="仿宋" w:cs="仿宋"/>
          <w:b/>
          <w:bCs/>
          <w:color w:val="auto"/>
          <w:sz w:val="24"/>
          <w:highlight w:val="none"/>
        </w:rPr>
        <w:t>等资格证材料的复印件或扫描件。</w:t>
      </w:r>
    </w:p>
    <w:p w14:paraId="56342CFB">
      <w:pPr>
        <w:rPr>
          <w:rFonts w:hint="eastAsia" w:ascii="仿宋" w:hAnsi="仿宋" w:eastAsia="仿宋" w:cs="仿宋"/>
          <w:color w:val="auto"/>
          <w:sz w:val="24"/>
          <w:highlight w:val="none"/>
        </w:rPr>
        <w:sectPr>
          <w:headerReference r:id="rId11" w:type="default"/>
          <w:footerReference r:id="rId12" w:type="default"/>
          <w:pgSz w:w="11906" w:h="16838"/>
          <w:pgMar w:top="1588" w:right="1701" w:bottom="1418" w:left="1701" w:header="851" w:footer="851" w:gutter="0"/>
          <w:pgNumType w:fmt="decimal"/>
          <w:cols w:space="720" w:num="1"/>
          <w:docGrid w:linePitch="312" w:charSpace="0"/>
        </w:sectPr>
      </w:pPr>
    </w:p>
    <w:p w14:paraId="61551C1D">
      <w:pPr>
        <w:spacing w:before="120" w:beforeLines="50" w:after="120" w:afterLines="50" w:line="360" w:lineRule="auto"/>
        <w:ind w:left="843" w:hanging="843" w:hangingChars="300"/>
        <w:jc w:val="center"/>
        <w:outlineLvl w:val="2"/>
        <w:rPr>
          <w:rFonts w:ascii="仿宋" w:hAnsi="仿宋" w:eastAsia="仿宋" w:cs="仿宋"/>
          <w:b/>
          <w:bCs/>
          <w:color w:val="auto"/>
          <w:sz w:val="28"/>
          <w:szCs w:val="28"/>
          <w:highlight w:val="none"/>
        </w:rPr>
      </w:pPr>
      <w:bookmarkStart w:id="1960" w:name="_Toc20814"/>
      <w:r>
        <w:rPr>
          <w:rFonts w:hint="eastAsia" w:ascii="仿宋" w:hAnsi="仿宋" w:eastAsia="仿宋" w:cs="仿宋"/>
          <w:b/>
          <w:bCs/>
          <w:color w:val="auto"/>
          <w:sz w:val="28"/>
          <w:szCs w:val="28"/>
          <w:highlight w:val="none"/>
        </w:rPr>
        <w:t>（二）</w:t>
      </w:r>
      <w:bookmarkEnd w:id="1949"/>
      <w:bookmarkEnd w:id="1950"/>
      <w:bookmarkEnd w:id="1951"/>
      <w:bookmarkEnd w:id="1952"/>
      <w:bookmarkEnd w:id="1953"/>
      <w:bookmarkEnd w:id="1954"/>
      <w:bookmarkEnd w:id="1955"/>
      <w:bookmarkEnd w:id="1956"/>
      <w:bookmarkEnd w:id="1957"/>
      <w:bookmarkEnd w:id="1958"/>
      <w:bookmarkEnd w:id="1959"/>
      <w:r>
        <w:rPr>
          <w:rFonts w:hint="eastAsia" w:ascii="仿宋" w:hAnsi="仿宋" w:eastAsia="仿宋" w:cs="仿宋"/>
          <w:b/>
          <w:bCs/>
          <w:color w:val="auto"/>
          <w:sz w:val="28"/>
          <w:szCs w:val="28"/>
          <w:highlight w:val="none"/>
        </w:rPr>
        <w:t>财务要求</w:t>
      </w:r>
      <w:bookmarkEnd w:id="1960"/>
    </w:p>
    <w:p w14:paraId="03074F90">
      <w:pPr>
        <w:rPr>
          <w:rFonts w:hint="eastAsia" w:ascii="仿宋" w:hAnsi="仿宋" w:eastAsia="仿宋" w:cs="仿宋"/>
          <w:color w:val="auto"/>
          <w:sz w:val="24"/>
          <w:highlight w:val="none"/>
        </w:rPr>
      </w:pPr>
      <w:r>
        <w:rPr>
          <w:rFonts w:hint="eastAsia" w:ascii="仿宋" w:hAnsi="仿宋" w:eastAsia="仿宋" w:cs="仿宋"/>
          <w:color w:val="auto"/>
          <w:sz w:val="24"/>
          <w:highlight w:val="none"/>
        </w:rPr>
        <w:t>注：</w:t>
      </w:r>
      <w:r>
        <w:rPr>
          <w:rFonts w:hint="eastAsia" w:ascii="仿宋" w:hAnsi="仿宋" w:eastAsia="仿宋" w:cs="仿宋"/>
          <w:color w:val="auto"/>
          <w:sz w:val="24"/>
          <w:highlight w:val="none"/>
          <w:lang w:val="en-US" w:eastAsia="zh-CN"/>
        </w:rPr>
        <w:t>在此附</w:t>
      </w:r>
      <w:r>
        <w:rPr>
          <w:rFonts w:hint="eastAsia" w:ascii="仿宋" w:hAnsi="仿宋" w:eastAsia="仿宋" w:cs="仿宋"/>
          <w:color w:val="auto"/>
          <w:sz w:val="24"/>
          <w:szCs w:val="24"/>
          <w:highlight w:val="none"/>
        </w:rPr>
        <w:t>投标人在投标截止前其财产没有处于被接管、冻结，破产状态</w:t>
      </w:r>
      <w:r>
        <w:rPr>
          <w:rFonts w:hint="eastAsia" w:ascii="仿宋" w:hAnsi="仿宋" w:eastAsia="仿宋" w:cs="仿宋"/>
          <w:color w:val="auto"/>
          <w:sz w:val="24"/>
          <w:szCs w:val="24"/>
          <w:highlight w:val="none"/>
          <w:lang w:val="en-US" w:eastAsia="zh-CN"/>
        </w:rPr>
        <w:t>的承诺书（函）；并提供</w:t>
      </w:r>
      <w:r>
        <w:rPr>
          <w:rFonts w:hint="eastAsia" w:ascii="仿宋" w:hAnsi="仿宋" w:eastAsia="仿宋" w:cs="仿宋"/>
          <w:color w:val="auto"/>
          <w:sz w:val="24"/>
          <w:highlight w:val="none"/>
        </w:rPr>
        <w:t>经会计师事务所或审计机构审计的</w:t>
      </w:r>
      <w:r>
        <w:rPr>
          <w:rFonts w:hint="eastAsia" w:ascii="仿宋" w:hAnsi="仿宋" w:eastAsia="仿宋" w:cs="仿宋"/>
          <w:color w:val="auto"/>
          <w:sz w:val="24"/>
          <w:highlight w:val="none"/>
          <w:lang w:val="en-US" w:eastAsia="zh-CN"/>
        </w:rPr>
        <w:t>2023年度至2025年度</w:t>
      </w:r>
      <w:r>
        <w:rPr>
          <w:rFonts w:hint="eastAsia" w:ascii="仿宋" w:hAnsi="仿宋" w:eastAsia="仿宋" w:cs="仿宋"/>
          <w:color w:val="auto"/>
          <w:sz w:val="24"/>
          <w:highlight w:val="none"/>
        </w:rPr>
        <w:t>财务审计报告，包括资产负债表、现金流量表、利润表（损益表）和财务情况说明书或附注的复印件或扫描件。</w:t>
      </w:r>
      <w:r>
        <w:rPr>
          <w:rFonts w:hint="eastAsia" w:ascii="仿宋" w:hAnsi="仿宋" w:eastAsia="仿宋" w:cs="仿宋"/>
          <w:color w:val="auto"/>
          <w:sz w:val="24"/>
          <w:szCs w:val="24"/>
          <w:highlight w:val="none"/>
        </w:rPr>
        <w:t>如投标人成立时限不足要求时限的，由投标人根据自身成立时间提供</w:t>
      </w:r>
      <w:r>
        <w:rPr>
          <w:rFonts w:hint="eastAsia" w:ascii="仿宋" w:hAnsi="仿宋" w:eastAsia="仿宋" w:cs="仿宋"/>
          <w:color w:val="auto"/>
          <w:sz w:val="24"/>
          <w:szCs w:val="24"/>
          <w:highlight w:val="none"/>
          <w:lang w:val="en-US" w:eastAsia="zh-CN"/>
        </w:rPr>
        <w:t>基本开户</w:t>
      </w:r>
      <w:r>
        <w:rPr>
          <w:rFonts w:hint="eastAsia" w:ascii="仿宋" w:hAnsi="仿宋" w:eastAsia="仿宋" w:cs="仿宋"/>
          <w:color w:val="auto"/>
          <w:sz w:val="24"/>
          <w:szCs w:val="24"/>
          <w:highlight w:val="none"/>
        </w:rPr>
        <w:t>银行出具的资信证明</w:t>
      </w:r>
      <w:r>
        <w:rPr>
          <w:rFonts w:hint="eastAsia" w:ascii="仿宋" w:hAnsi="仿宋" w:eastAsia="仿宋" w:cs="仿宋"/>
          <w:color w:val="auto"/>
          <w:sz w:val="24"/>
          <w:highlight w:val="none"/>
        </w:rPr>
        <w:t>。</w:t>
      </w:r>
    </w:p>
    <w:p w14:paraId="16D7F030">
      <w:pPr>
        <w:rPr>
          <w:rFonts w:hint="eastAsia" w:ascii="仿宋" w:hAnsi="仿宋" w:eastAsia="仿宋" w:cs="仿宋"/>
          <w:color w:val="auto"/>
          <w:sz w:val="24"/>
          <w:highlight w:val="none"/>
        </w:rPr>
      </w:pPr>
    </w:p>
    <w:p w14:paraId="41C754FD">
      <w:pPr>
        <w:spacing w:before="120" w:beforeLines="50" w:after="120" w:afterLines="50" w:line="360" w:lineRule="auto"/>
        <w:ind w:left="630" w:hanging="630" w:hangingChars="300"/>
        <w:jc w:val="center"/>
        <w:outlineLvl w:val="2"/>
        <w:rPr>
          <w:rFonts w:hint="eastAsia" w:ascii="仿宋" w:hAnsi="仿宋" w:eastAsia="仿宋" w:cs="仿宋"/>
          <w:b/>
          <w:bCs/>
          <w:color w:val="auto"/>
          <w:sz w:val="24"/>
          <w:highlight w:val="none"/>
        </w:rPr>
      </w:pPr>
      <w:r>
        <w:rPr>
          <w:color w:val="auto"/>
          <w:szCs w:val="21"/>
          <w:highlight w:val="none"/>
        </w:rPr>
        <w:br w:type="page"/>
      </w:r>
      <w:bookmarkStart w:id="1961" w:name="_Toc12503"/>
      <w:bookmarkStart w:id="1962" w:name="_Toc27274"/>
      <w:bookmarkStart w:id="1963" w:name="_Toc13255"/>
      <w:bookmarkStart w:id="1964" w:name="_Toc9799"/>
      <w:bookmarkStart w:id="1965" w:name="_Toc7207"/>
      <w:bookmarkStart w:id="1966" w:name="_Toc6509"/>
      <w:bookmarkStart w:id="1967" w:name="_Toc14939"/>
      <w:bookmarkStart w:id="1968" w:name="_Toc2373"/>
      <w:bookmarkStart w:id="1969" w:name="_Toc10139"/>
      <w:bookmarkStart w:id="1970" w:name="_Toc28937"/>
      <w:bookmarkStart w:id="1971" w:name="_Toc7382"/>
      <w:bookmarkStart w:id="1972" w:name="_Toc16486"/>
      <w:bookmarkStart w:id="1973" w:name="_Toc50"/>
      <w:bookmarkStart w:id="1974" w:name="_Toc27624"/>
      <w:bookmarkStart w:id="1975" w:name="_Toc1563"/>
      <w:bookmarkStart w:id="1976" w:name="_Toc30326"/>
      <w:bookmarkStart w:id="1977" w:name="_Toc26830"/>
      <w:bookmarkStart w:id="1978" w:name="_Toc22342"/>
      <w:bookmarkStart w:id="1979" w:name="_Toc26242"/>
      <w:bookmarkStart w:id="1980" w:name="_Toc15881"/>
      <w:bookmarkStart w:id="1981" w:name="_Toc14654"/>
      <w:bookmarkStart w:id="1982" w:name="_Toc27905"/>
      <w:bookmarkStart w:id="1983" w:name="_Toc3758"/>
      <w:r>
        <w:rPr>
          <w:rFonts w:hint="eastAsia" w:ascii="仿宋" w:hAnsi="仿宋" w:eastAsia="仿宋" w:cs="仿宋"/>
          <w:b/>
          <w:bCs/>
          <w:color w:val="auto"/>
          <w:sz w:val="24"/>
          <w:highlight w:val="none"/>
        </w:rPr>
        <w:t>（三）近年完成的类似项目情况表</w:t>
      </w:r>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p>
    <w:tbl>
      <w:tblPr>
        <w:tblStyle w:val="28"/>
        <w:tblpPr w:leftFromText="180" w:rightFromText="180" w:vertAnchor="text" w:horzAnchor="page" w:tblpX="1782" w:tblpY="60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7CB72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55E5770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6094" w:type="dxa"/>
            <w:noWrap w:val="0"/>
            <w:vAlign w:val="center"/>
          </w:tcPr>
          <w:p w14:paraId="3AD2A30F">
            <w:pPr>
              <w:jc w:val="center"/>
              <w:rPr>
                <w:rFonts w:hint="eastAsia" w:ascii="仿宋" w:hAnsi="仿宋" w:eastAsia="仿宋" w:cs="仿宋"/>
                <w:color w:val="auto"/>
                <w:sz w:val="24"/>
                <w:highlight w:val="none"/>
              </w:rPr>
            </w:pPr>
          </w:p>
        </w:tc>
      </w:tr>
      <w:tr w14:paraId="3683A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6DF4627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项目所在地</w:t>
            </w:r>
          </w:p>
        </w:tc>
        <w:tc>
          <w:tcPr>
            <w:tcW w:w="6094" w:type="dxa"/>
            <w:noWrap w:val="0"/>
            <w:vAlign w:val="center"/>
          </w:tcPr>
          <w:p w14:paraId="5BE2E516">
            <w:pPr>
              <w:jc w:val="center"/>
              <w:rPr>
                <w:rFonts w:hint="eastAsia" w:ascii="仿宋" w:hAnsi="仿宋" w:eastAsia="仿宋" w:cs="仿宋"/>
                <w:color w:val="auto"/>
                <w:sz w:val="24"/>
                <w:highlight w:val="none"/>
              </w:rPr>
            </w:pPr>
          </w:p>
        </w:tc>
      </w:tr>
      <w:tr w14:paraId="7DC4F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453CDBB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发包人名称</w:t>
            </w:r>
          </w:p>
        </w:tc>
        <w:tc>
          <w:tcPr>
            <w:tcW w:w="6094" w:type="dxa"/>
            <w:noWrap w:val="0"/>
            <w:vAlign w:val="center"/>
          </w:tcPr>
          <w:p w14:paraId="2AE57B26">
            <w:pPr>
              <w:jc w:val="center"/>
              <w:rPr>
                <w:rFonts w:hint="eastAsia" w:ascii="仿宋" w:hAnsi="仿宋" w:eastAsia="仿宋" w:cs="仿宋"/>
                <w:color w:val="auto"/>
                <w:sz w:val="24"/>
                <w:highlight w:val="none"/>
              </w:rPr>
            </w:pPr>
          </w:p>
        </w:tc>
      </w:tr>
      <w:tr w14:paraId="42359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6ABDA12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发包人地址</w:t>
            </w:r>
          </w:p>
        </w:tc>
        <w:tc>
          <w:tcPr>
            <w:tcW w:w="6094" w:type="dxa"/>
            <w:noWrap w:val="0"/>
            <w:vAlign w:val="center"/>
          </w:tcPr>
          <w:p w14:paraId="5F4AF598">
            <w:pPr>
              <w:jc w:val="center"/>
              <w:rPr>
                <w:rFonts w:hint="eastAsia" w:ascii="仿宋" w:hAnsi="仿宋" w:eastAsia="仿宋" w:cs="仿宋"/>
                <w:color w:val="auto"/>
                <w:sz w:val="24"/>
                <w:highlight w:val="none"/>
              </w:rPr>
            </w:pPr>
          </w:p>
        </w:tc>
      </w:tr>
      <w:tr w14:paraId="72B3C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1623DE8A">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发包人联系人及电话</w:t>
            </w:r>
          </w:p>
        </w:tc>
        <w:tc>
          <w:tcPr>
            <w:tcW w:w="6094" w:type="dxa"/>
            <w:noWrap w:val="0"/>
            <w:vAlign w:val="center"/>
          </w:tcPr>
          <w:p w14:paraId="0C3A6EFE">
            <w:pPr>
              <w:jc w:val="center"/>
              <w:rPr>
                <w:rFonts w:hint="eastAsia" w:ascii="仿宋" w:hAnsi="仿宋" w:eastAsia="仿宋" w:cs="仿宋"/>
                <w:color w:val="auto"/>
                <w:sz w:val="24"/>
                <w:highlight w:val="none"/>
              </w:rPr>
            </w:pPr>
          </w:p>
        </w:tc>
      </w:tr>
      <w:tr w14:paraId="62B83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0608DD67">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合同价格</w:t>
            </w:r>
          </w:p>
        </w:tc>
        <w:tc>
          <w:tcPr>
            <w:tcW w:w="6094" w:type="dxa"/>
            <w:noWrap w:val="0"/>
            <w:vAlign w:val="center"/>
          </w:tcPr>
          <w:p w14:paraId="2476D6B3">
            <w:pPr>
              <w:jc w:val="center"/>
              <w:rPr>
                <w:rFonts w:hint="eastAsia" w:ascii="仿宋" w:hAnsi="仿宋" w:eastAsia="仿宋" w:cs="仿宋"/>
                <w:color w:val="auto"/>
                <w:sz w:val="24"/>
                <w:highlight w:val="none"/>
              </w:rPr>
            </w:pPr>
          </w:p>
        </w:tc>
      </w:tr>
      <w:tr w14:paraId="3DBFC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04DCC7E9">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合同签订时间</w:t>
            </w:r>
          </w:p>
        </w:tc>
        <w:tc>
          <w:tcPr>
            <w:tcW w:w="6094" w:type="dxa"/>
            <w:noWrap w:val="0"/>
            <w:vAlign w:val="center"/>
          </w:tcPr>
          <w:p w14:paraId="629FD5E7">
            <w:pPr>
              <w:jc w:val="center"/>
              <w:rPr>
                <w:rFonts w:hint="eastAsia" w:ascii="仿宋" w:hAnsi="仿宋" w:eastAsia="仿宋" w:cs="仿宋"/>
                <w:color w:val="auto"/>
                <w:sz w:val="24"/>
                <w:highlight w:val="none"/>
              </w:rPr>
            </w:pPr>
          </w:p>
        </w:tc>
      </w:tr>
      <w:tr w14:paraId="6AE7B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1CA4521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开工日期</w:t>
            </w:r>
          </w:p>
        </w:tc>
        <w:tc>
          <w:tcPr>
            <w:tcW w:w="6094" w:type="dxa"/>
            <w:noWrap w:val="0"/>
            <w:vAlign w:val="center"/>
          </w:tcPr>
          <w:p w14:paraId="4701B150">
            <w:pPr>
              <w:jc w:val="center"/>
              <w:rPr>
                <w:rFonts w:hint="eastAsia" w:ascii="仿宋" w:hAnsi="仿宋" w:eastAsia="仿宋" w:cs="仿宋"/>
                <w:color w:val="auto"/>
                <w:sz w:val="24"/>
                <w:highlight w:val="none"/>
              </w:rPr>
            </w:pPr>
          </w:p>
        </w:tc>
      </w:tr>
      <w:tr w14:paraId="68786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09A1F57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竣工日期</w:t>
            </w:r>
          </w:p>
        </w:tc>
        <w:tc>
          <w:tcPr>
            <w:tcW w:w="6094" w:type="dxa"/>
            <w:noWrap w:val="0"/>
            <w:vAlign w:val="center"/>
          </w:tcPr>
          <w:p w14:paraId="5AE87F6F">
            <w:pPr>
              <w:jc w:val="center"/>
              <w:rPr>
                <w:rFonts w:hint="eastAsia" w:ascii="仿宋" w:hAnsi="仿宋" w:eastAsia="仿宋" w:cs="仿宋"/>
                <w:color w:val="auto"/>
                <w:sz w:val="24"/>
                <w:highlight w:val="none"/>
              </w:rPr>
            </w:pPr>
          </w:p>
        </w:tc>
      </w:tr>
      <w:tr w14:paraId="5A1B9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12C94F4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承担的工作</w:t>
            </w:r>
          </w:p>
        </w:tc>
        <w:tc>
          <w:tcPr>
            <w:tcW w:w="6094" w:type="dxa"/>
            <w:noWrap w:val="0"/>
            <w:vAlign w:val="center"/>
          </w:tcPr>
          <w:p w14:paraId="5D6CA009">
            <w:pPr>
              <w:jc w:val="center"/>
              <w:rPr>
                <w:rFonts w:hint="eastAsia" w:ascii="仿宋" w:hAnsi="仿宋" w:eastAsia="仿宋" w:cs="仿宋"/>
                <w:color w:val="auto"/>
                <w:sz w:val="24"/>
                <w:highlight w:val="none"/>
              </w:rPr>
            </w:pPr>
          </w:p>
        </w:tc>
      </w:tr>
      <w:tr w14:paraId="718AA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5CE49D2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工程质量</w:t>
            </w:r>
          </w:p>
        </w:tc>
        <w:tc>
          <w:tcPr>
            <w:tcW w:w="6094" w:type="dxa"/>
            <w:noWrap w:val="0"/>
            <w:vAlign w:val="center"/>
          </w:tcPr>
          <w:p w14:paraId="54364AE0">
            <w:pPr>
              <w:jc w:val="center"/>
              <w:rPr>
                <w:rFonts w:hint="eastAsia" w:ascii="仿宋" w:hAnsi="仿宋" w:eastAsia="仿宋" w:cs="仿宋"/>
                <w:color w:val="auto"/>
                <w:sz w:val="24"/>
                <w:highlight w:val="none"/>
              </w:rPr>
            </w:pPr>
          </w:p>
        </w:tc>
      </w:tr>
      <w:tr w14:paraId="54524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5F34CD5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w:t>
            </w:r>
          </w:p>
        </w:tc>
        <w:tc>
          <w:tcPr>
            <w:tcW w:w="6094" w:type="dxa"/>
            <w:noWrap w:val="0"/>
            <w:vAlign w:val="center"/>
          </w:tcPr>
          <w:p w14:paraId="72118199">
            <w:pPr>
              <w:jc w:val="center"/>
              <w:rPr>
                <w:rFonts w:hint="eastAsia" w:ascii="仿宋" w:hAnsi="仿宋" w:eastAsia="仿宋" w:cs="仿宋"/>
                <w:color w:val="auto"/>
                <w:sz w:val="24"/>
                <w:highlight w:val="none"/>
              </w:rPr>
            </w:pPr>
          </w:p>
        </w:tc>
      </w:tr>
      <w:tr w14:paraId="56353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7F6E61B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技术负责人</w:t>
            </w:r>
          </w:p>
        </w:tc>
        <w:tc>
          <w:tcPr>
            <w:tcW w:w="6094" w:type="dxa"/>
            <w:noWrap w:val="0"/>
            <w:vAlign w:val="center"/>
          </w:tcPr>
          <w:p w14:paraId="11B9CA55">
            <w:pPr>
              <w:jc w:val="center"/>
              <w:rPr>
                <w:rFonts w:hint="eastAsia" w:ascii="仿宋" w:hAnsi="仿宋" w:eastAsia="仿宋" w:cs="仿宋"/>
                <w:color w:val="auto"/>
                <w:sz w:val="24"/>
                <w:highlight w:val="none"/>
              </w:rPr>
            </w:pPr>
          </w:p>
        </w:tc>
      </w:tr>
      <w:tr w14:paraId="4E90E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70C0AA8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总监理工程师及电话</w:t>
            </w:r>
          </w:p>
        </w:tc>
        <w:tc>
          <w:tcPr>
            <w:tcW w:w="6094" w:type="dxa"/>
            <w:noWrap w:val="0"/>
            <w:vAlign w:val="center"/>
          </w:tcPr>
          <w:p w14:paraId="0B21CAF4">
            <w:pPr>
              <w:jc w:val="center"/>
              <w:rPr>
                <w:rFonts w:hint="eastAsia" w:ascii="仿宋" w:hAnsi="仿宋" w:eastAsia="仿宋" w:cs="仿宋"/>
                <w:color w:val="auto"/>
                <w:sz w:val="24"/>
                <w:highlight w:val="none"/>
              </w:rPr>
            </w:pPr>
          </w:p>
        </w:tc>
      </w:tr>
      <w:tr w14:paraId="6B9DD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1" w:hRule="atLeast"/>
        </w:trPr>
        <w:tc>
          <w:tcPr>
            <w:tcW w:w="2411" w:type="dxa"/>
            <w:noWrap w:val="0"/>
            <w:vAlign w:val="center"/>
          </w:tcPr>
          <w:p w14:paraId="2DAB078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项目描述</w:t>
            </w:r>
          </w:p>
        </w:tc>
        <w:tc>
          <w:tcPr>
            <w:tcW w:w="6094" w:type="dxa"/>
            <w:noWrap w:val="0"/>
            <w:vAlign w:val="center"/>
          </w:tcPr>
          <w:p w14:paraId="0AD65E4C">
            <w:pPr>
              <w:jc w:val="center"/>
              <w:rPr>
                <w:rFonts w:hint="eastAsia" w:ascii="仿宋" w:hAnsi="仿宋" w:eastAsia="仿宋" w:cs="仿宋"/>
                <w:color w:val="auto"/>
                <w:sz w:val="24"/>
                <w:highlight w:val="none"/>
              </w:rPr>
            </w:pPr>
          </w:p>
        </w:tc>
      </w:tr>
      <w:tr w14:paraId="69680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55D7C76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c>
          <w:tcPr>
            <w:tcW w:w="6094" w:type="dxa"/>
            <w:noWrap w:val="0"/>
            <w:vAlign w:val="center"/>
          </w:tcPr>
          <w:p w14:paraId="5736BC91">
            <w:pPr>
              <w:jc w:val="center"/>
              <w:rPr>
                <w:rFonts w:hint="eastAsia" w:ascii="仿宋" w:hAnsi="仿宋" w:eastAsia="仿宋" w:cs="仿宋"/>
                <w:color w:val="auto"/>
                <w:sz w:val="24"/>
                <w:highlight w:val="none"/>
              </w:rPr>
            </w:pPr>
          </w:p>
        </w:tc>
      </w:tr>
    </w:tbl>
    <w:p w14:paraId="0A94E554">
      <w:pPr>
        <w:spacing w:line="360" w:lineRule="auto"/>
        <w:rPr>
          <w:rFonts w:hint="eastAsia" w:ascii="仿宋" w:hAnsi="仿宋" w:eastAsia="仿宋" w:cs="仿宋"/>
          <w:color w:val="auto"/>
          <w:sz w:val="24"/>
          <w:highlight w:val="none"/>
        </w:rPr>
      </w:pPr>
    </w:p>
    <w:p w14:paraId="3E0BE152">
      <w:pPr>
        <w:spacing w:line="360" w:lineRule="auto"/>
        <w:ind w:left="630" w:leftChars="300"/>
        <w:rPr>
          <w:b/>
          <w:bCs/>
          <w:color w:val="auto"/>
          <w:szCs w:val="21"/>
          <w:highlight w:val="none"/>
        </w:rPr>
      </w:pPr>
      <w:r>
        <w:rPr>
          <w:rFonts w:hint="eastAsia" w:ascii="仿宋" w:hAnsi="仿宋" w:eastAsia="仿宋" w:cs="仿宋"/>
          <w:b/>
          <w:bCs/>
          <w:color w:val="auto"/>
          <w:sz w:val="24"/>
          <w:highlight w:val="none"/>
        </w:rPr>
        <w:t>注：本表后附合同(如为总承包工程合同提供合同协议书关键页即可)、中标通知书、竣工验收报告或单项工程验收证明材料、中标公示网页截图及链接的相关证明材料。每张表格只填写一个项目，并标明序号</w:t>
      </w:r>
      <w:r>
        <w:rPr>
          <w:b/>
          <w:bCs/>
          <w:color w:val="auto"/>
          <w:szCs w:val="21"/>
          <w:highlight w:val="none"/>
        </w:rPr>
        <w:t>。</w:t>
      </w:r>
    </w:p>
    <w:p w14:paraId="7D50300D">
      <w:pPr>
        <w:spacing w:before="120" w:beforeLines="50" w:after="120" w:afterLines="50" w:line="360" w:lineRule="auto"/>
        <w:jc w:val="center"/>
        <w:outlineLvl w:val="2"/>
        <w:rPr>
          <w:b/>
          <w:bCs/>
          <w:color w:val="auto"/>
          <w:sz w:val="24"/>
          <w:highlight w:val="none"/>
        </w:rPr>
      </w:pPr>
      <w:r>
        <w:rPr>
          <w:color w:val="auto"/>
          <w:szCs w:val="21"/>
          <w:highlight w:val="none"/>
        </w:rPr>
        <w:br w:type="page"/>
      </w:r>
      <w:bookmarkStart w:id="1984" w:name="_Toc27566"/>
      <w:bookmarkStart w:id="1985" w:name="_Toc12447"/>
      <w:bookmarkStart w:id="1986" w:name="_Toc25365"/>
      <w:bookmarkStart w:id="1987" w:name="_Toc3801"/>
      <w:bookmarkStart w:id="1988" w:name="_Toc11744"/>
      <w:bookmarkStart w:id="1989" w:name="_Toc4046"/>
      <w:bookmarkStart w:id="1990" w:name="_Toc19670"/>
      <w:bookmarkStart w:id="1991" w:name="_Toc26553"/>
      <w:bookmarkStart w:id="1992" w:name="_Toc15564"/>
      <w:bookmarkStart w:id="1993" w:name="_Toc32019"/>
      <w:bookmarkStart w:id="1994" w:name="_Toc10892"/>
      <w:bookmarkStart w:id="1995" w:name="_Toc20813"/>
      <w:bookmarkStart w:id="1996" w:name="_Toc29350"/>
      <w:bookmarkStart w:id="1997" w:name="_Toc22764"/>
      <w:bookmarkStart w:id="1998" w:name="_Toc6255"/>
      <w:bookmarkStart w:id="1999" w:name="_Toc22907"/>
      <w:bookmarkStart w:id="2000" w:name="_Toc26499"/>
      <w:bookmarkStart w:id="2001" w:name="_Toc29592"/>
      <w:bookmarkStart w:id="2002" w:name="_Toc21347"/>
      <w:bookmarkStart w:id="2003" w:name="_Toc28148"/>
      <w:bookmarkStart w:id="2004" w:name="_Toc28101"/>
      <w:bookmarkStart w:id="2005" w:name="_Toc11340"/>
      <w:bookmarkStart w:id="2006" w:name="_Toc14155"/>
      <w:r>
        <w:rPr>
          <w:rFonts w:hint="eastAsia" w:ascii="仿宋" w:hAnsi="仿宋" w:eastAsia="仿宋" w:cs="仿宋"/>
          <w:b/>
          <w:bCs/>
          <w:color w:val="auto"/>
          <w:sz w:val="28"/>
          <w:szCs w:val="28"/>
          <w:highlight w:val="none"/>
        </w:rPr>
        <w:t>（四）正在施工的和新承接的项目情况表</w:t>
      </w:r>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0"/>
        <w:gridCol w:w="6095"/>
      </w:tblGrid>
      <w:tr w14:paraId="5018F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386190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6095" w:type="dxa"/>
            <w:noWrap w:val="0"/>
            <w:vAlign w:val="center"/>
          </w:tcPr>
          <w:p w14:paraId="1BDB903B">
            <w:pPr>
              <w:jc w:val="center"/>
              <w:rPr>
                <w:rFonts w:hint="eastAsia" w:ascii="仿宋" w:hAnsi="仿宋" w:eastAsia="仿宋" w:cs="仿宋"/>
                <w:color w:val="auto"/>
                <w:sz w:val="24"/>
                <w:highlight w:val="none"/>
              </w:rPr>
            </w:pPr>
          </w:p>
        </w:tc>
      </w:tr>
      <w:tr w14:paraId="07A38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2657227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项目所在地</w:t>
            </w:r>
          </w:p>
        </w:tc>
        <w:tc>
          <w:tcPr>
            <w:tcW w:w="6095" w:type="dxa"/>
            <w:noWrap w:val="0"/>
            <w:vAlign w:val="center"/>
          </w:tcPr>
          <w:p w14:paraId="47807705">
            <w:pPr>
              <w:jc w:val="center"/>
              <w:rPr>
                <w:rFonts w:hint="eastAsia" w:ascii="仿宋" w:hAnsi="仿宋" w:eastAsia="仿宋" w:cs="仿宋"/>
                <w:color w:val="auto"/>
                <w:sz w:val="24"/>
                <w:highlight w:val="none"/>
              </w:rPr>
            </w:pPr>
          </w:p>
        </w:tc>
      </w:tr>
      <w:tr w14:paraId="210E3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37CD0EC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发包人名称</w:t>
            </w:r>
          </w:p>
        </w:tc>
        <w:tc>
          <w:tcPr>
            <w:tcW w:w="6095" w:type="dxa"/>
            <w:noWrap w:val="0"/>
            <w:vAlign w:val="center"/>
          </w:tcPr>
          <w:p w14:paraId="00B0C5DE">
            <w:pPr>
              <w:jc w:val="center"/>
              <w:rPr>
                <w:rFonts w:hint="eastAsia" w:ascii="仿宋" w:hAnsi="仿宋" w:eastAsia="仿宋" w:cs="仿宋"/>
                <w:color w:val="auto"/>
                <w:sz w:val="24"/>
                <w:highlight w:val="none"/>
              </w:rPr>
            </w:pPr>
          </w:p>
        </w:tc>
      </w:tr>
      <w:tr w14:paraId="0EB5D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E54C97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发包人地址</w:t>
            </w:r>
          </w:p>
        </w:tc>
        <w:tc>
          <w:tcPr>
            <w:tcW w:w="6095" w:type="dxa"/>
            <w:noWrap w:val="0"/>
            <w:vAlign w:val="center"/>
          </w:tcPr>
          <w:p w14:paraId="085B8AD3">
            <w:pPr>
              <w:jc w:val="center"/>
              <w:rPr>
                <w:rFonts w:hint="eastAsia" w:ascii="仿宋" w:hAnsi="仿宋" w:eastAsia="仿宋" w:cs="仿宋"/>
                <w:color w:val="auto"/>
                <w:sz w:val="24"/>
                <w:highlight w:val="none"/>
              </w:rPr>
            </w:pPr>
          </w:p>
        </w:tc>
      </w:tr>
      <w:tr w14:paraId="4FA44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1A50200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发包人电话</w:t>
            </w:r>
          </w:p>
        </w:tc>
        <w:tc>
          <w:tcPr>
            <w:tcW w:w="6095" w:type="dxa"/>
            <w:noWrap w:val="0"/>
            <w:vAlign w:val="center"/>
          </w:tcPr>
          <w:p w14:paraId="2D3D1288">
            <w:pPr>
              <w:jc w:val="center"/>
              <w:rPr>
                <w:rFonts w:hint="eastAsia" w:ascii="仿宋" w:hAnsi="仿宋" w:eastAsia="仿宋" w:cs="仿宋"/>
                <w:color w:val="auto"/>
                <w:sz w:val="24"/>
                <w:highlight w:val="none"/>
              </w:rPr>
            </w:pPr>
          </w:p>
        </w:tc>
      </w:tr>
      <w:tr w14:paraId="44FE6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319C5B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签约合同价</w:t>
            </w:r>
          </w:p>
        </w:tc>
        <w:tc>
          <w:tcPr>
            <w:tcW w:w="6095" w:type="dxa"/>
            <w:noWrap w:val="0"/>
            <w:vAlign w:val="center"/>
          </w:tcPr>
          <w:p w14:paraId="0C673964">
            <w:pPr>
              <w:jc w:val="center"/>
              <w:rPr>
                <w:rFonts w:hint="eastAsia" w:ascii="仿宋" w:hAnsi="仿宋" w:eastAsia="仿宋" w:cs="仿宋"/>
                <w:color w:val="auto"/>
                <w:sz w:val="24"/>
                <w:highlight w:val="none"/>
              </w:rPr>
            </w:pPr>
          </w:p>
        </w:tc>
      </w:tr>
      <w:tr w14:paraId="40F5B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4AF8AD6">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合同签订时间</w:t>
            </w:r>
          </w:p>
        </w:tc>
        <w:tc>
          <w:tcPr>
            <w:tcW w:w="6095" w:type="dxa"/>
            <w:noWrap w:val="0"/>
            <w:vAlign w:val="center"/>
          </w:tcPr>
          <w:p w14:paraId="2ABBF5C7">
            <w:pPr>
              <w:jc w:val="center"/>
              <w:rPr>
                <w:rFonts w:hint="eastAsia" w:ascii="仿宋" w:hAnsi="仿宋" w:eastAsia="仿宋" w:cs="仿宋"/>
                <w:color w:val="auto"/>
                <w:sz w:val="24"/>
                <w:highlight w:val="none"/>
              </w:rPr>
            </w:pPr>
          </w:p>
        </w:tc>
      </w:tr>
      <w:tr w14:paraId="11AF8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3A6E441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开工日期</w:t>
            </w:r>
          </w:p>
        </w:tc>
        <w:tc>
          <w:tcPr>
            <w:tcW w:w="6095" w:type="dxa"/>
            <w:noWrap w:val="0"/>
            <w:vAlign w:val="center"/>
          </w:tcPr>
          <w:p w14:paraId="0ADD209C">
            <w:pPr>
              <w:jc w:val="center"/>
              <w:rPr>
                <w:rFonts w:hint="eastAsia" w:ascii="仿宋" w:hAnsi="仿宋" w:eastAsia="仿宋" w:cs="仿宋"/>
                <w:color w:val="auto"/>
                <w:sz w:val="24"/>
                <w:highlight w:val="none"/>
              </w:rPr>
            </w:pPr>
          </w:p>
        </w:tc>
      </w:tr>
      <w:tr w14:paraId="126C1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4A9ACEA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计划竣工日期</w:t>
            </w:r>
          </w:p>
        </w:tc>
        <w:tc>
          <w:tcPr>
            <w:tcW w:w="6095" w:type="dxa"/>
            <w:noWrap w:val="0"/>
            <w:vAlign w:val="center"/>
          </w:tcPr>
          <w:p w14:paraId="0451C440">
            <w:pPr>
              <w:jc w:val="center"/>
              <w:rPr>
                <w:rFonts w:hint="eastAsia" w:ascii="仿宋" w:hAnsi="仿宋" w:eastAsia="仿宋" w:cs="仿宋"/>
                <w:color w:val="auto"/>
                <w:sz w:val="24"/>
                <w:highlight w:val="none"/>
              </w:rPr>
            </w:pPr>
          </w:p>
        </w:tc>
      </w:tr>
      <w:tr w14:paraId="10618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1CE566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承担的工作</w:t>
            </w:r>
          </w:p>
        </w:tc>
        <w:tc>
          <w:tcPr>
            <w:tcW w:w="6095" w:type="dxa"/>
            <w:noWrap w:val="0"/>
            <w:vAlign w:val="center"/>
          </w:tcPr>
          <w:p w14:paraId="02987B78">
            <w:pPr>
              <w:jc w:val="center"/>
              <w:rPr>
                <w:rFonts w:hint="eastAsia" w:ascii="仿宋" w:hAnsi="仿宋" w:eastAsia="仿宋" w:cs="仿宋"/>
                <w:color w:val="auto"/>
                <w:sz w:val="24"/>
                <w:highlight w:val="none"/>
              </w:rPr>
            </w:pPr>
          </w:p>
        </w:tc>
      </w:tr>
      <w:tr w14:paraId="70EB3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9A6FE1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工程质量</w:t>
            </w:r>
          </w:p>
        </w:tc>
        <w:tc>
          <w:tcPr>
            <w:tcW w:w="6095" w:type="dxa"/>
            <w:noWrap w:val="0"/>
            <w:vAlign w:val="center"/>
          </w:tcPr>
          <w:p w14:paraId="60D835B3">
            <w:pPr>
              <w:jc w:val="center"/>
              <w:rPr>
                <w:rFonts w:hint="eastAsia" w:ascii="仿宋" w:hAnsi="仿宋" w:eastAsia="仿宋" w:cs="仿宋"/>
                <w:color w:val="auto"/>
                <w:sz w:val="24"/>
                <w:highlight w:val="none"/>
              </w:rPr>
            </w:pPr>
          </w:p>
        </w:tc>
      </w:tr>
      <w:tr w14:paraId="7F049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18FC82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w:t>
            </w:r>
          </w:p>
        </w:tc>
        <w:tc>
          <w:tcPr>
            <w:tcW w:w="6095" w:type="dxa"/>
            <w:noWrap w:val="0"/>
            <w:vAlign w:val="center"/>
          </w:tcPr>
          <w:p w14:paraId="71DC4EB3">
            <w:pPr>
              <w:jc w:val="center"/>
              <w:rPr>
                <w:rFonts w:hint="eastAsia" w:ascii="仿宋" w:hAnsi="仿宋" w:eastAsia="仿宋" w:cs="仿宋"/>
                <w:color w:val="auto"/>
                <w:sz w:val="24"/>
                <w:highlight w:val="none"/>
              </w:rPr>
            </w:pPr>
          </w:p>
        </w:tc>
      </w:tr>
      <w:tr w14:paraId="74BCC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EF98D9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技术负责人</w:t>
            </w:r>
          </w:p>
        </w:tc>
        <w:tc>
          <w:tcPr>
            <w:tcW w:w="6095" w:type="dxa"/>
            <w:noWrap w:val="0"/>
            <w:vAlign w:val="center"/>
          </w:tcPr>
          <w:p w14:paraId="5DEF13A2">
            <w:pPr>
              <w:jc w:val="center"/>
              <w:rPr>
                <w:rFonts w:hint="eastAsia" w:ascii="仿宋" w:hAnsi="仿宋" w:eastAsia="仿宋" w:cs="仿宋"/>
                <w:color w:val="auto"/>
                <w:sz w:val="24"/>
                <w:highlight w:val="none"/>
              </w:rPr>
            </w:pPr>
          </w:p>
        </w:tc>
      </w:tr>
      <w:tr w14:paraId="6A3C9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7DFE580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总监理工程师及电话</w:t>
            </w:r>
          </w:p>
        </w:tc>
        <w:tc>
          <w:tcPr>
            <w:tcW w:w="6095" w:type="dxa"/>
            <w:noWrap w:val="0"/>
            <w:vAlign w:val="center"/>
          </w:tcPr>
          <w:p w14:paraId="64CD1A2E">
            <w:pPr>
              <w:jc w:val="center"/>
              <w:rPr>
                <w:rFonts w:hint="eastAsia" w:ascii="仿宋" w:hAnsi="仿宋" w:eastAsia="仿宋" w:cs="仿宋"/>
                <w:color w:val="auto"/>
                <w:sz w:val="24"/>
                <w:highlight w:val="none"/>
              </w:rPr>
            </w:pPr>
          </w:p>
        </w:tc>
      </w:tr>
      <w:tr w14:paraId="7585A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2410" w:type="dxa"/>
            <w:noWrap w:val="0"/>
            <w:vAlign w:val="center"/>
          </w:tcPr>
          <w:p w14:paraId="7BF3C0A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项目描述</w:t>
            </w:r>
          </w:p>
        </w:tc>
        <w:tc>
          <w:tcPr>
            <w:tcW w:w="6095" w:type="dxa"/>
            <w:noWrap w:val="0"/>
            <w:vAlign w:val="center"/>
          </w:tcPr>
          <w:p w14:paraId="35F704C6">
            <w:pPr>
              <w:jc w:val="center"/>
              <w:rPr>
                <w:rFonts w:hint="eastAsia" w:ascii="仿宋" w:hAnsi="仿宋" w:eastAsia="仿宋" w:cs="仿宋"/>
                <w:color w:val="auto"/>
                <w:sz w:val="24"/>
                <w:highlight w:val="none"/>
              </w:rPr>
            </w:pPr>
          </w:p>
        </w:tc>
      </w:tr>
      <w:tr w14:paraId="514FD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374A3FF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c>
          <w:tcPr>
            <w:tcW w:w="6095" w:type="dxa"/>
            <w:noWrap w:val="0"/>
            <w:vAlign w:val="center"/>
          </w:tcPr>
          <w:p w14:paraId="2D5E5F21">
            <w:pPr>
              <w:jc w:val="center"/>
              <w:rPr>
                <w:rFonts w:hint="eastAsia" w:ascii="仿宋" w:hAnsi="仿宋" w:eastAsia="仿宋" w:cs="仿宋"/>
                <w:color w:val="auto"/>
                <w:sz w:val="24"/>
                <w:highlight w:val="none"/>
              </w:rPr>
            </w:pPr>
          </w:p>
        </w:tc>
      </w:tr>
    </w:tbl>
    <w:p w14:paraId="23FFD5A0">
      <w:pPr>
        <w:spacing w:line="360" w:lineRule="auto"/>
        <w:ind w:firstLine="482" w:firstLineChars="200"/>
        <w:rPr>
          <w:b/>
          <w:bCs/>
          <w:color w:val="auto"/>
          <w:szCs w:val="21"/>
          <w:highlight w:val="none"/>
        </w:rPr>
      </w:pPr>
      <w:r>
        <w:rPr>
          <w:rFonts w:ascii="仿宋" w:hAnsi="仿宋" w:eastAsia="仿宋" w:cs="仿宋"/>
          <w:b/>
          <w:bCs/>
          <w:color w:val="auto"/>
          <w:sz w:val="24"/>
          <w:highlight w:val="none"/>
        </w:rPr>
        <w:t>注：本表后附中标通知书或合同协议书复印件或扫描件。每张表格只填写一个项目，并标明序号。</w:t>
      </w:r>
      <w:r>
        <w:rPr>
          <w:rFonts w:hint="eastAsia" w:ascii="仿宋" w:hAnsi="仿宋" w:eastAsia="仿宋" w:cs="仿宋"/>
          <w:b/>
          <w:bCs/>
          <w:color w:val="auto"/>
          <w:sz w:val="24"/>
          <w:highlight w:val="none"/>
        </w:rPr>
        <w:t>每张表格只填写一个项目，并标明序号。</w:t>
      </w:r>
    </w:p>
    <w:p w14:paraId="123BFB29">
      <w:pPr>
        <w:spacing w:before="120" w:beforeLines="50" w:after="120" w:afterLines="50" w:line="360" w:lineRule="auto"/>
        <w:jc w:val="center"/>
        <w:outlineLvl w:val="2"/>
        <w:rPr>
          <w:b/>
          <w:bCs/>
          <w:color w:val="auto"/>
          <w:sz w:val="24"/>
          <w:highlight w:val="none"/>
        </w:rPr>
      </w:pPr>
      <w:r>
        <w:rPr>
          <w:color w:val="auto"/>
          <w:szCs w:val="21"/>
          <w:highlight w:val="none"/>
        </w:rPr>
        <w:br w:type="page"/>
      </w:r>
      <w:bookmarkStart w:id="2007" w:name="_Toc11288"/>
      <w:bookmarkStart w:id="2008" w:name="_Toc24635"/>
      <w:bookmarkStart w:id="2009" w:name="_Toc26440"/>
      <w:bookmarkStart w:id="2010" w:name="_Toc7919"/>
      <w:bookmarkStart w:id="2011" w:name="_Toc9340"/>
      <w:bookmarkStart w:id="2012" w:name="_Toc20019"/>
      <w:bookmarkStart w:id="2013" w:name="_Toc908"/>
      <w:bookmarkStart w:id="2014" w:name="_Toc240"/>
      <w:bookmarkStart w:id="2015" w:name="_Toc15085"/>
      <w:bookmarkStart w:id="2016" w:name="_Toc17874"/>
      <w:bookmarkStart w:id="2017" w:name="_Toc17326"/>
      <w:bookmarkStart w:id="2018" w:name="_Toc30859"/>
      <w:bookmarkStart w:id="2019" w:name="_Toc15126"/>
      <w:bookmarkStart w:id="2020" w:name="_Toc5552"/>
      <w:bookmarkStart w:id="2021" w:name="_Toc22962"/>
      <w:r>
        <w:rPr>
          <w:rFonts w:hint="eastAsia" w:ascii="仿宋" w:hAnsi="仿宋" w:eastAsia="仿宋" w:cs="仿宋"/>
          <w:b/>
          <w:bCs/>
          <w:color w:val="auto"/>
          <w:sz w:val="28"/>
          <w:szCs w:val="28"/>
          <w:highlight w:val="none"/>
        </w:rPr>
        <w:t>（五）</w:t>
      </w:r>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r>
        <w:rPr>
          <w:rFonts w:hint="eastAsia" w:ascii="仿宋" w:hAnsi="仿宋" w:eastAsia="仿宋" w:cs="仿宋"/>
          <w:b/>
          <w:bCs/>
          <w:color w:val="auto"/>
          <w:sz w:val="28"/>
          <w:szCs w:val="28"/>
          <w:highlight w:val="none"/>
        </w:rPr>
        <w:t>信誉要求</w:t>
      </w:r>
      <w:bookmarkEnd w:id="2021"/>
    </w:p>
    <w:p w14:paraId="6219F658">
      <w:pPr>
        <w:spacing w:line="360" w:lineRule="auto"/>
        <w:rPr>
          <w:rFonts w:hint="eastAsia" w:ascii="仿宋" w:hAnsi="仿宋" w:eastAsia="仿宋" w:cs="仿宋"/>
          <w:color w:val="auto"/>
          <w:sz w:val="24"/>
          <w:highlight w:val="none"/>
        </w:rPr>
      </w:pPr>
    </w:p>
    <w:p w14:paraId="5F0D8E39">
      <w:pPr>
        <w:pStyle w:val="65"/>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①投标人及拟派项目经理不得</w:t>
      </w:r>
      <w:r>
        <w:rPr>
          <w:rFonts w:hint="default" w:ascii="仿宋" w:hAnsi="仿宋" w:eastAsia="仿宋" w:cs="仿宋"/>
          <w:color w:val="auto"/>
          <w:sz w:val="24"/>
          <w:szCs w:val="24"/>
          <w:highlight w:val="none"/>
        </w:rPr>
        <w:t>被列入全国或省级建筑市场监管公共服务平台</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黑名单</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且在管理期限内</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eastAsia="zh-CN"/>
        </w:rPr>
        <w:t>。</w:t>
      </w:r>
    </w:p>
    <w:p w14:paraId="1310DF34">
      <w:pPr>
        <w:pStyle w:val="65"/>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②投标人</w:t>
      </w:r>
      <w:r>
        <w:rPr>
          <w:rFonts w:hint="eastAsia" w:ascii="仿宋" w:hAnsi="仿宋" w:eastAsia="仿宋" w:cs="仿宋"/>
          <w:color w:val="auto"/>
          <w:sz w:val="24"/>
          <w:szCs w:val="24"/>
          <w:highlight w:val="none"/>
        </w:rPr>
        <w:t>被列入国家企业信用信息公示系统“严重违法失信名单”且在管理期限内的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拒绝参与本项目的投标活动</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val="en-US" w:eastAsia="zh-CN"/>
        </w:rPr>
        <w:t>。</w:t>
      </w:r>
    </w:p>
    <w:p w14:paraId="5E9E9217">
      <w:pPr>
        <w:pStyle w:val="65"/>
        <w:spacing w:line="500" w:lineRule="exact"/>
        <w:rPr>
          <w:rFonts w:hint="eastAsia"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val="en-US" w:eastAsia="zh-CN"/>
        </w:rPr>
        <w:t>对被列入“失信被执行人”“重大税收违法失信主体”“政府采购严重违法失信行为记录名单”的投标人，拒绝参与本项目的投标活动。投标人的法定代表人、拟派</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未被列入“失信被执行人”。投标人须通过“信用中国”网站（http://www.creditchina.gov.cn/）“专项查询”→“失信被执行人”→跳转至“中国执行信息公开网（http://zxgk.court.gov.cn/shixin/）”查询投标人、法定代表人、</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通过“信用中国”网站“专项查询”→查询“重大税收违法失信主体”“政府采购严重违法失信行为记录名单”，同时通过“中国政府采购网”网站查询“政府采购严重违法失信行为记录名单”。投标人须按以上查询方式进行查询并在投标文件中提供网页截图或网页打印页，截图或打印页须包括查询日期，查询日期为招标公告发布之后至投标截止时间前并加盖公章。有失信记录的拒绝参与本项目的投标活动。</w:t>
      </w:r>
    </w:p>
    <w:p w14:paraId="5F7E05C0">
      <w:pPr>
        <w:pStyle w:val="65"/>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 4 \* GB3 \* MERGEFORMAT </w:instrText>
      </w:r>
      <w:r>
        <w:rPr>
          <w:rFonts w:hint="eastAsia" w:ascii="仿宋" w:hAnsi="仿宋" w:eastAsia="仿宋" w:cs="仿宋"/>
          <w:color w:val="auto"/>
          <w:sz w:val="24"/>
          <w:szCs w:val="24"/>
          <w:highlight w:val="none"/>
          <w:lang w:val="en-US" w:eastAsia="zh-CN"/>
        </w:rPr>
        <w:fldChar w:fldCharType="separate"/>
      </w:r>
      <w:r>
        <w:rPr>
          <w:rFonts w:hint="default" w:ascii="仿宋" w:hAnsi="仿宋" w:eastAsia="仿宋" w:cs="仿宋"/>
          <w:color w:val="auto"/>
          <w:sz w:val="24"/>
          <w:szCs w:val="24"/>
          <w:highlight w:val="none"/>
          <w:lang w:val="en-US" w:eastAsia="zh-CN"/>
        </w:rPr>
        <w:t>④</w:t>
      </w:r>
      <w:r>
        <w:rPr>
          <w:rFonts w:hint="eastAsia" w:ascii="仿宋" w:hAnsi="仿宋" w:eastAsia="仿宋" w:cs="仿宋"/>
          <w:color w:val="auto"/>
          <w:sz w:val="24"/>
          <w:szCs w:val="24"/>
          <w:highlight w:val="none"/>
          <w:lang w:val="en-US" w:eastAsia="zh-CN"/>
        </w:rPr>
        <w:fldChar w:fldCharType="end"/>
      </w:r>
      <w:r>
        <w:rPr>
          <w:rFonts w:hint="eastAsia" w:ascii="仿宋" w:hAnsi="仿宋" w:eastAsia="仿宋" w:cs="仿宋"/>
          <w:color w:val="auto"/>
          <w:sz w:val="24"/>
          <w:szCs w:val="24"/>
          <w:highlight w:val="none"/>
          <w:lang w:val="en-US" w:eastAsia="zh-CN"/>
        </w:rPr>
        <w:t>根据《河南省住房和城乡建设厅关于进一步规范建设工程企业资质管理的通知》（豫建行规〔2024〕7号）规定，被全国和河南省建筑市场监管公共服务平台标注为资质异常的，不能使用标注异常资质承揽本工程。</w:t>
      </w:r>
      <w:r>
        <w:rPr>
          <w:rFonts w:hint="eastAsia" w:ascii="仿宋" w:hAnsi="仿宋" w:eastAsia="仿宋" w:cs="仿宋"/>
          <w:color w:val="auto"/>
          <w:kern w:val="2"/>
          <w:sz w:val="24"/>
          <w:szCs w:val="24"/>
          <w:highlight w:val="none"/>
          <w:lang w:val="en-US" w:eastAsia="zh-CN" w:bidi="ar-SA"/>
        </w:rPr>
        <w:t>投标文件中须提供全国和河南省建筑市场监管公共服务平台资质查询截图，查询时间为招标公告发布之日后，投标截止时间前，查询结果须显示网页时间。如在全国或河南省建筑市场监管公共服务平台无本企业信息，投标人可提供显示“暂无数据的查询结果”，视为“未被全国或河南省建筑市场监管公共服务平台标注为资质异常”。</w:t>
      </w:r>
    </w:p>
    <w:p w14:paraId="624E6DF0">
      <w:pPr>
        <w:pStyle w:val="65"/>
        <w:spacing w:line="500" w:lineRule="exact"/>
        <w:rPr>
          <w:rFonts w:hint="eastAsia" w:ascii="仿宋" w:hAnsi="仿宋" w:eastAsia="仿宋" w:cs="仿宋"/>
          <w:color w:val="auto"/>
          <w:sz w:val="24"/>
          <w:szCs w:val="24"/>
          <w:highlight w:val="none"/>
          <w:lang w:val="en-US" w:eastAsia="zh-CN"/>
        </w:rPr>
      </w:pPr>
    </w:p>
    <w:p w14:paraId="2DFAC31F">
      <w:pPr>
        <w:topLinePunct/>
        <w:spacing w:line="360" w:lineRule="auto"/>
        <w:rPr>
          <w:b/>
          <w:bCs/>
          <w:color w:val="auto"/>
          <w:sz w:val="20"/>
          <w:szCs w:val="20"/>
          <w:highlight w:val="none"/>
        </w:rPr>
      </w:pPr>
    </w:p>
    <w:p w14:paraId="36606AFA">
      <w:pPr>
        <w:spacing w:before="240" w:beforeLines="100" w:after="120" w:afterLines="50" w:line="520" w:lineRule="exact"/>
        <w:ind w:firstLine="562" w:firstLineChars="200"/>
        <w:jc w:val="center"/>
        <w:outlineLvl w:val="1"/>
        <w:rPr>
          <w:rFonts w:ascii="宋体" w:hAnsi="宋体" w:eastAsia="仿宋" w:cs="宋体"/>
          <w:b/>
          <w:bCs/>
          <w:color w:val="auto"/>
          <w:highlight w:val="none"/>
        </w:rPr>
      </w:pPr>
      <w:bookmarkStart w:id="2022" w:name="_Toc12589"/>
      <w:bookmarkStart w:id="2023" w:name="_Toc26089"/>
      <w:bookmarkStart w:id="2024" w:name="_Toc8229"/>
      <w:bookmarkStart w:id="2025" w:name="_Toc16958"/>
      <w:bookmarkStart w:id="2026" w:name="_Toc31675"/>
      <w:bookmarkStart w:id="2027" w:name="_Toc9774"/>
      <w:bookmarkStart w:id="2028" w:name="_Toc21728"/>
      <w:bookmarkStart w:id="2029" w:name="_Toc6968"/>
      <w:bookmarkStart w:id="2030" w:name="_Toc18973"/>
      <w:bookmarkStart w:id="2031" w:name="_Toc19565"/>
      <w:bookmarkStart w:id="2032" w:name="_Toc53"/>
      <w:bookmarkStart w:id="2033" w:name="_Toc22547"/>
      <w:bookmarkStart w:id="2034" w:name="_Toc4746"/>
      <w:bookmarkStart w:id="2035" w:name="_Toc28302"/>
      <w:bookmarkStart w:id="2036" w:name="_Toc2622"/>
      <w:bookmarkStart w:id="2037" w:name="_Toc11031"/>
      <w:bookmarkStart w:id="2038" w:name="_Toc23411"/>
      <w:bookmarkStart w:id="2039" w:name="_Toc15643"/>
      <w:bookmarkStart w:id="2040" w:name="_Toc29117"/>
      <w:bookmarkStart w:id="2041" w:name="_Toc4773"/>
      <w:bookmarkStart w:id="2042" w:name="_Toc26423"/>
      <w:bookmarkStart w:id="2043" w:name="_Toc32086"/>
      <w:bookmarkStart w:id="2044" w:name="_Toc17359"/>
      <w:r>
        <w:rPr>
          <w:rFonts w:hint="eastAsia" w:ascii="仿宋" w:hAnsi="仿宋" w:eastAsia="仿宋" w:cs="仿宋"/>
          <w:b/>
          <w:bCs/>
          <w:color w:val="auto"/>
          <w:sz w:val="28"/>
          <w:szCs w:val="28"/>
          <w:highlight w:val="none"/>
        </w:rPr>
        <w:t>(六）其他要求的证明材料</w:t>
      </w:r>
      <w:bookmarkEnd w:id="2022"/>
    </w:p>
    <w:p w14:paraId="60C54576">
      <w:pPr>
        <w:pStyle w:val="65"/>
        <w:keepNext w:val="0"/>
        <w:keepLines w:val="0"/>
        <w:pageBreakBefore w:val="0"/>
        <w:widowControl w:val="0"/>
        <w:kinsoku/>
        <w:overflowPunct/>
        <w:topLinePunct w:val="0"/>
        <w:bidi w:val="0"/>
        <w:adjustRightInd/>
        <w:snapToGrid/>
        <w:spacing w:line="48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①投标人没有处于被责令停业，投标资格被取消；在最近三年内（自2023年1月1日以来）没有骗取中标和严重违约及重大工程质量问题。（自行承诺）</w:t>
      </w:r>
    </w:p>
    <w:p w14:paraId="5EA46E22">
      <w:pPr>
        <w:pStyle w:val="65"/>
        <w:keepNext w:val="0"/>
        <w:keepLines w:val="0"/>
        <w:pageBreakBefore w:val="0"/>
        <w:widowControl w:val="0"/>
        <w:kinsoku/>
        <w:wordWrap w:val="0"/>
        <w:overflowPunct/>
        <w:topLinePunct w:val="0"/>
        <w:autoSpaceDE/>
        <w:autoSpaceDN/>
        <w:bidi w:val="0"/>
        <w:adjustRightInd/>
        <w:snapToGrid/>
        <w:spacing w:line="480" w:lineRule="exact"/>
        <w:ind w:firstLine="480" w:firstLineChars="200"/>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kern w:val="2"/>
          <w:sz w:val="24"/>
          <w:szCs w:val="24"/>
          <w:highlight w:val="none"/>
          <w:lang w:val="en-US" w:eastAsia="zh-CN" w:bidi="ar-SA"/>
        </w:rPr>
        <w:t>单位负责人为同一人或者存在控股、管理关系的不同单位，不得参加同一标段投标或者未划分标段的同一招标项目投标。（提供“国家企业信用信息公示系统”网站查询结果网页截图，需显示公司基本信息、主要人员信息、股东信息）</w:t>
      </w:r>
      <w:r>
        <w:rPr>
          <w:rFonts w:hint="eastAsia" w:ascii="仿宋" w:hAnsi="仿宋" w:eastAsia="仿宋" w:cs="仿宋"/>
          <w:b/>
          <w:bCs/>
          <w:color w:val="auto"/>
          <w:sz w:val="28"/>
          <w:szCs w:val="28"/>
          <w:highlight w:val="none"/>
        </w:rPr>
        <w:br w:type="page"/>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七）</w:t>
      </w:r>
      <w:r>
        <w:rPr>
          <w:rFonts w:hint="eastAsia" w:ascii="仿宋" w:hAnsi="仿宋" w:eastAsia="仿宋" w:cs="仿宋"/>
          <w:b/>
          <w:bCs/>
          <w:color w:val="auto"/>
          <w:sz w:val="28"/>
          <w:szCs w:val="28"/>
          <w:highlight w:val="none"/>
        </w:rPr>
        <w:t>其他承诺</w:t>
      </w:r>
    </w:p>
    <w:p w14:paraId="1E7FBAD8">
      <w:pPr>
        <w:autoSpaceDE w:val="0"/>
        <w:autoSpaceDN w:val="0"/>
        <w:spacing w:line="400" w:lineRule="exact"/>
        <w:ind w:left="220" w:leftChars="0" w:firstLine="420" w:firstLineChars="17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shd w:val="clear" w:color="auto" w:fill="FFFFFF"/>
        </w:rPr>
        <w:t>我单位在参与本次招标投标活动中对招标文件的响应情况，不存在重大偏差及违反法律、法规、规章、规范性文件规定的情况，承诺内容如下：</w:t>
      </w:r>
    </w:p>
    <w:p w14:paraId="14DC0A5E">
      <w:pPr>
        <w:numPr>
          <w:ilvl w:val="0"/>
          <w:numId w:val="17"/>
        </w:numPr>
        <w:autoSpaceDE w:val="0"/>
        <w:autoSpaceDN w:val="0"/>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不存在投标人为招标人不具有独立法人资格的附属机构（单位）的情形；</w:t>
      </w:r>
    </w:p>
    <w:p w14:paraId="59E6D750">
      <w:pPr>
        <w:numPr>
          <w:ilvl w:val="0"/>
          <w:numId w:val="17"/>
        </w:numPr>
        <w:autoSpaceDE w:val="0"/>
        <w:autoSpaceDN w:val="0"/>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不存在投标人与招标人存在利害关系且可能影响招标公正性的情形；</w:t>
      </w:r>
    </w:p>
    <w:p w14:paraId="6A8446DC">
      <w:pPr>
        <w:numPr>
          <w:ilvl w:val="0"/>
          <w:numId w:val="17"/>
        </w:numPr>
        <w:autoSpaceDE w:val="0"/>
        <w:autoSpaceDN w:val="0"/>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不存在投标人与本招标项目的其他投标人为同一单位负责人的情形；</w:t>
      </w:r>
    </w:p>
    <w:p w14:paraId="0468ACFB">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不存在投标人与本招标项目的其他投标人存在控股、管理关系的情形；</w:t>
      </w:r>
    </w:p>
    <w:p w14:paraId="0A9BAC33">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不存在投标人为本招标项目的代建单位、招标代理机构或承担设计、造价咨询、监理业务的单位的情形；</w:t>
      </w:r>
    </w:p>
    <w:p w14:paraId="5388514B">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不存在投标人为本招标项目前期准备提供设计或咨询服务的情形;</w:t>
      </w:r>
    </w:p>
    <w:p w14:paraId="1CCF41A6">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不存在投标人与本招标项目的代建单位、招标代理机构、设计单位、造价咨询机构、监理单位的法定代表人为同一人的情形；</w:t>
      </w:r>
    </w:p>
    <w:p w14:paraId="17C77DF4">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不存在投标人与本招标项目的代建单位、招标代理机构、造价咨询机构、监理单位存在管理关系、相互控股或参股关系的情形；</w:t>
      </w:r>
    </w:p>
    <w:p w14:paraId="378425A7">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不存在投标人被依法暂停或取消项目所在区域或行业投标资格的情形；</w:t>
      </w:r>
    </w:p>
    <w:p w14:paraId="2FCFEF76">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不存在投标人被责令停业，暂扣或吊销执照，或吊销资质证书的情形；</w:t>
      </w:r>
    </w:p>
    <w:p w14:paraId="5881C867">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不存在投标人进入清算程序，或被宣告破产，或其他丧失履约能力情形的情形；</w:t>
      </w:r>
    </w:p>
    <w:p w14:paraId="29473672">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不存在投标人或拟派项目经理被列入建筑市场主体“黑名单”且在管理期限内的情形；</w:t>
      </w:r>
    </w:p>
    <w:p w14:paraId="328CA47D">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不存在在最近三年内发生重大工程质量或安全事故问题的情形（以相关行业主管部门的行政处罚决定或司法机关出具的有关法律文书为准）;</w:t>
      </w:r>
    </w:p>
    <w:p w14:paraId="5569E3E0">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不存在投标人被市场监管机关在国家企业信用信息公示系统中列入严重违法失信企业名单且在管理期限内的情形；</w:t>
      </w:r>
    </w:p>
    <w:p w14:paraId="3B975EF9">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不存在投标人或其法定代表人、拟委任的项目经理在“信用中国”网站重点领域严重失信主体名单中被限制或者禁止参与招标投标活动的“严重失信主体”且在管理期限内的情形；</w:t>
      </w:r>
    </w:p>
    <w:p w14:paraId="7B45622A">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不存在投标人拖欠工人工资，情节严重被有关行政主管部门向社会公布且在公布的期限内的情形；</w:t>
      </w:r>
    </w:p>
    <w:p w14:paraId="7E754A54">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不存在被发现有近三年内投标人或其法定代表人、拟委任的项目经理有行贿犯罪行为且在处罚期内的情形;</w:t>
      </w:r>
    </w:p>
    <w:p w14:paraId="020545D1">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不存在投标人违反法律、法规、规章或无正当理由放弃中标资格受到行业主管部门处罚且在处罚期内;</w:t>
      </w:r>
    </w:p>
    <w:p w14:paraId="31D816A8">
      <w:pPr>
        <w:numPr>
          <w:ilvl w:val="0"/>
          <w:numId w:val="17"/>
        </w:numPr>
        <w:autoSpaceDE w:val="0"/>
        <w:autoSpaceDN w:val="0"/>
        <w:adjustRightInd w:val="0"/>
        <w:spacing w:line="400" w:lineRule="exact"/>
        <w:ind w:firstLine="480" w:firstLineChars="200"/>
        <w:jc w:val="left"/>
        <w:rPr>
          <w:rFonts w:hint="eastAsia"/>
          <w:color w:val="auto"/>
          <w:highlight w:val="none"/>
        </w:rPr>
      </w:pPr>
      <w:r>
        <w:rPr>
          <w:rFonts w:hint="eastAsia" w:ascii="仿宋" w:hAnsi="仿宋" w:eastAsia="仿宋" w:cs="仿宋"/>
          <w:color w:val="auto"/>
          <w:sz w:val="24"/>
          <w:highlight w:val="none"/>
        </w:rPr>
        <w:t>不存在法律法规或投标人须知前附表规定的其他情形。</w:t>
      </w:r>
    </w:p>
    <w:p w14:paraId="33647526">
      <w:pPr>
        <w:autoSpaceDE w:val="0"/>
        <w:autoSpaceDN w:val="0"/>
        <w:adjustRightInd w:val="0"/>
        <w:spacing w:line="400" w:lineRule="exact"/>
        <w:ind w:left="420" w:leftChars="20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若招标人发现我公司存在以上情况，我公司自愿放弃中标资格，招标人可以按照评标委员会提出的中标候选人名单排序依次确定其他中标候选人为中标人、重新招标、拒签或提前终止合同，并向有关建设主管部门上报作进一步处罚；同时我单位自愿接受招标人要求赔偿的相应损失并承担由此带来的一切法律责任。</w:t>
      </w:r>
    </w:p>
    <w:p w14:paraId="59D695E3">
      <w:pPr>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我方保证上述信息的真实和准确，并愿意承担因我方就此弄虚作假所引起的一切法律后果。</w:t>
      </w:r>
    </w:p>
    <w:p w14:paraId="174A9DDA">
      <w:pPr>
        <w:pStyle w:val="65"/>
        <w:ind w:firstLine="480"/>
        <w:rPr>
          <w:rFonts w:hint="eastAsia"/>
          <w:color w:val="auto"/>
          <w:highlight w:val="none"/>
        </w:rPr>
      </w:pPr>
    </w:p>
    <w:p w14:paraId="21D55371">
      <w:pPr>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特此承诺。</w:t>
      </w:r>
    </w:p>
    <w:p w14:paraId="5E8CCF56">
      <w:pPr>
        <w:spacing w:line="40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（单位电子签章）</w:t>
      </w:r>
    </w:p>
    <w:p w14:paraId="69737460">
      <w:pPr>
        <w:spacing w:line="40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（签字或盖章）</w:t>
      </w:r>
    </w:p>
    <w:p w14:paraId="52912D98">
      <w:pPr>
        <w:spacing w:line="40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32B327DC">
      <w:pPr>
        <w:autoSpaceDE w:val="0"/>
        <w:autoSpaceDN w:val="0"/>
        <w:adjustRightInd w:val="0"/>
        <w:spacing w:line="520" w:lineRule="exact"/>
        <w:ind w:left="420" w:firstLine="562" w:firstLineChars="200"/>
        <w:jc w:val="left"/>
        <w:rPr>
          <w:rFonts w:hint="eastAsia" w:ascii="仿宋" w:hAnsi="仿宋" w:eastAsia="仿宋" w:cs="仿宋"/>
          <w:b/>
          <w:bCs/>
          <w:color w:val="auto"/>
          <w:sz w:val="28"/>
          <w:szCs w:val="28"/>
          <w:highlight w:val="none"/>
        </w:rPr>
      </w:pPr>
    </w:p>
    <w:p w14:paraId="27F0EB93">
      <w:pPr>
        <w:spacing w:before="120" w:beforeLines="50" w:after="120" w:afterLines="50" w:line="520" w:lineRule="exact"/>
        <w:ind w:left="630" w:firstLine="482" w:firstLineChars="200"/>
        <w:outlineLvl w:val="2"/>
        <w:rPr>
          <w:b/>
          <w:bCs/>
          <w:color w:val="auto"/>
          <w:sz w:val="24"/>
          <w:highlight w:val="none"/>
        </w:rPr>
      </w:pPr>
    </w:p>
    <w:p w14:paraId="649AD709">
      <w:pPr>
        <w:spacing w:before="240" w:beforeLines="100" w:after="120" w:afterLines="50" w:line="520" w:lineRule="exact"/>
        <w:ind w:firstLine="482" w:firstLineChars="200"/>
        <w:jc w:val="center"/>
        <w:outlineLvl w:val="1"/>
        <w:rPr>
          <w:rFonts w:hint="eastAsia" w:ascii="仿宋" w:hAnsi="仿宋" w:eastAsia="仿宋" w:cs="仿宋"/>
          <w:b/>
          <w:bCs/>
          <w:color w:val="auto"/>
          <w:sz w:val="28"/>
          <w:szCs w:val="28"/>
          <w:highlight w:val="none"/>
        </w:rPr>
      </w:pPr>
      <w:r>
        <w:rPr>
          <w:b/>
          <w:bCs/>
          <w:color w:val="auto"/>
          <w:sz w:val="24"/>
          <w:highlight w:val="none"/>
        </w:rPr>
        <w:br w:type="page"/>
      </w:r>
      <w:bookmarkEnd w:id="2023"/>
      <w:bookmarkEnd w:id="2024"/>
      <w:bookmarkEnd w:id="2025"/>
      <w:bookmarkEnd w:id="2026"/>
      <w:bookmarkEnd w:id="2027"/>
      <w:bookmarkEnd w:id="2028"/>
      <w:bookmarkEnd w:id="2029"/>
      <w:bookmarkEnd w:id="2030"/>
      <w:bookmarkEnd w:id="2031"/>
      <w:bookmarkEnd w:id="2032"/>
      <w:bookmarkEnd w:id="2033"/>
      <w:bookmarkEnd w:id="2034"/>
      <w:bookmarkStart w:id="2045" w:name="_Toc20396"/>
      <w:bookmarkStart w:id="2046" w:name="_Toc3964"/>
      <w:bookmarkStart w:id="2047" w:name="_Toc22018"/>
      <w:bookmarkStart w:id="2048" w:name="_Toc15591"/>
      <w:bookmarkStart w:id="2049" w:name="_Toc22114"/>
      <w:bookmarkStart w:id="2050" w:name="_Toc26570"/>
      <w:bookmarkStart w:id="2051" w:name="_Toc19577"/>
      <w:bookmarkStart w:id="2052" w:name="_Toc14629"/>
      <w:bookmarkStart w:id="2053" w:name="_Toc4589"/>
      <w:bookmarkStart w:id="2054" w:name="_Toc18248"/>
      <w:bookmarkStart w:id="2055" w:name="_Toc6397"/>
      <w:bookmarkStart w:id="2056" w:name="_Toc16955"/>
      <w:bookmarkStart w:id="2057" w:name="_Toc23675"/>
      <w:r>
        <w:rPr>
          <w:rFonts w:hint="eastAsia" w:ascii="仿宋" w:hAnsi="仿宋" w:eastAsia="仿宋" w:cs="仿宋"/>
          <w:b/>
          <w:bCs/>
          <w:color w:val="auto"/>
          <w:sz w:val="28"/>
          <w:szCs w:val="28"/>
          <w:highlight w:val="none"/>
          <w:lang w:val="en-US" w:eastAsia="zh-CN"/>
        </w:rPr>
        <w:t>八、</w:t>
      </w:r>
      <w:r>
        <w:rPr>
          <w:rFonts w:hint="eastAsia" w:ascii="仿宋" w:hAnsi="仿宋" w:eastAsia="仿宋" w:cs="仿宋"/>
          <w:b/>
          <w:bCs/>
          <w:color w:val="auto"/>
          <w:sz w:val="28"/>
          <w:szCs w:val="28"/>
          <w:highlight w:val="none"/>
        </w:rPr>
        <w:t>其他资料</w:t>
      </w:r>
      <w:bookmarkEnd w:id="2035"/>
      <w:bookmarkEnd w:id="2036"/>
      <w:bookmarkEnd w:id="2037"/>
      <w:bookmarkEnd w:id="2045"/>
      <w:bookmarkEnd w:id="2046"/>
      <w:bookmarkEnd w:id="2047"/>
      <w:bookmarkEnd w:id="2048"/>
      <w:bookmarkEnd w:id="2049"/>
      <w:bookmarkEnd w:id="2050"/>
      <w:bookmarkEnd w:id="2051"/>
      <w:bookmarkEnd w:id="2052"/>
      <w:bookmarkEnd w:id="2053"/>
      <w:bookmarkEnd w:id="2054"/>
      <w:bookmarkEnd w:id="2055"/>
      <w:bookmarkEnd w:id="2056"/>
      <w:bookmarkEnd w:id="2057"/>
    </w:p>
    <w:bookmarkEnd w:id="2038"/>
    <w:bookmarkEnd w:id="2039"/>
    <w:bookmarkEnd w:id="2040"/>
    <w:bookmarkEnd w:id="2041"/>
    <w:bookmarkEnd w:id="2042"/>
    <w:bookmarkEnd w:id="2043"/>
    <w:bookmarkEnd w:id="2044"/>
    <w:p w14:paraId="7D639B14">
      <w:pPr>
        <w:spacing w:line="360" w:lineRule="auto"/>
        <w:rPr>
          <w:color w:val="auto"/>
          <w:highlight w:val="none"/>
        </w:rPr>
      </w:pPr>
    </w:p>
    <w:p w14:paraId="58DE1243">
      <w:pPr>
        <w:spacing w:line="360" w:lineRule="auto"/>
        <w:rPr>
          <w:color w:val="auto"/>
          <w:highlight w:val="none"/>
        </w:rPr>
      </w:pPr>
    </w:p>
    <w:p w14:paraId="2F6D9649">
      <w:pPr>
        <w:autoSpaceDE w:val="0"/>
        <w:autoSpaceDN w:val="0"/>
        <w:spacing w:line="36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1.未被列入环保失信黑名单承诺</w:t>
      </w:r>
    </w:p>
    <w:p w14:paraId="610436CA">
      <w:pPr>
        <w:spacing w:line="560" w:lineRule="exac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u w:val="single"/>
        </w:rPr>
        <w:t>致：（填写招标人名称）</w:t>
      </w:r>
      <w:r>
        <w:rPr>
          <w:rFonts w:hint="eastAsia" w:ascii="仿宋" w:hAnsi="仿宋" w:eastAsia="仿宋" w:cs="仿宋"/>
          <w:color w:val="auto"/>
          <w:sz w:val="24"/>
          <w:highlight w:val="none"/>
        </w:rPr>
        <w:t>：</w:t>
      </w:r>
    </w:p>
    <w:p w14:paraId="3A1F201C">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我公司</w:t>
      </w:r>
      <w:r>
        <w:rPr>
          <w:rFonts w:hint="eastAsia" w:ascii="仿宋" w:hAnsi="仿宋" w:eastAsia="仿宋" w:cs="仿宋"/>
          <w:color w:val="auto"/>
          <w:sz w:val="24"/>
          <w:highlight w:val="none"/>
          <w:u w:val="single"/>
        </w:rPr>
        <w:t xml:space="preserve">       （公司名称）      </w:t>
      </w:r>
      <w:r>
        <w:rPr>
          <w:rFonts w:hint="eastAsia" w:ascii="仿宋" w:hAnsi="仿宋" w:eastAsia="仿宋" w:cs="仿宋"/>
          <w:color w:val="auto"/>
          <w:sz w:val="24"/>
          <w:highlight w:val="none"/>
        </w:rPr>
        <w:t>未被列入环保失信黑名单。</w:t>
      </w:r>
    </w:p>
    <w:p w14:paraId="72AD5C25">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若招标人发现我公司存在以上情况，我公司自愿放弃中标资格，招标人可以按照评标委员会提出的中标候选人名单排序依次确定其他中标候选人为中标人、重新招标、拒签或提前终止合同，并向有关建设主管部门上报作进一步处罚；同时我单位自愿接受招标人要求赔偿的相应损失并承担由此带来的一切法律责任。</w:t>
      </w:r>
    </w:p>
    <w:p w14:paraId="300B67F7">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特此承诺！</w:t>
      </w:r>
    </w:p>
    <w:p w14:paraId="1946BEF2">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2C7CAB62">
      <w:pPr>
        <w:spacing w:line="56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（单位电子签章）</w:t>
      </w:r>
    </w:p>
    <w:p w14:paraId="3CCD3DFB">
      <w:pPr>
        <w:autoSpaceDE w:val="0"/>
        <w:autoSpaceDN w:val="0"/>
        <w:adjustRightInd w:val="0"/>
        <w:spacing w:line="560" w:lineRule="exact"/>
        <w:jc w:val="right"/>
        <w:rPr>
          <w:rFonts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（签字或盖章）</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年  月  日</w:t>
      </w:r>
    </w:p>
    <w:p w14:paraId="6A2B50A9">
      <w:pPr>
        <w:autoSpaceDE w:val="0"/>
        <w:autoSpaceDN w:val="0"/>
        <w:spacing w:line="360" w:lineRule="auto"/>
        <w:ind w:firstLine="560" w:firstLineChars="200"/>
        <w:jc w:val="right"/>
        <w:rPr>
          <w:rFonts w:hint="eastAsia" w:ascii="仿宋" w:hAnsi="仿宋" w:eastAsia="仿宋" w:cs="仿宋"/>
          <w:color w:val="auto"/>
          <w:sz w:val="28"/>
          <w:szCs w:val="28"/>
          <w:highlight w:val="none"/>
        </w:rPr>
      </w:pPr>
    </w:p>
    <w:p w14:paraId="125271C0">
      <w:pPr>
        <w:wordWrap w:val="0"/>
        <w:spacing w:line="360" w:lineRule="auto"/>
        <w:ind w:firstLine="560" w:firstLineChars="200"/>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br w:type="page"/>
      </w:r>
    </w:p>
    <w:p w14:paraId="33C03A95">
      <w:pPr>
        <w:autoSpaceDE w:val="0"/>
        <w:autoSpaceDN w:val="0"/>
        <w:spacing w:line="360" w:lineRule="auto"/>
        <w:ind w:firstLine="42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2.关于农民工工资的承诺书</w:t>
      </w:r>
    </w:p>
    <w:p w14:paraId="063B4FA5">
      <w:pPr>
        <w:pStyle w:val="9"/>
        <w:spacing w:after="0" w:line="360" w:lineRule="auto"/>
        <w:ind w:firstLine="480" w:firstLineChars="200"/>
        <w:jc w:val="center"/>
        <w:rPr>
          <w:rFonts w:hint="eastAsia" w:ascii="仿宋" w:hAnsi="仿宋" w:eastAsia="仿宋" w:cs="仿宋"/>
          <w:color w:val="auto"/>
          <w:sz w:val="28"/>
          <w:szCs w:val="28"/>
          <w:highlight w:val="none"/>
        </w:rPr>
      </w:pPr>
      <w:r>
        <w:rPr>
          <w:rFonts w:hint="eastAsia" w:ascii="仿宋" w:hAnsi="仿宋" w:eastAsia="仿宋" w:cs="仿宋"/>
          <w:color w:val="auto"/>
          <w:sz w:val="24"/>
          <w:highlight w:val="none"/>
        </w:rPr>
        <w:t>投标人需承诺遵守《保障农民工工资支付条例》，且未被列入尚在执行期的拖欠农民工工资黑名单；同时，投标人需承诺在本项目实施过程中，不拖欠农民工工资。应根据项目所在地政府相关部门要求设立专用账户，缴纳保证金或保函。</w:t>
      </w:r>
      <w:r>
        <w:rPr>
          <w:rFonts w:hint="eastAsia" w:ascii="仿宋" w:hAnsi="仿宋" w:eastAsia="仿宋" w:cs="仿宋"/>
          <w:b/>
          <w:bCs/>
          <w:color w:val="auto"/>
          <w:sz w:val="24"/>
          <w:highlight w:val="none"/>
        </w:rPr>
        <w:t>（由投标人出具承诺，格式自拟）。</w:t>
      </w:r>
    </w:p>
    <w:p w14:paraId="43BEE6D6">
      <w:pPr>
        <w:pStyle w:val="65"/>
        <w:spacing w:line="360" w:lineRule="auto"/>
        <w:ind w:firstLine="560"/>
        <w:rPr>
          <w:rFonts w:hint="eastAsia" w:ascii="仿宋" w:hAnsi="仿宋" w:eastAsia="仿宋" w:cs="仿宋"/>
          <w:color w:val="auto"/>
          <w:sz w:val="28"/>
          <w:szCs w:val="28"/>
          <w:highlight w:val="none"/>
        </w:rPr>
      </w:pPr>
    </w:p>
    <w:p w14:paraId="5F845026">
      <w:pPr>
        <w:wordWrap w:val="0"/>
        <w:spacing w:line="360" w:lineRule="auto"/>
        <w:rPr>
          <w:rFonts w:hint="eastAsia" w:ascii="仿宋" w:hAnsi="仿宋" w:eastAsia="仿宋" w:cs="仿宋"/>
          <w:color w:val="auto"/>
          <w:kern w:val="0"/>
          <w:sz w:val="28"/>
          <w:szCs w:val="28"/>
          <w:highlight w:val="none"/>
        </w:rPr>
      </w:pPr>
    </w:p>
    <w:p w14:paraId="7478F883">
      <w:pPr>
        <w:wordWrap w:val="0"/>
        <w:spacing w:line="360" w:lineRule="auto"/>
        <w:ind w:firstLine="560" w:firstLineChars="200"/>
        <w:jc w:val="center"/>
        <w:rPr>
          <w:rFonts w:hint="eastAsia" w:ascii="仿宋" w:hAnsi="仿宋" w:eastAsia="仿宋" w:cs="仿宋"/>
          <w:color w:val="auto"/>
          <w:kern w:val="0"/>
          <w:sz w:val="28"/>
          <w:szCs w:val="28"/>
          <w:highlight w:val="none"/>
        </w:rPr>
      </w:pPr>
    </w:p>
    <w:p w14:paraId="05E614A5">
      <w:pPr>
        <w:wordWrap w:val="0"/>
        <w:spacing w:line="360" w:lineRule="auto"/>
        <w:ind w:firstLine="562" w:firstLineChars="200"/>
        <w:jc w:val="center"/>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br w:type="page"/>
      </w:r>
      <w:r>
        <w:rPr>
          <w:rFonts w:hint="eastAsia" w:ascii="仿宋" w:hAnsi="仿宋" w:eastAsia="仿宋" w:cs="仿宋"/>
          <w:b/>
          <w:bCs/>
          <w:color w:val="auto"/>
          <w:kern w:val="0"/>
          <w:sz w:val="28"/>
          <w:szCs w:val="28"/>
          <w:highlight w:val="none"/>
        </w:rPr>
        <w:t>3.全省房屋建筑和市政基础设施工程项目招标投标活动承诺书</w:t>
      </w:r>
    </w:p>
    <w:p w14:paraId="2A82441E">
      <w:pPr>
        <w:pStyle w:val="9"/>
        <w:keepNext w:val="0"/>
        <w:keepLines w:val="0"/>
        <w:pageBreakBefore w:val="0"/>
        <w:widowControl w:val="0"/>
        <w:kinsoku/>
        <w:wordWrap/>
        <w:overflowPunct/>
        <w:topLinePunct w:val="0"/>
        <w:autoSpaceDE/>
        <w:autoSpaceDN/>
        <w:bidi w:val="0"/>
        <w:adjustRightInd/>
        <w:snapToGrid/>
        <w:spacing w:after="0" w:line="60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我单位承诺，在项目招投标活动中，自觉遵守《中华人民共和国招标投标法》、《中华人民共和国招标投标法实施条例》、河南省实施《中华人民共和国招标投标法》办法等招标投标相关法律、法规和制度规定，如有违反，愿承担相关法律责任。</w:t>
      </w:r>
    </w:p>
    <w:p w14:paraId="1005741A">
      <w:pPr>
        <w:pStyle w:val="9"/>
        <w:spacing w:after="0" w:line="560" w:lineRule="exact"/>
        <w:ind w:firstLine="560" w:firstLineChars="200"/>
        <w:jc w:val="left"/>
        <w:rPr>
          <w:rFonts w:hint="eastAsia" w:ascii="仿宋" w:hAnsi="仿宋" w:eastAsia="仿宋" w:cs="仿宋"/>
          <w:color w:val="auto"/>
          <w:sz w:val="28"/>
          <w:szCs w:val="28"/>
          <w:highlight w:val="none"/>
        </w:rPr>
      </w:pPr>
    </w:p>
    <w:p w14:paraId="159826BE">
      <w:pPr>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（单位电子签章）</w:t>
      </w:r>
    </w:p>
    <w:p w14:paraId="7EF77A96">
      <w:pPr>
        <w:autoSpaceDE w:val="0"/>
        <w:autoSpaceDN w:val="0"/>
        <w:adjustRightInd w:val="0"/>
        <w:spacing w:line="360" w:lineRule="exact"/>
        <w:jc w:val="right"/>
        <w:rPr>
          <w:rFonts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（签字或签章）</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年  月  日</w:t>
      </w:r>
    </w:p>
    <w:p w14:paraId="4049FDE1">
      <w:pPr>
        <w:rPr>
          <w:rFonts w:hint="eastAsia"/>
          <w:color w:val="auto"/>
          <w:sz w:val="24"/>
          <w:highlight w:val="none"/>
        </w:rPr>
      </w:pPr>
    </w:p>
    <w:p w14:paraId="77B8B5E7">
      <w:pPr>
        <w:wordWrap w:val="0"/>
        <w:spacing w:line="360" w:lineRule="auto"/>
        <w:ind w:firstLine="562" w:firstLineChars="200"/>
        <w:jc w:val="center"/>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br w:type="page"/>
      </w:r>
      <w:r>
        <w:rPr>
          <w:rFonts w:hint="eastAsia" w:ascii="仿宋" w:hAnsi="仿宋" w:eastAsia="仿宋" w:cs="仿宋"/>
          <w:b/>
          <w:bCs/>
          <w:color w:val="auto"/>
          <w:kern w:val="0"/>
          <w:sz w:val="28"/>
          <w:szCs w:val="28"/>
          <w:highlight w:val="none"/>
        </w:rPr>
        <w:t>4.无行贿承诺</w:t>
      </w:r>
    </w:p>
    <w:p w14:paraId="31037684">
      <w:pPr>
        <w:pStyle w:val="9"/>
        <w:spacing w:after="0" w:line="360" w:lineRule="auto"/>
        <w:ind w:firstLine="420" w:firstLineChars="200"/>
        <w:rPr>
          <w:rFonts w:hint="eastAsia" w:ascii="宋体" w:hAnsi="宋体" w:cs="宋体"/>
          <w:color w:val="auto"/>
          <w:szCs w:val="21"/>
          <w:highlight w:val="none"/>
        </w:rPr>
      </w:pPr>
    </w:p>
    <w:p w14:paraId="3715F2BD">
      <w:pPr>
        <w:pStyle w:val="9"/>
        <w:spacing w:after="0" w:line="560" w:lineRule="exact"/>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致：</w:t>
      </w:r>
      <w:r>
        <w:rPr>
          <w:rFonts w:hint="eastAsia" w:ascii="仿宋" w:hAnsi="仿宋" w:eastAsia="仿宋" w:cs="仿宋"/>
          <w:color w:val="auto"/>
          <w:sz w:val="24"/>
          <w:highlight w:val="none"/>
          <w:u w:val="single"/>
        </w:rPr>
        <w:t>（填写招标人名称）</w:t>
      </w:r>
    </w:p>
    <w:p w14:paraId="3E0C4549">
      <w:pPr>
        <w:pStyle w:val="9"/>
        <w:spacing w:after="0" w:line="560" w:lineRule="exact"/>
        <w:ind w:firstLine="720" w:firstLineChars="3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自</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日以来我公司</w:t>
      </w:r>
      <w:r>
        <w:rPr>
          <w:rFonts w:hint="eastAsia" w:ascii="仿宋" w:hAnsi="仿宋" w:eastAsia="仿宋" w:cs="仿宋"/>
          <w:color w:val="auto"/>
          <w:sz w:val="24"/>
          <w:highlight w:val="none"/>
          <w:u w:val="single"/>
        </w:rPr>
        <w:t xml:space="preserve">  (企业名称） </w:t>
      </w:r>
      <w:r>
        <w:rPr>
          <w:rFonts w:hint="eastAsia" w:ascii="仿宋" w:hAnsi="仿宋" w:eastAsia="仿宋" w:cs="仿宋"/>
          <w:color w:val="auto"/>
          <w:sz w:val="24"/>
          <w:highlight w:val="none"/>
        </w:rPr>
        <w:t>，企业法定代表人姓名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身份证号：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），项目经理姓名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（身份证号：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）无行贿犯罪记录。</w:t>
      </w:r>
    </w:p>
    <w:p w14:paraId="560836EF">
      <w:pPr>
        <w:pStyle w:val="9"/>
        <w:spacing w:after="0" w:line="56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若招标人发现我公司存在以上情况，招标人有权取消我单位投标资格或中标资格、拒签或提前终止合同，并向有关建设主管部门上报作进一步处罚；同时我单位自愿接受招标人要求赔偿的相应损失并承担由此带来的一切法律责任。</w:t>
      </w:r>
    </w:p>
    <w:p w14:paraId="172D1309">
      <w:pPr>
        <w:pStyle w:val="9"/>
        <w:spacing w:after="0" w:line="56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特此承诺。</w:t>
      </w:r>
    </w:p>
    <w:p w14:paraId="073677F4">
      <w:pPr>
        <w:pStyle w:val="59"/>
        <w:numPr>
          <w:ilvl w:val="0"/>
          <w:numId w:val="0"/>
        </w:numPr>
        <w:spacing w:before="120"/>
        <w:ind w:left="420" w:leftChars="200"/>
        <w:rPr>
          <w:rFonts w:hint="eastAsia"/>
          <w:color w:val="auto"/>
          <w:sz w:val="24"/>
          <w:szCs w:val="24"/>
          <w:highlight w:val="none"/>
          <w:lang w:eastAsia="zh-CN"/>
        </w:rPr>
      </w:pPr>
    </w:p>
    <w:p w14:paraId="363764E0">
      <w:pPr>
        <w:rPr>
          <w:rFonts w:hint="eastAsia" w:ascii="仿宋" w:hAnsi="仿宋" w:eastAsia="仿宋" w:cs="仿宋"/>
          <w:color w:val="auto"/>
          <w:sz w:val="24"/>
          <w:highlight w:val="none"/>
        </w:rPr>
      </w:pPr>
    </w:p>
    <w:p w14:paraId="7003E137">
      <w:pP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（单位电子签章）</w:t>
      </w:r>
    </w:p>
    <w:p w14:paraId="4B9B5294">
      <w:pPr>
        <w:autoSpaceDE w:val="0"/>
        <w:autoSpaceDN w:val="0"/>
        <w:adjustRightInd w:val="0"/>
        <w:spacing w:line="360" w:lineRule="exact"/>
        <w:jc w:val="left"/>
        <w:rPr>
          <w:rFonts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（签字或盖章）</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年  月  日</w:t>
      </w:r>
    </w:p>
    <w:p w14:paraId="5D6B2199">
      <w:pPr>
        <w:autoSpaceDE w:val="0"/>
        <w:autoSpaceDN w:val="0"/>
        <w:adjustRightInd w:val="0"/>
        <w:spacing w:line="360" w:lineRule="exact"/>
        <w:jc w:val="left"/>
        <w:rPr>
          <w:rFonts w:ascii="仿宋" w:hAnsi="仿宋" w:eastAsia="仿宋" w:cs="仿宋"/>
          <w:color w:val="auto"/>
          <w:sz w:val="24"/>
          <w:highlight w:val="none"/>
        </w:rPr>
      </w:pPr>
    </w:p>
    <w:p w14:paraId="724BA825">
      <w:pPr>
        <w:wordWrap w:val="0"/>
        <w:spacing w:line="360" w:lineRule="auto"/>
        <w:ind w:firstLine="420" w:firstLineChars="200"/>
        <w:jc w:val="center"/>
        <w:rPr>
          <w:rFonts w:eastAsia="仿宋"/>
          <w:color w:val="auto"/>
          <w:highlight w:val="none"/>
        </w:rPr>
      </w:pPr>
      <w:r>
        <w:rPr>
          <w:rFonts w:hint="eastAsia" w:ascii="宋体" w:hAnsi="宋体" w:cs="宋体"/>
          <w:color w:val="auto"/>
          <w:szCs w:val="28"/>
          <w:highlight w:val="none"/>
        </w:rPr>
        <w:br w:type="page"/>
      </w:r>
      <w:bookmarkStart w:id="2058" w:name="_Toc7572_WPSOffice_Level1"/>
      <w:bookmarkStart w:id="2059" w:name="_Toc10664_WPSOffice_Level2"/>
      <w:bookmarkStart w:id="2060" w:name="_Toc9391_WPSOffice_Level1"/>
      <w:bookmarkStart w:id="2061" w:name="_Toc2089_WPSOffice_Level1"/>
      <w:bookmarkStart w:id="2062" w:name="_Toc30108_WPSOffice_Level1"/>
      <w:bookmarkStart w:id="2063" w:name="_Toc421905994"/>
      <w:bookmarkStart w:id="2064" w:name="_Toc511665300"/>
      <w:bookmarkStart w:id="2065" w:name="_Toc23782_WPSOffice_Level2"/>
      <w:bookmarkStart w:id="2066" w:name="_Toc7881_WPSOffice_Level2"/>
      <w:bookmarkStart w:id="2067" w:name="_Toc5672_WPSOffice_Level1"/>
      <w:r>
        <w:rPr>
          <w:rFonts w:hint="eastAsia" w:ascii="仿宋" w:hAnsi="仿宋" w:eastAsia="仿宋" w:cs="仿宋"/>
          <w:b/>
          <w:bCs/>
          <w:color w:val="auto"/>
          <w:kern w:val="0"/>
          <w:sz w:val="28"/>
          <w:szCs w:val="28"/>
          <w:highlight w:val="none"/>
          <w:lang w:val="en-US" w:eastAsia="zh-CN"/>
        </w:rPr>
        <w:t>5.</w:t>
      </w:r>
      <w:r>
        <w:rPr>
          <w:rFonts w:hint="eastAsia" w:ascii="仿宋" w:hAnsi="仿宋" w:eastAsia="仿宋" w:cs="仿宋"/>
          <w:b/>
          <w:bCs/>
          <w:color w:val="auto"/>
          <w:kern w:val="0"/>
          <w:sz w:val="28"/>
          <w:szCs w:val="28"/>
          <w:highlight w:val="none"/>
        </w:rPr>
        <w:t>服务承诺</w:t>
      </w:r>
      <w:bookmarkEnd w:id="2058"/>
      <w:bookmarkEnd w:id="2059"/>
      <w:bookmarkEnd w:id="2060"/>
      <w:bookmarkEnd w:id="2061"/>
      <w:bookmarkEnd w:id="2062"/>
      <w:bookmarkEnd w:id="2063"/>
      <w:bookmarkEnd w:id="2064"/>
      <w:bookmarkEnd w:id="2065"/>
      <w:bookmarkEnd w:id="2066"/>
      <w:bookmarkEnd w:id="2067"/>
      <w:r>
        <w:rPr>
          <w:rFonts w:hint="eastAsia" w:ascii="仿宋" w:hAnsi="仿宋" w:eastAsia="仿宋" w:cs="仿宋"/>
          <w:b/>
          <w:bCs/>
          <w:color w:val="auto"/>
          <w:kern w:val="0"/>
          <w:sz w:val="28"/>
          <w:szCs w:val="28"/>
          <w:highlight w:val="none"/>
        </w:rPr>
        <w:t>及其他资料</w:t>
      </w:r>
    </w:p>
    <w:p w14:paraId="1892CA5A">
      <w:pPr>
        <w:spacing w:before="120" w:beforeLines="50" w:after="240" w:afterLines="100" w:line="440" w:lineRule="exact"/>
        <w:ind w:firstLine="480" w:firstLineChars="200"/>
        <w:jc w:val="left"/>
        <w:rPr>
          <w:rFonts w:eastAsia="黑体"/>
          <w:color w:val="auto"/>
          <w:sz w:val="24"/>
          <w:highlight w:val="none"/>
        </w:rPr>
      </w:pPr>
    </w:p>
    <w:p w14:paraId="01F70F9D">
      <w:pPr>
        <w:rPr>
          <w:color w:val="auto"/>
          <w:highlight w:val="none"/>
        </w:rPr>
      </w:pPr>
    </w:p>
    <w:sectPr>
      <w:headerReference r:id="rId13" w:type="default"/>
      <w:footerReference r:id="rId14" w:type="default"/>
      <w:pgSz w:w="11906" w:h="16838"/>
      <w:pgMar w:top="1588" w:right="1701" w:bottom="1418" w:left="1701" w:header="851" w:footer="851"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77A46B3-6228-4EBD-AD3C-9259D76F0AD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embedRegular r:id="rId2" w:fontKey="{083DABA5-E161-4FEA-8349-5B7D95965500}"/>
  </w:font>
  <w:font w:name="??">
    <w:altName w:val="Times New Roman"/>
    <w:panose1 w:val="00000000000000000000"/>
    <w:charset w:val="00"/>
    <w:family w:val="auto"/>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embedRegular r:id="rId3" w:fontKey="{A57E415A-2A98-4CE8-80CC-5CF21FAC445B}"/>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embedRegular r:id="rId4" w:fontKey="{782D6F87-7BB9-499E-A6E8-8458A9A0EB05}"/>
  </w:font>
  <w:font w:name="Wingdings 2">
    <w:altName w:val="Wingdings"/>
    <w:panose1 w:val="05020102010507070707"/>
    <w:charset w:val="02"/>
    <w:family w:val="auto"/>
    <w:pitch w:val="default"/>
    <w:sig w:usb0="00000000" w:usb1="00000000" w:usb2="00000000" w:usb3="00000000" w:csb0="80000000" w:csb1="00000000"/>
    <w:embedRegular r:id="rId5" w:fontKey="{E56A0C74-2B40-4F88-832D-A19133A7F643}"/>
  </w:font>
  <w:font w:name="楷体_GB2312">
    <w:panose1 w:val="02010609030101010101"/>
    <w:charset w:val="86"/>
    <w:family w:val="modern"/>
    <w:pitch w:val="default"/>
    <w:sig w:usb0="00000001" w:usb1="080E0000" w:usb2="00000000" w:usb3="00000000" w:csb0="00040000" w:csb1="00000000"/>
    <w:embedRegular r:id="rId6" w:fontKey="{B893F556-7D8D-4C48-B4A3-98118EDA77DB}"/>
  </w:font>
  <w:font w:name="华文中宋">
    <w:altName w:val="宋体"/>
    <w:panose1 w:val="02010600040101010101"/>
    <w:charset w:val="86"/>
    <w:family w:val="auto"/>
    <w:pitch w:val="default"/>
    <w:sig w:usb0="00000000" w:usb1="00000000" w:usb2="00000000" w:usb3="00000000" w:csb0="0004009F" w:csb1="DFD70000"/>
    <w:embedRegular r:id="rId7" w:fontKey="{4144200B-0D64-4DE7-8F7A-1E5379C68294}"/>
  </w:font>
  <w:font w:name="方正小标宋简体">
    <w:panose1 w:val="03000509000000000000"/>
    <w:charset w:val="86"/>
    <w:family w:val="script"/>
    <w:pitch w:val="default"/>
    <w:sig w:usb0="00000001" w:usb1="080E0000" w:usb2="00000000" w:usb3="00000000" w:csb0="00040000" w:csb1="00000000"/>
    <w:embedRegular r:id="rId8" w:fontKey="{4D3D204F-E6F2-4FCE-BAD7-AE14344A953B}"/>
  </w:font>
  <w:font w:name="楷体">
    <w:panose1 w:val="02010609060101010101"/>
    <w:charset w:val="86"/>
    <w:family w:val="modern"/>
    <w:pitch w:val="default"/>
    <w:sig w:usb0="800002BF" w:usb1="38CF7CFA" w:usb2="00000016" w:usb3="00000000" w:csb0="00040001" w:csb1="00000000"/>
    <w:embedRegular r:id="rId9" w:fontKey="{5EF822D0-8D8C-430C-8AAA-7481C5B40E44}"/>
  </w:font>
  <w:font w:name="Kingsoft UE">
    <w:panose1 w:val="02000100010000000000"/>
    <w:charset w:val="00"/>
    <w:family w:val="auto"/>
    <w:pitch w:val="default"/>
    <w:sig w:usb0="00000001" w:usb1="00004000" w:usb2="00000000" w:usb3="00000000" w:csb0="0000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5601E">
    <w:pPr>
      <w:pStyle w:val="16"/>
      <w:tabs>
        <w:tab w:val="center" w:pos="4410"/>
        <w:tab w:val="clear" w:pos="4153"/>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48440">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EE3738">
                          <w:pPr>
                            <w:pStyle w:val="1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7EE3738">
                    <w:pPr>
                      <w:pStyle w:val="1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31E3F">
    <w:pPr>
      <w:pStyle w:val="16"/>
      <w:tabs>
        <w:tab w:val="center" w:pos="4410"/>
        <w:tab w:val="clear" w:pos="4153"/>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53A00D">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A53A00D">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4AFB6">
    <w:pPr>
      <w:pStyle w:val="16"/>
      <w:rPr>
        <w:sz w:val="24"/>
        <w:szCs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C40F2E">
                          <w:pPr>
                            <w:pStyle w:val="16"/>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BC40F2E">
                    <w:pPr>
                      <w:pStyle w:val="16"/>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43B34">
    <w:pPr>
      <w:pStyle w:val="16"/>
      <w:tabs>
        <w:tab w:val="center" w:pos="4410"/>
        <w:tab w:val="clear" w:pos="4153"/>
      </w:tabs>
    </w:pPr>
    <w:r>
      <w:rPr>
        <w:sz w:val="24"/>
      </w:rPr>
      <mc:AlternateContent>
        <mc:Choice Requires="wps">
          <w:drawing>
            <wp:anchor distT="0" distB="0" distL="114300" distR="114300" simplePos="0" relativeHeight="251659264" behindDoc="0" locked="0" layoutInCell="1" allowOverlap="1">
              <wp:simplePos x="0" y="0"/>
              <wp:positionH relativeFrom="margin">
                <wp:posOffset>28575</wp:posOffset>
              </wp:positionH>
              <wp:positionV relativeFrom="paragraph">
                <wp:posOffset>-72390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A2B2325">
                          <w:pPr>
                            <w:pStyle w:val="16"/>
                            <w:rPr>
                              <w:rStyle w:val="32"/>
                              <w:rFonts w:eastAsia="仿宋_GB2312"/>
                              <w:sz w:val="24"/>
                              <w:szCs w:val="24"/>
                            </w:rPr>
                          </w:pPr>
                          <w:r>
                            <w:rPr>
                              <w:rStyle w:val="32"/>
                              <w:rFonts w:eastAsia="仿宋_GB2312"/>
                              <w:sz w:val="24"/>
                              <w:szCs w:val="24"/>
                            </w:rPr>
                            <w:t xml:space="preserve">— </w:t>
                          </w:r>
                          <w:r>
                            <w:rPr>
                              <w:rStyle w:val="32"/>
                              <w:rFonts w:eastAsia="仿宋_GB2312"/>
                              <w:sz w:val="24"/>
                              <w:szCs w:val="24"/>
                            </w:rPr>
                            <w:fldChar w:fldCharType="begin"/>
                          </w:r>
                          <w:r>
                            <w:rPr>
                              <w:rStyle w:val="32"/>
                              <w:rFonts w:eastAsia="仿宋_GB2312"/>
                              <w:sz w:val="24"/>
                              <w:szCs w:val="24"/>
                            </w:rPr>
                            <w:instrText xml:space="preserve">PAGE  </w:instrText>
                          </w:r>
                          <w:r>
                            <w:rPr>
                              <w:rStyle w:val="32"/>
                              <w:rFonts w:eastAsia="仿宋_GB2312"/>
                              <w:sz w:val="24"/>
                              <w:szCs w:val="24"/>
                            </w:rPr>
                            <w:fldChar w:fldCharType="separate"/>
                          </w:r>
                          <w:r>
                            <w:rPr>
                              <w:rStyle w:val="32"/>
                              <w:rFonts w:eastAsia="仿宋_GB2312"/>
                              <w:sz w:val="24"/>
                              <w:szCs w:val="24"/>
                            </w:rPr>
                            <w:t>106</w:t>
                          </w:r>
                          <w:r>
                            <w:rPr>
                              <w:rStyle w:val="32"/>
                              <w:rFonts w:eastAsia="仿宋_GB2312"/>
                              <w:sz w:val="24"/>
                              <w:szCs w:val="24"/>
                            </w:rPr>
                            <w:fldChar w:fldCharType="end"/>
                          </w:r>
                          <w:r>
                            <w:rPr>
                              <w:rStyle w:val="32"/>
                              <w:rFonts w:eastAsia="仿宋_GB2312"/>
                              <w:sz w:val="24"/>
                              <w:szCs w:val="24"/>
                            </w:rPr>
                            <w:t xml:space="preserve"> —</w:t>
                          </w:r>
                        </w:p>
                      </w:txbxContent>
                    </wps:txbx>
                    <wps:bodyPr wrap="none" lIns="0" tIns="0" rIns="0" bIns="0" upright="0">
                      <a:spAutoFit/>
                    </wps:bodyPr>
                  </wps:wsp>
                </a:graphicData>
              </a:graphic>
            </wp:anchor>
          </w:drawing>
        </mc:Choice>
        <mc:Fallback>
          <w:pict>
            <v:shape id="文本框 11" o:spid="_x0000_s1026" o:spt="202" type="#_x0000_t202" style="position:absolute;left:0pt;margin-left:2.25pt;margin-top:-5.7pt;height:144pt;width:144pt;mso-position-horizontal-relative:margin;mso-wrap-style:none;z-index:251659264;mso-width-relative:page;mso-height-relative:page;" filled="f" stroked="f" coordsize="21600,21600" o:gfxdata="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Jfuds1gAAAAkBAAAPAAAAAAAAAAEAIAAAACIAAABkcnMvZG93&#10;bnJldi54bWxQSwECFAAUAAAACACHTuJA+BxGjMkBAACaAwAADgAAAAAAAAABACAAAAAlAQAAZHJz&#10;L2Uyb0RvYy54bWxQSwUGAAAAAAYABgBZAQAAYAUAAAAA&#10;">
              <v:fill on="f" focussize="0,0"/>
              <v:stroke on="f"/>
              <v:imagedata o:title=""/>
              <o:lock v:ext="edit" aspectratio="f"/>
              <v:textbox inset="0mm,0mm,0mm,0mm" style="mso-fit-shape-to-text:t;">
                <w:txbxContent>
                  <w:p w14:paraId="1A2B2325">
                    <w:pPr>
                      <w:pStyle w:val="16"/>
                      <w:rPr>
                        <w:rStyle w:val="32"/>
                        <w:rFonts w:eastAsia="仿宋_GB2312"/>
                        <w:sz w:val="24"/>
                        <w:szCs w:val="24"/>
                      </w:rPr>
                    </w:pPr>
                    <w:r>
                      <w:rPr>
                        <w:rStyle w:val="32"/>
                        <w:rFonts w:eastAsia="仿宋_GB2312"/>
                        <w:sz w:val="24"/>
                        <w:szCs w:val="24"/>
                      </w:rPr>
                      <w:t xml:space="preserve">— </w:t>
                    </w:r>
                    <w:r>
                      <w:rPr>
                        <w:rStyle w:val="32"/>
                        <w:rFonts w:eastAsia="仿宋_GB2312"/>
                        <w:sz w:val="24"/>
                        <w:szCs w:val="24"/>
                      </w:rPr>
                      <w:fldChar w:fldCharType="begin"/>
                    </w:r>
                    <w:r>
                      <w:rPr>
                        <w:rStyle w:val="32"/>
                        <w:rFonts w:eastAsia="仿宋_GB2312"/>
                        <w:sz w:val="24"/>
                        <w:szCs w:val="24"/>
                      </w:rPr>
                      <w:instrText xml:space="preserve">PAGE  </w:instrText>
                    </w:r>
                    <w:r>
                      <w:rPr>
                        <w:rStyle w:val="32"/>
                        <w:rFonts w:eastAsia="仿宋_GB2312"/>
                        <w:sz w:val="24"/>
                        <w:szCs w:val="24"/>
                      </w:rPr>
                      <w:fldChar w:fldCharType="separate"/>
                    </w:r>
                    <w:r>
                      <w:rPr>
                        <w:rStyle w:val="32"/>
                        <w:rFonts w:eastAsia="仿宋_GB2312"/>
                        <w:sz w:val="24"/>
                        <w:szCs w:val="24"/>
                      </w:rPr>
                      <w:t>106</w:t>
                    </w:r>
                    <w:r>
                      <w:rPr>
                        <w:rStyle w:val="32"/>
                        <w:rFonts w:eastAsia="仿宋_GB2312"/>
                        <w:sz w:val="24"/>
                        <w:szCs w:val="24"/>
                      </w:rPr>
                      <w:fldChar w:fldCharType="end"/>
                    </w:r>
                    <w:r>
                      <w:rPr>
                        <w:rStyle w:val="32"/>
                        <w:rFonts w:eastAsia="仿宋_GB2312"/>
                        <w:sz w:val="24"/>
                        <w:szCs w:val="24"/>
                      </w:rP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89ECC">
    <w:pPr>
      <w:spacing w:line="260" w:lineRule="exact"/>
      <w:ind w:left="4464"/>
      <w:rPr>
        <w:rFonts w:ascii="宋体" w:hAnsi="宋体" w:eastAsia="宋体" w:cs="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1C79C0">
                          <w:pPr>
                            <w:pStyle w:val="16"/>
                          </w:pPr>
                          <w:r>
                            <w:fldChar w:fldCharType="begin"/>
                          </w:r>
                          <w:r>
                            <w:instrText xml:space="preserve"> PAGE  \* MERGEFORMAT </w:instrText>
                          </w:r>
                          <w:r>
                            <w:fldChar w:fldCharType="separate"/>
                          </w:r>
                          <w:r>
                            <w:t>114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B1C79C0">
                    <w:pPr>
                      <w:pStyle w:val="16"/>
                    </w:pPr>
                    <w:r>
                      <w:fldChar w:fldCharType="begin"/>
                    </w:r>
                    <w:r>
                      <w:instrText xml:space="preserve"> PAGE  \* MERGEFORMAT </w:instrText>
                    </w:r>
                    <w:r>
                      <w:fldChar w:fldCharType="separate"/>
                    </w:r>
                    <w:r>
                      <w:t>114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260C2">
    <w:pPr>
      <w:pStyle w:val="16"/>
      <w:rPr>
        <w:rFonts w:hint="eastAsi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791613">
                          <w:pPr>
                            <w:pStyle w:val="16"/>
                          </w:pPr>
                          <w:r>
                            <w:fldChar w:fldCharType="begin"/>
                          </w:r>
                          <w:r>
                            <w:instrText xml:space="preserve"> PAGE  \* MERGEFORMAT </w:instrText>
                          </w:r>
                          <w:r>
                            <w:fldChar w:fldCharType="separate"/>
                          </w:r>
                          <w:r>
                            <w:t>131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D791613">
                    <w:pPr>
                      <w:pStyle w:val="16"/>
                    </w:pPr>
                    <w:r>
                      <w:fldChar w:fldCharType="begin"/>
                    </w:r>
                    <w:r>
                      <w:instrText xml:space="preserve"> PAGE  \* MERGEFORMAT </w:instrText>
                    </w:r>
                    <w:r>
                      <w:fldChar w:fldCharType="separate"/>
                    </w:r>
                    <w:r>
                      <w:t>131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202BCC">
    <w:pPr>
      <w:pStyle w:val="16"/>
      <w:rPr>
        <w:rFonts w:hint="eastAsia"/>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C6D03D">
                          <w:pPr>
                            <w:pStyle w:val="16"/>
                          </w:pPr>
                          <w:r>
                            <w:fldChar w:fldCharType="begin"/>
                          </w:r>
                          <w:r>
                            <w:instrText xml:space="preserve"> PAGE  \* MERGEFORMAT </w:instrText>
                          </w:r>
                          <w:r>
                            <w:fldChar w:fldCharType="separate"/>
                          </w:r>
                          <w:r>
                            <w:t>145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5C6D03D">
                    <w:pPr>
                      <w:pStyle w:val="16"/>
                    </w:pPr>
                    <w:r>
                      <w:fldChar w:fldCharType="begin"/>
                    </w:r>
                    <w:r>
                      <w:instrText xml:space="preserve"> PAGE  \* MERGEFORMAT </w:instrText>
                    </w:r>
                    <w:r>
                      <w:fldChar w:fldCharType="separate"/>
                    </w:r>
                    <w:r>
                      <w:t>145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93B12">
    <w:pPr>
      <w:pStyle w:val="18"/>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98615">
    <w:pPr>
      <w:pStyle w:val="1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309B95">
    <w:pPr>
      <w:pStyle w:val="18"/>
      <w:pBdr>
        <w:bottom w:val="none" w:color="auto" w:sz="0" w:space="1"/>
      </w:pBdr>
      <w:ind w:firstLine="360" w:firstLineChars="200"/>
      <w:jc w:val="left"/>
      <w:rPr>
        <w:rFonts w:hint="eastAsia" w:eastAsia="楷体"/>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21568">
    <w:pPr>
      <w:pStyle w:val="18"/>
      <w:pBdr>
        <w:bottom w:val="none" w:color="auto" w:sz="0" w:space="1"/>
      </w:pBdr>
      <w:ind w:firstLine="360" w:firstLineChars="200"/>
      <w:jc w:val="left"/>
      <w:rPr>
        <w:rFonts w:hint="eastAsia" w:eastAsia="楷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DE20CF"/>
    <w:multiLevelType w:val="singleLevel"/>
    <w:tmpl w:val="82DE20CF"/>
    <w:lvl w:ilvl="0" w:tentative="0">
      <w:start w:val="1"/>
      <w:numFmt w:val="decimal"/>
      <w:suff w:val="nothing"/>
      <w:lvlText w:val="（%1）"/>
      <w:lvlJc w:val="left"/>
    </w:lvl>
  </w:abstractNum>
  <w:abstractNum w:abstractNumId="1">
    <w:nsid w:val="960427C1"/>
    <w:multiLevelType w:val="singleLevel"/>
    <w:tmpl w:val="960427C1"/>
    <w:lvl w:ilvl="0" w:tentative="0">
      <w:start w:val="3"/>
      <w:numFmt w:val="decimal"/>
      <w:suff w:val="nothing"/>
      <w:lvlText w:val="（%1）"/>
      <w:lvlJc w:val="left"/>
      <w:rPr>
        <w:rFonts w:hint="default"/>
        <w:b/>
        <w:bCs/>
      </w:rPr>
    </w:lvl>
  </w:abstractNum>
  <w:abstractNum w:abstractNumId="2">
    <w:nsid w:val="9F32A31E"/>
    <w:multiLevelType w:val="singleLevel"/>
    <w:tmpl w:val="9F32A31E"/>
    <w:lvl w:ilvl="0" w:tentative="0">
      <w:start w:val="8"/>
      <w:numFmt w:val="chineseCounting"/>
      <w:suff w:val="space"/>
      <w:lvlText w:val="第%1章"/>
      <w:lvlJc w:val="left"/>
      <w:rPr>
        <w:rFonts w:hint="eastAsia"/>
      </w:rPr>
    </w:lvl>
  </w:abstractNum>
  <w:abstractNum w:abstractNumId="3">
    <w:nsid w:val="BCBC33CC"/>
    <w:multiLevelType w:val="singleLevel"/>
    <w:tmpl w:val="BCBC33CC"/>
    <w:lvl w:ilvl="0" w:tentative="0">
      <w:start w:val="1"/>
      <w:numFmt w:val="decimal"/>
      <w:suff w:val="nothing"/>
      <w:lvlText w:val="(%1)"/>
      <w:lvlJc w:val="left"/>
      <w:pPr>
        <w:ind w:left="425" w:hanging="425"/>
      </w:pPr>
      <w:rPr>
        <w:rFonts w:hint="default" w:ascii="宋体" w:hAnsi="宋体" w:eastAsia="宋体" w:cs="宋体"/>
        <w:sz w:val="21"/>
        <w:szCs w:val="21"/>
      </w:rPr>
    </w:lvl>
  </w:abstractNum>
  <w:abstractNum w:abstractNumId="4">
    <w:nsid w:val="BF924881"/>
    <w:multiLevelType w:val="singleLevel"/>
    <w:tmpl w:val="BF924881"/>
    <w:lvl w:ilvl="0" w:tentative="0">
      <w:start w:val="1"/>
      <w:numFmt w:val="decimal"/>
      <w:lvlText w:val="(%1)"/>
      <w:lvlJc w:val="left"/>
      <w:pPr>
        <w:ind w:left="425" w:hanging="425"/>
      </w:pPr>
      <w:rPr>
        <w:rFonts w:hint="default"/>
      </w:rPr>
    </w:lvl>
  </w:abstractNum>
  <w:abstractNum w:abstractNumId="5">
    <w:nsid w:val="E5F68967"/>
    <w:multiLevelType w:val="singleLevel"/>
    <w:tmpl w:val="E5F68967"/>
    <w:lvl w:ilvl="0" w:tentative="0">
      <w:start w:val="8"/>
      <w:numFmt w:val="decimal"/>
      <w:suff w:val="space"/>
      <w:lvlText w:val="%1."/>
      <w:lvlJc w:val="left"/>
    </w:lvl>
  </w:abstractNum>
  <w:abstractNum w:abstractNumId="6">
    <w:nsid w:val="E7241A7B"/>
    <w:multiLevelType w:val="singleLevel"/>
    <w:tmpl w:val="E7241A7B"/>
    <w:lvl w:ilvl="0" w:tentative="0">
      <w:start w:val="1"/>
      <w:numFmt w:val="decimal"/>
      <w:suff w:val="nothing"/>
      <w:lvlText w:val="%1、"/>
      <w:lvlJc w:val="left"/>
    </w:lvl>
  </w:abstractNum>
  <w:abstractNum w:abstractNumId="7">
    <w:nsid w:val="00000004"/>
    <w:multiLevelType w:val="multilevel"/>
    <w:tmpl w:val="00000004"/>
    <w:lvl w:ilvl="0" w:tentative="0">
      <w:start w:val="1"/>
      <w:numFmt w:val="decimal"/>
      <w:pStyle w:val="89"/>
      <w:lvlText w:val="%1."/>
      <w:lvlJc w:val="left"/>
      <w:pPr>
        <w:tabs>
          <w:tab w:val="left" w:pos="425"/>
        </w:tabs>
        <w:ind w:left="425" w:hanging="425"/>
      </w:pPr>
      <w:rPr>
        <w:rFonts w:hint="eastAsia"/>
        <w:b/>
        <w:i w:val="0"/>
      </w:rPr>
    </w:lvl>
    <w:lvl w:ilvl="1" w:tentative="0">
      <w:start w:val="1"/>
      <w:numFmt w:val="decimal"/>
      <w:lvlText w:val="%1.%2."/>
      <w:lvlJc w:val="left"/>
      <w:pPr>
        <w:tabs>
          <w:tab w:val="left" w:pos="170"/>
        </w:tabs>
        <w:ind w:left="170" w:hanging="170"/>
      </w:pPr>
      <w:rPr>
        <w:rFonts w:hint="eastAsia"/>
      </w:rPr>
    </w:lvl>
    <w:lvl w:ilvl="2" w:tentative="0">
      <w:start w:val="1"/>
      <w:numFmt w:val="decimal"/>
      <w:lvlText w:val="%1.%2.%3."/>
      <w:lvlJc w:val="left"/>
      <w:pPr>
        <w:tabs>
          <w:tab w:val="left" w:pos="340"/>
        </w:tabs>
        <w:ind w:left="760" w:hanging="170"/>
      </w:pPr>
      <w:rPr>
        <w:rFonts w:hint="eastAsia"/>
      </w:rPr>
    </w:lvl>
    <w:lvl w:ilvl="3" w:tentative="0">
      <w:start w:val="1"/>
      <w:numFmt w:val="decimal"/>
      <w:lvlText w:val="%1.%2.%3.%4."/>
      <w:lvlJc w:val="left"/>
      <w:pPr>
        <w:tabs>
          <w:tab w:val="left" w:pos="510"/>
        </w:tabs>
        <w:ind w:left="510" w:hanging="170"/>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0053208E"/>
    <w:multiLevelType w:val="multilevel"/>
    <w:tmpl w:val="0053208E"/>
    <w:lvl w:ilvl="0" w:tentative="0">
      <w:start w:val="1"/>
      <w:numFmt w:val="chineseCountingThousand"/>
      <w:pStyle w:val="59"/>
      <w:lvlText w:val="第%1章　"/>
      <w:lvlJc w:val="left"/>
      <w:pPr>
        <w:tabs>
          <w:tab w:val="left" w:pos="1440"/>
        </w:tabs>
        <w:ind w:left="720" w:hanging="720"/>
      </w:pPr>
      <w:rPr>
        <w:rFonts w:hint="eastAsia"/>
        <w:sz w:val="32"/>
      </w:rPr>
    </w:lvl>
    <w:lvl w:ilvl="1" w:tentative="0">
      <w:start w:val="1"/>
      <w:numFmt w:val="lowerRoman"/>
      <w:lvlText w:val="(%2)"/>
      <w:lvlJc w:val="left"/>
      <w:pPr>
        <w:tabs>
          <w:tab w:val="left" w:pos="861"/>
        </w:tabs>
        <w:ind w:left="861" w:hanging="720"/>
      </w:pPr>
      <w:rPr>
        <w:rFonts w:hint="eastAsia"/>
      </w:rPr>
    </w:lvl>
    <w:lvl w:ilvl="2" w:tentative="0">
      <w:start w:val="1"/>
      <w:numFmt w:val="lowerLetter"/>
      <w:lvlText w:val="(%3)"/>
      <w:lvlJc w:val="left"/>
      <w:pPr>
        <w:tabs>
          <w:tab w:val="left" w:pos="1335"/>
        </w:tabs>
        <w:ind w:left="1335" w:hanging="495"/>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29327715"/>
    <w:multiLevelType w:val="singleLevel"/>
    <w:tmpl w:val="29327715"/>
    <w:lvl w:ilvl="0" w:tentative="0">
      <w:start w:val="1"/>
      <w:numFmt w:val="chineseCounting"/>
      <w:suff w:val="nothing"/>
      <w:lvlText w:val="（%1）"/>
      <w:lvlJc w:val="left"/>
      <w:pPr>
        <w:ind w:left="0" w:firstLine="420"/>
      </w:pPr>
      <w:rPr>
        <w:rFonts w:hint="eastAsia" w:ascii="仿宋" w:hAnsi="仿宋" w:eastAsia="仿宋" w:cs="仿宋"/>
        <w:b w:val="0"/>
        <w:bCs w:val="0"/>
      </w:rPr>
    </w:lvl>
  </w:abstractNum>
  <w:abstractNum w:abstractNumId="10">
    <w:nsid w:val="2BF7E954"/>
    <w:multiLevelType w:val="singleLevel"/>
    <w:tmpl w:val="2BF7E954"/>
    <w:lvl w:ilvl="0" w:tentative="0">
      <w:start w:val="1"/>
      <w:numFmt w:val="chineseCounting"/>
      <w:suff w:val="nothing"/>
      <w:lvlText w:val="%1、"/>
      <w:lvlJc w:val="left"/>
      <w:pPr>
        <w:ind w:left="0" w:firstLine="420"/>
      </w:pPr>
      <w:rPr>
        <w:rFonts w:hint="eastAsia" w:ascii="宋体" w:hAnsi="宋体" w:eastAsia="宋体" w:cs="宋体"/>
        <w:sz w:val="21"/>
        <w:szCs w:val="21"/>
      </w:rPr>
    </w:lvl>
  </w:abstractNum>
  <w:abstractNum w:abstractNumId="11">
    <w:nsid w:val="2E5A10B3"/>
    <w:multiLevelType w:val="singleLevel"/>
    <w:tmpl w:val="2E5A10B3"/>
    <w:lvl w:ilvl="0" w:tentative="0">
      <w:start w:val="2"/>
      <w:numFmt w:val="decimal"/>
      <w:suff w:val="nothing"/>
      <w:lvlText w:val="（%1）"/>
      <w:lvlJc w:val="left"/>
    </w:lvl>
  </w:abstractNum>
  <w:abstractNum w:abstractNumId="12">
    <w:nsid w:val="2FB3DF99"/>
    <w:multiLevelType w:val="singleLevel"/>
    <w:tmpl w:val="2FB3DF99"/>
    <w:lvl w:ilvl="0" w:tentative="0">
      <w:start w:val="1"/>
      <w:numFmt w:val="decimal"/>
      <w:suff w:val="space"/>
      <w:lvlText w:val="(%1)"/>
      <w:lvlJc w:val="left"/>
    </w:lvl>
  </w:abstractNum>
  <w:abstractNum w:abstractNumId="13">
    <w:nsid w:val="3844704A"/>
    <w:multiLevelType w:val="singleLevel"/>
    <w:tmpl w:val="3844704A"/>
    <w:lvl w:ilvl="0" w:tentative="0">
      <w:start w:val="1"/>
      <w:numFmt w:val="decimal"/>
      <w:isLgl/>
      <w:suff w:val="nothing"/>
      <w:lvlText w:val="(%1)"/>
      <w:lvlJc w:val="left"/>
      <w:pPr>
        <w:ind w:left="0" w:firstLine="0"/>
      </w:pPr>
      <w:rPr>
        <w:rFonts w:hint="default" w:ascii="宋体" w:hAnsi="宋体" w:eastAsia="宋体" w:cs="宋体"/>
      </w:rPr>
    </w:lvl>
  </w:abstractNum>
  <w:abstractNum w:abstractNumId="14">
    <w:nsid w:val="477CA7E0"/>
    <w:multiLevelType w:val="singleLevel"/>
    <w:tmpl w:val="477CA7E0"/>
    <w:lvl w:ilvl="0" w:tentative="0">
      <w:start w:val="10"/>
      <w:numFmt w:val="decimal"/>
      <w:suff w:val="nothing"/>
      <w:lvlText w:val="（%1）"/>
      <w:lvlJc w:val="left"/>
    </w:lvl>
  </w:abstractNum>
  <w:abstractNum w:abstractNumId="15">
    <w:nsid w:val="51803941"/>
    <w:multiLevelType w:val="singleLevel"/>
    <w:tmpl w:val="51803941"/>
    <w:lvl w:ilvl="0" w:tentative="0">
      <w:start w:val="7"/>
      <w:numFmt w:val="chineseCounting"/>
      <w:suff w:val="space"/>
      <w:lvlText w:val="第%1章"/>
      <w:lvlJc w:val="left"/>
      <w:rPr>
        <w:rFonts w:hint="eastAsia"/>
      </w:rPr>
    </w:lvl>
  </w:abstractNum>
  <w:abstractNum w:abstractNumId="16">
    <w:nsid w:val="54A0A32C"/>
    <w:multiLevelType w:val="singleLevel"/>
    <w:tmpl w:val="54A0A32C"/>
    <w:lvl w:ilvl="0" w:tentative="0">
      <w:start w:val="2"/>
      <w:numFmt w:val="chineseCounting"/>
      <w:suff w:val="nothing"/>
      <w:lvlText w:val="%1、"/>
      <w:lvlJc w:val="left"/>
      <w:pPr>
        <w:tabs>
          <w:tab w:val="left" w:pos="0"/>
        </w:tabs>
        <w:ind w:left="0" w:firstLine="420"/>
      </w:pPr>
      <w:rPr>
        <w:rFonts w:hint="eastAsia"/>
      </w:rPr>
    </w:lvl>
  </w:abstractNum>
  <w:num w:numId="1">
    <w:abstractNumId w:val="8"/>
  </w:num>
  <w:num w:numId="2">
    <w:abstractNumId w:val="7"/>
  </w:num>
  <w:num w:numId="3">
    <w:abstractNumId w:val="11"/>
  </w:num>
  <w:num w:numId="4">
    <w:abstractNumId w:val="1"/>
  </w:num>
  <w:num w:numId="5">
    <w:abstractNumId w:val="6"/>
  </w:num>
  <w:num w:numId="6">
    <w:abstractNumId w:val="13"/>
  </w:num>
  <w:num w:numId="7">
    <w:abstractNumId w:val="3"/>
  </w:num>
  <w:num w:numId="8">
    <w:abstractNumId w:val="0"/>
  </w:num>
  <w:num w:numId="9">
    <w:abstractNumId w:val="14"/>
  </w:num>
  <w:num w:numId="10">
    <w:abstractNumId w:val="5"/>
  </w:num>
  <w:num w:numId="11">
    <w:abstractNumId w:val="12"/>
  </w:num>
  <w:num w:numId="12">
    <w:abstractNumId w:val="4"/>
  </w:num>
  <w:num w:numId="13">
    <w:abstractNumId w:val="15"/>
  </w:num>
  <w:num w:numId="14">
    <w:abstractNumId w:val="2"/>
  </w:num>
  <w:num w:numId="15">
    <w:abstractNumId w:val="10"/>
  </w:num>
  <w:num w:numId="16">
    <w:abstractNumId w:val="16"/>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VhYWRlMmNkZDkzNzdmZGI0NGU4ODdhMTdlYjVmYzcifQ=="/>
  </w:docVars>
  <w:rsids>
    <w:rsidRoot w:val="00ED6C42"/>
    <w:rsid w:val="00000A91"/>
    <w:rsid w:val="00004A65"/>
    <w:rsid w:val="0000666E"/>
    <w:rsid w:val="00006889"/>
    <w:rsid w:val="0001285F"/>
    <w:rsid w:val="00013B39"/>
    <w:rsid w:val="0001443F"/>
    <w:rsid w:val="00014513"/>
    <w:rsid w:val="00014F11"/>
    <w:rsid w:val="00015824"/>
    <w:rsid w:val="000173E4"/>
    <w:rsid w:val="00017985"/>
    <w:rsid w:val="0002420B"/>
    <w:rsid w:val="00024260"/>
    <w:rsid w:val="000247A1"/>
    <w:rsid w:val="0002486D"/>
    <w:rsid w:val="00025D93"/>
    <w:rsid w:val="00027349"/>
    <w:rsid w:val="000278DC"/>
    <w:rsid w:val="00027B82"/>
    <w:rsid w:val="000302B5"/>
    <w:rsid w:val="00031C12"/>
    <w:rsid w:val="00032332"/>
    <w:rsid w:val="000323C3"/>
    <w:rsid w:val="000331EA"/>
    <w:rsid w:val="00033C37"/>
    <w:rsid w:val="00033F63"/>
    <w:rsid w:val="00034F6C"/>
    <w:rsid w:val="000355A9"/>
    <w:rsid w:val="00036131"/>
    <w:rsid w:val="000363AB"/>
    <w:rsid w:val="000364E7"/>
    <w:rsid w:val="00037023"/>
    <w:rsid w:val="00037289"/>
    <w:rsid w:val="00041E41"/>
    <w:rsid w:val="000438CB"/>
    <w:rsid w:val="00045D71"/>
    <w:rsid w:val="0004728B"/>
    <w:rsid w:val="00050E3E"/>
    <w:rsid w:val="00051FD6"/>
    <w:rsid w:val="0005328F"/>
    <w:rsid w:val="00054ACD"/>
    <w:rsid w:val="000557D0"/>
    <w:rsid w:val="000563E6"/>
    <w:rsid w:val="00056DDC"/>
    <w:rsid w:val="0006175F"/>
    <w:rsid w:val="00062ED5"/>
    <w:rsid w:val="00064F7A"/>
    <w:rsid w:val="00066317"/>
    <w:rsid w:val="00066925"/>
    <w:rsid w:val="000670A6"/>
    <w:rsid w:val="00071BB3"/>
    <w:rsid w:val="000724D9"/>
    <w:rsid w:val="000731B7"/>
    <w:rsid w:val="000737B3"/>
    <w:rsid w:val="00073B7F"/>
    <w:rsid w:val="00073F00"/>
    <w:rsid w:val="00074609"/>
    <w:rsid w:val="00077925"/>
    <w:rsid w:val="00080B33"/>
    <w:rsid w:val="000814F3"/>
    <w:rsid w:val="00081F3B"/>
    <w:rsid w:val="0008293E"/>
    <w:rsid w:val="00084182"/>
    <w:rsid w:val="00086B7F"/>
    <w:rsid w:val="000901AF"/>
    <w:rsid w:val="000901E1"/>
    <w:rsid w:val="000908DB"/>
    <w:rsid w:val="000960EC"/>
    <w:rsid w:val="000A1E76"/>
    <w:rsid w:val="000A2D98"/>
    <w:rsid w:val="000A4464"/>
    <w:rsid w:val="000A6B59"/>
    <w:rsid w:val="000B0257"/>
    <w:rsid w:val="000B0EC8"/>
    <w:rsid w:val="000B1AAE"/>
    <w:rsid w:val="000B4151"/>
    <w:rsid w:val="000B78F3"/>
    <w:rsid w:val="000B7B0C"/>
    <w:rsid w:val="000B7BFE"/>
    <w:rsid w:val="000C10FC"/>
    <w:rsid w:val="000C111A"/>
    <w:rsid w:val="000C174C"/>
    <w:rsid w:val="000C1BE3"/>
    <w:rsid w:val="000C1ED0"/>
    <w:rsid w:val="000C3912"/>
    <w:rsid w:val="000D2EDD"/>
    <w:rsid w:val="000D3CA7"/>
    <w:rsid w:val="000D4AAE"/>
    <w:rsid w:val="000D4BA3"/>
    <w:rsid w:val="000E006C"/>
    <w:rsid w:val="000E0F5C"/>
    <w:rsid w:val="000E18C6"/>
    <w:rsid w:val="000E30E2"/>
    <w:rsid w:val="000E4954"/>
    <w:rsid w:val="000E4D52"/>
    <w:rsid w:val="000F0EF4"/>
    <w:rsid w:val="000F10D2"/>
    <w:rsid w:val="000F499D"/>
    <w:rsid w:val="000F5AF2"/>
    <w:rsid w:val="000F6BD1"/>
    <w:rsid w:val="000F6F15"/>
    <w:rsid w:val="000F7E9D"/>
    <w:rsid w:val="00100EC3"/>
    <w:rsid w:val="00102A19"/>
    <w:rsid w:val="00103512"/>
    <w:rsid w:val="001054C5"/>
    <w:rsid w:val="00105C7B"/>
    <w:rsid w:val="00106233"/>
    <w:rsid w:val="00106480"/>
    <w:rsid w:val="001104BA"/>
    <w:rsid w:val="00110D1D"/>
    <w:rsid w:val="00111FE4"/>
    <w:rsid w:val="00117629"/>
    <w:rsid w:val="00120013"/>
    <w:rsid w:val="00120EC4"/>
    <w:rsid w:val="0012229E"/>
    <w:rsid w:val="0012293F"/>
    <w:rsid w:val="0012512E"/>
    <w:rsid w:val="0012657C"/>
    <w:rsid w:val="00126E73"/>
    <w:rsid w:val="00126E93"/>
    <w:rsid w:val="0013275C"/>
    <w:rsid w:val="00133E6E"/>
    <w:rsid w:val="0013436B"/>
    <w:rsid w:val="00135E16"/>
    <w:rsid w:val="0013720B"/>
    <w:rsid w:val="0014152F"/>
    <w:rsid w:val="001441CE"/>
    <w:rsid w:val="001443D9"/>
    <w:rsid w:val="00150630"/>
    <w:rsid w:val="00151D28"/>
    <w:rsid w:val="00152397"/>
    <w:rsid w:val="0015457D"/>
    <w:rsid w:val="00154C51"/>
    <w:rsid w:val="00155905"/>
    <w:rsid w:val="00156B7E"/>
    <w:rsid w:val="00156F31"/>
    <w:rsid w:val="001627C7"/>
    <w:rsid w:val="00163945"/>
    <w:rsid w:val="001708AC"/>
    <w:rsid w:val="001714E1"/>
    <w:rsid w:val="00171C9C"/>
    <w:rsid w:val="00174302"/>
    <w:rsid w:val="001761D5"/>
    <w:rsid w:val="00176DF1"/>
    <w:rsid w:val="00181BD8"/>
    <w:rsid w:val="001828A4"/>
    <w:rsid w:val="00184F07"/>
    <w:rsid w:val="001856DE"/>
    <w:rsid w:val="001857D9"/>
    <w:rsid w:val="0018592B"/>
    <w:rsid w:val="0018733E"/>
    <w:rsid w:val="00187989"/>
    <w:rsid w:val="001910E2"/>
    <w:rsid w:val="001931B2"/>
    <w:rsid w:val="00193877"/>
    <w:rsid w:val="00193B42"/>
    <w:rsid w:val="00194B1F"/>
    <w:rsid w:val="00194D6F"/>
    <w:rsid w:val="001960BB"/>
    <w:rsid w:val="001A0EA1"/>
    <w:rsid w:val="001A1950"/>
    <w:rsid w:val="001A26B1"/>
    <w:rsid w:val="001A71E4"/>
    <w:rsid w:val="001A7C61"/>
    <w:rsid w:val="001B0A90"/>
    <w:rsid w:val="001B1B3A"/>
    <w:rsid w:val="001B26C3"/>
    <w:rsid w:val="001B326A"/>
    <w:rsid w:val="001B3619"/>
    <w:rsid w:val="001B7BC2"/>
    <w:rsid w:val="001C06EB"/>
    <w:rsid w:val="001C0867"/>
    <w:rsid w:val="001C1003"/>
    <w:rsid w:val="001C1C1A"/>
    <w:rsid w:val="001C1FC1"/>
    <w:rsid w:val="001C367E"/>
    <w:rsid w:val="001C438B"/>
    <w:rsid w:val="001C513C"/>
    <w:rsid w:val="001C5A8C"/>
    <w:rsid w:val="001C766F"/>
    <w:rsid w:val="001D0FAE"/>
    <w:rsid w:val="001D187E"/>
    <w:rsid w:val="001D7DEC"/>
    <w:rsid w:val="001E0BB8"/>
    <w:rsid w:val="001E25DA"/>
    <w:rsid w:val="001E271B"/>
    <w:rsid w:val="001E4C7A"/>
    <w:rsid w:val="001E4F1C"/>
    <w:rsid w:val="001E59C2"/>
    <w:rsid w:val="001F03BD"/>
    <w:rsid w:val="001F0EC8"/>
    <w:rsid w:val="001F16CE"/>
    <w:rsid w:val="001F33DF"/>
    <w:rsid w:val="001F3854"/>
    <w:rsid w:val="001F42A9"/>
    <w:rsid w:val="001F45E1"/>
    <w:rsid w:val="001F56FD"/>
    <w:rsid w:val="001F5898"/>
    <w:rsid w:val="001F6B6B"/>
    <w:rsid w:val="002004E6"/>
    <w:rsid w:val="00200FAE"/>
    <w:rsid w:val="00202E63"/>
    <w:rsid w:val="002031FF"/>
    <w:rsid w:val="00203E02"/>
    <w:rsid w:val="002042C3"/>
    <w:rsid w:val="0021041B"/>
    <w:rsid w:val="00212F6C"/>
    <w:rsid w:val="00220C4C"/>
    <w:rsid w:val="00220EE7"/>
    <w:rsid w:val="00223311"/>
    <w:rsid w:val="00223B45"/>
    <w:rsid w:val="00224E1F"/>
    <w:rsid w:val="002253A5"/>
    <w:rsid w:val="00225C53"/>
    <w:rsid w:val="00227038"/>
    <w:rsid w:val="00230437"/>
    <w:rsid w:val="002307DC"/>
    <w:rsid w:val="002340B7"/>
    <w:rsid w:val="00234C7D"/>
    <w:rsid w:val="0023509D"/>
    <w:rsid w:val="0023785F"/>
    <w:rsid w:val="00237999"/>
    <w:rsid w:val="00240D57"/>
    <w:rsid w:val="0024467A"/>
    <w:rsid w:val="00246E4A"/>
    <w:rsid w:val="002472E6"/>
    <w:rsid w:val="00252B36"/>
    <w:rsid w:val="0025361C"/>
    <w:rsid w:val="00255071"/>
    <w:rsid w:val="00255F9C"/>
    <w:rsid w:val="0025616B"/>
    <w:rsid w:val="00261EAC"/>
    <w:rsid w:val="002649AA"/>
    <w:rsid w:val="00264CCF"/>
    <w:rsid w:val="00264F68"/>
    <w:rsid w:val="002671E3"/>
    <w:rsid w:val="00267242"/>
    <w:rsid w:val="002673BA"/>
    <w:rsid w:val="00270E9F"/>
    <w:rsid w:val="002715D9"/>
    <w:rsid w:val="00271807"/>
    <w:rsid w:val="00274879"/>
    <w:rsid w:val="002767DE"/>
    <w:rsid w:val="0027753B"/>
    <w:rsid w:val="00277A54"/>
    <w:rsid w:val="002809F7"/>
    <w:rsid w:val="00281AB6"/>
    <w:rsid w:val="0028244B"/>
    <w:rsid w:val="0028263F"/>
    <w:rsid w:val="002832FA"/>
    <w:rsid w:val="00284587"/>
    <w:rsid w:val="002864AA"/>
    <w:rsid w:val="002871D3"/>
    <w:rsid w:val="00287D37"/>
    <w:rsid w:val="0029148D"/>
    <w:rsid w:val="0029532D"/>
    <w:rsid w:val="00295C25"/>
    <w:rsid w:val="00296844"/>
    <w:rsid w:val="002A32E4"/>
    <w:rsid w:val="002A39C4"/>
    <w:rsid w:val="002A42F8"/>
    <w:rsid w:val="002A440C"/>
    <w:rsid w:val="002A5C0D"/>
    <w:rsid w:val="002B08D3"/>
    <w:rsid w:val="002B0AB1"/>
    <w:rsid w:val="002B23A1"/>
    <w:rsid w:val="002B3DEF"/>
    <w:rsid w:val="002B52BD"/>
    <w:rsid w:val="002B57D2"/>
    <w:rsid w:val="002B6F07"/>
    <w:rsid w:val="002C039A"/>
    <w:rsid w:val="002C055E"/>
    <w:rsid w:val="002C3F48"/>
    <w:rsid w:val="002C439D"/>
    <w:rsid w:val="002C5B9A"/>
    <w:rsid w:val="002C5BFA"/>
    <w:rsid w:val="002D0188"/>
    <w:rsid w:val="002D2D51"/>
    <w:rsid w:val="002D339C"/>
    <w:rsid w:val="002D4197"/>
    <w:rsid w:val="002D4312"/>
    <w:rsid w:val="002D47EE"/>
    <w:rsid w:val="002D57D1"/>
    <w:rsid w:val="002D6148"/>
    <w:rsid w:val="002D6193"/>
    <w:rsid w:val="002D67E6"/>
    <w:rsid w:val="002D6E16"/>
    <w:rsid w:val="002D718D"/>
    <w:rsid w:val="002D731B"/>
    <w:rsid w:val="002D7EEE"/>
    <w:rsid w:val="002E3034"/>
    <w:rsid w:val="002E47A1"/>
    <w:rsid w:val="002E538F"/>
    <w:rsid w:val="002E567F"/>
    <w:rsid w:val="002E71B2"/>
    <w:rsid w:val="002F1A99"/>
    <w:rsid w:val="002F6219"/>
    <w:rsid w:val="00304B54"/>
    <w:rsid w:val="003079E0"/>
    <w:rsid w:val="00307A16"/>
    <w:rsid w:val="00310C6D"/>
    <w:rsid w:val="0031144A"/>
    <w:rsid w:val="00311712"/>
    <w:rsid w:val="00312FD9"/>
    <w:rsid w:val="00313564"/>
    <w:rsid w:val="00314B86"/>
    <w:rsid w:val="003151C1"/>
    <w:rsid w:val="003163BD"/>
    <w:rsid w:val="00320086"/>
    <w:rsid w:val="003201BF"/>
    <w:rsid w:val="003208BC"/>
    <w:rsid w:val="00324661"/>
    <w:rsid w:val="00324758"/>
    <w:rsid w:val="00325437"/>
    <w:rsid w:val="00325B28"/>
    <w:rsid w:val="00330E48"/>
    <w:rsid w:val="003319E9"/>
    <w:rsid w:val="00333402"/>
    <w:rsid w:val="003335FD"/>
    <w:rsid w:val="0033364D"/>
    <w:rsid w:val="003353C8"/>
    <w:rsid w:val="003363ED"/>
    <w:rsid w:val="00336E70"/>
    <w:rsid w:val="003421AB"/>
    <w:rsid w:val="003421CD"/>
    <w:rsid w:val="0034236B"/>
    <w:rsid w:val="00342B98"/>
    <w:rsid w:val="00343E5C"/>
    <w:rsid w:val="003460E1"/>
    <w:rsid w:val="00346E18"/>
    <w:rsid w:val="00350610"/>
    <w:rsid w:val="00352B14"/>
    <w:rsid w:val="00352E83"/>
    <w:rsid w:val="003544F7"/>
    <w:rsid w:val="0035635A"/>
    <w:rsid w:val="00356D01"/>
    <w:rsid w:val="00357B4D"/>
    <w:rsid w:val="003602C0"/>
    <w:rsid w:val="00360BE5"/>
    <w:rsid w:val="00361A51"/>
    <w:rsid w:val="00364ABC"/>
    <w:rsid w:val="00364C29"/>
    <w:rsid w:val="003663B2"/>
    <w:rsid w:val="00367660"/>
    <w:rsid w:val="00367D56"/>
    <w:rsid w:val="00372E0F"/>
    <w:rsid w:val="00374B4A"/>
    <w:rsid w:val="003751EC"/>
    <w:rsid w:val="00375E63"/>
    <w:rsid w:val="00377389"/>
    <w:rsid w:val="003778A1"/>
    <w:rsid w:val="00380D46"/>
    <w:rsid w:val="00380F58"/>
    <w:rsid w:val="003822A9"/>
    <w:rsid w:val="0038270D"/>
    <w:rsid w:val="003856E1"/>
    <w:rsid w:val="00385838"/>
    <w:rsid w:val="00385928"/>
    <w:rsid w:val="0039308E"/>
    <w:rsid w:val="003955B7"/>
    <w:rsid w:val="00395896"/>
    <w:rsid w:val="003961D3"/>
    <w:rsid w:val="003A04F5"/>
    <w:rsid w:val="003A08A3"/>
    <w:rsid w:val="003A0B52"/>
    <w:rsid w:val="003A155B"/>
    <w:rsid w:val="003A1FFC"/>
    <w:rsid w:val="003A35A2"/>
    <w:rsid w:val="003A35C5"/>
    <w:rsid w:val="003A466D"/>
    <w:rsid w:val="003A4EE0"/>
    <w:rsid w:val="003A53AF"/>
    <w:rsid w:val="003A74AE"/>
    <w:rsid w:val="003A75D8"/>
    <w:rsid w:val="003B033B"/>
    <w:rsid w:val="003B20A2"/>
    <w:rsid w:val="003B20F5"/>
    <w:rsid w:val="003B2E5C"/>
    <w:rsid w:val="003B2F85"/>
    <w:rsid w:val="003B313E"/>
    <w:rsid w:val="003B72F3"/>
    <w:rsid w:val="003B7B36"/>
    <w:rsid w:val="003B7B47"/>
    <w:rsid w:val="003C026F"/>
    <w:rsid w:val="003C1A61"/>
    <w:rsid w:val="003C2196"/>
    <w:rsid w:val="003C5161"/>
    <w:rsid w:val="003C6FEC"/>
    <w:rsid w:val="003C7307"/>
    <w:rsid w:val="003D7B4E"/>
    <w:rsid w:val="003D7F4B"/>
    <w:rsid w:val="003E0AAA"/>
    <w:rsid w:val="003E126C"/>
    <w:rsid w:val="003E20ED"/>
    <w:rsid w:val="003E31BE"/>
    <w:rsid w:val="003E396F"/>
    <w:rsid w:val="003E5A13"/>
    <w:rsid w:val="003E5AFB"/>
    <w:rsid w:val="003E6235"/>
    <w:rsid w:val="003F009D"/>
    <w:rsid w:val="003F0752"/>
    <w:rsid w:val="003F08A0"/>
    <w:rsid w:val="003F12B4"/>
    <w:rsid w:val="003F2289"/>
    <w:rsid w:val="003F4105"/>
    <w:rsid w:val="003F4240"/>
    <w:rsid w:val="003F42D5"/>
    <w:rsid w:val="003F474C"/>
    <w:rsid w:val="003F6882"/>
    <w:rsid w:val="003F712E"/>
    <w:rsid w:val="00400186"/>
    <w:rsid w:val="004025D9"/>
    <w:rsid w:val="00403B1C"/>
    <w:rsid w:val="00403E61"/>
    <w:rsid w:val="00403F71"/>
    <w:rsid w:val="00405D7F"/>
    <w:rsid w:val="004104D6"/>
    <w:rsid w:val="0041366C"/>
    <w:rsid w:val="00414009"/>
    <w:rsid w:val="00414565"/>
    <w:rsid w:val="00415857"/>
    <w:rsid w:val="00416328"/>
    <w:rsid w:val="0041635C"/>
    <w:rsid w:val="004164E6"/>
    <w:rsid w:val="00416DDB"/>
    <w:rsid w:val="00417855"/>
    <w:rsid w:val="00417C13"/>
    <w:rsid w:val="00420BC0"/>
    <w:rsid w:val="00420FCE"/>
    <w:rsid w:val="0042131F"/>
    <w:rsid w:val="00421CB0"/>
    <w:rsid w:val="00423333"/>
    <w:rsid w:val="00423729"/>
    <w:rsid w:val="00423A5B"/>
    <w:rsid w:val="00423D30"/>
    <w:rsid w:val="00425CF9"/>
    <w:rsid w:val="00425F51"/>
    <w:rsid w:val="00426E6D"/>
    <w:rsid w:val="0043157B"/>
    <w:rsid w:val="00432A6D"/>
    <w:rsid w:val="00434D66"/>
    <w:rsid w:val="00434E24"/>
    <w:rsid w:val="0043605A"/>
    <w:rsid w:val="00436B47"/>
    <w:rsid w:val="00437DB8"/>
    <w:rsid w:val="00443FAA"/>
    <w:rsid w:val="0044632E"/>
    <w:rsid w:val="00450B45"/>
    <w:rsid w:val="00451134"/>
    <w:rsid w:val="00452EB5"/>
    <w:rsid w:val="004553D6"/>
    <w:rsid w:val="004604CA"/>
    <w:rsid w:val="004614D7"/>
    <w:rsid w:val="0046246E"/>
    <w:rsid w:val="0046341A"/>
    <w:rsid w:val="004652F3"/>
    <w:rsid w:val="004703E1"/>
    <w:rsid w:val="00471159"/>
    <w:rsid w:val="0047269D"/>
    <w:rsid w:val="0047388F"/>
    <w:rsid w:val="0047392F"/>
    <w:rsid w:val="004743BF"/>
    <w:rsid w:val="00482382"/>
    <w:rsid w:val="0048260E"/>
    <w:rsid w:val="00484185"/>
    <w:rsid w:val="00485E4F"/>
    <w:rsid w:val="004878AD"/>
    <w:rsid w:val="00487AEE"/>
    <w:rsid w:val="00490F0F"/>
    <w:rsid w:val="00492007"/>
    <w:rsid w:val="0049216D"/>
    <w:rsid w:val="00493CB5"/>
    <w:rsid w:val="004955D1"/>
    <w:rsid w:val="00497E82"/>
    <w:rsid w:val="004A0146"/>
    <w:rsid w:val="004A29FA"/>
    <w:rsid w:val="004A3DAE"/>
    <w:rsid w:val="004A4499"/>
    <w:rsid w:val="004A64EA"/>
    <w:rsid w:val="004B0125"/>
    <w:rsid w:val="004B1D63"/>
    <w:rsid w:val="004B2369"/>
    <w:rsid w:val="004B29DC"/>
    <w:rsid w:val="004B3522"/>
    <w:rsid w:val="004B4A04"/>
    <w:rsid w:val="004B4E7C"/>
    <w:rsid w:val="004B502F"/>
    <w:rsid w:val="004B50A7"/>
    <w:rsid w:val="004B5BB1"/>
    <w:rsid w:val="004C2E6F"/>
    <w:rsid w:val="004D34DA"/>
    <w:rsid w:val="004D529B"/>
    <w:rsid w:val="004D5EE6"/>
    <w:rsid w:val="004D61A0"/>
    <w:rsid w:val="004D633A"/>
    <w:rsid w:val="004E1727"/>
    <w:rsid w:val="004E1CFE"/>
    <w:rsid w:val="004E464B"/>
    <w:rsid w:val="004E529E"/>
    <w:rsid w:val="004E65B1"/>
    <w:rsid w:val="004E6D61"/>
    <w:rsid w:val="004F00CE"/>
    <w:rsid w:val="004F0497"/>
    <w:rsid w:val="004F0D71"/>
    <w:rsid w:val="004F1657"/>
    <w:rsid w:val="004F172A"/>
    <w:rsid w:val="004F2350"/>
    <w:rsid w:val="004F34DF"/>
    <w:rsid w:val="004F487E"/>
    <w:rsid w:val="004F5947"/>
    <w:rsid w:val="005014DE"/>
    <w:rsid w:val="00501F24"/>
    <w:rsid w:val="00502999"/>
    <w:rsid w:val="00505607"/>
    <w:rsid w:val="00506865"/>
    <w:rsid w:val="00511AA0"/>
    <w:rsid w:val="0051239D"/>
    <w:rsid w:val="00515795"/>
    <w:rsid w:val="00522B2E"/>
    <w:rsid w:val="00523D0B"/>
    <w:rsid w:val="005248D9"/>
    <w:rsid w:val="00524994"/>
    <w:rsid w:val="00525F9B"/>
    <w:rsid w:val="00526071"/>
    <w:rsid w:val="0052640C"/>
    <w:rsid w:val="0053073C"/>
    <w:rsid w:val="00530896"/>
    <w:rsid w:val="00531944"/>
    <w:rsid w:val="00533829"/>
    <w:rsid w:val="00534EE9"/>
    <w:rsid w:val="00537AD9"/>
    <w:rsid w:val="00537B51"/>
    <w:rsid w:val="00541FCD"/>
    <w:rsid w:val="005436C3"/>
    <w:rsid w:val="00544950"/>
    <w:rsid w:val="00544A6A"/>
    <w:rsid w:val="00546ABC"/>
    <w:rsid w:val="00546B72"/>
    <w:rsid w:val="0055067B"/>
    <w:rsid w:val="0055156F"/>
    <w:rsid w:val="00551DCA"/>
    <w:rsid w:val="005531BB"/>
    <w:rsid w:val="005557F7"/>
    <w:rsid w:val="005558B7"/>
    <w:rsid w:val="00557D65"/>
    <w:rsid w:val="00560A71"/>
    <w:rsid w:val="0056192C"/>
    <w:rsid w:val="00562EFF"/>
    <w:rsid w:val="00563CEF"/>
    <w:rsid w:val="00566134"/>
    <w:rsid w:val="005661D1"/>
    <w:rsid w:val="00574E33"/>
    <w:rsid w:val="00575606"/>
    <w:rsid w:val="00576332"/>
    <w:rsid w:val="005769BF"/>
    <w:rsid w:val="00580A00"/>
    <w:rsid w:val="00581401"/>
    <w:rsid w:val="00582874"/>
    <w:rsid w:val="00582A62"/>
    <w:rsid w:val="005831BD"/>
    <w:rsid w:val="005834D6"/>
    <w:rsid w:val="00583551"/>
    <w:rsid w:val="00584132"/>
    <w:rsid w:val="00584C99"/>
    <w:rsid w:val="00586455"/>
    <w:rsid w:val="00591200"/>
    <w:rsid w:val="00591268"/>
    <w:rsid w:val="005931BD"/>
    <w:rsid w:val="00594729"/>
    <w:rsid w:val="00595CE7"/>
    <w:rsid w:val="005961B5"/>
    <w:rsid w:val="005966C8"/>
    <w:rsid w:val="0059672F"/>
    <w:rsid w:val="005A1CC9"/>
    <w:rsid w:val="005A2269"/>
    <w:rsid w:val="005A29EE"/>
    <w:rsid w:val="005A2B9A"/>
    <w:rsid w:val="005A30B9"/>
    <w:rsid w:val="005A4E05"/>
    <w:rsid w:val="005A503B"/>
    <w:rsid w:val="005A5FA5"/>
    <w:rsid w:val="005B1BE1"/>
    <w:rsid w:val="005B2424"/>
    <w:rsid w:val="005B243F"/>
    <w:rsid w:val="005B3802"/>
    <w:rsid w:val="005B3A91"/>
    <w:rsid w:val="005B4BDB"/>
    <w:rsid w:val="005B565C"/>
    <w:rsid w:val="005C1927"/>
    <w:rsid w:val="005C337B"/>
    <w:rsid w:val="005C61DC"/>
    <w:rsid w:val="005C6325"/>
    <w:rsid w:val="005C6BA5"/>
    <w:rsid w:val="005D1B42"/>
    <w:rsid w:val="005D5AEE"/>
    <w:rsid w:val="005D692A"/>
    <w:rsid w:val="005D6BA4"/>
    <w:rsid w:val="005D7C21"/>
    <w:rsid w:val="005D7E49"/>
    <w:rsid w:val="005E1F0C"/>
    <w:rsid w:val="005E2B09"/>
    <w:rsid w:val="005E4498"/>
    <w:rsid w:val="005E52CA"/>
    <w:rsid w:val="005F11F7"/>
    <w:rsid w:val="005F4768"/>
    <w:rsid w:val="005F4E79"/>
    <w:rsid w:val="005F5037"/>
    <w:rsid w:val="005F535E"/>
    <w:rsid w:val="005F5C57"/>
    <w:rsid w:val="0060142B"/>
    <w:rsid w:val="00602292"/>
    <w:rsid w:val="00602F71"/>
    <w:rsid w:val="006043C3"/>
    <w:rsid w:val="00606CEC"/>
    <w:rsid w:val="00606E74"/>
    <w:rsid w:val="00607D73"/>
    <w:rsid w:val="00610257"/>
    <w:rsid w:val="006143E4"/>
    <w:rsid w:val="0061444E"/>
    <w:rsid w:val="0061445E"/>
    <w:rsid w:val="006156EC"/>
    <w:rsid w:val="006165F2"/>
    <w:rsid w:val="006200CE"/>
    <w:rsid w:val="00620D65"/>
    <w:rsid w:val="006222F4"/>
    <w:rsid w:val="00622776"/>
    <w:rsid w:val="00625DE6"/>
    <w:rsid w:val="00626E4B"/>
    <w:rsid w:val="00626F49"/>
    <w:rsid w:val="00630AEE"/>
    <w:rsid w:val="00630C6A"/>
    <w:rsid w:val="006317E1"/>
    <w:rsid w:val="0063366F"/>
    <w:rsid w:val="0063403F"/>
    <w:rsid w:val="00634D0B"/>
    <w:rsid w:val="0063520A"/>
    <w:rsid w:val="00636114"/>
    <w:rsid w:val="00636488"/>
    <w:rsid w:val="00640490"/>
    <w:rsid w:val="00643566"/>
    <w:rsid w:val="00643E25"/>
    <w:rsid w:val="00643E37"/>
    <w:rsid w:val="00644053"/>
    <w:rsid w:val="00644488"/>
    <w:rsid w:val="006460CF"/>
    <w:rsid w:val="00647330"/>
    <w:rsid w:val="0065041C"/>
    <w:rsid w:val="00652D81"/>
    <w:rsid w:val="006530E3"/>
    <w:rsid w:val="00655329"/>
    <w:rsid w:val="00655588"/>
    <w:rsid w:val="00655A89"/>
    <w:rsid w:val="00656C59"/>
    <w:rsid w:val="0066311D"/>
    <w:rsid w:val="006635A3"/>
    <w:rsid w:val="00663F0E"/>
    <w:rsid w:val="00664DB8"/>
    <w:rsid w:val="00666AA6"/>
    <w:rsid w:val="00667594"/>
    <w:rsid w:val="0067162D"/>
    <w:rsid w:val="00671D74"/>
    <w:rsid w:val="00672A46"/>
    <w:rsid w:val="006737B7"/>
    <w:rsid w:val="0067469E"/>
    <w:rsid w:val="00680A1C"/>
    <w:rsid w:val="006825D3"/>
    <w:rsid w:val="006826C5"/>
    <w:rsid w:val="00684393"/>
    <w:rsid w:val="00685BA5"/>
    <w:rsid w:val="00697254"/>
    <w:rsid w:val="006979DC"/>
    <w:rsid w:val="006A0E10"/>
    <w:rsid w:val="006A19D3"/>
    <w:rsid w:val="006A4BDB"/>
    <w:rsid w:val="006A6062"/>
    <w:rsid w:val="006A6082"/>
    <w:rsid w:val="006A7CC6"/>
    <w:rsid w:val="006B14C9"/>
    <w:rsid w:val="006C1E00"/>
    <w:rsid w:val="006C4118"/>
    <w:rsid w:val="006C4D9C"/>
    <w:rsid w:val="006C64A9"/>
    <w:rsid w:val="006C6B99"/>
    <w:rsid w:val="006C6BBB"/>
    <w:rsid w:val="006C6C4B"/>
    <w:rsid w:val="006D146F"/>
    <w:rsid w:val="006D19F6"/>
    <w:rsid w:val="006D28C2"/>
    <w:rsid w:val="006D2DC0"/>
    <w:rsid w:val="006E0407"/>
    <w:rsid w:val="006E046C"/>
    <w:rsid w:val="006E1ADC"/>
    <w:rsid w:val="006E1C03"/>
    <w:rsid w:val="006E3BE4"/>
    <w:rsid w:val="006E5799"/>
    <w:rsid w:val="006E5BC7"/>
    <w:rsid w:val="006E6BF6"/>
    <w:rsid w:val="006F1620"/>
    <w:rsid w:val="006F22D6"/>
    <w:rsid w:val="006F3251"/>
    <w:rsid w:val="006F365C"/>
    <w:rsid w:val="00701290"/>
    <w:rsid w:val="007018A0"/>
    <w:rsid w:val="007033F3"/>
    <w:rsid w:val="00703A27"/>
    <w:rsid w:val="00703EA9"/>
    <w:rsid w:val="007045A9"/>
    <w:rsid w:val="00705397"/>
    <w:rsid w:val="00705D7B"/>
    <w:rsid w:val="00706ED3"/>
    <w:rsid w:val="00710191"/>
    <w:rsid w:val="00712086"/>
    <w:rsid w:val="00713E4C"/>
    <w:rsid w:val="007141CC"/>
    <w:rsid w:val="007141CE"/>
    <w:rsid w:val="007147C0"/>
    <w:rsid w:val="00716B24"/>
    <w:rsid w:val="00716EAC"/>
    <w:rsid w:val="007202D7"/>
    <w:rsid w:val="00721A09"/>
    <w:rsid w:val="007223A8"/>
    <w:rsid w:val="00722949"/>
    <w:rsid w:val="00722D11"/>
    <w:rsid w:val="00723D1F"/>
    <w:rsid w:val="007258CB"/>
    <w:rsid w:val="00725CE2"/>
    <w:rsid w:val="00726C4F"/>
    <w:rsid w:val="007274FD"/>
    <w:rsid w:val="00730941"/>
    <w:rsid w:val="007330AA"/>
    <w:rsid w:val="00734274"/>
    <w:rsid w:val="00734AB3"/>
    <w:rsid w:val="00735A33"/>
    <w:rsid w:val="00737A5A"/>
    <w:rsid w:val="0074176E"/>
    <w:rsid w:val="00743887"/>
    <w:rsid w:val="00743DCB"/>
    <w:rsid w:val="007454AF"/>
    <w:rsid w:val="00746718"/>
    <w:rsid w:val="0074678C"/>
    <w:rsid w:val="00746F14"/>
    <w:rsid w:val="00747BAA"/>
    <w:rsid w:val="0075026F"/>
    <w:rsid w:val="00752B42"/>
    <w:rsid w:val="007558AF"/>
    <w:rsid w:val="0076047D"/>
    <w:rsid w:val="0076210B"/>
    <w:rsid w:val="00762A63"/>
    <w:rsid w:val="00766A19"/>
    <w:rsid w:val="00766C82"/>
    <w:rsid w:val="0077307C"/>
    <w:rsid w:val="00774AD8"/>
    <w:rsid w:val="00780950"/>
    <w:rsid w:val="00790189"/>
    <w:rsid w:val="00791483"/>
    <w:rsid w:val="00791ED1"/>
    <w:rsid w:val="00792C09"/>
    <w:rsid w:val="0079338B"/>
    <w:rsid w:val="007943D1"/>
    <w:rsid w:val="00795E58"/>
    <w:rsid w:val="00796D7B"/>
    <w:rsid w:val="007A1B62"/>
    <w:rsid w:val="007A1DBA"/>
    <w:rsid w:val="007A1FBD"/>
    <w:rsid w:val="007A34E9"/>
    <w:rsid w:val="007A5EE0"/>
    <w:rsid w:val="007A601A"/>
    <w:rsid w:val="007A642B"/>
    <w:rsid w:val="007A743E"/>
    <w:rsid w:val="007B224F"/>
    <w:rsid w:val="007B4B30"/>
    <w:rsid w:val="007B5D06"/>
    <w:rsid w:val="007B6B92"/>
    <w:rsid w:val="007C0E42"/>
    <w:rsid w:val="007C1A35"/>
    <w:rsid w:val="007C46A5"/>
    <w:rsid w:val="007C49E4"/>
    <w:rsid w:val="007C50D5"/>
    <w:rsid w:val="007C542D"/>
    <w:rsid w:val="007D0C5C"/>
    <w:rsid w:val="007D3B9C"/>
    <w:rsid w:val="007D5B45"/>
    <w:rsid w:val="007D5EB4"/>
    <w:rsid w:val="007D6E13"/>
    <w:rsid w:val="007E6162"/>
    <w:rsid w:val="007E6400"/>
    <w:rsid w:val="007E66F2"/>
    <w:rsid w:val="007E7741"/>
    <w:rsid w:val="007F00A9"/>
    <w:rsid w:val="007F018B"/>
    <w:rsid w:val="007F1F8E"/>
    <w:rsid w:val="007F2F49"/>
    <w:rsid w:val="007F3248"/>
    <w:rsid w:val="007F33B7"/>
    <w:rsid w:val="007F3D40"/>
    <w:rsid w:val="007F5176"/>
    <w:rsid w:val="007F6D00"/>
    <w:rsid w:val="007F76D8"/>
    <w:rsid w:val="008024AD"/>
    <w:rsid w:val="00806EBD"/>
    <w:rsid w:val="008116BC"/>
    <w:rsid w:val="0081231A"/>
    <w:rsid w:val="008127A9"/>
    <w:rsid w:val="00812C25"/>
    <w:rsid w:val="00816610"/>
    <w:rsid w:val="0081679A"/>
    <w:rsid w:val="008229EF"/>
    <w:rsid w:val="008230C3"/>
    <w:rsid w:val="008235F0"/>
    <w:rsid w:val="008259E2"/>
    <w:rsid w:val="00825C30"/>
    <w:rsid w:val="00827467"/>
    <w:rsid w:val="008309C4"/>
    <w:rsid w:val="00833FEE"/>
    <w:rsid w:val="00834181"/>
    <w:rsid w:val="0083561B"/>
    <w:rsid w:val="008371FD"/>
    <w:rsid w:val="00837D4D"/>
    <w:rsid w:val="00841057"/>
    <w:rsid w:val="00841538"/>
    <w:rsid w:val="008437BE"/>
    <w:rsid w:val="00846A44"/>
    <w:rsid w:val="00850A3D"/>
    <w:rsid w:val="00854467"/>
    <w:rsid w:val="00855367"/>
    <w:rsid w:val="00856209"/>
    <w:rsid w:val="00856C2A"/>
    <w:rsid w:val="00857BE3"/>
    <w:rsid w:val="0086338B"/>
    <w:rsid w:val="0086467F"/>
    <w:rsid w:val="00864D58"/>
    <w:rsid w:val="00865D55"/>
    <w:rsid w:val="0086682B"/>
    <w:rsid w:val="00867103"/>
    <w:rsid w:val="00870137"/>
    <w:rsid w:val="008712FD"/>
    <w:rsid w:val="008717D9"/>
    <w:rsid w:val="00871CD6"/>
    <w:rsid w:val="0087284C"/>
    <w:rsid w:val="00872B55"/>
    <w:rsid w:val="00875448"/>
    <w:rsid w:val="0087674B"/>
    <w:rsid w:val="00876CBE"/>
    <w:rsid w:val="00876EBE"/>
    <w:rsid w:val="008779B2"/>
    <w:rsid w:val="00880670"/>
    <w:rsid w:val="008809A4"/>
    <w:rsid w:val="00881B0C"/>
    <w:rsid w:val="00884964"/>
    <w:rsid w:val="008849BE"/>
    <w:rsid w:val="0088514B"/>
    <w:rsid w:val="00885E69"/>
    <w:rsid w:val="00887616"/>
    <w:rsid w:val="00887D19"/>
    <w:rsid w:val="00893FE0"/>
    <w:rsid w:val="008951AB"/>
    <w:rsid w:val="00895584"/>
    <w:rsid w:val="008974C0"/>
    <w:rsid w:val="008A0A9D"/>
    <w:rsid w:val="008A0F17"/>
    <w:rsid w:val="008A172F"/>
    <w:rsid w:val="008A1E16"/>
    <w:rsid w:val="008A42FB"/>
    <w:rsid w:val="008A46E3"/>
    <w:rsid w:val="008A499F"/>
    <w:rsid w:val="008A6622"/>
    <w:rsid w:val="008B0F4E"/>
    <w:rsid w:val="008B2758"/>
    <w:rsid w:val="008B371E"/>
    <w:rsid w:val="008B455D"/>
    <w:rsid w:val="008B5669"/>
    <w:rsid w:val="008B5B81"/>
    <w:rsid w:val="008B674B"/>
    <w:rsid w:val="008C0A7E"/>
    <w:rsid w:val="008C0D0E"/>
    <w:rsid w:val="008C0FAC"/>
    <w:rsid w:val="008C379C"/>
    <w:rsid w:val="008C3DCB"/>
    <w:rsid w:val="008C4D15"/>
    <w:rsid w:val="008C4E6D"/>
    <w:rsid w:val="008C527E"/>
    <w:rsid w:val="008C75DE"/>
    <w:rsid w:val="008D0A03"/>
    <w:rsid w:val="008D49DB"/>
    <w:rsid w:val="008D536C"/>
    <w:rsid w:val="008D56BB"/>
    <w:rsid w:val="008D65BF"/>
    <w:rsid w:val="008E19E7"/>
    <w:rsid w:val="008E32FF"/>
    <w:rsid w:val="008E53A2"/>
    <w:rsid w:val="008E7CCE"/>
    <w:rsid w:val="008F3C5A"/>
    <w:rsid w:val="008F4DB8"/>
    <w:rsid w:val="008F566A"/>
    <w:rsid w:val="008F72BE"/>
    <w:rsid w:val="008F76B7"/>
    <w:rsid w:val="009002A3"/>
    <w:rsid w:val="009015DB"/>
    <w:rsid w:val="00901DE0"/>
    <w:rsid w:val="009026AF"/>
    <w:rsid w:val="0090289C"/>
    <w:rsid w:val="00903235"/>
    <w:rsid w:val="00903C03"/>
    <w:rsid w:val="00905C80"/>
    <w:rsid w:val="0090623C"/>
    <w:rsid w:val="009109C0"/>
    <w:rsid w:val="00912188"/>
    <w:rsid w:val="009147CD"/>
    <w:rsid w:val="00914BCD"/>
    <w:rsid w:val="00914DF8"/>
    <w:rsid w:val="00916A59"/>
    <w:rsid w:val="00917699"/>
    <w:rsid w:val="00917EEC"/>
    <w:rsid w:val="009200F2"/>
    <w:rsid w:val="00920FAA"/>
    <w:rsid w:val="009221F4"/>
    <w:rsid w:val="009229AC"/>
    <w:rsid w:val="00927553"/>
    <w:rsid w:val="00927C1C"/>
    <w:rsid w:val="0093090C"/>
    <w:rsid w:val="00930DA7"/>
    <w:rsid w:val="0093114A"/>
    <w:rsid w:val="00931A67"/>
    <w:rsid w:val="00931C36"/>
    <w:rsid w:val="00934034"/>
    <w:rsid w:val="00934104"/>
    <w:rsid w:val="00934465"/>
    <w:rsid w:val="009345AF"/>
    <w:rsid w:val="00935CD8"/>
    <w:rsid w:val="00940B36"/>
    <w:rsid w:val="00942A9C"/>
    <w:rsid w:val="00943777"/>
    <w:rsid w:val="00943C0D"/>
    <w:rsid w:val="0094401E"/>
    <w:rsid w:val="009456B7"/>
    <w:rsid w:val="009458ED"/>
    <w:rsid w:val="00946329"/>
    <w:rsid w:val="0094656D"/>
    <w:rsid w:val="009510C8"/>
    <w:rsid w:val="00957CC0"/>
    <w:rsid w:val="009619CE"/>
    <w:rsid w:val="00961DA7"/>
    <w:rsid w:val="00962662"/>
    <w:rsid w:val="0096340F"/>
    <w:rsid w:val="009634FC"/>
    <w:rsid w:val="00963570"/>
    <w:rsid w:val="0096437C"/>
    <w:rsid w:val="009651D9"/>
    <w:rsid w:val="0096711A"/>
    <w:rsid w:val="00967379"/>
    <w:rsid w:val="009679A9"/>
    <w:rsid w:val="00971CA3"/>
    <w:rsid w:val="009739CB"/>
    <w:rsid w:val="00974AE7"/>
    <w:rsid w:val="0097647C"/>
    <w:rsid w:val="00976641"/>
    <w:rsid w:val="00980683"/>
    <w:rsid w:val="009832E8"/>
    <w:rsid w:val="00983384"/>
    <w:rsid w:val="00983728"/>
    <w:rsid w:val="00983BA9"/>
    <w:rsid w:val="00983BD3"/>
    <w:rsid w:val="00985F66"/>
    <w:rsid w:val="00987AC7"/>
    <w:rsid w:val="00991092"/>
    <w:rsid w:val="0099665E"/>
    <w:rsid w:val="0099708F"/>
    <w:rsid w:val="00997BA7"/>
    <w:rsid w:val="009A07A7"/>
    <w:rsid w:val="009A0E66"/>
    <w:rsid w:val="009A1799"/>
    <w:rsid w:val="009A44AA"/>
    <w:rsid w:val="009A4A85"/>
    <w:rsid w:val="009A5205"/>
    <w:rsid w:val="009A5B79"/>
    <w:rsid w:val="009B2C78"/>
    <w:rsid w:val="009B38AE"/>
    <w:rsid w:val="009B38EF"/>
    <w:rsid w:val="009B3F18"/>
    <w:rsid w:val="009B4699"/>
    <w:rsid w:val="009B6A0E"/>
    <w:rsid w:val="009C009C"/>
    <w:rsid w:val="009C3113"/>
    <w:rsid w:val="009C37F0"/>
    <w:rsid w:val="009C5120"/>
    <w:rsid w:val="009C7CD0"/>
    <w:rsid w:val="009D0A2A"/>
    <w:rsid w:val="009D1B33"/>
    <w:rsid w:val="009D201E"/>
    <w:rsid w:val="009D2334"/>
    <w:rsid w:val="009D3B01"/>
    <w:rsid w:val="009D3E84"/>
    <w:rsid w:val="009D3EFB"/>
    <w:rsid w:val="009D5C9F"/>
    <w:rsid w:val="009D71B1"/>
    <w:rsid w:val="009D7574"/>
    <w:rsid w:val="009E1201"/>
    <w:rsid w:val="009E22FA"/>
    <w:rsid w:val="009E3AC7"/>
    <w:rsid w:val="009E7FFE"/>
    <w:rsid w:val="009F0B57"/>
    <w:rsid w:val="009F1160"/>
    <w:rsid w:val="009F11F4"/>
    <w:rsid w:val="009F383B"/>
    <w:rsid w:val="009F4FA7"/>
    <w:rsid w:val="009F50E4"/>
    <w:rsid w:val="009F6C4B"/>
    <w:rsid w:val="009F70C8"/>
    <w:rsid w:val="00A07BAE"/>
    <w:rsid w:val="00A11D28"/>
    <w:rsid w:val="00A12196"/>
    <w:rsid w:val="00A1427E"/>
    <w:rsid w:val="00A142BF"/>
    <w:rsid w:val="00A17F13"/>
    <w:rsid w:val="00A20118"/>
    <w:rsid w:val="00A23BAC"/>
    <w:rsid w:val="00A24292"/>
    <w:rsid w:val="00A254C8"/>
    <w:rsid w:val="00A259A5"/>
    <w:rsid w:val="00A2660B"/>
    <w:rsid w:val="00A32B65"/>
    <w:rsid w:val="00A33071"/>
    <w:rsid w:val="00A34D98"/>
    <w:rsid w:val="00A366AC"/>
    <w:rsid w:val="00A40B30"/>
    <w:rsid w:val="00A42BDE"/>
    <w:rsid w:val="00A44ECE"/>
    <w:rsid w:val="00A4500E"/>
    <w:rsid w:val="00A45EFF"/>
    <w:rsid w:val="00A477FC"/>
    <w:rsid w:val="00A47FE9"/>
    <w:rsid w:val="00A50D22"/>
    <w:rsid w:val="00A523D1"/>
    <w:rsid w:val="00A527ED"/>
    <w:rsid w:val="00A533C6"/>
    <w:rsid w:val="00A53A17"/>
    <w:rsid w:val="00A54EAB"/>
    <w:rsid w:val="00A578B6"/>
    <w:rsid w:val="00A600F7"/>
    <w:rsid w:val="00A60983"/>
    <w:rsid w:val="00A61985"/>
    <w:rsid w:val="00A61AC6"/>
    <w:rsid w:val="00A6237B"/>
    <w:rsid w:val="00A63966"/>
    <w:rsid w:val="00A65D93"/>
    <w:rsid w:val="00A65E29"/>
    <w:rsid w:val="00A67694"/>
    <w:rsid w:val="00A67725"/>
    <w:rsid w:val="00A70405"/>
    <w:rsid w:val="00A70F4C"/>
    <w:rsid w:val="00A74393"/>
    <w:rsid w:val="00A7448C"/>
    <w:rsid w:val="00A771CD"/>
    <w:rsid w:val="00A77EBF"/>
    <w:rsid w:val="00A82753"/>
    <w:rsid w:val="00A82B49"/>
    <w:rsid w:val="00A84BBB"/>
    <w:rsid w:val="00A858EA"/>
    <w:rsid w:val="00A85BEE"/>
    <w:rsid w:val="00A86EAD"/>
    <w:rsid w:val="00A90659"/>
    <w:rsid w:val="00A935B9"/>
    <w:rsid w:val="00A93EC4"/>
    <w:rsid w:val="00A94F38"/>
    <w:rsid w:val="00A95183"/>
    <w:rsid w:val="00A966BA"/>
    <w:rsid w:val="00AA01D9"/>
    <w:rsid w:val="00AA0767"/>
    <w:rsid w:val="00AA1EA0"/>
    <w:rsid w:val="00AA380C"/>
    <w:rsid w:val="00AA409C"/>
    <w:rsid w:val="00AA4198"/>
    <w:rsid w:val="00AA54A2"/>
    <w:rsid w:val="00AA5787"/>
    <w:rsid w:val="00AA5F97"/>
    <w:rsid w:val="00AA6475"/>
    <w:rsid w:val="00AB09C1"/>
    <w:rsid w:val="00AB20D6"/>
    <w:rsid w:val="00AB2686"/>
    <w:rsid w:val="00AB2F51"/>
    <w:rsid w:val="00AB3042"/>
    <w:rsid w:val="00AB4B70"/>
    <w:rsid w:val="00AB7116"/>
    <w:rsid w:val="00AC02CB"/>
    <w:rsid w:val="00AC29D4"/>
    <w:rsid w:val="00AC3190"/>
    <w:rsid w:val="00AC3819"/>
    <w:rsid w:val="00AC5742"/>
    <w:rsid w:val="00AC6579"/>
    <w:rsid w:val="00AC6A64"/>
    <w:rsid w:val="00AC6FC1"/>
    <w:rsid w:val="00AD2EA3"/>
    <w:rsid w:val="00AD339E"/>
    <w:rsid w:val="00AD6110"/>
    <w:rsid w:val="00AE1184"/>
    <w:rsid w:val="00AE32C1"/>
    <w:rsid w:val="00AE4C2B"/>
    <w:rsid w:val="00AE4F49"/>
    <w:rsid w:val="00AE62BA"/>
    <w:rsid w:val="00AE6488"/>
    <w:rsid w:val="00AF1536"/>
    <w:rsid w:val="00AF2003"/>
    <w:rsid w:val="00AF2B23"/>
    <w:rsid w:val="00AF6559"/>
    <w:rsid w:val="00B04E36"/>
    <w:rsid w:val="00B108A2"/>
    <w:rsid w:val="00B1278F"/>
    <w:rsid w:val="00B16102"/>
    <w:rsid w:val="00B17D93"/>
    <w:rsid w:val="00B20A0D"/>
    <w:rsid w:val="00B22864"/>
    <w:rsid w:val="00B259E7"/>
    <w:rsid w:val="00B25D43"/>
    <w:rsid w:val="00B25F0A"/>
    <w:rsid w:val="00B27E00"/>
    <w:rsid w:val="00B30A91"/>
    <w:rsid w:val="00B31163"/>
    <w:rsid w:val="00B342CA"/>
    <w:rsid w:val="00B35569"/>
    <w:rsid w:val="00B355BD"/>
    <w:rsid w:val="00B37093"/>
    <w:rsid w:val="00B404FA"/>
    <w:rsid w:val="00B40E1D"/>
    <w:rsid w:val="00B43BBA"/>
    <w:rsid w:val="00B4782D"/>
    <w:rsid w:val="00B56D2E"/>
    <w:rsid w:val="00B615E3"/>
    <w:rsid w:val="00B629F2"/>
    <w:rsid w:val="00B632E1"/>
    <w:rsid w:val="00B63EBD"/>
    <w:rsid w:val="00B6485E"/>
    <w:rsid w:val="00B702EF"/>
    <w:rsid w:val="00B714BE"/>
    <w:rsid w:val="00B725EB"/>
    <w:rsid w:val="00B75912"/>
    <w:rsid w:val="00B76555"/>
    <w:rsid w:val="00B765C7"/>
    <w:rsid w:val="00B765DE"/>
    <w:rsid w:val="00B7662E"/>
    <w:rsid w:val="00B76741"/>
    <w:rsid w:val="00B77BB4"/>
    <w:rsid w:val="00B802AD"/>
    <w:rsid w:val="00B817B5"/>
    <w:rsid w:val="00B81C41"/>
    <w:rsid w:val="00B84A96"/>
    <w:rsid w:val="00B85664"/>
    <w:rsid w:val="00B86F39"/>
    <w:rsid w:val="00B87103"/>
    <w:rsid w:val="00B90ADB"/>
    <w:rsid w:val="00B91CAB"/>
    <w:rsid w:val="00B92E5B"/>
    <w:rsid w:val="00B931CC"/>
    <w:rsid w:val="00B939AD"/>
    <w:rsid w:val="00B94FCF"/>
    <w:rsid w:val="00B978A6"/>
    <w:rsid w:val="00B97BA8"/>
    <w:rsid w:val="00BA35F2"/>
    <w:rsid w:val="00BA442F"/>
    <w:rsid w:val="00BA5212"/>
    <w:rsid w:val="00BA5590"/>
    <w:rsid w:val="00BA65DA"/>
    <w:rsid w:val="00BA6A3F"/>
    <w:rsid w:val="00BB13B3"/>
    <w:rsid w:val="00BB15CB"/>
    <w:rsid w:val="00BB41F9"/>
    <w:rsid w:val="00BB4A66"/>
    <w:rsid w:val="00BB5B39"/>
    <w:rsid w:val="00BB5EC3"/>
    <w:rsid w:val="00BB78D6"/>
    <w:rsid w:val="00BB7F47"/>
    <w:rsid w:val="00BB7F63"/>
    <w:rsid w:val="00BC1312"/>
    <w:rsid w:val="00BC1B32"/>
    <w:rsid w:val="00BC1E86"/>
    <w:rsid w:val="00BC3E56"/>
    <w:rsid w:val="00BC5242"/>
    <w:rsid w:val="00BC7557"/>
    <w:rsid w:val="00BD28D3"/>
    <w:rsid w:val="00BD2CFE"/>
    <w:rsid w:val="00BD4E07"/>
    <w:rsid w:val="00BD560B"/>
    <w:rsid w:val="00BD7FB8"/>
    <w:rsid w:val="00BE074E"/>
    <w:rsid w:val="00BE1CB7"/>
    <w:rsid w:val="00BE24DA"/>
    <w:rsid w:val="00BE43DF"/>
    <w:rsid w:val="00BE4ADC"/>
    <w:rsid w:val="00BE5CC4"/>
    <w:rsid w:val="00BF1181"/>
    <w:rsid w:val="00BF17AA"/>
    <w:rsid w:val="00BF21A9"/>
    <w:rsid w:val="00BF23FB"/>
    <w:rsid w:val="00BF3825"/>
    <w:rsid w:val="00BF40DB"/>
    <w:rsid w:val="00BF5CFD"/>
    <w:rsid w:val="00BF76C3"/>
    <w:rsid w:val="00C00C56"/>
    <w:rsid w:val="00C01259"/>
    <w:rsid w:val="00C048C5"/>
    <w:rsid w:val="00C05115"/>
    <w:rsid w:val="00C06650"/>
    <w:rsid w:val="00C070F3"/>
    <w:rsid w:val="00C10427"/>
    <w:rsid w:val="00C1260B"/>
    <w:rsid w:val="00C1436B"/>
    <w:rsid w:val="00C144D3"/>
    <w:rsid w:val="00C163BC"/>
    <w:rsid w:val="00C17371"/>
    <w:rsid w:val="00C1761D"/>
    <w:rsid w:val="00C17D45"/>
    <w:rsid w:val="00C21196"/>
    <w:rsid w:val="00C23C8B"/>
    <w:rsid w:val="00C2515A"/>
    <w:rsid w:val="00C251A0"/>
    <w:rsid w:val="00C30AF8"/>
    <w:rsid w:val="00C3183C"/>
    <w:rsid w:val="00C32684"/>
    <w:rsid w:val="00C3294A"/>
    <w:rsid w:val="00C339DB"/>
    <w:rsid w:val="00C33E9E"/>
    <w:rsid w:val="00C34BF2"/>
    <w:rsid w:val="00C34E82"/>
    <w:rsid w:val="00C367AE"/>
    <w:rsid w:val="00C369E6"/>
    <w:rsid w:val="00C36B0C"/>
    <w:rsid w:val="00C415CB"/>
    <w:rsid w:val="00C41C18"/>
    <w:rsid w:val="00C420B8"/>
    <w:rsid w:val="00C42B22"/>
    <w:rsid w:val="00C42BAF"/>
    <w:rsid w:val="00C4406C"/>
    <w:rsid w:val="00C4440A"/>
    <w:rsid w:val="00C446FE"/>
    <w:rsid w:val="00C45C3B"/>
    <w:rsid w:val="00C55C37"/>
    <w:rsid w:val="00C57BF2"/>
    <w:rsid w:val="00C63AB8"/>
    <w:rsid w:val="00C63E6B"/>
    <w:rsid w:val="00C67644"/>
    <w:rsid w:val="00C67F28"/>
    <w:rsid w:val="00C73AC7"/>
    <w:rsid w:val="00C75DD8"/>
    <w:rsid w:val="00C80228"/>
    <w:rsid w:val="00C81B93"/>
    <w:rsid w:val="00C82E78"/>
    <w:rsid w:val="00C84375"/>
    <w:rsid w:val="00C86340"/>
    <w:rsid w:val="00C879BA"/>
    <w:rsid w:val="00C87A06"/>
    <w:rsid w:val="00C91E86"/>
    <w:rsid w:val="00C92A83"/>
    <w:rsid w:val="00C93140"/>
    <w:rsid w:val="00C94721"/>
    <w:rsid w:val="00C954A4"/>
    <w:rsid w:val="00C97E15"/>
    <w:rsid w:val="00CA01F7"/>
    <w:rsid w:val="00CA069A"/>
    <w:rsid w:val="00CA1140"/>
    <w:rsid w:val="00CA2588"/>
    <w:rsid w:val="00CA2CB6"/>
    <w:rsid w:val="00CA4A3D"/>
    <w:rsid w:val="00CA61DB"/>
    <w:rsid w:val="00CA6684"/>
    <w:rsid w:val="00CA714C"/>
    <w:rsid w:val="00CB5517"/>
    <w:rsid w:val="00CB57BD"/>
    <w:rsid w:val="00CC2C07"/>
    <w:rsid w:val="00CC3518"/>
    <w:rsid w:val="00CC3D5A"/>
    <w:rsid w:val="00CC6289"/>
    <w:rsid w:val="00CC6997"/>
    <w:rsid w:val="00CD17AB"/>
    <w:rsid w:val="00CD67F1"/>
    <w:rsid w:val="00CD6F8E"/>
    <w:rsid w:val="00CD7F51"/>
    <w:rsid w:val="00CD7FD2"/>
    <w:rsid w:val="00CE09C0"/>
    <w:rsid w:val="00CE3043"/>
    <w:rsid w:val="00CE3DC9"/>
    <w:rsid w:val="00CE6607"/>
    <w:rsid w:val="00CF02AE"/>
    <w:rsid w:val="00CF11BF"/>
    <w:rsid w:val="00CF1BDE"/>
    <w:rsid w:val="00CF35E3"/>
    <w:rsid w:val="00CF4B4E"/>
    <w:rsid w:val="00D06079"/>
    <w:rsid w:val="00D0751F"/>
    <w:rsid w:val="00D07C93"/>
    <w:rsid w:val="00D114C1"/>
    <w:rsid w:val="00D11D30"/>
    <w:rsid w:val="00D12EA1"/>
    <w:rsid w:val="00D13D62"/>
    <w:rsid w:val="00D14726"/>
    <w:rsid w:val="00D1536C"/>
    <w:rsid w:val="00D160F4"/>
    <w:rsid w:val="00D200EA"/>
    <w:rsid w:val="00D2335F"/>
    <w:rsid w:val="00D23B06"/>
    <w:rsid w:val="00D26EFA"/>
    <w:rsid w:val="00D27012"/>
    <w:rsid w:val="00D278DF"/>
    <w:rsid w:val="00D27C67"/>
    <w:rsid w:val="00D27EDD"/>
    <w:rsid w:val="00D30379"/>
    <w:rsid w:val="00D316C9"/>
    <w:rsid w:val="00D31702"/>
    <w:rsid w:val="00D3270D"/>
    <w:rsid w:val="00D32D80"/>
    <w:rsid w:val="00D33ACA"/>
    <w:rsid w:val="00D33F62"/>
    <w:rsid w:val="00D34A8E"/>
    <w:rsid w:val="00D34FD3"/>
    <w:rsid w:val="00D35498"/>
    <w:rsid w:val="00D37D57"/>
    <w:rsid w:val="00D37DA6"/>
    <w:rsid w:val="00D40116"/>
    <w:rsid w:val="00D425BE"/>
    <w:rsid w:val="00D42CC7"/>
    <w:rsid w:val="00D44E56"/>
    <w:rsid w:val="00D5049D"/>
    <w:rsid w:val="00D60100"/>
    <w:rsid w:val="00D60A0E"/>
    <w:rsid w:val="00D6115F"/>
    <w:rsid w:val="00D61233"/>
    <w:rsid w:val="00D61431"/>
    <w:rsid w:val="00D654DF"/>
    <w:rsid w:val="00D6649E"/>
    <w:rsid w:val="00D66AD7"/>
    <w:rsid w:val="00D66F03"/>
    <w:rsid w:val="00D700C5"/>
    <w:rsid w:val="00D71B82"/>
    <w:rsid w:val="00D71E41"/>
    <w:rsid w:val="00D729FA"/>
    <w:rsid w:val="00D73DD4"/>
    <w:rsid w:val="00D7423D"/>
    <w:rsid w:val="00D745FC"/>
    <w:rsid w:val="00D76903"/>
    <w:rsid w:val="00D8026F"/>
    <w:rsid w:val="00D8080B"/>
    <w:rsid w:val="00D80EB0"/>
    <w:rsid w:val="00D817FC"/>
    <w:rsid w:val="00D820FC"/>
    <w:rsid w:val="00D848F2"/>
    <w:rsid w:val="00D84EAE"/>
    <w:rsid w:val="00D90798"/>
    <w:rsid w:val="00D94E5F"/>
    <w:rsid w:val="00D96105"/>
    <w:rsid w:val="00DA0B5D"/>
    <w:rsid w:val="00DA1E44"/>
    <w:rsid w:val="00DA1F04"/>
    <w:rsid w:val="00DA27C2"/>
    <w:rsid w:val="00DA4775"/>
    <w:rsid w:val="00DA7245"/>
    <w:rsid w:val="00DB1DA1"/>
    <w:rsid w:val="00DB71F0"/>
    <w:rsid w:val="00DC0597"/>
    <w:rsid w:val="00DC1495"/>
    <w:rsid w:val="00DC4908"/>
    <w:rsid w:val="00DC6667"/>
    <w:rsid w:val="00DC7792"/>
    <w:rsid w:val="00DD0DB1"/>
    <w:rsid w:val="00DD2377"/>
    <w:rsid w:val="00DD399D"/>
    <w:rsid w:val="00DD4D6C"/>
    <w:rsid w:val="00DD6088"/>
    <w:rsid w:val="00DD6396"/>
    <w:rsid w:val="00DD6519"/>
    <w:rsid w:val="00DD6C2B"/>
    <w:rsid w:val="00DD7E8C"/>
    <w:rsid w:val="00DE0BD4"/>
    <w:rsid w:val="00DE0D1D"/>
    <w:rsid w:val="00DE1C3D"/>
    <w:rsid w:val="00DE2217"/>
    <w:rsid w:val="00DE330E"/>
    <w:rsid w:val="00DE480F"/>
    <w:rsid w:val="00DF0BCC"/>
    <w:rsid w:val="00DF0C0A"/>
    <w:rsid w:val="00DF133D"/>
    <w:rsid w:val="00DF14F4"/>
    <w:rsid w:val="00DF1708"/>
    <w:rsid w:val="00DF21B3"/>
    <w:rsid w:val="00DF29E3"/>
    <w:rsid w:val="00DF4A6F"/>
    <w:rsid w:val="00DF6518"/>
    <w:rsid w:val="00DF66D6"/>
    <w:rsid w:val="00DF78C1"/>
    <w:rsid w:val="00E00165"/>
    <w:rsid w:val="00E01DD6"/>
    <w:rsid w:val="00E03ABF"/>
    <w:rsid w:val="00E05E97"/>
    <w:rsid w:val="00E127E9"/>
    <w:rsid w:val="00E14FF3"/>
    <w:rsid w:val="00E16A46"/>
    <w:rsid w:val="00E17876"/>
    <w:rsid w:val="00E17974"/>
    <w:rsid w:val="00E17C88"/>
    <w:rsid w:val="00E2134F"/>
    <w:rsid w:val="00E21923"/>
    <w:rsid w:val="00E22AB5"/>
    <w:rsid w:val="00E244AD"/>
    <w:rsid w:val="00E26DB1"/>
    <w:rsid w:val="00E2760C"/>
    <w:rsid w:val="00E30F77"/>
    <w:rsid w:val="00E401B5"/>
    <w:rsid w:val="00E45B49"/>
    <w:rsid w:val="00E45D98"/>
    <w:rsid w:val="00E50F7B"/>
    <w:rsid w:val="00E52BC1"/>
    <w:rsid w:val="00E551F7"/>
    <w:rsid w:val="00E560A3"/>
    <w:rsid w:val="00E5610E"/>
    <w:rsid w:val="00E56328"/>
    <w:rsid w:val="00E5750D"/>
    <w:rsid w:val="00E606ED"/>
    <w:rsid w:val="00E62935"/>
    <w:rsid w:val="00E64CB2"/>
    <w:rsid w:val="00E6520C"/>
    <w:rsid w:val="00E65CDF"/>
    <w:rsid w:val="00E660AF"/>
    <w:rsid w:val="00E664D1"/>
    <w:rsid w:val="00E70575"/>
    <w:rsid w:val="00E73197"/>
    <w:rsid w:val="00E732EB"/>
    <w:rsid w:val="00E73E0C"/>
    <w:rsid w:val="00E762F2"/>
    <w:rsid w:val="00E76E8D"/>
    <w:rsid w:val="00E77958"/>
    <w:rsid w:val="00E8067A"/>
    <w:rsid w:val="00E806F5"/>
    <w:rsid w:val="00E80A2A"/>
    <w:rsid w:val="00E80D4F"/>
    <w:rsid w:val="00E868B3"/>
    <w:rsid w:val="00E86FB0"/>
    <w:rsid w:val="00E90674"/>
    <w:rsid w:val="00E913B4"/>
    <w:rsid w:val="00E93A49"/>
    <w:rsid w:val="00E93C3F"/>
    <w:rsid w:val="00E953F7"/>
    <w:rsid w:val="00E9558F"/>
    <w:rsid w:val="00E9564C"/>
    <w:rsid w:val="00E963DB"/>
    <w:rsid w:val="00E96826"/>
    <w:rsid w:val="00EA0247"/>
    <w:rsid w:val="00EA054C"/>
    <w:rsid w:val="00EA0E17"/>
    <w:rsid w:val="00EA25A5"/>
    <w:rsid w:val="00EA3BB4"/>
    <w:rsid w:val="00EB03DD"/>
    <w:rsid w:val="00EB21E8"/>
    <w:rsid w:val="00EB6E3A"/>
    <w:rsid w:val="00EB7618"/>
    <w:rsid w:val="00EC1A48"/>
    <w:rsid w:val="00EC2C1C"/>
    <w:rsid w:val="00EC3EBC"/>
    <w:rsid w:val="00EC57EC"/>
    <w:rsid w:val="00EC6B9A"/>
    <w:rsid w:val="00ED3EBE"/>
    <w:rsid w:val="00ED50A8"/>
    <w:rsid w:val="00ED512C"/>
    <w:rsid w:val="00ED542B"/>
    <w:rsid w:val="00ED6C42"/>
    <w:rsid w:val="00ED7032"/>
    <w:rsid w:val="00ED7B14"/>
    <w:rsid w:val="00EE1239"/>
    <w:rsid w:val="00EE34AF"/>
    <w:rsid w:val="00EE674C"/>
    <w:rsid w:val="00EE700C"/>
    <w:rsid w:val="00EF0662"/>
    <w:rsid w:val="00EF307B"/>
    <w:rsid w:val="00EF4614"/>
    <w:rsid w:val="00F00B7A"/>
    <w:rsid w:val="00F01B7E"/>
    <w:rsid w:val="00F02090"/>
    <w:rsid w:val="00F04873"/>
    <w:rsid w:val="00F04C66"/>
    <w:rsid w:val="00F05B2E"/>
    <w:rsid w:val="00F10429"/>
    <w:rsid w:val="00F11DC4"/>
    <w:rsid w:val="00F1367A"/>
    <w:rsid w:val="00F13C76"/>
    <w:rsid w:val="00F14857"/>
    <w:rsid w:val="00F155F8"/>
    <w:rsid w:val="00F1594C"/>
    <w:rsid w:val="00F15DE7"/>
    <w:rsid w:val="00F163BE"/>
    <w:rsid w:val="00F20560"/>
    <w:rsid w:val="00F215E4"/>
    <w:rsid w:val="00F21EC5"/>
    <w:rsid w:val="00F323D6"/>
    <w:rsid w:val="00F327DB"/>
    <w:rsid w:val="00F3447F"/>
    <w:rsid w:val="00F36056"/>
    <w:rsid w:val="00F3654D"/>
    <w:rsid w:val="00F378B9"/>
    <w:rsid w:val="00F404AB"/>
    <w:rsid w:val="00F42182"/>
    <w:rsid w:val="00F42D5E"/>
    <w:rsid w:val="00F44382"/>
    <w:rsid w:val="00F44590"/>
    <w:rsid w:val="00F52486"/>
    <w:rsid w:val="00F52667"/>
    <w:rsid w:val="00F53591"/>
    <w:rsid w:val="00F53B53"/>
    <w:rsid w:val="00F5459E"/>
    <w:rsid w:val="00F554A3"/>
    <w:rsid w:val="00F56F8F"/>
    <w:rsid w:val="00F578C9"/>
    <w:rsid w:val="00F60800"/>
    <w:rsid w:val="00F61A24"/>
    <w:rsid w:val="00F65511"/>
    <w:rsid w:val="00F65AA2"/>
    <w:rsid w:val="00F67985"/>
    <w:rsid w:val="00F700FA"/>
    <w:rsid w:val="00F70A04"/>
    <w:rsid w:val="00F751DD"/>
    <w:rsid w:val="00F7525F"/>
    <w:rsid w:val="00F76618"/>
    <w:rsid w:val="00F77675"/>
    <w:rsid w:val="00F81002"/>
    <w:rsid w:val="00F8168A"/>
    <w:rsid w:val="00F8289E"/>
    <w:rsid w:val="00F872B9"/>
    <w:rsid w:val="00F873E8"/>
    <w:rsid w:val="00F91408"/>
    <w:rsid w:val="00F915DA"/>
    <w:rsid w:val="00F916B4"/>
    <w:rsid w:val="00F93F6A"/>
    <w:rsid w:val="00F966EC"/>
    <w:rsid w:val="00FA0978"/>
    <w:rsid w:val="00FA2797"/>
    <w:rsid w:val="00FA3848"/>
    <w:rsid w:val="00FA3F28"/>
    <w:rsid w:val="00FA4A60"/>
    <w:rsid w:val="00FA5932"/>
    <w:rsid w:val="00FA67F7"/>
    <w:rsid w:val="00FB0FE7"/>
    <w:rsid w:val="00FB28F7"/>
    <w:rsid w:val="00FB2C9C"/>
    <w:rsid w:val="00FB2E94"/>
    <w:rsid w:val="00FB3FE4"/>
    <w:rsid w:val="00FB5C46"/>
    <w:rsid w:val="00FB78A3"/>
    <w:rsid w:val="00FC0C32"/>
    <w:rsid w:val="00FC4E4A"/>
    <w:rsid w:val="00FC6885"/>
    <w:rsid w:val="00FD01F1"/>
    <w:rsid w:val="00FD0F0B"/>
    <w:rsid w:val="00FD13B7"/>
    <w:rsid w:val="00FD141C"/>
    <w:rsid w:val="00FD2FC2"/>
    <w:rsid w:val="00FD50E8"/>
    <w:rsid w:val="00FD53DA"/>
    <w:rsid w:val="00FD5A0B"/>
    <w:rsid w:val="00FE0301"/>
    <w:rsid w:val="00FE5368"/>
    <w:rsid w:val="00FE5FF1"/>
    <w:rsid w:val="00FF466E"/>
    <w:rsid w:val="00FF4D9E"/>
    <w:rsid w:val="00FF6D40"/>
    <w:rsid w:val="01067C6D"/>
    <w:rsid w:val="011956F4"/>
    <w:rsid w:val="014B7E6E"/>
    <w:rsid w:val="01585C28"/>
    <w:rsid w:val="0159126E"/>
    <w:rsid w:val="016C0FA1"/>
    <w:rsid w:val="01967958"/>
    <w:rsid w:val="01C21423"/>
    <w:rsid w:val="01FF29AC"/>
    <w:rsid w:val="020935ED"/>
    <w:rsid w:val="020961A1"/>
    <w:rsid w:val="02443CCC"/>
    <w:rsid w:val="0244742A"/>
    <w:rsid w:val="024A1C35"/>
    <w:rsid w:val="0252098B"/>
    <w:rsid w:val="02A143D0"/>
    <w:rsid w:val="02F45ACF"/>
    <w:rsid w:val="031C36CD"/>
    <w:rsid w:val="0360570B"/>
    <w:rsid w:val="03795BF7"/>
    <w:rsid w:val="037D56E7"/>
    <w:rsid w:val="03813C3D"/>
    <w:rsid w:val="039322B4"/>
    <w:rsid w:val="040614EC"/>
    <w:rsid w:val="04375EC0"/>
    <w:rsid w:val="0465449E"/>
    <w:rsid w:val="04690E60"/>
    <w:rsid w:val="04C255C7"/>
    <w:rsid w:val="04C74740"/>
    <w:rsid w:val="04CD3744"/>
    <w:rsid w:val="04EE337B"/>
    <w:rsid w:val="04F4358F"/>
    <w:rsid w:val="05136426"/>
    <w:rsid w:val="052B6870"/>
    <w:rsid w:val="056F17B0"/>
    <w:rsid w:val="0598453C"/>
    <w:rsid w:val="05BD5E4A"/>
    <w:rsid w:val="0600172C"/>
    <w:rsid w:val="060E42D1"/>
    <w:rsid w:val="06295DB5"/>
    <w:rsid w:val="064A7F17"/>
    <w:rsid w:val="068A07C9"/>
    <w:rsid w:val="068E73D3"/>
    <w:rsid w:val="06A20FC1"/>
    <w:rsid w:val="06D407C4"/>
    <w:rsid w:val="06F20536"/>
    <w:rsid w:val="06F57DB9"/>
    <w:rsid w:val="073B4E77"/>
    <w:rsid w:val="07770226"/>
    <w:rsid w:val="07802CB0"/>
    <w:rsid w:val="07FE6CC8"/>
    <w:rsid w:val="081319C1"/>
    <w:rsid w:val="082219A2"/>
    <w:rsid w:val="0841392F"/>
    <w:rsid w:val="08872B64"/>
    <w:rsid w:val="08A93E68"/>
    <w:rsid w:val="08E04023"/>
    <w:rsid w:val="08E27D9B"/>
    <w:rsid w:val="0910543C"/>
    <w:rsid w:val="095D58D4"/>
    <w:rsid w:val="095F2FB8"/>
    <w:rsid w:val="0992356F"/>
    <w:rsid w:val="09AA058F"/>
    <w:rsid w:val="09C921F2"/>
    <w:rsid w:val="0A116C63"/>
    <w:rsid w:val="0A540E79"/>
    <w:rsid w:val="0A672CC9"/>
    <w:rsid w:val="0A6F7B5F"/>
    <w:rsid w:val="0AA07A1C"/>
    <w:rsid w:val="0AAC04B8"/>
    <w:rsid w:val="0ABB2844"/>
    <w:rsid w:val="0B136931"/>
    <w:rsid w:val="0B397784"/>
    <w:rsid w:val="0B3E03D4"/>
    <w:rsid w:val="0B833D61"/>
    <w:rsid w:val="0C1318F2"/>
    <w:rsid w:val="0C310148"/>
    <w:rsid w:val="0C7666AA"/>
    <w:rsid w:val="0C9D2956"/>
    <w:rsid w:val="0CAD5BD8"/>
    <w:rsid w:val="0CD14BC0"/>
    <w:rsid w:val="0CE45DC8"/>
    <w:rsid w:val="0D662D48"/>
    <w:rsid w:val="0D8F24F2"/>
    <w:rsid w:val="0DD82D35"/>
    <w:rsid w:val="0E01048D"/>
    <w:rsid w:val="0E035B28"/>
    <w:rsid w:val="0E076D8C"/>
    <w:rsid w:val="0E462F5C"/>
    <w:rsid w:val="0E48359D"/>
    <w:rsid w:val="0EE20AF5"/>
    <w:rsid w:val="0F001A17"/>
    <w:rsid w:val="0F7641D1"/>
    <w:rsid w:val="0F7E7576"/>
    <w:rsid w:val="102A7BBD"/>
    <w:rsid w:val="107E2A9F"/>
    <w:rsid w:val="10835994"/>
    <w:rsid w:val="10DD5A17"/>
    <w:rsid w:val="112137C2"/>
    <w:rsid w:val="11371402"/>
    <w:rsid w:val="11495913"/>
    <w:rsid w:val="116425C0"/>
    <w:rsid w:val="11D97DE0"/>
    <w:rsid w:val="11EB18F0"/>
    <w:rsid w:val="11EB7CC0"/>
    <w:rsid w:val="11FC4931"/>
    <w:rsid w:val="123009B5"/>
    <w:rsid w:val="12C1412E"/>
    <w:rsid w:val="130D0523"/>
    <w:rsid w:val="131971D7"/>
    <w:rsid w:val="131D1D9C"/>
    <w:rsid w:val="13571A4C"/>
    <w:rsid w:val="136207CB"/>
    <w:rsid w:val="1379528F"/>
    <w:rsid w:val="13862003"/>
    <w:rsid w:val="139520CD"/>
    <w:rsid w:val="13960275"/>
    <w:rsid w:val="13A33595"/>
    <w:rsid w:val="13C33AA4"/>
    <w:rsid w:val="13CC2020"/>
    <w:rsid w:val="13E57109"/>
    <w:rsid w:val="13F67DFD"/>
    <w:rsid w:val="13FD1084"/>
    <w:rsid w:val="140C01B6"/>
    <w:rsid w:val="14106DF2"/>
    <w:rsid w:val="14211375"/>
    <w:rsid w:val="14356CB9"/>
    <w:rsid w:val="144F1572"/>
    <w:rsid w:val="144F6A13"/>
    <w:rsid w:val="14E8308C"/>
    <w:rsid w:val="15116D2C"/>
    <w:rsid w:val="153C6A85"/>
    <w:rsid w:val="153E0A4F"/>
    <w:rsid w:val="15890CA6"/>
    <w:rsid w:val="159D39C7"/>
    <w:rsid w:val="15A27B86"/>
    <w:rsid w:val="15BE1696"/>
    <w:rsid w:val="15C01464"/>
    <w:rsid w:val="15DE5F92"/>
    <w:rsid w:val="160D70CC"/>
    <w:rsid w:val="167475D3"/>
    <w:rsid w:val="16BD3EB8"/>
    <w:rsid w:val="16C805D0"/>
    <w:rsid w:val="172B6374"/>
    <w:rsid w:val="173322B0"/>
    <w:rsid w:val="176E5996"/>
    <w:rsid w:val="1776002C"/>
    <w:rsid w:val="17A133F8"/>
    <w:rsid w:val="17A378CD"/>
    <w:rsid w:val="17B69C9A"/>
    <w:rsid w:val="1816180F"/>
    <w:rsid w:val="181B6E25"/>
    <w:rsid w:val="1824217E"/>
    <w:rsid w:val="18493992"/>
    <w:rsid w:val="18995527"/>
    <w:rsid w:val="190761FA"/>
    <w:rsid w:val="1998580B"/>
    <w:rsid w:val="19BD34E9"/>
    <w:rsid w:val="19BF3EDF"/>
    <w:rsid w:val="19D26F99"/>
    <w:rsid w:val="1A1D4A3B"/>
    <w:rsid w:val="1A2202E0"/>
    <w:rsid w:val="1A270BFE"/>
    <w:rsid w:val="1A3768B4"/>
    <w:rsid w:val="1A6B03D4"/>
    <w:rsid w:val="1A8C5DB8"/>
    <w:rsid w:val="1AF6657F"/>
    <w:rsid w:val="1AFC1730"/>
    <w:rsid w:val="1AFF0356"/>
    <w:rsid w:val="1B337243"/>
    <w:rsid w:val="1B444488"/>
    <w:rsid w:val="1B8327C8"/>
    <w:rsid w:val="1B85284F"/>
    <w:rsid w:val="1B8F77A5"/>
    <w:rsid w:val="1B917B2A"/>
    <w:rsid w:val="1BA0219E"/>
    <w:rsid w:val="1BC97423"/>
    <w:rsid w:val="1BE22969"/>
    <w:rsid w:val="1C567043"/>
    <w:rsid w:val="1C8354AF"/>
    <w:rsid w:val="1CA90EA4"/>
    <w:rsid w:val="1CAB2D55"/>
    <w:rsid w:val="1D0608B0"/>
    <w:rsid w:val="1D0B56BA"/>
    <w:rsid w:val="1D175AE2"/>
    <w:rsid w:val="1D23278B"/>
    <w:rsid w:val="1D5C2716"/>
    <w:rsid w:val="1D5D0510"/>
    <w:rsid w:val="1DB923D9"/>
    <w:rsid w:val="1DC87965"/>
    <w:rsid w:val="1DFB719B"/>
    <w:rsid w:val="1E206F43"/>
    <w:rsid w:val="1E26505A"/>
    <w:rsid w:val="1E340C41"/>
    <w:rsid w:val="1E734EF3"/>
    <w:rsid w:val="1EA025CB"/>
    <w:rsid w:val="1EB31068"/>
    <w:rsid w:val="1EDC72B0"/>
    <w:rsid w:val="1EF60F8D"/>
    <w:rsid w:val="1EFC46AB"/>
    <w:rsid w:val="1F1545CE"/>
    <w:rsid w:val="1F240CB5"/>
    <w:rsid w:val="1F357562"/>
    <w:rsid w:val="1F680C74"/>
    <w:rsid w:val="1F6920E8"/>
    <w:rsid w:val="1F77A22F"/>
    <w:rsid w:val="1F922433"/>
    <w:rsid w:val="1F9E3DCB"/>
    <w:rsid w:val="1F9F7862"/>
    <w:rsid w:val="1FBF453A"/>
    <w:rsid w:val="1FED8CE8"/>
    <w:rsid w:val="1FF22B62"/>
    <w:rsid w:val="2002519B"/>
    <w:rsid w:val="203413CD"/>
    <w:rsid w:val="205331C7"/>
    <w:rsid w:val="20684DD7"/>
    <w:rsid w:val="20940162"/>
    <w:rsid w:val="20BC507A"/>
    <w:rsid w:val="20BC65C2"/>
    <w:rsid w:val="20C0459B"/>
    <w:rsid w:val="214F3D1D"/>
    <w:rsid w:val="21573A43"/>
    <w:rsid w:val="216A73CB"/>
    <w:rsid w:val="21894E00"/>
    <w:rsid w:val="21DA5DE6"/>
    <w:rsid w:val="221F5BAA"/>
    <w:rsid w:val="22391DDF"/>
    <w:rsid w:val="22485F16"/>
    <w:rsid w:val="224D0058"/>
    <w:rsid w:val="22517F9B"/>
    <w:rsid w:val="22626603"/>
    <w:rsid w:val="22EA6B37"/>
    <w:rsid w:val="23082C94"/>
    <w:rsid w:val="231150AD"/>
    <w:rsid w:val="232002B5"/>
    <w:rsid w:val="23683719"/>
    <w:rsid w:val="237D5B5C"/>
    <w:rsid w:val="23814F05"/>
    <w:rsid w:val="23A3150E"/>
    <w:rsid w:val="23B6453C"/>
    <w:rsid w:val="23E05F12"/>
    <w:rsid w:val="23E10F23"/>
    <w:rsid w:val="24507E57"/>
    <w:rsid w:val="24843761"/>
    <w:rsid w:val="24C34B21"/>
    <w:rsid w:val="24C774F3"/>
    <w:rsid w:val="24C92CD9"/>
    <w:rsid w:val="24EE5485"/>
    <w:rsid w:val="25475E94"/>
    <w:rsid w:val="255C563B"/>
    <w:rsid w:val="25A22934"/>
    <w:rsid w:val="25AE007B"/>
    <w:rsid w:val="25DC53BA"/>
    <w:rsid w:val="25F4065B"/>
    <w:rsid w:val="25FB20B3"/>
    <w:rsid w:val="26292C9A"/>
    <w:rsid w:val="26572E1C"/>
    <w:rsid w:val="268F476A"/>
    <w:rsid w:val="269F31BB"/>
    <w:rsid w:val="26A80AF7"/>
    <w:rsid w:val="26AA147D"/>
    <w:rsid w:val="26B858C1"/>
    <w:rsid w:val="272F5ACE"/>
    <w:rsid w:val="274A47B4"/>
    <w:rsid w:val="27615517"/>
    <w:rsid w:val="27764DB2"/>
    <w:rsid w:val="279D055D"/>
    <w:rsid w:val="279F7E72"/>
    <w:rsid w:val="27B36263"/>
    <w:rsid w:val="27CB42B5"/>
    <w:rsid w:val="27DA7E77"/>
    <w:rsid w:val="27F21951"/>
    <w:rsid w:val="27FE3810"/>
    <w:rsid w:val="281F0EC6"/>
    <w:rsid w:val="28263387"/>
    <w:rsid w:val="282A6D6A"/>
    <w:rsid w:val="282C5D87"/>
    <w:rsid w:val="28E90A12"/>
    <w:rsid w:val="290C4750"/>
    <w:rsid w:val="294E51D7"/>
    <w:rsid w:val="298C3D32"/>
    <w:rsid w:val="29B10446"/>
    <w:rsid w:val="29E74DB9"/>
    <w:rsid w:val="29EC5F28"/>
    <w:rsid w:val="2A081C27"/>
    <w:rsid w:val="2A1E1CC9"/>
    <w:rsid w:val="2A341B8D"/>
    <w:rsid w:val="2AC62E5A"/>
    <w:rsid w:val="2AEA62BD"/>
    <w:rsid w:val="2AFD334A"/>
    <w:rsid w:val="2B0B0644"/>
    <w:rsid w:val="2B191FF8"/>
    <w:rsid w:val="2B63457A"/>
    <w:rsid w:val="2B8E129B"/>
    <w:rsid w:val="2BB12161"/>
    <w:rsid w:val="2BB12526"/>
    <w:rsid w:val="2BC863B6"/>
    <w:rsid w:val="2BE8369F"/>
    <w:rsid w:val="2C00055A"/>
    <w:rsid w:val="2C347A64"/>
    <w:rsid w:val="2C575892"/>
    <w:rsid w:val="2C6916DD"/>
    <w:rsid w:val="2C772F38"/>
    <w:rsid w:val="2C9C62B3"/>
    <w:rsid w:val="2CAE7E10"/>
    <w:rsid w:val="2CE51A84"/>
    <w:rsid w:val="2CFB4412"/>
    <w:rsid w:val="2CFC1D11"/>
    <w:rsid w:val="2D0222AD"/>
    <w:rsid w:val="2D481D26"/>
    <w:rsid w:val="2E4D3ADC"/>
    <w:rsid w:val="2EAC3989"/>
    <w:rsid w:val="2ED21D11"/>
    <w:rsid w:val="2EEB06DD"/>
    <w:rsid w:val="2EFD2EFD"/>
    <w:rsid w:val="2F0B32F8"/>
    <w:rsid w:val="2F5538A6"/>
    <w:rsid w:val="2F634EE2"/>
    <w:rsid w:val="2F650DB1"/>
    <w:rsid w:val="2F656334"/>
    <w:rsid w:val="2F951AE7"/>
    <w:rsid w:val="2F9E56EB"/>
    <w:rsid w:val="2FA15A0A"/>
    <w:rsid w:val="2FA75BCE"/>
    <w:rsid w:val="2FAD0853"/>
    <w:rsid w:val="2FD933F6"/>
    <w:rsid w:val="2FE53B49"/>
    <w:rsid w:val="2FFFFA20"/>
    <w:rsid w:val="300102A6"/>
    <w:rsid w:val="30183682"/>
    <w:rsid w:val="302C5A80"/>
    <w:rsid w:val="303D4B26"/>
    <w:rsid w:val="30536D05"/>
    <w:rsid w:val="30A96659"/>
    <w:rsid w:val="30AF2EF2"/>
    <w:rsid w:val="310B3EA9"/>
    <w:rsid w:val="312422AD"/>
    <w:rsid w:val="312901AD"/>
    <w:rsid w:val="313A13D1"/>
    <w:rsid w:val="315C1C96"/>
    <w:rsid w:val="31813CA1"/>
    <w:rsid w:val="31AA329C"/>
    <w:rsid w:val="31C816DA"/>
    <w:rsid w:val="31E6615F"/>
    <w:rsid w:val="31F961A1"/>
    <w:rsid w:val="31FB43A9"/>
    <w:rsid w:val="32005EE5"/>
    <w:rsid w:val="32045D7F"/>
    <w:rsid w:val="321A0B44"/>
    <w:rsid w:val="32396856"/>
    <w:rsid w:val="32534D28"/>
    <w:rsid w:val="326734D4"/>
    <w:rsid w:val="3275301D"/>
    <w:rsid w:val="3277458C"/>
    <w:rsid w:val="327C1E03"/>
    <w:rsid w:val="328B2D20"/>
    <w:rsid w:val="32930E34"/>
    <w:rsid w:val="32946CFD"/>
    <w:rsid w:val="32A55CDB"/>
    <w:rsid w:val="3303440D"/>
    <w:rsid w:val="33073C3B"/>
    <w:rsid w:val="331E109C"/>
    <w:rsid w:val="333E16DE"/>
    <w:rsid w:val="339A2E9C"/>
    <w:rsid w:val="33AC1B75"/>
    <w:rsid w:val="34034EE6"/>
    <w:rsid w:val="340718E5"/>
    <w:rsid w:val="34156638"/>
    <w:rsid w:val="34585947"/>
    <w:rsid w:val="346D1F7E"/>
    <w:rsid w:val="346D4391"/>
    <w:rsid w:val="347725B1"/>
    <w:rsid w:val="3498078D"/>
    <w:rsid w:val="352E3C58"/>
    <w:rsid w:val="358E75DC"/>
    <w:rsid w:val="35B364CF"/>
    <w:rsid w:val="35D103EA"/>
    <w:rsid w:val="35D805C4"/>
    <w:rsid w:val="36015249"/>
    <w:rsid w:val="361C5DEB"/>
    <w:rsid w:val="364D230A"/>
    <w:rsid w:val="36677A92"/>
    <w:rsid w:val="366A124C"/>
    <w:rsid w:val="366B1B5B"/>
    <w:rsid w:val="369C788D"/>
    <w:rsid w:val="36C7044C"/>
    <w:rsid w:val="36EF4D24"/>
    <w:rsid w:val="372F4EDC"/>
    <w:rsid w:val="373649A0"/>
    <w:rsid w:val="373D24BC"/>
    <w:rsid w:val="377475CA"/>
    <w:rsid w:val="379D342B"/>
    <w:rsid w:val="379E0A91"/>
    <w:rsid w:val="37BD4309"/>
    <w:rsid w:val="37E74F56"/>
    <w:rsid w:val="380C3DD5"/>
    <w:rsid w:val="3825367C"/>
    <w:rsid w:val="3832211F"/>
    <w:rsid w:val="388278A7"/>
    <w:rsid w:val="38A960E1"/>
    <w:rsid w:val="38BF63A6"/>
    <w:rsid w:val="38D84AE3"/>
    <w:rsid w:val="39047736"/>
    <w:rsid w:val="392C27E9"/>
    <w:rsid w:val="39437F84"/>
    <w:rsid w:val="396C51B6"/>
    <w:rsid w:val="39B5EFC4"/>
    <w:rsid w:val="39FC040D"/>
    <w:rsid w:val="3A056434"/>
    <w:rsid w:val="3A4A7FD2"/>
    <w:rsid w:val="3A4B2127"/>
    <w:rsid w:val="3A5F4FF4"/>
    <w:rsid w:val="3AAC1EAE"/>
    <w:rsid w:val="3AC37B79"/>
    <w:rsid w:val="3AE956CD"/>
    <w:rsid w:val="3B072021"/>
    <w:rsid w:val="3B0E0ACB"/>
    <w:rsid w:val="3B4633AC"/>
    <w:rsid w:val="3B8733EE"/>
    <w:rsid w:val="3B912DD7"/>
    <w:rsid w:val="3BAE3A48"/>
    <w:rsid w:val="3BD5CE9C"/>
    <w:rsid w:val="3BF67882"/>
    <w:rsid w:val="3C0B57BC"/>
    <w:rsid w:val="3C243C4B"/>
    <w:rsid w:val="3C512016"/>
    <w:rsid w:val="3C5F111E"/>
    <w:rsid w:val="3C664263"/>
    <w:rsid w:val="3C803A8F"/>
    <w:rsid w:val="3C940106"/>
    <w:rsid w:val="3CB308EA"/>
    <w:rsid w:val="3CE600D4"/>
    <w:rsid w:val="3D127F47"/>
    <w:rsid w:val="3D141268"/>
    <w:rsid w:val="3D3B7D2D"/>
    <w:rsid w:val="3D3E2096"/>
    <w:rsid w:val="3D697CC1"/>
    <w:rsid w:val="3D70BD82"/>
    <w:rsid w:val="3DD7AD59"/>
    <w:rsid w:val="3DF253E0"/>
    <w:rsid w:val="3E3A59A8"/>
    <w:rsid w:val="3E3F1911"/>
    <w:rsid w:val="3E5E6010"/>
    <w:rsid w:val="3E663401"/>
    <w:rsid w:val="3E7D7D94"/>
    <w:rsid w:val="3E7FD670"/>
    <w:rsid w:val="3EDE04D1"/>
    <w:rsid w:val="3F207612"/>
    <w:rsid w:val="3F7F4DF1"/>
    <w:rsid w:val="3F9238A0"/>
    <w:rsid w:val="3F9D57ED"/>
    <w:rsid w:val="3FB7E9AF"/>
    <w:rsid w:val="3FDC4CC4"/>
    <w:rsid w:val="3FDD181E"/>
    <w:rsid w:val="3FDD8F5D"/>
    <w:rsid w:val="3FFB07B1"/>
    <w:rsid w:val="3FFD264E"/>
    <w:rsid w:val="4012098A"/>
    <w:rsid w:val="40133840"/>
    <w:rsid w:val="40364325"/>
    <w:rsid w:val="40875860"/>
    <w:rsid w:val="40AF2ACF"/>
    <w:rsid w:val="4154224F"/>
    <w:rsid w:val="419E0D19"/>
    <w:rsid w:val="42282986"/>
    <w:rsid w:val="424E787A"/>
    <w:rsid w:val="427D6EE2"/>
    <w:rsid w:val="42B32FFC"/>
    <w:rsid w:val="42CD30A6"/>
    <w:rsid w:val="430A23F8"/>
    <w:rsid w:val="430B16C1"/>
    <w:rsid w:val="433D756E"/>
    <w:rsid w:val="43400AEF"/>
    <w:rsid w:val="434D6BDF"/>
    <w:rsid w:val="43670FED"/>
    <w:rsid w:val="437D5C90"/>
    <w:rsid w:val="438C20BD"/>
    <w:rsid w:val="439E42E3"/>
    <w:rsid w:val="43A63197"/>
    <w:rsid w:val="43CC7E67"/>
    <w:rsid w:val="43FB7482"/>
    <w:rsid w:val="440A448F"/>
    <w:rsid w:val="44271EE4"/>
    <w:rsid w:val="449A050D"/>
    <w:rsid w:val="449A2CFC"/>
    <w:rsid w:val="44AD5BC8"/>
    <w:rsid w:val="44C17042"/>
    <w:rsid w:val="44C54977"/>
    <w:rsid w:val="44C9538F"/>
    <w:rsid w:val="44D0624C"/>
    <w:rsid w:val="44D2693A"/>
    <w:rsid w:val="44D509A2"/>
    <w:rsid w:val="44FB1742"/>
    <w:rsid w:val="45066987"/>
    <w:rsid w:val="452F5B3A"/>
    <w:rsid w:val="45642B8F"/>
    <w:rsid w:val="45957866"/>
    <w:rsid w:val="459F2081"/>
    <w:rsid w:val="45A52949"/>
    <w:rsid w:val="45B24EE0"/>
    <w:rsid w:val="45C21642"/>
    <w:rsid w:val="4625709D"/>
    <w:rsid w:val="468B460A"/>
    <w:rsid w:val="46902E7B"/>
    <w:rsid w:val="46945D85"/>
    <w:rsid w:val="46AD1CFD"/>
    <w:rsid w:val="46B70DBD"/>
    <w:rsid w:val="46B75456"/>
    <w:rsid w:val="46E65D02"/>
    <w:rsid w:val="46E9FAF6"/>
    <w:rsid w:val="47124561"/>
    <w:rsid w:val="478F6E5A"/>
    <w:rsid w:val="4794BA97"/>
    <w:rsid w:val="47A163CE"/>
    <w:rsid w:val="47A716D7"/>
    <w:rsid w:val="47AE364F"/>
    <w:rsid w:val="48195FF3"/>
    <w:rsid w:val="482145FA"/>
    <w:rsid w:val="483D0DC2"/>
    <w:rsid w:val="48827BC3"/>
    <w:rsid w:val="489020B3"/>
    <w:rsid w:val="48A26041"/>
    <w:rsid w:val="48A2673E"/>
    <w:rsid w:val="48A44149"/>
    <w:rsid w:val="49083423"/>
    <w:rsid w:val="491E2E23"/>
    <w:rsid w:val="49530D9E"/>
    <w:rsid w:val="49831448"/>
    <w:rsid w:val="498C368D"/>
    <w:rsid w:val="498C7E93"/>
    <w:rsid w:val="49A63EF1"/>
    <w:rsid w:val="49C158A5"/>
    <w:rsid w:val="49EF3BC6"/>
    <w:rsid w:val="4A285E14"/>
    <w:rsid w:val="4A3D486B"/>
    <w:rsid w:val="4A4E5776"/>
    <w:rsid w:val="4A9A0151"/>
    <w:rsid w:val="4ADA20A4"/>
    <w:rsid w:val="4B227BFA"/>
    <w:rsid w:val="4B304C8E"/>
    <w:rsid w:val="4B427CD8"/>
    <w:rsid w:val="4B447E66"/>
    <w:rsid w:val="4BB25DD6"/>
    <w:rsid w:val="4BD26583"/>
    <w:rsid w:val="4C1A29C9"/>
    <w:rsid w:val="4C1D7806"/>
    <w:rsid w:val="4C8B47B9"/>
    <w:rsid w:val="4C8B5009"/>
    <w:rsid w:val="4CBC5E5C"/>
    <w:rsid w:val="4CC6726F"/>
    <w:rsid w:val="4CF220BD"/>
    <w:rsid w:val="4D01600E"/>
    <w:rsid w:val="4D16138E"/>
    <w:rsid w:val="4D1B1649"/>
    <w:rsid w:val="4D1E0D61"/>
    <w:rsid w:val="4D38557A"/>
    <w:rsid w:val="4DD6297E"/>
    <w:rsid w:val="4DDB0B25"/>
    <w:rsid w:val="4DFD1324"/>
    <w:rsid w:val="4DFF1BFE"/>
    <w:rsid w:val="4E247890"/>
    <w:rsid w:val="4EC5611C"/>
    <w:rsid w:val="4EDF081E"/>
    <w:rsid w:val="4EE54A99"/>
    <w:rsid w:val="4EF20061"/>
    <w:rsid w:val="4EF63567"/>
    <w:rsid w:val="4EFF0BE0"/>
    <w:rsid w:val="4F0B102A"/>
    <w:rsid w:val="4F3E67AC"/>
    <w:rsid w:val="4F4026F2"/>
    <w:rsid w:val="4F580206"/>
    <w:rsid w:val="4F5D267E"/>
    <w:rsid w:val="4F78072F"/>
    <w:rsid w:val="4FBE1D1B"/>
    <w:rsid w:val="4FD722DC"/>
    <w:rsid w:val="4FEB7BBD"/>
    <w:rsid w:val="4FF1117B"/>
    <w:rsid w:val="4FF77255"/>
    <w:rsid w:val="500C007D"/>
    <w:rsid w:val="50601A18"/>
    <w:rsid w:val="509E5922"/>
    <w:rsid w:val="50A53155"/>
    <w:rsid w:val="50A90540"/>
    <w:rsid w:val="50BD7E87"/>
    <w:rsid w:val="50C555A5"/>
    <w:rsid w:val="50CD7CAF"/>
    <w:rsid w:val="510B18C6"/>
    <w:rsid w:val="51960260"/>
    <w:rsid w:val="519D598D"/>
    <w:rsid w:val="51CA399F"/>
    <w:rsid w:val="51E56409"/>
    <w:rsid w:val="52100AA2"/>
    <w:rsid w:val="521F6F37"/>
    <w:rsid w:val="52247727"/>
    <w:rsid w:val="525F70F2"/>
    <w:rsid w:val="52880BF8"/>
    <w:rsid w:val="52A64F62"/>
    <w:rsid w:val="52CD14AE"/>
    <w:rsid w:val="52D86E03"/>
    <w:rsid w:val="52DC1069"/>
    <w:rsid w:val="52FE2B9E"/>
    <w:rsid w:val="53015369"/>
    <w:rsid w:val="53357DA3"/>
    <w:rsid w:val="53675758"/>
    <w:rsid w:val="53C1187D"/>
    <w:rsid w:val="54086CE9"/>
    <w:rsid w:val="548A2B72"/>
    <w:rsid w:val="551710AD"/>
    <w:rsid w:val="55182EA1"/>
    <w:rsid w:val="5524243C"/>
    <w:rsid w:val="55300715"/>
    <w:rsid w:val="553B17BD"/>
    <w:rsid w:val="55603AEE"/>
    <w:rsid w:val="5586262C"/>
    <w:rsid w:val="55B1107B"/>
    <w:rsid w:val="56361EC5"/>
    <w:rsid w:val="56373A45"/>
    <w:rsid w:val="56406770"/>
    <w:rsid w:val="56BA1460"/>
    <w:rsid w:val="56BF4844"/>
    <w:rsid w:val="56F42D6C"/>
    <w:rsid w:val="56F815CC"/>
    <w:rsid w:val="574E2C46"/>
    <w:rsid w:val="57DB68EE"/>
    <w:rsid w:val="57FF616A"/>
    <w:rsid w:val="58403763"/>
    <w:rsid w:val="5863107A"/>
    <w:rsid w:val="58672C10"/>
    <w:rsid w:val="58845D45"/>
    <w:rsid w:val="588F2358"/>
    <w:rsid w:val="589542DE"/>
    <w:rsid w:val="58C5219C"/>
    <w:rsid w:val="58D0603F"/>
    <w:rsid w:val="594A4899"/>
    <w:rsid w:val="597153AB"/>
    <w:rsid w:val="597F3196"/>
    <w:rsid w:val="59A35689"/>
    <w:rsid w:val="59A85588"/>
    <w:rsid w:val="59BB04AF"/>
    <w:rsid w:val="59C32C4A"/>
    <w:rsid w:val="59E34D89"/>
    <w:rsid w:val="59ED71A8"/>
    <w:rsid w:val="5A0C522A"/>
    <w:rsid w:val="5A5D684E"/>
    <w:rsid w:val="5A8B13C4"/>
    <w:rsid w:val="5A8C7315"/>
    <w:rsid w:val="5A9B697A"/>
    <w:rsid w:val="5AB74241"/>
    <w:rsid w:val="5AC01473"/>
    <w:rsid w:val="5AEC0157"/>
    <w:rsid w:val="5B021A57"/>
    <w:rsid w:val="5B09693D"/>
    <w:rsid w:val="5B286203"/>
    <w:rsid w:val="5B3E6997"/>
    <w:rsid w:val="5B7D7ACF"/>
    <w:rsid w:val="5BB64468"/>
    <w:rsid w:val="5BB90632"/>
    <w:rsid w:val="5BE03293"/>
    <w:rsid w:val="5BF7774F"/>
    <w:rsid w:val="5C41415B"/>
    <w:rsid w:val="5C661498"/>
    <w:rsid w:val="5C8A283C"/>
    <w:rsid w:val="5CAA28AA"/>
    <w:rsid w:val="5CE2303B"/>
    <w:rsid w:val="5CE40B61"/>
    <w:rsid w:val="5D5D3363"/>
    <w:rsid w:val="5D6879E4"/>
    <w:rsid w:val="5D691F2A"/>
    <w:rsid w:val="5D6B691F"/>
    <w:rsid w:val="5D7A3273"/>
    <w:rsid w:val="5D8753C0"/>
    <w:rsid w:val="5D975A8D"/>
    <w:rsid w:val="5DEF3A36"/>
    <w:rsid w:val="5DFCF9E1"/>
    <w:rsid w:val="5E227B93"/>
    <w:rsid w:val="5E2571CF"/>
    <w:rsid w:val="5E3504DE"/>
    <w:rsid w:val="5E35320A"/>
    <w:rsid w:val="5E3D6193"/>
    <w:rsid w:val="5E587A58"/>
    <w:rsid w:val="5E5A64F9"/>
    <w:rsid w:val="5E695A3A"/>
    <w:rsid w:val="5E6D2627"/>
    <w:rsid w:val="5E7FDAC6"/>
    <w:rsid w:val="5E8575A0"/>
    <w:rsid w:val="5EA846F5"/>
    <w:rsid w:val="5EAF519E"/>
    <w:rsid w:val="5EBA0CFC"/>
    <w:rsid w:val="5EBF89C2"/>
    <w:rsid w:val="5EE16C44"/>
    <w:rsid w:val="5EEB0E9B"/>
    <w:rsid w:val="5EEB5C6B"/>
    <w:rsid w:val="5EF5068B"/>
    <w:rsid w:val="5EFB03E4"/>
    <w:rsid w:val="5EFECF93"/>
    <w:rsid w:val="5F027FF2"/>
    <w:rsid w:val="5F0320CC"/>
    <w:rsid w:val="5F083828"/>
    <w:rsid w:val="5F373BED"/>
    <w:rsid w:val="5F451724"/>
    <w:rsid w:val="5F734355"/>
    <w:rsid w:val="5F7D22AA"/>
    <w:rsid w:val="5F9BD821"/>
    <w:rsid w:val="5FCB48D5"/>
    <w:rsid w:val="5FD127B8"/>
    <w:rsid w:val="5FD35E63"/>
    <w:rsid w:val="5FDD83D4"/>
    <w:rsid w:val="5FDD8AD9"/>
    <w:rsid w:val="5FE70D86"/>
    <w:rsid w:val="5FFDD617"/>
    <w:rsid w:val="60143301"/>
    <w:rsid w:val="601551CD"/>
    <w:rsid w:val="602B0FEA"/>
    <w:rsid w:val="60505AA3"/>
    <w:rsid w:val="60624BBE"/>
    <w:rsid w:val="608E65CB"/>
    <w:rsid w:val="60912538"/>
    <w:rsid w:val="60AA6982"/>
    <w:rsid w:val="60C969EB"/>
    <w:rsid w:val="60F066C9"/>
    <w:rsid w:val="6117142C"/>
    <w:rsid w:val="612956DC"/>
    <w:rsid w:val="61572324"/>
    <w:rsid w:val="61595DEC"/>
    <w:rsid w:val="6164379E"/>
    <w:rsid w:val="61686280"/>
    <w:rsid w:val="6177EDB5"/>
    <w:rsid w:val="619F14FA"/>
    <w:rsid w:val="61AE52F7"/>
    <w:rsid w:val="61F03094"/>
    <w:rsid w:val="620D321D"/>
    <w:rsid w:val="621E4B15"/>
    <w:rsid w:val="624607EB"/>
    <w:rsid w:val="62570884"/>
    <w:rsid w:val="62886847"/>
    <w:rsid w:val="6290368F"/>
    <w:rsid w:val="62A30E36"/>
    <w:rsid w:val="62B31701"/>
    <w:rsid w:val="62B362F6"/>
    <w:rsid w:val="62D17DD9"/>
    <w:rsid w:val="62E75249"/>
    <w:rsid w:val="630B32EB"/>
    <w:rsid w:val="633778FF"/>
    <w:rsid w:val="64072A0E"/>
    <w:rsid w:val="649642DE"/>
    <w:rsid w:val="64A13EE3"/>
    <w:rsid w:val="64B63858"/>
    <w:rsid w:val="64B85ADA"/>
    <w:rsid w:val="64B9733A"/>
    <w:rsid w:val="65092761"/>
    <w:rsid w:val="65152045"/>
    <w:rsid w:val="652C579B"/>
    <w:rsid w:val="65401246"/>
    <w:rsid w:val="656A774E"/>
    <w:rsid w:val="65995E7E"/>
    <w:rsid w:val="65A069A6"/>
    <w:rsid w:val="65AB3F40"/>
    <w:rsid w:val="65B52FA7"/>
    <w:rsid w:val="65C94DC8"/>
    <w:rsid w:val="65D05429"/>
    <w:rsid w:val="66080897"/>
    <w:rsid w:val="660D51C9"/>
    <w:rsid w:val="6626696D"/>
    <w:rsid w:val="66C341C3"/>
    <w:rsid w:val="66C4164D"/>
    <w:rsid w:val="670631FF"/>
    <w:rsid w:val="67140294"/>
    <w:rsid w:val="671E0C9B"/>
    <w:rsid w:val="672B2B37"/>
    <w:rsid w:val="673F4B52"/>
    <w:rsid w:val="67506824"/>
    <w:rsid w:val="6776E230"/>
    <w:rsid w:val="67BF38D4"/>
    <w:rsid w:val="67CC1FBF"/>
    <w:rsid w:val="67D46132"/>
    <w:rsid w:val="67D6573E"/>
    <w:rsid w:val="67D84E23"/>
    <w:rsid w:val="67D945D4"/>
    <w:rsid w:val="67D96B4D"/>
    <w:rsid w:val="67DF6765"/>
    <w:rsid w:val="681F15E7"/>
    <w:rsid w:val="6830627A"/>
    <w:rsid w:val="68376930"/>
    <w:rsid w:val="68602436"/>
    <w:rsid w:val="687E7F15"/>
    <w:rsid w:val="68A90204"/>
    <w:rsid w:val="68C006D4"/>
    <w:rsid w:val="68C03193"/>
    <w:rsid w:val="68EF720B"/>
    <w:rsid w:val="68F41963"/>
    <w:rsid w:val="690A5DF3"/>
    <w:rsid w:val="69265399"/>
    <w:rsid w:val="693465ED"/>
    <w:rsid w:val="69372CBC"/>
    <w:rsid w:val="697B5150"/>
    <w:rsid w:val="6A0A32A1"/>
    <w:rsid w:val="6A2B7DCF"/>
    <w:rsid w:val="6A6D1E28"/>
    <w:rsid w:val="6A9020DB"/>
    <w:rsid w:val="6ABE6E95"/>
    <w:rsid w:val="6B112018"/>
    <w:rsid w:val="6B1B7CF6"/>
    <w:rsid w:val="6B6F4633"/>
    <w:rsid w:val="6B9C5C0D"/>
    <w:rsid w:val="6BA83AA4"/>
    <w:rsid w:val="6BBDA5F4"/>
    <w:rsid w:val="6BED6959"/>
    <w:rsid w:val="6BF1329A"/>
    <w:rsid w:val="6BFD28AC"/>
    <w:rsid w:val="6C411B2C"/>
    <w:rsid w:val="6C476C5D"/>
    <w:rsid w:val="6C5C6966"/>
    <w:rsid w:val="6D201CB3"/>
    <w:rsid w:val="6D3451EC"/>
    <w:rsid w:val="6D491550"/>
    <w:rsid w:val="6D4F5AFD"/>
    <w:rsid w:val="6D5D244A"/>
    <w:rsid w:val="6D73D447"/>
    <w:rsid w:val="6DC60E86"/>
    <w:rsid w:val="6E115E06"/>
    <w:rsid w:val="6E3828B1"/>
    <w:rsid w:val="6E487E59"/>
    <w:rsid w:val="6E9543B1"/>
    <w:rsid w:val="6E9955D3"/>
    <w:rsid w:val="6EA45A8E"/>
    <w:rsid w:val="6EAB3EB2"/>
    <w:rsid w:val="6EB83073"/>
    <w:rsid w:val="6ED76BF5"/>
    <w:rsid w:val="6EFD1089"/>
    <w:rsid w:val="6F0466D1"/>
    <w:rsid w:val="6F046C9E"/>
    <w:rsid w:val="6F0E7CBF"/>
    <w:rsid w:val="6F131A93"/>
    <w:rsid w:val="6F178217"/>
    <w:rsid w:val="6F2E2BE2"/>
    <w:rsid w:val="6F8040FB"/>
    <w:rsid w:val="6F9905C7"/>
    <w:rsid w:val="6FBB1BF5"/>
    <w:rsid w:val="6FDC3B2B"/>
    <w:rsid w:val="6FE26462"/>
    <w:rsid w:val="6FFF2D1A"/>
    <w:rsid w:val="703B4AE4"/>
    <w:rsid w:val="706608DC"/>
    <w:rsid w:val="708539A9"/>
    <w:rsid w:val="70C25012"/>
    <w:rsid w:val="712C43C0"/>
    <w:rsid w:val="71437D5B"/>
    <w:rsid w:val="716413DE"/>
    <w:rsid w:val="71723612"/>
    <w:rsid w:val="71824BBE"/>
    <w:rsid w:val="7192363C"/>
    <w:rsid w:val="71A147C0"/>
    <w:rsid w:val="71A17ED7"/>
    <w:rsid w:val="71B1FE68"/>
    <w:rsid w:val="71BC2C47"/>
    <w:rsid w:val="71E51514"/>
    <w:rsid w:val="7206689E"/>
    <w:rsid w:val="723F247A"/>
    <w:rsid w:val="724B56F7"/>
    <w:rsid w:val="724C122A"/>
    <w:rsid w:val="72DA4A88"/>
    <w:rsid w:val="73055A71"/>
    <w:rsid w:val="73163E8B"/>
    <w:rsid w:val="738970AE"/>
    <w:rsid w:val="73B41CA5"/>
    <w:rsid w:val="73C42B25"/>
    <w:rsid w:val="740718AD"/>
    <w:rsid w:val="740C1E2B"/>
    <w:rsid w:val="74277859"/>
    <w:rsid w:val="743F7103"/>
    <w:rsid w:val="7451720D"/>
    <w:rsid w:val="74690725"/>
    <w:rsid w:val="7485681A"/>
    <w:rsid w:val="748779A4"/>
    <w:rsid w:val="74912FD9"/>
    <w:rsid w:val="74A21AFC"/>
    <w:rsid w:val="74C35ECE"/>
    <w:rsid w:val="74F20488"/>
    <w:rsid w:val="74F3DA33"/>
    <w:rsid w:val="75063912"/>
    <w:rsid w:val="759C09C3"/>
    <w:rsid w:val="75C1681A"/>
    <w:rsid w:val="75DF9162"/>
    <w:rsid w:val="75EB89B2"/>
    <w:rsid w:val="75F277F2"/>
    <w:rsid w:val="75F399B3"/>
    <w:rsid w:val="75FFEC91"/>
    <w:rsid w:val="76075A89"/>
    <w:rsid w:val="766D095B"/>
    <w:rsid w:val="76EFEAE7"/>
    <w:rsid w:val="77302EC9"/>
    <w:rsid w:val="776565EF"/>
    <w:rsid w:val="777F4846"/>
    <w:rsid w:val="77A66817"/>
    <w:rsid w:val="77E36060"/>
    <w:rsid w:val="77FBC2D1"/>
    <w:rsid w:val="77FF323B"/>
    <w:rsid w:val="780B71CD"/>
    <w:rsid w:val="78103500"/>
    <w:rsid w:val="782E252F"/>
    <w:rsid w:val="78465BFB"/>
    <w:rsid w:val="788F1E71"/>
    <w:rsid w:val="78975F1C"/>
    <w:rsid w:val="78B56E9D"/>
    <w:rsid w:val="78EBD50B"/>
    <w:rsid w:val="78F769BD"/>
    <w:rsid w:val="79202DED"/>
    <w:rsid w:val="797606A0"/>
    <w:rsid w:val="79992037"/>
    <w:rsid w:val="79D11210"/>
    <w:rsid w:val="7A1F3792"/>
    <w:rsid w:val="7A2066F5"/>
    <w:rsid w:val="7A5073DE"/>
    <w:rsid w:val="7AA918C6"/>
    <w:rsid w:val="7AD307F4"/>
    <w:rsid w:val="7AF64429"/>
    <w:rsid w:val="7B1232EB"/>
    <w:rsid w:val="7B1D2F48"/>
    <w:rsid w:val="7B386DBB"/>
    <w:rsid w:val="7B3B3AF3"/>
    <w:rsid w:val="7B3D000D"/>
    <w:rsid w:val="7B5DCB3D"/>
    <w:rsid w:val="7B7759CD"/>
    <w:rsid w:val="7B7C5FDB"/>
    <w:rsid w:val="7BABB02C"/>
    <w:rsid w:val="7BBE54C6"/>
    <w:rsid w:val="7BEA1191"/>
    <w:rsid w:val="7BEF4FC5"/>
    <w:rsid w:val="7BF34810"/>
    <w:rsid w:val="7BFE57F2"/>
    <w:rsid w:val="7C116841"/>
    <w:rsid w:val="7C1834C1"/>
    <w:rsid w:val="7C191192"/>
    <w:rsid w:val="7C413783"/>
    <w:rsid w:val="7C512970"/>
    <w:rsid w:val="7C6F5C99"/>
    <w:rsid w:val="7C894226"/>
    <w:rsid w:val="7C896BD7"/>
    <w:rsid w:val="7CC724E5"/>
    <w:rsid w:val="7D164E35"/>
    <w:rsid w:val="7D1943FF"/>
    <w:rsid w:val="7D4476CE"/>
    <w:rsid w:val="7D47190C"/>
    <w:rsid w:val="7D492090"/>
    <w:rsid w:val="7D4D1C9B"/>
    <w:rsid w:val="7D54440C"/>
    <w:rsid w:val="7D571AA3"/>
    <w:rsid w:val="7D76A23C"/>
    <w:rsid w:val="7D9DD455"/>
    <w:rsid w:val="7DA0242A"/>
    <w:rsid w:val="7DBFC979"/>
    <w:rsid w:val="7DF346B0"/>
    <w:rsid w:val="7DFFEB80"/>
    <w:rsid w:val="7E1B12DB"/>
    <w:rsid w:val="7E2400DD"/>
    <w:rsid w:val="7E600FBB"/>
    <w:rsid w:val="7E6FA122"/>
    <w:rsid w:val="7E851D70"/>
    <w:rsid w:val="7EB78589"/>
    <w:rsid w:val="7ED6BD8B"/>
    <w:rsid w:val="7ED7AFE7"/>
    <w:rsid w:val="7EDBD0CB"/>
    <w:rsid w:val="7EEC2DF8"/>
    <w:rsid w:val="7EED9D19"/>
    <w:rsid w:val="7EFE2453"/>
    <w:rsid w:val="7F03597F"/>
    <w:rsid w:val="7F111831"/>
    <w:rsid w:val="7F3DA91C"/>
    <w:rsid w:val="7F3FFE2C"/>
    <w:rsid w:val="7F411D58"/>
    <w:rsid w:val="7F59261F"/>
    <w:rsid w:val="7F7E2234"/>
    <w:rsid w:val="7F871C42"/>
    <w:rsid w:val="7F877EAE"/>
    <w:rsid w:val="7F8F5EE7"/>
    <w:rsid w:val="7F991163"/>
    <w:rsid w:val="7F9A4098"/>
    <w:rsid w:val="7FAC1B8E"/>
    <w:rsid w:val="7FD72B76"/>
    <w:rsid w:val="7FE6934B"/>
    <w:rsid w:val="7FE7E0E9"/>
    <w:rsid w:val="7FE8C48C"/>
    <w:rsid w:val="7FEECD58"/>
    <w:rsid w:val="7FF006AB"/>
    <w:rsid w:val="7FF4621E"/>
    <w:rsid w:val="7FF762AE"/>
    <w:rsid w:val="7FF7F0C5"/>
    <w:rsid w:val="96DFDF0E"/>
    <w:rsid w:val="971B2CCA"/>
    <w:rsid w:val="99DF150F"/>
    <w:rsid w:val="9B5FD835"/>
    <w:rsid w:val="9EA77025"/>
    <w:rsid w:val="9EBB7091"/>
    <w:rsid w:val="A6FF698C"/>
    <w:rsid w:val="A7B9D7B0"/>
    <w:rsid w:val="ABD1CE42"/>
    <w:rsid w:val="ADF7EE52"/>
    <w:rsid w:val="AEBFF611"/>
    <w:rsid w:val="AEF26ECD"/>
    <w:rsid w:val="B2E7644E"/>
    <w:rsid w:val="B3FDF71C"/>
    <w:rsid w:val="B433A646"/>
    <w:rsid w:val="BADF01AC"/>
    <w:rsid w:val="BAFF25B2"/>
    <w:rsid w:val="BBFAD52A"/>
    <w:rsid w:val="BBFB8EDB"/>
    <w:rsid w:val="BBFEF8F3"/>
    <w:rsid w:val="BC4E68E4"/>
    <w:rsid w:val="BCF5149D"/>
    <w:rsid w:val="BDDF439E"/>
    <w:rsid w:val="BE3F7300"/>
    <w:rsid w:val="BEDE8232"/>
    <w:rsid w:val="BEEF6A2B"/>
    <w:rsid w:val="BF2FD52D"/>
    <w:rsid w:val="BF670945"/>
    <w:rsid w:val="BF9CE5E7"/>
    <w:rsid w:val="BFD479F3"/>
    <w:rsid w:val="BFDA96AF"/>
    <w:rsid w:val="BFEE850D"/>
    <w:rsid w:val="BFFBAE56"/>
    <w:rsid w:val="BFFF8631"/>
    <w:rsid w:val="BFFFFB38"/>
    <w:rsid w:val="C5EFA8F7"/>
    <w:rsid w:val="CA9F377C"/>
    <w:rsid w:val="CBF74D7F"/>
    <w:rsid w:val="CE9BB0D7"/>
    <w:rsid w:val="CF7D4AA7"/>
    <w:rsid w:val="CF7E435D"/>
    <w:rsid w:val="CFDD94E0"/>
    <w:rsid w:val="D2575B64"/>
    <w:rsid w:val="D34F0965"/>
    <w:rsid w:val="D5AD46FA"/>
    <w:rsid w:val="D67F32CD"/>
    <w:rsid w:val="D71FFA3B"/>
    <w:rsid w:val="D75593A0"/>
    <w:rsid w:val="D77C7B31"/>
    <w:rsid w:val="D7FDDA48"/>
    <w:rsid w:val="D83C9427"/>
    <w:rsid w:val="DAEF7CF3"/>
    <w:rsid w:val="DB5913DB"/>
    <w:rsid w:val="DB8E41C1"/>
    <w:rsid w:val="DBBE0E2F"/>
    <w:rsid w:val="DBFE8B40"/>
    <w:rsid w:val="DDDDDEE7"/>
    <w:rsid w:val="DF3FB995"/>
    <w:rsid w:val="DF6F053C"/>
    <w:rsid w:val="DF7BD196"/>
    <w:rsid w:val="DFBEF2AF"/>
    <w:rsid w:val="DFFD3895"/>
    <w:rsid w:val="E10E9B8E"/>
    <w:rsid w:val="E2A78EF1"/>
    <w:rsid w:val="E77C7936"/>
    <w:rsid w:val="E9FF6F56"/>
    <w:rsid w:val="EAFE7151"/>
    <w:rsid w:val="EB3E255F"/>
    <w:rsid w:val="EBDE916F"/>
    <w:rsid w:val="EC6E0001"/>
    <w:rsid w:val="EC9B0846"/>
    <w:rsid w:val="ECDB5CE9"/>
    <w:rsid w:val="ECFE05FB"/>
    <w:rsid w:val="EDFF5A3A"/>
    <w:rsid w:val="EECF7748"/>
    <w:rsid w:val="EEF70F8C"/>
    <w:rsid w:val="EF5FF497"/>
    <w:rsid w:val="EF6F5CD0"/>
    <w:rsid w:val="EFCD0ACF"/>
    <w:rsid w:val="EFE959E4"/>
    <w:rsid w:val="EFEE6156"/>
    <w:rsid w:val="EFFD0B43"/>
    <w:rsid w:val="F3EFC375"/>
    <w:rsid w:val="F4BBFBED"/>
    <w:rsid w:val="F6FB4209"/>
    <w:rsid w:val="F6FFD2DE"/>
    <w:rsid w:val="F7A671FC"/>
    <w:rsid w:val="F7B55D8A"/>
    <w:rsid w:val="F7BE435C"/>
    <w:rsid w:val="F7CA5DD5"/>
    <w:rsid w:val="F7D663D1"/>
    <w:rsid w:val="F7F288D3"/>
    <w:rsid w:val="F7F7C126"/>
    <w:rsid w:val="F7FF1677"/>
    <w:rsid w:val="F7FF9188"/>
    <w:rsid w:val="F8BEFD98"/>
    <w:rsid w:val="F9677BEE"/>
    <w:rsid w:val="F9938C8C"/>
    <w:rsid w:val="F9FCF3AB"/>
    <w:rsid w:val="F9FFC168"/>
    <w:rsid w:val="FAEE5BF1"/>
    <w:rsid w:val="FB1B56BD"/>
    <w:rsid w:val="FB470F8E"/>
    <w:rsid w:val="FB868899"/>
    <w:rsid w:val="FBA6E5D7"/>
    <w:rsid w:val="FBBABBD8"/>
    <w:rsid w:val="FBFBCB15"/>
    <w:rsid w:val="FBFE40A5"/>
    <w:rsid w:val="FBFFF696"/>
    <w:rsid w:val="FD5E4EF2"/>
    <w:rsid w:val="FD5F3D37"/>
    <w:rsid w:val="FD7F10BF"/>
    <w:rsid w:val="FD8A92C2"/>
    <w:rsid w:val="FDA916A8"/>
    <w:rsid w:val="FDAAFCAD"/>
    <w:rsid w:val="FDBDEDFA"/>
    <w:rsid w:val="FDDD2A74"/>
    <w:rsid w:val="FDDE353F"/>
    <w:rsid w:val="FDEF6216"/>
    <w:rsid w:val="FDFB1776"/>
    <w:rsid w:val="FE3C0C8D"/>
    <w:rsid w:val="FE518A07"/>
    <w:rsid w:val="FE7647B1"/>
    <w:rsid w:val="FEBFAE3C"/>
    <w:rsid w:val="FED5122D"/>
    <w:rsid w:val="FEF656C6"/>
    <w:rsid w:val="FF3D8645"/>
    <w:rsid w:val="FF3DC7CC"/>
    <w:rsid w:val="FF4E84EB"/>
    <w:rsid w:val="FF636284"/>
    <w:rsid w:val="FF7B97E8"/>
    <w:rsid w:val="FF7F485B"/>
    <w:rsid w:val="FF9B69B6"/>
    <w:rsid w:val="FFBF1FAB"/>
    <w:rsid w:val="FFDEF3CD"/>
    <w:rsid w:val="FFEA0A6E"/>
    <w:rsid w:val="FFEC6B36"/>
    <w:rsid w:val="FFEF6BD6"/>
    <w:rsid w:val="FFF54AE6"/>
    <w:rsid w:val="FFF7833F"/>
    <w:rsid w:val="FFFB7257"/>
    <w:rsid w:val="FFFC6EF6"/>
    <w:rsid w:val="FFFC9779"/>
    <w:rsid w:val="FFFF47E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9"/>
    <w:qFormat/>
    <w:uiPriority w:val="0"/>
    <w:pPr>
      <w:keepNext/>
      <w:keepLines/>
      <w:spacing w:before="340" w:beforeLines="0" w:after="330" w:afterLines="0" w:line="576" w:lineRule="auto"/>
      <w:outlineLvl w:val="0"/>
    </w:pPr>
    <w:rPr>
      <w:b/>
      <w:bCs/>
      <w:kern w:val="44"/>
      <w:sz w:val="44"/>
      <w:szCs w:val="44"/>
    </w:rPr>
  </w:style>
  <w:style w:type="paragraph" w:styleId="3">
    <w:name w:val="heading 2"/>
    <w:basedOn w:val="1"/>
    <w:next w:val="1"/>
    <w:qFormat/>
    <w:uiPriority w:val="99"/>
    <w:pPr>
      <w:keepNext/>
      <w:keepLines/>
      <w:spacing w:before="260" w:after="260" w:line="415" w:lineRule="auto"/>
      <w:outlineLvl w:val="1"/>
    </w:pPr>
    <w:rPr>
      <w:rFonts w:ascii="Arial" w:hAnsi="Arial" w:eastAsia="黑体"/>
      <w:b/>
      <w:kern w:val="0"/>
      <w:sz w:val="36"/>
      <w:szCs w:val="20"/>
    </w:rPr>
  </w:style>
  <w:style w:type="paragraph" w:styleId="4">
    <w:name w:val="heading 3"/>
    <w:basedOn w:val="1"/>
    <w:next w:val="1"/>
    <w:link w:val="50"/>
    <w:qFormat/>
    <w:uiPriority w:val="0"/>
    <w:pPr>
      <w:keepNext/>
      <w:keepLines/>
      <w:spacing w:line="360" w:lineRule="auto"/>
      <w:outlineLvl w:val="2"/>
    </w:pPr>
    <w:rPr>
      <w:b/>
      <w:bCs/>
      <w:kern w:val="0"/>
      <w:sz w:val="24"/>
      <w:szCs w:val="32"/>
    </w:rPr>
  </w:style>
  <w:style w:type="paragraph" w:styleId="5">
    <w:name w:val="heading 4"/>
    <w:basedOn w:val="1"/>
    <w:next w:val="1"/>
    <w:qFormat/>
    <w:uiPriority w:val="0"/>
    <w:pPr>
      <w:keepNext/>
      <w:keepLines/>
      <w:spacing w:line="360" w:lineRule="auto"/>
      <w:outlineLvl w:val="3"/>
    </w:pPr>
    <w:rPr>
      <w:rFonts w:ascii="Arial" w:hAnsi="Arial"/>
      <w:b/>
      <w:bCs/>
      <w:szCs w:val="28"/>
    </w:rPr>
  </w:style>
  <w:style w:type="paragraph" w:styleId="6">
    <w:name w:val="heading 5"/>
    <w:basedOn w:val="1"/>
    <w:next w:val="1"/>
    <w:qFormat/>
    <w:uiPriority w:val="0"/>
    <w:pPr>
      <w:keepNext/>
      <w:keepLines/>
      <w:spacing w:before="280" w:beforeLines="0" w:beforeAutospacing="0" w:after="290" w:afterLines="0" w:afterAutospacing="0" w:line="372" w:lineRule="auto"/>
      <w:outlineLvl w:val="4"/>
    </w:pPr>
    <w:rPr>
      <w:b/>
      <w:sz w:val="28"/>
    </w:rPr>
  </w:style>
  <w:style w:type="character" w:default="1" w:styleId="30">
    <w:name w:val="Default Paragraph Font"/>
    <w:semiHidden/>
    <w:qFormat/>
    <w:uiPriority w:val="0"/>
  </w:style>
  <w:style w:type="table" w:default="1" w:styleId="28">
    <w:name w:val="Normal Table"/>
    <w:semiHidden/>
    <w:qFormat/>
    <w:uiPriority w:val="0"/>
    <w:tblPr>
      <w:tblCellMar>
        <w:top w:w="0" w:type="dxa"/>
        <w:left w:w="108" w:type="dxa"/>
        <w:bottom w:w="0" w:type="dxa"/>
        <w:right w:w="108" w:type="dxa"/>
      </w:tblCellMar>
    </w:tblPr>
  </w:style>
  <w:style w:type="paragraph" w:styleId="7">
    <w:name w:val="caption"/>
    <w:basedOn w:val="1"/>
    <w:next w:val="1"/>
    <w:qFormat/>
    <w:uiPriority w:val="0"/>
    <w:pPr>
      <w:widowControl w:val="0"/>
      <w:spacing w:line="360" w:lineRule="auto"/>
      <w:ind w:firstLine="420" w:firstLineChars="200"/>
      <w:jc w:val="both"/>
    </w:pPr>
    <w:rPr>
      <w:rFonts w:ascii="Cambria" w:hAnsi="Cambria" w:eastAsia="黑体"/>
      <w:kern w:val="2"/>
      <w:lang w:val="en-US" w:eastAsia="zh-CN" w:bidi="ar-SA"/>
    </w:rPr>
  </w:style>
  <w:style w:type="paragraph" w:styleId="8">
    <w:name w:val="annotation text"/>
    <w:basedOn w:val="1"/>
    <w:link w:val="51"/>
    <w:qFormat/>
    <w:uiPriority w:val="0"/>
    <w:pPr>
      <w:jc w:val="left"/>
    </w:pPr>
  </w:style>
  <w:style w:type="paragraph" w:styleId="9">
    <w:name w:val="Body Text"/>
    <w:basedOn w:val="1"/>
    <w:next w:val="1"/>
    <w:qFormat/>
    <w:uiPriority w:val="99"/>
    <w:pPr>
      <w:spacing w:after="120" w:afterLines="0"/>
    </w:pPr>
  </w:style>
  <w:style w:type="paragraph" w:styleId="10">
    <w:name w:val="Body Text Indent"/>
    <w:basedOn w:val="1"/>
    <w:unhideWhenUsed/>
    <w:qFormat/>
    <w:uiPriority w:val="99"/>
    <w:pPr>
      <w:spacing w:after="120"/>
      <w:ind w:left="420" w:leftChars="200"/>
    </w:pPr>
  </w:style>
  <w:style w:type="paragraph" w:styleId="11">
    <w:name w:val="toc 3"/>
    <w:basedOn w:val="1"/>
    <w:next w:val="1"/>
    <w:qFormat/>
    <w:uiPriority w:val="0"/>
    <w:pPr>
      <w:ind w:left="840" w:leftChars="400"/>
    </w:pPr>
  </w:style>
  <w:style w:type="paragraph" w:styleId="12">
    <w:name w:val="Plain Text"/>
    <w:basedOn w:val="1"/>
    <w:qFormat/>
    <w:uiPriority w:val="0"/>
    <w:rPr>
      <w:rFonts w:ascii="宋体" w:hAnsi="Courier New" w:cs="Courier New"/>
      <w:szCs w:val="21"/>
    </w:rPr>
  </w:style>
  <w:style w:type="paragraph" w:styleId="13">
    <w:name w:val="Date"/>
    <w:basedOn w:val="1"/>
    <w:next w:val="1"/>
    <w:link w:val="52"/>
    <w:qFormat/>
    <w:uiPriority w:val="0"/>
    <w:pPr>
      <w:ind w:left="100" w:leftChars="2500"/>
    </w:pPr>
  </w:style>
  <w:style w:type="paragraph" w:styleId="14">
    <w:name w:val="Body Text Indent 2"/>
    <w:basedOn w:val="1"/>
    <w:qFormat/>
    <w:uiPriority w:val="0"/>
    <w:pPr>
      <w:spacing w:after="120" w:line="480" w:lineRule="auto"/>
      <w:ind w:left="420" w:leftChars="200"/>
    </w:pPr>
    <w:rPr>
      <w:rFonts w:ascii="Calibri" w:hAnsi="Calibri" w:eastAsia="宋体" w:cs="黑体"/>
      <w:szCs w:val="22"/>
    </w:rPr>
  </w:style>
  <w:style w:type="paragraph" w:styleId="15">
    <w:name w:val="Balloon Text"/>
    <w:basedOn w:val="1"/>
    <w:link w:val="53"/>
    <w:qFormat/>
    <w:uiPriority w:val="0"/>
    <w:rPr>
      <w:sz w:val="18"/>
      <w:szCs w:val="18"/>
    </w:rPr>
  </w:style>
  <w:style w:type="paragraph" w:styleId="16">
    <w:name w:val="footer"/>
    <w:basedOn w:val="1"/>
    <w:link w:val="54"/>
    <w:qFormat/>
    <w:uiPriority w:val="99"/>
    <w:pPr>
      <w:tabs>
        <w:tab w:val="center" w:pos="4153"/>
        <w:tab w:val="right" w:pos="8306"/>
      </w:tabs>
      <w:snapToGrid w:val="0"/>
      <w:jc w:val="left"/>
    </w:pPr>
    <w:rPr>
      <w:sz w:val="18"/>
      <w:szCs w:val="18"/>
    </w:rPr>
  </w:style>
  <w:style w:type="paragraph" w:styleId="17">
    <w:name w:val="envelope return"/>
    <w:basedOn w:val="1"/>
    <w:qFormat/>
    <w:uiPriority w:val="0"/>
    <w:pPr>
      <w:snapToGrid w:val="0"/>
    </w:pPr>
    <w:rPr>
      <w:rFonts w:ascii="Arial" w:hAnsi="Arial"/>
    </w:rPr>
  </w:style>
  <w:style w:type="paragraph" w:styleId="1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0"/>
  </w:style>
  <w:style w:type="paragraph" w:styleId="20">
    <w:name w:val="footnote text"/>
    <w:basedOn w:val="1"/>
    <w:qFormat/>
    <w:uiPriority w:val="0"/>
    <w:pPr>
      <w:snapToGrid w:val="0"/>
      <w:jc w:val="left"/>
    </w:pPr>
    <w:rPr>
      <w:kern w:val="2"/>
      <w:sz w:val="18"/>
      <w:szCs w:val="18"/>
    </w:rPr>
  </w:style>
  <w:style w:type="paragraph" w:styleId="21">
    <w:name w:val="toc 2"/>
    <w:basedOn w:val="1"/>
    <w:next w:val="1"/>
    <w:qFormat/>
    <w:uiPriority w:val="0"/>
    <w:pPr>
      <w:ind w:left="420" w:leftChars="200"/>
    </w:pPr>
  </w:style>
  <w:style w:type="paragraph" w:styleId="22">
    <w:name w:val="Body Text 2"/>
    <w:basedOn w:val="1"/>
    <w:qFormat/>
    <w:uiPriority w:val="0"/>
    <w:rPr>
      <w:sz w:val="28"/>
      <w:szCs w:val="20"/>
    </w:rPr>
  </w:style>
  <w:style w:type="paragraph" w:styleId="23">
    <w:name w:val="Normal (Web)"/>
    <w:basedOn w:val="1"/>
    <w:qFormat/>
    <w:uiPriority w:val="99"/>
    <w:pPr>
      <w:autoSpaceDE w:val="0"/>
      <w:autoSpaceDN w:val="0"/>
      <w:jc w:val="left"/>
    </w:pPr>
    <w:rPr>
      <w:rFonts w:ascii="Calibri" w:hAnsi="Calibri" w:cs="宋体"/>
      <w:kern w:val="0"/>
      <w:sz w:val="24"/>
      <w:szCs w:val="22"/>
      <w:lang w:val="zh-CN" w:bidi="zh-CN"/>
    </w:rPr>
  </w:style>
  <w:style w:type="paragraph" w:styleId="24">
    <w:name w:val="annotation subject"/>
    <w:basedOn w:val="8"/>
    <w:next w:val="8"/>
    <w:link w:val="55"/>
    <w:qFormat/>
    <w:uiPriority w:val="0"/>
    <w:rPr>
      <w:b/>
      <w:bCs/>
      <w:kern w:val="0"/>
      <w:sz w:val="20"/>
      <w:szCs w:val="20"/>
    </w:rPr>
  </w:style>
  <w:style w:type="paragraph" w:styleId="25">
    <w:name w:val="Body Text First Indent"/>
    <w:basedOn w:val="9"/>
    <w:next w:val="26"/>
    <w:qFormat/>
    <w:uiPriority w:val="0"/>
    <w:pPr>
      <w:ind w:firstLine="420" w:firstLineChars="100"/>
    </w:pPr>
  </w:style>
  <w:style w:type="paragraph" w:styleId="26">
    <w:name w:val="Body Text First Indent 2"/>
    <w:basedOn w:val="10"/>
    <w:next w:val="27"/>
    <w:unhideWhenUsed/>
    <w:qFormat/>
    <w:uiPriority w:val="99"/>
    <w:pPr>
      <w:ind w:firstLine="420" w:firstLineChars="200"/>
    </w:pPr>
  </w:style>
  <w:style w:type="paragraph" w:customStyle="1" w:styleId="27">
    <w:name w:val="样式 正文首行缩进 2 + Arial"/>
    <w:basedOn w:val="1"/>
    <w:next w:val="1"/>
    <w:qFormat/>
    <w:uiPriority w:val="0"/>
    <w:pPr>
      <w:spacing w:after="120" w:line="320" w:lineRule="atLeast"/>
      <w:ind w:firstLine="200" w:firstLineChars="200"/>
    </w:pPr>
    <w:rPr>
      <w:rFonts w:ascii="Arial" w:hAnsi="Arial"/>
      <w:kern w:val="0"/>
    </w:r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qFormat/>
    <w:uiPriority w:val="22"/>
  </w:style>
  <w:style w:type="character" w:styleId="32">
    <w:name w:val="page number"/>
    <w:qFormat/>
    <w:uiPriority w:val="0"/>
  </w:style>
  <w:style w:type="character" w:styleId="33">
    <w:name w:val="FollowedHyperlink"/>
    <w:basedOn w:val="30"/>
    <w:qFormat/>
    <w:uiPriority w:val="0"/>
    <w:rPr>
      <w:color w:val="5C5C5C"/>
      <w:u w:val="none"/>
    </w:rPr>
  </w:style>
  <w:style w:type="character" w:styleId="34">
    <w:name w:val="Emphasis"/>
    <w:basedOn w:val="30"/>
    <w:qFormat/>
    <w:uiPriority w:val="0"/>
    <w:rPr>
      <w:b/>
      <w:bCs/>
    </w:rPr>
  </w:style>
  <w:style w:type="character" w:styleId="35">
    <w:name w:val="HTML Definition"/>
    <w:basedOn w:val="30"/>
    <w:qFormat/>
    <w:uiPriority w:val="0"/>
  </w:style>
  <w:style w:type="character" w:styleId="36">
    <w:name w:val="HTML Typewriter"/>
    <w:basedOn w:val="30"/>
    <w:qFormat/>
    <w:uiPriority w:val="0"/>
    <w:rPr>
      <w:rFonts w:hint="default" w:ascii="monospace" w:hAnsi="monospace" w:eastAsia="monospace" w:cs="monospace"/>
      <w:sz w:val="20"/>
    </w:rPr>
  </w:style>
  <w:style w:type="character" w:styleId="37">
    <w:name w:val="HTML Acronym"/>
    <w:basedOn w:val="30"/>
    <w:qFormat/>
    <w:uiPriority w:val="0"/>
  </w:style>
  <w:style w:type="character" w:styleId="38">
    <w:name w:val="HTML Variable"/>
    <w:basedOn w:val="30"/>
    <w:qFormat/>
    <w:uiPriority w:val="0"/>
  </w:style>
  <w:style w:type="character" w:styleId="39">
    <w:name w:val="Hyperlink"/>
    <w:basedOn w:val="30"/>
    <w:qFormat/>
    <w:uiPriority w:val="0"/>
    <w:rPr>
      <w:color w:val="5C5C5C"/>
      <w:u w:val="none"/>
    </w:rPr>
  </w:style>
  <w:style w:type="character" w:styleId="40">
    <w:name w:val="HTML Code"/>
    <w:basedOn w:val="30"/>
    <w:qFormat/>
    <w:uiPriority w:val="0"/>
    <w:rPr>
      <w:rFonts w:hint="default" w:ascii="monospace" w:hAnsi="monospace" w:eastAsia="monospace" w:cs="monospace"/>
      <w:sz w:val="20"/>
    </w:rPr>
  </w:style>
  <w:style w:type="character" w:styleId="41">
    <w:name w:val="annotation reference"/>
    <w:qFormat/>
    <w:uiPriority w:val="0"/>
    <w:rPr>
      <w:sz w:val="21"/>
      <w:szCs w:val="21"/>
    </w:rPr>
  </w:style>
  <w:style w:type="character" w:styleId="42">
    <w:name w:val="HTML Cite"/>
    <w:basedOn w:val="30"/>
    <w:qFormat/>
    <w:uiPriority w:val="0"/>
  </w:style>
  <w:style w:type="character" w:styleId="43">
    <w:name w:val="HTML Keyboard"/>
    <w:basedOn w:val="30"/>
    <w:qFormat/>
    <w:uiPriority w:val="0"/>
    <w:rPr>
      <w:rFonts w:ascii="monospace" w:hAnsi="monospace" w:eastAsia="monospace" w:cs="monospace"/>
      <w:sz w:val="20"/>
    </w:rPr>
  </w:style>
  <w:style w:type="character" w:styleId="44">
    <w:name w:val="HTML Sample"/>
    <w:basedOn w:val="30"/>
    <w:qFormat/>
    <w:uiPriority w:val="0"/>
    <w:rPr>
      <w:rFonts w:hint="default" w:ascii="monospace" w:hAnsi="monospace" w:eastAsia="monospace" w:cs="monospace"/>
    </w:rPr>
  </w:style>
  <w:style w:type="paragraph" w:customStyle="1" w:styleId="45">
    <w:name w:val="style4"/>
    <w:basedOn w:val="46"/>
    <w:next w:val="47"/>
    <w:qFormat/>
    <w:uiPriority w:val="0"/>
    <w:pPr>
      <w:widowControl/>
      <w:spacing w:before="280" w:after="280"/>
    </w:pPr>
    <w:rPr>
      <w:rFonts w:ascii="宋体"/>
      <w:sz w:val="18"/>
    </w:rPr>
  </w:style>
  <w:style w:type="paragraph" w:customStyle="1" w:styleId="46">
    <w:name w:val="Normal"/>
    <w:next w:val="25"/>
    <w:qFormat/>
    <w:uiPriority w:val="0"/>
    <w:pPr>
      <w:widowControl w:val="0"/>
      <w:jc w:val="both"/>
    </w:pPr>
    <w:rPr>
      <w:rFonts w:ascii="仿宋_GB2312" w:hAnsi="仿宋_GB2312" w:eastAsia="仿宋_GB2312" w:cs="??"/>
      <w:kern w:val="2"/>
      <w:sz w:val="21"/>
      <w:szCs w:val="24"/>
      <w:lang w:val="en-US" w:eastAsia="zh-CN" w:bidi="ar-SA"/>
    </w:rPr>
  </w:style>
  <w:style w:type="paragraph" w:customStyle="1" w:styleId="47">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8">
    <w:name w:val="Body Text First Indent1"/>
    <w:basedOn w:val="9"/>
    <w:qFormat/>
    <w:uiPriority w:val="0"/>
    <w:pPr>
      <w:ind w:firstLine="420"/>
    </w:pPr>
  </w:style>
  <w:style w:type="character" w:customStyle="1" w:styleId="49">
    <w:name w:val="标题 1 Char"/>
    <w:link w:val="2"/>
    <w:qFormat/>
    <w:uiPriority w:val="0"/>
    <w:rPr>
      <w:b/>
      <w:bCs/>
      <w:kern w:val="44"/>
      <w:sz w:val="44"/>
      <w:szCs w:val="44"/>
    </w:rPr>
  </w:style>
  <w:style w:type="character" w:customStyle="1" w:styleId="50">
    <w:name w:val="标题 3 Char"/>
    <w:link w:val="4"/>
    <w:qFormat/>
    <w:uiPriority w:val="0"/>
    <w:rPr>
      <w:b/>
      <w:bCs/>
      <w:sz w:val="24"/>
      <w:szCs w:val="32"/>
    </w:rPr>
  </w:style>
  <w:style w:type="character" w:customStyle="1" w:styleId="51">
    <w:name w:val="批注文字 Char1"/>
    <w:link w:val="8"/>
    <w:qFormat/>
    <w:uiPriority w:val="0"/>
    <w:rPr>
      <w:kern w:val="2"/>
      <w:sz w:val="21"/>
      <w:szCs w:val="24"/>
    </w:rPr>
  </w:style>
  <w:style w:type="character" w:customStyle="1" w:styleId="52">
    <w:name w:val="日期 Char"/>
    <w:link w:val="13"/>
    <w:qFormat/>
    <w:uiPriority w:val="0"/>
    <w:rPr>
      <w:kern w:val="2"/>
      <w:sz w:val="21"/>
      <w:szCs w:val="24"/>
    </w:rPr>
  </w:style>
  <w:style w:type="character" w:customStyle="1" w:styleId="53">
    <w:name w:val="批注框文本 Char"/>
    <w:link w:val="15"/>
    <w:qFormat/>
    <w:uiPriority w:val="0"/>
    <w:rPr>
      <w:kern w:val="2"/>
      <w:sz w:val="18"/>
      <w:szCs w:val="18"/>
    </w:rPr>
  </w:style>
  <w:style w:type="character" w:customStyle="1" w:styleId="54">
    <w:name w:val="页脚 Char"/>
    <w:link w:val="16"/>
    <w:qFormat/>
    <w:uiPriority w:val="99"/>
    <w:rPr>
      <w:kern w:val="2"/>
      <w:sz w:val="18"/>
      <w:szCs w:val="18"/>
    </w:rPr>
  </w:style>
  <w:style w:type="character" w:customStyle="1" w:styleId="55">
    <w:name w:val="批注主题 Char"/>
    <w:link w:val="24"/>
    <w:qFormat/>
    <w:uiPriority w:val="0"/>
    <w:rPr>
      <w:b/>
      <w:bCs/>
    </w:rPr>
  </w:style>
  <w:style w:type="paragraph" w:customStyle="1" w:styleId="56">
    <w:name w:val="Body Text First Indent"/>
    <w:basedOn w:val="9"/>
    <w:qFormat/>
    <w:uiPriority w:val="0"/>
    <w:pPr>
      <w:ind w:firstLine="420"/>
    </w:pPr>
  </w:style>
  <w:style w:type="paragraph" w:customStyle="1" w:styleId="57">
    <w:name w:val="Blockquote"/>
    <w:basedOn w:val="1"/>
    <w:next w:val="1"/>
    <w:qFormat/>
    <w:uiPriority w:val="0"/>
    <w:pPr>
      <w:autoSpaceDE w:val="0"/>
      <w:autoSpaceDN w:val="0"/>
      <w:spacing w:before="100" w:after="100"/>
      <w:ind w:left="360" w:right="360"/>
    </w:pPr>
    <w:rPr>
      <w:kern w:val="0"/>
      <w:sz w:val="24"/>
      <w:szCs w:val="20"/>
    </w:rPr>
  </w:style>
  <w:style w:type="paragraph" w:customStyle="1" w:styleId="58">
    <w:name w:val="正文文本1"/>
    <w:basedOn w:val="1"/>
    <w:next w:val="1"/>
    <w:qFormat/>
    <w:uiPriority w:val="0"/>
    <w:pPr>
      <w:spacing w:after="120"/>
    </w:pPr>
    <w:rPr>
      <w:rFonts w:ascii="Times New Roman" w:hAnsi="Times New Roman" w:eastAsia="宋体" w:cs="Times New Roman"/>
    </w:rPr>
  </w:style>
  <w:style w:type="paragraph" w:customStyle="1" w:styleId="59">
    <w:name w:val="正文文本 21"/>
    <w:basedOn w:val="1"/>
    <w:qFormat/>
    <w:uiPriority w:val="0"/>
    <w:pPr>
      <w:widowControl/>
      <w:numPr>
        <w:ilvl w:val="0"/>
        <w:numId w:val="1"/>
      </w:numPr>
      <w:spacing w:before="156" w:beforeLines="50" w:line="336" w:lineRule="auto"/>
      <w:ind w:left="0" w:firstLine="0"/>
    </w:pPr>
    <w:rPr>
      <w:rFonts w:eastAsia="仿宋_GB2312" w:cs="仿宋"/>
      <w:kern w:val="0"/>
      <w:szCs w:val="20"/>
      <w:lang w:eastAsia="en-US"/>
    </w:rPr>
  </w:style>
  <w:style w:type="character" w:customStyle="1" w:styleId="60">
    <w:name w:val="font01"/>
    <w:qFormat/>
    <w:uiPriority w:val="0"/>
    <w:rPr>
      <w:rFonts w:hint="default" w:ascii="Cambria" w:hAnsi="Cambria" w:eastAsia="Cambria" w:cs="Cambria"/>
      <w:color w:val="191919"/>
      <w:sz w:val="24"/>
      <w:szCs w:val="24"/>
      <w:u w:val="none"/>
      <w:vertAlign w:val="subscript"/>
    </w:rPr>
  </w:style>
  <w:style w:type="character" w:customStyle="1" w:styleId="61">
    <w:name w:val="font21"/>
    <w:basedOn w:val="30"/>
    <w:qFormat/>
    <w:uiPriority w:val="0"/>
    <w:rPr>
      <w:rFonts w:hint="eastAsia" w:ascii="宋体" w:hAnsi="宋体" w:eastAsia="宋体" w:cs="宋体"/>
      <w:color w:val="191919"/>
      <w:sz w:val="21"/>
      <w:szCs w:val="21"/>
      <w:u w:val="none"/>
    </w:rPr>
  </w:style>
  <w:style w:type="character" w:customStyle="1" w:styleId="62">
    <w:name w:val="font31"/>
    <w:basedOn w:val="30"/>
    <w:qFormat/>
    <w:uiPriority w:val="0"/>
    <w:rPr>
      <w:rFonts w:hint="default" w:ascii="Cambria" w:hAnsi="Cambria" w:eastAsia="Cambria" w:cs="Cambria"/>
      <w:color w:val="191919"/>
      <w:sz w:val="24"/>
      <w:szCs w:val="24"/>
      <w:u w:val="none"/>
    </w:rPr>
  </w:style>
  <w:style w:type="character" w:customStyle="1" w:styleId="63">
    <w:name w:val="批注文字 Char"/>
    <w:qFormat/>
    <w:uiPriority w:val="0"/>
    <w:rPr>
      <w:kern w:val="2"/>
      <w:sz w:val="21"/>
      <w:szCs w:val="24"/>
    </w:rPr>
  </w:style>
  <w:style w:type="paragraph" w:customStyle="1" w:styleId="64">
    <w:name w:val="WPSOffice手动目录 2"/>
    <w:qFormat/>
    <w:uiPriority w:val="0"/>
    <w:pPr>
      <w:ind w:leftChars="200"/>
    </w:pPr>
    <w:rPr>
      <w:rFonts w:ascii="Times New Roman" w:hAnsi="Times New Roman" w:eastAsia="宋体" w:cs="Times New Roman"/>
      <w:lang w:val="en-US" w:eastAsia="zh-CN" w:bidi="ar-SA"/>
    </w:rPr>
  </w:style>
  <w:style w:type="paragraph" w:customStyle="1" w:styleId="65">
    <w:name w:val="无间隔1"/>
    <w:basedOn w:val="66"/>
    <w:next w:val="7"/>
    <w:qFormat/>
    <w:uiPriority w:val="1"/>
    <w:pPr>
      <w:widowControl w:val="0"/>
      <w:spacing w:line="400" w:lineRule="exact"/>
      <w:ind w:firstLine="420" w:firstLineChars="200"/>
      <w:jc w:val="both"/>
    </w:pPr>
    <w:rPr>
      <w:rFonts w:ascii="Calibri" w:hAnsi="Calibri"/>
      <w:kern w:val="2"/>
      <w:sz w:val="24"/>
      <w:szCs w:val="24"/>
      <w:lang w:val="en-US" w:eastAsia="zh-CN" w:bidi="ar-SA"/>
    </w:rPr>
  </w:style>
  <w:style w:type="paragraph" w:customStyle="1" w:styleId="66">
    <w:name w:val="正文_1"/>
    <w:next w:val="1"/>
    <w:qFormat/>
    <w:uiPriority w:val="0"/>
    <w:pPr>
      <w:widowControl w:val="0"/>
      <w:jc w:val="both"/>
    </w:pPr>
    <w:rPr>
      <w:rFonts w:ascii="Calibri" w:hAnsi="Calibri" w:eastAsia="宋体" w:cs="Times New Roman"/>
      <w:kern w:val="2"/>
      <w:sz w:val="21"/>
      <w:szCs w:val="24"/>
      <w:lang w:val="en-US" w:eastAsia="zh-CN" w:bidi="ar-SA"/>
    </w:rPr>
  </w:style>
  <w:style w:type="paragraph" w:customStyle="1" w:styleId="67">
    <w:name w:val="*正文"/>
    <w:basedOn w:val="1"/>
    <w:next w:val="1"/>
    <w:qFormat/>
    <w:uiPriority w:val="0"/>
    <w:pPr>
      <w:widowControl/>
      <w:ind w:firstLine="482"/>
    </w:pPr>
    <w:rPr>
      <w:rFonts w:ascii="微软雅黑" w:hAnsi="微软雅黑" w:eastAsia="微软雅黑"/>
    </w:rPr>
  </w:style>
  <w:style w:type="paragraph" w:customStyle="1" w:styleId="68">
    <w:name w:val="Default"/>
    <w:qFormat/>
    <w:uiPriority w:val="0"/>
    <w:pPr>
      <w:widowControl w:val="0"/>
      <w:autoSpaceDE w:val="0"/>
      <w:autoSpaceDN w:val="0"/>
      <w:adjustRightInd w:val="0"/>
    </w:pPr>
    <w:rPr>
      <w:rFonts w:ascii="宋体" w:hAnsi="Calibri" w:eastAsia="等线" w:cs="Times New Roman"/>
      <w:color w:val="000000"/>
      <w:sz w:val="24"/>
      <w:szCs w:val="22"/>
      <w:lang w:val="en-US" w:eastAsia="zh-CN" w:bidi="ar-SA"/>
    </w:rPr>
  </w:style>
  <w:style w:type="paragraph" w:customStyle="1" w:styleId="69">
    <w:name w:val="大标题"/>
    <w:basedOn w:val="1"/>
    <w:next w:val="26"/>
    <w:qFormat/>
    <w:uiPriority w:val="0"/>
    <w:pPr>
      <w:jc w:val="center"/>
    </w:pPr>
    <w:rPr>
      <w:rFonts w:ascii="Arial" w:hAnsi="Arial" w:eastAsia="宋体"/>
      <w:b/>
      <w:sz w:val="28"/>
      <w:szCs w:val="24"/>
    </w:rPr>
  </w:style>
  <w:style w:type="paragraph" w:customStyle="1" w:styleId="70">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71">
    <w:name w:val="_Style 2"/>
    <w:basedOn w:val="2"/>
    <w:next w:val="1"/>
    <w:qFormat/>
    <w:uiPriority w:val="0"/>
    <w:pPr>
      <w:outlineLvl w:val="9"/>
    </w:pPr>
  </w:style>
  <w:style w:type="paragraph" w:customStyle="1" w:styleId="72">
    <w:name w:val="正文_9_0"/>
    <w:basedOn w:val="1"/>
    <w:qFormat/>
    <w:uiPriority w:val="0"/>
    <w:rPr>
      <w:rFonts w:ascii="Calibri" w:hAnsi="Calibri" w:cs="Calibri"/>
      <w:szCs w:val="21"/>
    </w:rPr>
  </w:style>
  <w:style w:type="paragraph" w:customStyle="1" w:styleId="73">
    <w:name w:val="Body text|1"/>
    <w:basedOn w:val="1"/>
    <w:qFormat/>
    <w:uiPriority w:val="0"/>
    <w:pPr>
      <w:spacing w:line="480" w:lineRule="auto"/>
      <w:ind w:firstLine="400"/>
    </w:pPr>
    <w:rPr>
      <w:rFonts w:ascii="宋体" w:hAnsi="宋体" w:eastAsia="宋体" w:cs="宋体"/>
      <w:sz w:val="19"/>
      <w:szCs w:val="19"/>
      <w:lang w:val="zh-TW" w:eastAsia="zh-TW" w:bidi="zh-TW"/>
    </w:rPr>
  </w:style>
  <w:style w:type="paragraph" w:customStyle="1" w:styleId="74">
    <w:name w:val="WPSOffice手动目录 3"/>
    <w:qFormat/>
    <w:uiPriority w:val="0"/>
    <w:pPr>
      <w:ind w:leftChars="400"/>
    </w:pPr>
    <w:rPr>
      <w:rFonts w:ascii="Times New Roman" w:hAnsi="Times New Roman" w:eastAsia="宋体" w:cs="Times New Roman"/>
      <w:lang w:val="en-US" w:eastAsia="zh-CN" w:bidi="ar-SA"/>
    </w:rPr>
  </w:style>
  <w:style w:type="paragraph" w:customStyle="1" w:styleId="75">
    <w:name w:val="21"/>
    <w:basedOn w:val="1"/>
    <w:qFormat/>
    <w:uiPriority w:val="0"/>
    <w:pPr>
      <w:widowControl/>
      <w:spacing w:before="100" w:beforeAutospacing="1" w:after="100" w:afterAutospacing="1"/>
      <w:jc w:val="left"/>
    </w:pPr>
    <w:rPr>
      <w:rFonts w:ascii="宋体" w:hAnsi="宋体" w:cs="宋体"/>
      <w:kern w:val="0"/>
      <w:sz w:val="24"/>
    </w:rPr>
  </w:style>
  <w:style w:type="paragraph" w:customStyle="1" w:styleId="76">
    <w:name w:val="正文_8"/>
    <w:basedOn w:val="1"/>
    <w:qFormat/>
    <w:uiPriority w:val="0"/>
    <w:rPr>
      <w:rFonts w:ascii="Calibri" w:hAnsi="Calibri" w:cs="Calibri"/>
      <w:szCs w:val="21"/>
    </w:rPr>
  </w:style>
  <w:style w:type="paragraph" w:customStyle="1" w:styleId="77">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78">
    <w:name w:val="WPSOffice手动目录 1"/>
    <w:qFormat/>
    <w:uiPriority w:val="0"/>
    <w:rPr>
      <w:rFonts w:ascii="Times New Roman" w:hAnsi="Times New Roman" w:eastAsia="宋体" w:cs="Times New Roman"/>
      <w:lang w:val="en-US" w:eastAsia="zh-CN" w:bidi="ar-SA"/>
    </w:rPr>
  </w:style>
  <w:style w:type="paragraph" w:customStyle="1" w:styleId="79">
    <w:name w:val="样式 标题 2 + Times New Roman 四号 非加粗 段前: 5 磅 段后: 0 磅 行距: 固定值 20..."/>
    <w:basedOn w:val="3"/>
    <w:qFormat/>
    <w:uiPriority w:val="99"/>
    <w:pPr>
      <w:spacing w:before="100" w:after="0" w:line="400" w:lineRule="exact"/>
    </w:pPr>
    <w:rPr>
      <w:rFonts w:ascii="Times New Roman" w:hAnsi="Times New Roman"/>
      <w:sz w:val="28"/>
      <w:szCs w:val="28"/>
    </w:rPr>
  </w:style>
  <w:style w:type="paragraph" w:styleId="80">
    <w:name w:val="List Paragraph"/>
    <w:basedOn w:val="1"/>
    <w:qFormat/>
    <w:uiPriority w:val="99"/>
    <w:pPr>
      <w:ind w:firstLine="420" w:firstLineChars="200"/>
    </w:pPr>
  </w:style>
  <w:style w:type="paragraph" w:customStyle="1" w:styleId="81">
    <w:name w:val="Table Text"/>
    <w:basedOn w:val="1"/>
    <w:semiHidden/>
    <w:qFormat/>
    <w:uiPriority w:val="0"/>
    <w:rPr>
      <w:rFonts w:ascii="宋体" w:hAnsi="宋体" w:eastAsia="宋体" w:cs="宋体"/>
      <w:sz w:val="20"/>
      <w:szCs w:val="20"/>
      <w:lang w:val="en-US" w:eastAsia="en-US" w:bidi="ar-SA"/>
    </w:rPr>
  </w:style>
  <w:style w:type="paragraph" w:customStyle="1" w:styleId="82">
    <w:name w:val="_Style 77"/>
    <w:unhideWhenUsed/>
    <w:qFormat/>
    <w:uiPriority w:val="99"/>
    <w:rPr>
      <w:rFonts w:ascii="Times New Roman" w:hAnsi="Times New Roman" w:eastAsia="宋体" w:cs="Times New Roman"/>
      <w:kern w:val="2"/>
      <w:sz w:val="21"/>
      <w:szCs w:val="24"/>
      <w:lang w:val="en-US" w:eastAsia="zh-CN" w:bidi="ar-SA"/>
    </w:rPr>
  </w:style>
  <w:style w:type="paragraph" w:customStyle="1" w:styleId="83">
    <w:name w:val="表格文字"/>
    <w:basedOn w:val="1"/>
    <w:qFormat/>
    <w:uiPriority w:val="0"/>
    <w:pPr>
      <w:adjustRightInd w:val="0"/>
      <w:spacing w:line="420" w:lineRule="atLeast"/>
      <w:jc w:val="left"/>
      <w:textAlignment w:val="baseline"/>
    </w:pPr>
    <w:rPr>
      <w:kern w:val="0"/>
    </w:rPr>
  </w:style>
  <w:style w:type="table" w:customStyle="1" w:styleId="84">
    <w:name w:val="Table Normal"/>
    <w:unhideWhenUsed/>
    <w:qFormat/>
    <w:uiPriority w:val="0"/>
    <w:rPr>
      <w:lang w:val="en-US" w:eastAsia="zh-CN" w:bidi="ar-SA"/>
    </w:rPr>
    <w:tblPr>
      <w:tblCellMar>
        <w:top w:w="0" w:type="dxa"/>
        <w:left w:w="0" w:type="dxa"/>
        <w:bottom w:w="0" w:type="dxa"/>
        <w:right w:w="0" w:type="dxa"/>
      </w:tblCellMar>
    </w:tblPr>
  </w:style>
  <w:style w:type="paragraph" w:customStyle="1" w:styleId="85">
    <w:name w:val="表格字体-靠左"/>
    <w:basedOn w:val="86"/>
    <w:next w:val="1"/>
    <w:qFormat/>
    <w:uiPriority w:val="0"/>
    <w:pPr>
      <w:ind w:firstLine="280" w:firstLineChars="100"/>
      <w:jc w:val="left"/>
    </w:pPr>
  </w:style>
  <w:style w:type="paragraph" w:customStyle="1" w:styleId="86">
    <w:name w:val="表格字体-居中"/>
    <w:basedOn w:val="1"/>
    <w:next w:val="1"/>
    <w:qFormat/>
    <w:uiPriority w:val="0"/>
    <w:pPr>
      <w:spacing w:line="240" w:lineRule="auto"/>
      <w:ind w:firstLine="0" w:firstLineChars="0"/>
      <w:jc w:val="center"/>
    </w:pPr>
  </w:style>
  <w:style w:type="character" w:customStyle="1" w:styleId="87">
    <w:name w:val="font61"/>
    <w:qFormat/>
    <w:uiPriority w:val="0"/>
    <w:rPr>
      <w:rFonts w:hint="default" w:ascii="Cambria" w:hAnsi="Cambria" w:eastAsia="Cambria" w:cs="Cambria"/>
      <w:color w:val="191919"/>
      <w:sz w:val="21"/>
      <w:szCs w:val="21"/>
      <w:u w:val="none"/>
    </w:rPr>
  </w:style>
  <w:style w:type="paragraph" w:customStyle="1" w:styleId="88">
    <w:name w:val="_Style 6"/>
    <w:basedOn w:val="2"/>
    <w:next w:val="1"/>
    <w:qFormat/>
    <w:uiPriority w:val="0"/>
    <w:pPr>
      <w:outlineLvl w:val="9"/>
    </w:pPr>
  </w:style>
  <w:style w:type="paragraph" w:customStyle="1" w:styleId="89">
    <w:name w:val="标题3-1"/>
    <w:basedOn w:val="4"/>
    <w:qFormat/>
    <w:uiPriority w:val="0"/>
    <w:pPr>
      <w:numPr>
        <w:ilvl w:val="0"/>
        <w:numId w:val="2"/>
      </w:numPr>
    </w:pPr>
    <w:rPr>
      <w:sz w:val="24"/>
    </w:rPr>
  </w:style>
  <w:style w:type="paragraph" w:customStyle="1" w:styleId="90">
    <w:name w:val="Table Paragraph"/>
    <w:basedOn w:val="1"/>
    <w:qFormat/>
    <w:uiPriority w:val="1"/>
    <w:pPr>
      <w:autoSpaceDE w:val="0"/>
      <w:autoSpaceDN w:val="0"/>
      <w:adjustRightInd w:val="0"/>
      <w:jc w:val="left"/>
    </w:pPr>
    <w:rPr>
      <w:rFonts w:ascii="宋体" w:eastAsia="宋体" w:cs="宋体"/>
      <w:kern w:val="0"/>
      <w:sz w:val="24"/>
      <w:szCs w:val="24"/>
    </w:rPr>
  </w:style>
  <w:style w:type="character" w:customStyle="1" w:styleId="91">
    <w:name w:val="NormalCharacter"/>
    <w:semiHidden/>
    <w:qFormat/>
    <w:uiPriority w:val="0"/>
    <w:rPr>
      <w:kern w:val="2"/>
      <w:sz w:val="21"/>
      <w:szCs w:val="24"/>
      <w:lang w:val="en-US" w:eastAsia="zh-CN" w:bidi="ar-SA"/>
    </w:rPr>
  </w:style>
  <w:style w:type="character" w:customStyle="1" w:styleId="92">
    <w:name w:val="hover1"/>
    <w:basedOn w:val="30"/>
    <w:qFormat/>
    <w:uiPriority w:val="0"/>
    <w:rPr>
      <w:color w:val="2590EB"/>
    </w:rPr>
  </w:style>
  <w:style w:type="character" w:customStyle="1" w:styleId="93">
    <w:name w:val="hover2"/>
    <w:basedOn w:val="30"/>
    <w:qFormat/>
    <w:uiPriority w:val="0"/>
    <w:rPr>
      <w:color w:val="2590EB"/>
    </w:rPr>
  </w:style>
  <w:style w:type="character" w:customStyle="1" w:styleId="94">
    <w:name w:val="hover3"/>
    <w:basedOn w:val="30"/>
    <w:qFormat/>
    <w:uiPriority w:val="0"/>
  </w:style>
  <w:style w:type="character" w:customStyle="1" w:styleId="95">
    <w:name w:val="hover4"/>
    <w:basedOn w:val="30"/>
    <w:qFormat/>
    <w:uiPriority w:val="0"/>
    <w:rPr>
      <w:color w:val="2590EB"/>
      <w:shd w:val="clear" w:color="auto" w:fill="E9F4FD"/>
    </w:rPr>
  </w:style>
  <w:style w:type="character" w:customStyle="1" w:styleId="96">
    <w:name w:val="hover"/>
    <w:basedOn w:val="30"/>
    <w:qFormat/>
    <w:uiPriority w:val="0"/>
    <w:rPr>
      <w:color w:val="2590EB"/>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7.png"/><Relationship Id="rId21" Type="http://schemas.openxmlformats.org/officeDocument/2006/relationships/image" Target="media/image6.png"/><Relationship Id="rId20" Type="http://schemas.openxmlformats.org/officeDocument/2006/relationships/image" Target="media/image5.png"/><Relationship Id="rId2" Type="http://schemas.openxmlformats.org/officeDocument/2006/relationships/settings" Target="settings.xml"/><Relationship Id="rId19" Type="http://schemas.openxmlformats.org/officeDocument/2006/relationships/image" Target="media/image4.png"/><Relationship Id="rId18" Type="http://schemas.openxmlformats.org/officeDocument/2006/relationships/image" Target="media/image3.png"/><Relationship Id="rId17" Type="http://schemas.openxmlformats.org/officeDocument/2006/relationships/image" Target="media/image2.png"/><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169</Pages>
  <Words>19573</Words>
  <Characters>21615</Characters>
  <Lines>558</Lines>
  <Paragraphs>157</Paragraphs>
  <TotalTime>21</TotalTime>
  <ScaleCrop>false</ScaleCrop>
  <LinksUpToDate>false</LinksUpToDate>
  <CharactersWithSpaces>21996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2025-12-19T18:04:00Z</dcterms:created>
  <dc:creator>User</dc:creator>
  <cp:lastModifiedBy>木水吉</cp:lastModifiedBy>
  <cp:lastPrinted>2026-08-24T01:35:00Z</cp:lastPrinted>
  <dcterms:modified xsi:type="dcterms:W3CDTF">2026-08-26T10:44:45Z</dcterms:modified>
  <dc:title>第二章  投标人须知</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C6E0E03BE7E743E8835198B7FCC11F6F_13</vt:lpwstr>
  </property>
  <property fmtid="{D5CDD505-2E9C-101B-9397-08002B2CF9AE}" pid="4" name="KSOTemplateDocerSaveRecord">
    <vt:lpwstr>eyJoZGlkIjoiMDI2MWYyMzM4ZDVhNDdjODYzMDJhMmE0NzkxNzQ0YTYiLCJ1c2VySWQiOiIzNzEzODgxODIifQ==</vt:lpwstr>
  </property>
</Properties>
</file>