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3C8AFA">
      <w:pPr>
        <w:wordWrap w:val="0"/>
        <w:spacing w:line="360" w:lineRule="auto"/>
        <w:jc w:val="center"/>
        <w:rPr>
          <w:rFonts w:hint="eastAsia" w:ascii="宋体" w:hAnsi="宋体" w:eastAsia="宋体" w:cs="宋体"/>
          <w:b/>
          <w:bCs/>
          <w:color w:val="auto"/>
          <w:sz w:val="24"/>
          <w:szCs w:val="24"/>
          <w:highlight w:val="none"/>
        </w:rPr>
      </w:pPr>
      <w:bookmarkStart w:id="0" w:name="_Toc272772543"/>
      <w:bookmarkStart w:id="1" w:name="_Toc228881132"/>
      <w:bookmarkStart w:id="2" w:name="_Toc227657456"/>
      <w:bookmarkStart w:id="3" w:name="_Toc228591628"/>
      <w:bookmarkStart w:id="4" w:name="_Toc228591480"/>
      <w:bookmarkStart w:id="5" w:name="_Toc228589134"/>
      <w:bookmarkStart w:id="6" w:name="_Toc228337068"/>
      <w:bookmarkStart w:id="7" w:name="_Toc214433856"/>
      <w:bookmarkStart w:id="8" w:name="_Toc227492213"/>
    </w:p>
    <w:p w14:paraId="62222258">
      <w:pPr>
        <w:wordWrap w:val="0"/>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52"/>
          <w:szCs w:val="52"/>
          <w:highlight w:val="none"/>
          <w:lang w:eastAsia="zh-CN"/>
        </w:rPr>
        <w:t>西平县二郎镇人民政府2025年西平县二郎镇肉牛养殖产业园项目</w:t>
      </w:r>
    </w:p>
    <w:p w14:paraId="50F7A1D2">
      <w:pPr>
        <w:pStyle w:val="41"/>
        <w:spacing w:after="0" w:line="360" w:lineRule="auto"/>
        <w:ind w:firstLine="201"/>
        <w:rPr>
          <w:rFonts w:hint="eastAsia" w:ascii="宋体" w:hAnsi="宋体" w:eastAsia="宋体" w:cs="宋体"/>
          <w:b/>
          <w:bCs/>
          <w:color w:val="auto"/>
          <w:szCs w:val="21"/>
          <w:highlight w:val="none"/>
        </w:rPr>
      </w:pPr>
    </w:p>
    <w:p w14:paraId="0E9DA506">
      <w:pPr>
        <w:spacing w:line="360" w:lineRule="auto"/>
        <w:rPr>
          <w:rFonts w:hint="eastAsia" w:ascii="宋体" w:hAnsi="宋体" w:eastAsia="宋体" w:cs="宋体"/>
          <w:b/>
          <w:bCs/>
          <w:color w:val="auto"/>
          <w:szCs w:val="21"/>
          <w:highlight w:val="none"/>
        </w:rPr>
      </w:pPr>
    </w:p>
    <w:p w14:paraId="39094376">
      <w:pPr>
        <w:pStyle w:val="41"/>
        <w:spacing w:after="0" w:line="360" w:lineRule="auto"/>
        <w:ind w:firstLine="200"/>
        <w:rPr>
          <w:rFonts w:hint="eastAsia" w:ascii="宋体" w:hAnsi="宋体" w:eastAsia="宋体" w:cs="宋体"/>
          <w:color w:val="auto"/>
          <w:highlight w:val="none"/>
        </w:rPr>
      </w:pPr>
    </w:p>
    <w:p w14:paraId="43589BD7">
      <w:pPr>
        <w:spacing w:line="360" w:lineRule="auto"/>
        <w:rPr>
          <w:rFonts w:hint="eastAsia" w:ascii="宋体" w:hAnsi="宋体" w:eastAsia="宋体" w:cs="宋体"/>
          <w:b/>
          <w:bCs/>
          <w:color w:val="auto"/>
          <w:szCs w:val="21"/>
          <w:highlight w:val="none"/>
        </w:rPr>
      </w:pPr>
    </w:p>
    <w:p w14:paraId="3997ECB4">
      <w:pPr>
        <w:pStyle w:val="41"/>
        <w:spacing w:after="0" w:line="360" w:lineRule="auto"/>
        <w:ind w:firstLine="201"/>
        <w:rPr>
          <w:rFonts w:hint="eastAsia" w:ascii="宋体" w:hAnsi="宋体" w:eastAsia="宋体" w:cs="宋体"/>
          <w:b/>
          <w:bCs/>
          <w:color w:val="auto"/>
          <w:szCs w:val="21"/>
          <w:highlight w:val="none"/>
        </w:rPr>
      </w:pPr>
    </w:p>
    <w:p w14:paraId="336F3FEF">
      <w:pPr>
        <w:spacing w:line="360" w:lineRule="auto"/>
        <w:rPr>
          <w:rFonts w:hint="eastAsia" w:ascii="宋体" w:hAnsi="宋体" w:eastAsia="宋体" w:cs="宋体"/>
          <w:b/>
          <w:bCs/>
          <w:color w:val="auto"/>
          <w:szCs w:val="21"/>
          <w:highlight w:val="none"/>
        </w:rPr>
      </w:pPr>
    </w:p>
    <w:p w14:paraId="4AAC1D7E">
      <w:pPr>
        <w:pStyle w:val="41"/>
        <w:spacing w:after="0" w:line="360" w:lineRule="auto"/>
        <w:ind w:firstLine="200"/>
        <w:rPr>
          <w:rFonts w:hint="eastAsia" w:ascii="宋体" w:hAnsi="宋体" w:eastAsia="宋体" w:cs="宋体"/>
          <w:color w:val="auto"/>
          <w:highlight w:val="none"/>
        </w:rPr>
      </w:pPr>
    </w:p>
    <w:p w14:paraId="7D6F95DD">
      <w:pPr>
        <w:wordWrap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施工招标文件</w:t>
      </w:r>
    </w:p>
    <w:p w14:paraId="5CD90F7A">
      <w:pPr>
        <w:pStyle w:val="42"/>
        <w:wordWrap w:val="0"/>
        <w:spacing w:after="0" w:line="360" w:lineRule="auto"/>
        <w:jc w:val="center"/>
        <w:rPr>
          <w:rFonts w:hint="default" w:ascii="宋体" w:hAnsi="宋体" w:eastAsia="宋体" w:cs="宋体"/>
          <w:color w:val="auto"/>
          <w:sz w:val="28"/>
          <w:szCs w:val="24"/>
          <w:highlight w:val="none"/>
          <w:lang w:val="en-US"/>
        </w:rPr>
      </w:pPr>
      <w:r>
        <w:rPr>
          <w:rFonts w:hint="eastAsia" w:ascii="宋体" w:hAnsi="宋体" w:eastAsia="宋体" w:cs="宋体"/>
          <w:color w:val="auto"/>
          <w:sz w:val="28"/>
          <w:szCs w:val="24"/>
          <w:highlight w:val="none"/>
        </w:rPr>
        <w:t>项目编号：</w:t>
      </w:r>
      <w:r>
        <w:rPr>
          <w:rFonts w:hint="eastAsia" w:ascii="宋体" w:hAnsi="宋体" w:eastAsia="宋体" w:cs="宋体"/>
          <w:color w:val="auto"/>
          <w:sz w:val="28"/>
          <w:szCs w:val="24"/>
          <w:highlight w:val="none"/>
          <w:lang w:val="en-US" w:eastAsia="zh-CN"/>
        </w:rPr>
        <w:t>XPGC-2026-0</w:t>
      </w:r>
      <w:r>
        <w:rPr>
          <w:rFonts w:hint="eastAsia" w:ascii="宋体" w:hAnsi="宋体" w:cs="宋体"/>
          <w:color w:val="auto"/>
          <w:sz w:val="28"/>
          <w:szCs w:val="24"/>
          <w:highlight w:val="none"/>
          <w:lang w:val="en-US" w:eastAsia="zh-CN"/>
        </w:rPr>
        <w:t>63</w:t>
      </w:r>
    </w:p>
    <w:p w14:paraId="20DAC2FC">
      <w:pPr>
        <w:pStyle w:val="42"/>
        <w:wordWrap w:val="0"/>
        <w:spacing w:after="0" w:line="360" w:lineRule="auto"/>
        <w:jc w:val="center"/>
        <w:rPr>
          <w:rFonts w:hint="default" w:ascii="宋体" w:hAnsi="宋体" w:eastAsia="宋体" w:cs="宋体"/>
          <w:color w:val="auto"/>
          <w:sz w:val="28"/>
          <w:szCs w:val="24"/>
          <w:highlight w:val="none"/>
          <w:lang w:val="en-US" w:eastAsia="zh-CN"/>
        </w:rPr>
      </w:pPr>
    </w:p>
    <w:p w14:paraId="5E26207F">
      <w:pPr>
        <w:wordWrap w:val="0"/>
        <w:spacing w:line="360" w:lineRule="auto"/>
        <w:rPr>
          <w:rFonts w:hint="eastAsia" w:ascii="宋体" w:hAnsi="宋体" w:eastAsia="宋体" w:cs="宋体"/>
          <w:color w:val="auto"/>
          <w:highlight w:val="none"/>
        </w:rPr>
      </w:pPr>
    </w:p>
    <w:p w14:paraId="45296DA2">
      <w:pPr>
        <w:wordWrap w:val="0"/>
        <w:spacing w:line="360" w:lineRule="auto"/>
        <w:jc w:val="center"/>
        <w:rPr>
          <w:rFonts w:hint="eastAsia" w:ascii="宋体" w:hAnsi="宋体" w:eastAsia="宋体" w:cs="宋体"/>
          <w:b/>
          <w:bCs/>
          <w:color w:val="auto"/>
          <w:highlight w:val="none"/>
        </w:rPr>
      </w:pPr>
    </w:p>
    <w:p w14:paraId="69C60BDF">
      <w:pPr>
        <w:wordWrap w:val="0"/>
        <w:spacing w:line="360" w:lineRule="auto"/>
        <w:jc w:val="center"/>
        <w:rPr>
          <w:rFonts w:hint="eastAsia" w:ascii="宋体" w:hAnsi="宋体" w:eastAsia="宋体" w:cs="宋体"/>
          <w:b/>
          <w:bCs/>
          <w:color w:val="auto"/>
          <w:highlight w:val="none"/>
        </w:rPr>
      </w:pPr>
    </w:p>
    <w:p w14:paraId="58AE61BA">
      <w:pPr>
        <w:wordWrap w:val="0"/>
        <w:spacing w:line="360" w:lineRule="auto"/>
        <w:jc w:val="both"/>
        <w:rPr>
          <w:rFonts w:hint="eastAsia" w:ascii="宋体" w:hAnsi="宋体" w:eastAsia="宋体" w:cs="宋体"/>
          <w:b/>
          <w:bCs/>
          <w:color w:val="auto"/>
          <w:highlight w:val="none"/>
        </w:rPr>
      </w:pPr>
    </w:p>
    <w:p w14:paraId="5CE7E032">
      <w:pPr>
        <w:wordWrap w:val="0"/>
        <w:spacing w:line="360" w:lineRule="auto"/>
        <w:jc w:val="center"/>
        <w:rPr>
          <w:rFonts w:hint="eastAsia" w:ascii="宋体" w:hAnsi="宋体" w:eastAsia="宋体" w:cs="宋体"/>
          <w:b/>
          <w:bCs/>
          <w:color w:val="auto"/>
          <w:highlight w:val="none"/>
        </w:rPr>
      </w:pPr>
    </w:p>
    <w:p w14:paraId="01D28F2B">
      <w:pPr>
        <w:pStyle w:val="42"/>
        <w:wordWrap w:val="0"/>
        <w:spacing w:after="0" w:line="360" w:lineRule="auto"/>
        <w:rPr>
          <w:rFonts w:hint="eastAsia" w:ascii="宋体" w:hAnsi="宋体" w:eastAsia="宋体" w:cs="宋体"/>
          <w:color w:val="auto"/>
          <w:highlight w:val="none"/>
        </w:rPr>
      </w:pPr>
    </w:p>
    <w:p w14:paraId="1DFC2ED0">
      <w:pPr>
        <w:pStyle w:val="41"/>
        <w:wordWrap w:val="0"/>
        <w:spacing w:after="0" w:line="360" w:lineRule="auto"/>
        <w:ind w:firstLine="200"/>
        <w:rPr>
          <w:rFonts w:hint="eastAsia" w:ascii="宋体" w:hAnsi="宋体" w:eastAsia="宋体" w:cs="宋体"/>
          <w:color w:val="auto"/>
          <w:highlight w:val="none"/>
        </w:rPr>
      </w:pPr>
    </w:p>
    <w:p w14:paraId="7A254E58">
      <w:pPr>
        <w:pStyle w:val="42"/>
        <w:spacing w:after="0" w:line="360" w:lineRule="auto"/>
        <w:rPr>
          <w:rFonts w:hint="eastAsia" w:ascii="宋体" w:hAnsi="宋体" w:eastAsia="宋体" w:cs="宋体"/>
          <w:color w:val="auto"/>
          <w:highlight w:val="none"/>
        </w:rPr>
      </w:pPr>
    </w:p>
    <w:p w14:paraId="05754646">
      <w:pPr>
        <w:pStyle w:val="42"/>
        <w:wordWrap w:val="0"/>
        <w:spacing w:after="0" w:line="360" w:lineRule="auto"/>
        <w:rPr>
          <w:rFonts w:hint="eastAsia" w:ascii="宋体" w:hAnsi="宋体" w:eastAsia="宋体" w:cs="宋体"/>
          <w:color w:val="auto"/>
          <w:highlight w:val="none"/>
        </w:rPr>
      </w:pPr>
    </w:p>
    <w:p w14:paraId="320AEDDA">
      <w:pPr>
        <w:wordWrap w:val="0"/>
        <w:spacing w:line="360" w:lineRule="auto"/>
        <w:ind w:firstLine="1080" w:firstLineChars="300"/>
        <w:rPr>
          <w:rFonts w:hint="eastAsia" w:ascii="宋体" w:hAnsi="宋体" w:eastAsia="宋体" w:cs="宋体"/>
          <w:color w:val="auto"/>
          <w:sz w:val="36"/>
          <w:szCs w:val="36"/>
          <w:highlight w:val="none"/>
          <w:u w:val="none"/>
          <w:lang w:eastAsia="zh-CN"/>
        </w:rPr>
      </w:pPr>
      <w:r>
        <w:rPr>
          <w:rFonts w:hint="eastAsia" w:ascii="宋体" w:hAnsi="宋体" w:eastAsia="宋体" w:cs="宋体"/>
          <w:color w:val="auto"/>
          <w:sz w:val="36"/>
          <w:szCs w:val="36"/>
          <w:highlight w:val="none"/>
          <w:u w:val="none"/>
        </w:rPr>
        <w:t xml:space="preserve">招 </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标</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 xml:space="preserve"> 人：</w:t>
      </w:r>
      <w:r>
        <w:rPr>
          <w:rFonts w:hint="eastAsia" w:ascii="宋体" w:hAnsi="宋体" w:cs="宋体"/>
          <w:color w:val="auto"/>
          <w:sz w:val="36"/>
          <w:szCs w:val="36"/>
          <w:highlight w:val="none"/>
          <w:u w:val="none"/>
          <w:lang w:eastAsia="zh-CN"/>
        </w:rPr>
        <w:t>西平县二郎镇人民政府</w:t>
      </w:r>
    </w:p>
    <w:p w14:paraId="36EDEC3E">
      <w:pPr>
        <w:pStyle w:val="41"/>
        <w:wordWrap w:val="0"/>
        <w:spacing w:after="0" w:line="360" w:lineRule="auto"/>
        <w:ind w:firstLine="1080" w:firstLineChars="300"/>
        <w:rPr>
          <w:rFonts w:hint="eastAsia" w:ascii="宋体" w:hAnsi="宋体" w:eastAsia="宋体" w:cs="宋体"/>
          <w:color w:val="auto"/>
          <w:sz w:val="36"/>
          <w:szCs w:val="36"/>
          <w:highlight w:val="none"/>
          <w:u w:val="none"/>
          <w:lang w:eastAsia="zh-CN"/>
        </w:rPr>
      </w:pPr>
      <w:r>
        <w:rPr>
          <w:rFonts w:hint="eastAsia" w:ascii="宋体" w:hAnsi="宋体" w:eastAsia="宋体" w:cs="宋体"/>
          <w:color w:val="auto"/>
          <w:sz w:val="36"/>
          <w:szCs w:val="36"/>
          <w:highlight w:val="none"/>
          <w:u w:val="none"/>
          <w:lang w:val="en-US" w:eastAsia="zh-CN"/>
        </w:rPr>
        <w:t>招标</w:t>
      </w:r>
      <w:r>
        <w:rPr>
          <w:rFonts w:hint="eastAsia" w:ascii="宋体" w:hAnsi="宋体" w:eastAsia="宋体" w:cs="宋体"/>
          <w:color w:val="auto"/>
          <w:sz w:val="36"/>
          <w:szCs w:val="36"/>
          <w:highlight w:val="none"/>
          <w:u w:val="none"/>
        </w:rPr>
        <w:t>代理机构：</w:t>
      </w:r>
      <w:r>
        <w:rPr>
          <w:rFonts w:hint="eastAsia" w:ascii="宋体" w:hAnsi="宋体" w:cs="宋体"/>
          <w:color w:val="auto"/>
          <w:sz w:val="36"/>
          <w:szCs w:val="36"/>
          <w:highlight w:val="none"/>
          <w:u w:val="none"/>
          <w:lang w:eastAsia="zh-CN"/>
        </w:rPr>
        <w:t>青润工程设计有限公司</w:t>
      </w:r>
    </w:p>
    <w:p w14:paraId="7E6C04F1">
      <w:pPr>
        <w:pStyle w:val="41"/>
        <w:wordWrap w:val="0"/>
        <w:spacing w:after="0" w:line="360" w:lineRule="auto"/>
        <w:ind w:firstLine="1080" w:firstLineChars="300"/>
        <w:rPr>
          <w:rFonts w:hint="eastAsia" w:ascii="宋体" w:hAnsi="宋体" w:eastAsia="宋体" w:cs="宋体"/>
          <w:b/>
          <w:color w:val="auto"/>
          <w:sz w:val="36"/>
          <w:highlight w:val="none"/>
          <w:u w:val="none"/>
        </w:rPr>
      </w:pPr>
      <w:r>
        <w:rPr>
          <w:rFonts w:hint="eastAsia" w:ascii="宋体" w:hAnsi="宋体" w:eastAsia="宋体" w:cs="宋体"/>
          <w:color w:val="auto"/>
          <w:sz w:val="36"/>
          <w:szCs w:val="36"/>
          <w:highlight w:val="none"/>
          <w:u w:val="none"/>
        </w:rPr>
        <w:t xml:space="preserve">日  </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 xml:space="preserve">  期：二〇二</w:t>
      </w:r>
      <w:r>
        <w:rPr>
          <w:rFonts w:hint="eastAsia" w:ascii="宋体" w:hAnsi="宋体" w:eastAsia="宋体" w:cs="宋体"/>
          <w:color w:val="auto"/>
          <w:sz w:val="36"/>
          <w:szCs w:val="36"/>
          <w:highlight w:val="none"/>
          <w:u w:val="none"/>
          <w:lang w:val="en-US" w:eastAsia="zh-CN"/>
        </w:rPr>
        <w:t>六</w:t>
      </w:r>
      <w:r>
        <w:rPr>
          <w:rFonts w:hint="eastAsia" w:ascii="宋体" w:hAnsi="宋体" w:eastAsia="宋体" w:cs="宋体"/>
          <w:color w:val="auto"/>
          <w:sz w:val="36"/>
          <w:szCs w:val="36"/>
          <w:highlight w:val="none"/>
          <w:u w:val="none"/>
        </w:rPr>
        <w:t>年</w:t>
      </w:r>
      <w:r>
        <w:rPr>
          <w:rFonts w:hint="eastAsia" w:ascii="宋体" w:hAnsi="宋体" w:cs="宋体"/>
          <w:color w:val="auto"/>
          <w:sz w:val="36"/>
          <w:szCs w:val="36"/>
          <w:highlight w:val="none"/>
          <w:u w:val="none"/>
          <w:lang w:val="en-US" w:eastAsia="zh-CN"/>
        </w:rPr>
        <w:t>九</w:t>
      </w:r>
      <w:r>
        <w:rPr>
          <w:rFonts w:hint="eastAsia" w:ascii="宋体" w:hAnsi="宋体" w:eastAsia="宋体" w:cs="宋体"/>
          <w:color w:val="auto"/>
          <w:sz w:val="36"/>
          <w:szCs w:val="36"/>
          <w:highlight w:val="none"/>
          <w:u w:val="none"/>
        </w:rPr>
        <w:t>月</w:t>
      </w:r>
    </w:p>
    <w:p w14:paraId="1133FD1A">
      <w:pPr>
        <w:pStyle w:val="41"/>
        <w:spacing w:after="0" w:line="360" w:lineRule="auto"/>
        <w:ind w:firstLine="200"/>
        <w:rPr>
          <w:rFonts w:hint="eastAsia" w:ascii="宋体" w:hAnsi="宋体" w:eastAsia="宋体" w:cs="宋体"/>
          <w:color w:val="auto"/>
          <w:highlight w:val="none"/>
        </w:rPr>
      </w:pPr>
    </w:p>
    <w:p w14:paraId="07EA140E">
      <w:pPr>
        <w:spacing w:line="360" w:lineRule="auto"/>
        <w:jc w:val="center"/>
        <w:outlineLvl w:val="0"/>
        <w:rPr>
          <w:rFonts w:hint="eastAsia" w:ascii="宋体" w:hAnsi="宋体" w:eastAsia="宋体" w:cs="宋体"/>
          <w:b/>
          <w:color w:val="auto"/>
          <w:sz w:val="36"/>
          <w:highlight w:val="none"/>
        </w:rPr>
        <w:sectPr>
          <w:headerReference r:id="rId5" w:type="first"/>
          <w:headerReference r:id="rId3" w:type="default"/>
          <w:headerReference r:id="rId4" w:type="even"/>
          <w:footerReference r:id="rId6" w:type="even"/>
          <w:pgSz w:w="11905" w:h="16838"/>
          <w:pgMar w:top="1440" w:right="1423" w:bottom="1440" w:left="1366" w:header="1077" w:footer="1077" w:gutter="0"/>
          <w:pgNumType w:fmt="decimal" w:start="1"/>
          <w:cols w:space="720" w:num="1"/>
          <w:titlePg/>
        </w:sectPr>
      </w:pPr>
    </w:p>
    <w:p w14:paraId="507EBE8E">
      <w:pPr>
        <w:pageBreakBefore w:val="0"/>
        <w:kinsoku/>
        <w:wordWrap w:val="0"/>
        <w:overflowPunct/>
        <w:topLinePunct w:val="0"/>
        <w:bidi w:val="0"/>
        <w:spacing w:line="360" w:lineRule="auto"/>
        <w:ind w:right="-34" w:rightChars="-16" w:firstLine="2570" w:firstLineChars="800"/>
        <w:outlineLvl w:val="0"/>
        <w:rPr>
          <w:rFonts w:hint="eastAsia" w:ascii="宋体" w:hAnsi="宋体" w:eastAsia="宋体" w:cs="宋体"/>
          <w:b/>
          <w:color w:val="auto"/>
          <w:sz w:val="32"/>
          <w:szCs w:val="32"/>
          <w:highlight w:val="none"/>
        </w:rPr>
      </w:pPr>
      <w:bookmarkStart w:id="9" w:name="_Toc30106"/>
      <w:bookmarkStart w:id="10" w:name="_Toc22034"/>
      <w:r>
        <w:rPr>
          <w:rFonts w:hint="eastAsia" w:ascii="宋体" w:hAnsi="宋体" w:eastAsia="宋体" w:cs="宋体"/>
          <w:b/>
          <w:color w:val="auto"/>
          <w:sz w:val="32"/>
          <w:szCs w:val="32"/>
          <w:highlight w:val="none"/>
        </w:rPr>
        <w:t>招标代理项目部人员组成</w:t>
      </w:r>
      <w:bookmarkEnd w:id="9"/>
      <w:bookmarkEnd w:id="10"/>
    </w:p>
    <w:p w14:paraId="6DFF1CE6">
      <w:pPr>
        <w:pageBreakBefore w:val="0"/>
        <w:kinsoku/>
        <w:wordWrap w:val="0"/>
        <w:overflowPunct/>
        <w:topLinePunct w:val="0"/>
        <w:bidi w:val="0"/>
        <w:spacing w:line="360" w:lineRule="auto"/>
        <w:ind w:right="-34" w:rightChars="-16" w:firstLine="663" w:firstLineChars="150"/>
        <w:rPr>
          <w:rFonts w:hint="eastAsia" w:ascii="宋体" w:hAnsi="宋体" w:eastAsia="宋体" w:cs="宋体"/>
          <w:b/>
          <w:color w:val="auto"/>
          <w:sz w:val="44"/>
          <w:szCs w:val="44"/>
          <w:highlight w:val="none"/>
        </w:rPr>
      </w:pPr>
    </w:p>
    <w:p w14:paraId="0EB86C77">
      <w:pPr>
        <w:pageBreakBefore w:val="0"/>
        <w:numPr>
          <w:ilvl w:val="0"/>
          <w:numId w:val="0"/>
        </w:numPr>
        <w:kinsoku/>
        <w:wordWrap w:val="0"/>
        <w:overflowPunct/>
        <w:bidi w:val="0"/>
        <w:spacing w:line="480" w:lineRule="auto"/>
        <w:ind w:left="899" w:leftChars="0" w:hanging="720" w:firstLineChars="0"/>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一、</w:t>
      </w:r>
      <w:r>
        <w:rPr>
          <w:rFonts w:hint="eastAsia" w:ascii="宋体" w:hAnsi="宋体" w:eastAsia="宋体" w:cs="宋体"/>
          <w:color w:val="auto"/>
          <w:sz w:val="28"/>
          <w:szCs w:val="28"/>
          <w:highlight w:val="none"/>
        </w:rPr>
        <w:t>项目负责人</w:t>
      </w:r>
      <w:r>
        <w:rPr>
          <w:rFonts w:hint="eastAsia" w:ascii="宋体" w:hAnsi="宋体" w:eastAsia="宋体" w:cs="宋体"/>
          <w:color w:val="auto"/>
          <w:sz w:val="28"/>
          <w:szCs w:val="28"/>
          <w:highlight w:val="none"/>
          <w:u w:val="single"/>
        </w:rPr>
        <w:t xml:space="preserve"> 蔡青</w:t>
      </w:r>
      <w:r>
        <w:rPr>
          <w:rFonts w:hint="eastAsia" w:ascii="宋体" w:hAnsi="宋体" w:eastAsia="宋体" w:cs="宋体"/>
          <w:color w:val="auto"/>
          <w:sz w:val="28"/>
          <w:szCs w:val="28"/>
          <w:highlight w:val="none"/>
          <w:u w:val="single"/>
          <w:lang w:val="en-US" w:eastAsia="zh-CN"/>
        </w:rPr>
        <w:t xml:space="preserve"> </w:t>
      </w:r>
    </w:p>
    <w:p w14:paraId="34809EFA">
      <w:pPr>
        <w:pageBreakBefore w:val="0"/>
        <w:kinsoku/>
        <w:wordWrap w:val="0"/>
        <w:overflowPunct/>
        <w:bidi w:val="0"/>
        <w:spacing w:line="480" w:lineRule="auto"/>
        <w:ind w:left="179"/>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bookmarkStart w:id="11" w:name="OLE_LINK1"/>
      <w:r>
        <w:rPr>
          <w:rFonts w:hint="eastAsia" w:ascii="宋体" w:hAnsi="宋体" w:eastAsia="宋体" w:cs="宋体"/>
          <w:color w:val="auto"/>
          <w:sz w:val="28"/>
          <w:szCs w:val="28"/>
          <w:highlight w:val="none"/>
        </w:rPr>
        <w:t>建设类注册执业（职业）资格证号</w:t>
      </w:r>
      <w:bookmarkEnd w:id="11"/>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37029588 </w:t>
      </w:r>
      <w:r>
        <w:rPr>
          <w:rFonts w:hint="eastAsia" w:ascii="宋体" w:hAnsi="宋体" w:eastAsia="宋体" w:cs="宋体"/>
          <w:color w:val="auto"/>
          <w:sz w:val="28"/>
          <w:szCs w:val="28"/>
          <w:highlight w:val="none"/>
        </w:rPr>
        <w:t>）</w:t>
      </w:r>
    </w:p>
    <w:p w14:paraId="36BBC28E">
      <w:pPr>
        <w:pageBreakBefore w:val="0"/>
        <w:numPr>
          <w:ilvl w:val="0"/>
          <w:numId w:val="0"/>
        </w:numPr>
        <w:kinsoku/>
        <w:wordWrap w:val="0"/>
        <w:overflowPunct/>
        <w:bidi w:val="0"/>
        <w:spacing w:line="480" w:lineRule="auto"/>
        <w:ind w:left="899" w:leftChars="0" w:hanging="720" w:firstLineChars="0"/>
        <w:outlineLvl w:val="9"/>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二、</w:t>
      </w:r>
      <w:r>
        <w:rPr>
          <w:rFonts w:hint="eastAsia" w:ascii="宋体" w:hAnsi="宋体" w:eastAsia="宋体" w:cs="宋体"/>
          <w:color w:val="auto"/>
          <w:sz w:val="28"/>
          <w:szCs w:val="28"/>
          <w:highlight w:val="none"/>
        </w:rPr>
        <w:t>其他人员</w:t>
      </w:r>
    </w:p>
    <w:p w14:paraId="685D843D">
      <w:pPr>
        <w:spacing w:line="600" w:lineRule="auto"/>
        <w:ind w:left="178" w:leftChars="85"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1、姓名： </w:t>
      </w:r>
      <w:r>
        <w:rPr>
          <w:rFonts w:hint="eastAsia" w:ascii="宋体" w:hAnsi="宋体" w:eastAsia="宋体" w:cs="宋体"/>
          <w:color w:val="auto"/>
          <w:sz w:val="28"/>
          <w:szCs w:val="28"/>
          <w:highlight w:val="none"/>
          <w:u w:val="single"/>
        </w:rPr>
        <w:t>孙航</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single"/>
          <w:lang w:val="en-US" w:eastAsia="zh-CN"/>
        </w:rPr>
        <w:t xml:space="preserve"> 鲁R23020337400135 </w:t>
      </w:r>
    </w:p>
    <w:p w14:paraId="621E59A3">
      <w:pPr>
        <w:spacing w:line="600" w:lineRule="auto"/>
        <w:ind w:left="178" w:leftChars="85" w:firstLine="560" w:firstLineChars="200"/>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2、姓名：</w:t>
      </w:r>
      <w:r>
        <w:rPr>
          <w:rFonts w:hint="eastAsia" w:ascii="宋体" w:hAnsi="宋体" w:eastAsia="宋体" w:cs="宋体"/>
          <w:color w:val="auto"/>
          <w:sz w:val="28"/>
          <w:szCs w:val="28"/>
          <w:highlight w:val="none"/>
          <w:u w:val="single"/>
        </w:rPr>
        <w:t xml:space="preserve"> 姜峰 </w:t>
      </w: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u w:val="none"/>
          <w:lang w:val="en-US" w:eastAsia="zh-CN"/>
        </w:rPr>
        <w:t xml:space="preserve"> </w:t>
      </w:r>
      <w:r>
        <w:rPr>
          <w:rFonts w:hint="eastAsia" w:ascii="宋体" w:hAnsi="宋体" w:cs="宋体"/>
          <w:color w:val="auto"/>
          <w:sz w:val="28"/>
          <w:szCs w:val="28"/>
          <w:highlight w:val="none"/>
          <w:u w:val="single"/>
          <w:lang w:val="en-US" w:eastAsia="zh-CN"/>
        </w:rPr>
        <w:t xml:space="preserve"> 鲁230231233300055 </w:t>
      </w:r>
    </w:p>
    <w:p w14:paraId="3667F568">
      <w:pPr>
        <w:spacing w:line="600" w:lineRule="auto"/>
        <w:ind w:left="178" w:leftChars="85" w:firstLine="560" w:firstLineChars="200"/>
        <w:rPr>
          <w:rFonts w:hint="eastAsia" w:ascii="宋体" w:hAnsi="宋体" w:cs="宋体"/>
          <w:color w:val="auto"/>
          <w:sz w:val="28"/>
          <w:szCs w:val="28"/>
          <w:highlight w:val="none"/>
          <w:u w:val="single"/>
          <w:lang w:val="en-US" w:eastAsia="zh-CN"/>
        </w:rPr>
      </w:pPr>
    </w:p>
    <w:p w14:paraId="62EB0EFA">
      <w:pPr>
        <w:rPr>
          <w:rFonts w:hint="default"/>
          <w:lang w:val="en-US" w:eastAsia="zh-CN"/>
        </w:rPr>
      </w:pPr>
      <w:r>
        <w:rPr>
          <w:rFonts w:hint="default"/>
          <w:lang w:val="en-US" w:eastAsia="zh-CN"/>
        </w:rPr>
        <w:t>工程招标代理机构省厅监管平台截图1：</w:t>
      </w:r>
    </w:p>
    <w:p w14:paraId="3F53ED3E">
      <w:pPr>
        <w:rPr>
          <w:rFonts w:hint="default"/>
          <w:lang w:val="en-US" w:eastAsia="zh-CN"/>
        </w:rPr>
      </w:pPr>
    </w:p>
    <w:p w14:paraId="3D35DCB3"/>
    <w:p w14:paraId="43018918">
      <w:r>
        <w:drawing>
          <wp:inline distT="0" distB="0" distL="114300" distR="114300">
            <wp:extent cx="5779135" cy="2919730"/>
            <wp:effectExtent l="0" t="0" r="12065" b="13970"/>
            <wp:docPr id="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icPr>
                  <pic:blipFill>
                    <a:blip r:embed="rId21"/>
                    <a:stretch>
                      <a:fillRect/>
                    </a:stretch>
                  </pic:blipFill>
                  <pic:spPr>
                    <a:xfrm>
                      <a:off x="0" y="0"/>
                      <a:ext cx="5779135" cy="2919730"/>
                    </a:xfrm>
                    <a:prstGeom prst="rect">
                      <a:avLst/>
                    </a:prstGeom>
                    <a:noFill/>
                    <a:ln>
                      <a:noFill/>
                    </a:ln>
                  </pic:spPr>
                </pic:pic>
              </a:graphicData>
            </a:graphic>
          </wp:inline>
        </w:drawing>
      </w:r>
    </w:p>
    <w:p w14:paraId="3F830E3D"/>
    <w:p w14:paraId="729FB12C">
      <w:pPr>
        <w:rPr>
          <w:rFonts w:hint="eastAsia"/>
          <w:lang w:eastAsia="zh-CN"/>
        </w:rPr>
      </w:pPr>
      <w:r>
        <w:rPr>
          <w:rFonts w:hint="eastAsia"/>
          <w:lang w:eastAsia="zh-CN"/>
        </w:rPr>
        <w:br w:type="page"/>
      </w:r>
    </w:p>
    <w:p w14:paraId="29AB706F">
      <w:pPr>
        <w:rPr>
          <w:rFonts w:hint="eastAsia"/>
          <w:lang w:val="en-US" w:eastAsia="zh-CN"/>
        </w:rPr>
      </w:pPr>
      <w:r>
        <w:rPr>
          <w:rFonts w:hint="eastAsia"/>
          <w:lang w:eastAsia="zh-CN"/>
        </w:rPr>
        <w:t>工程招标代理机构</w:t>
      </w:r>
      <w:r>
        <w:rPr>
          <w:rFonts w:hint="eastAsia"/>
          <w:lang w:val="en-US" w:eastAsia="zh-CN"/>
        </w:rPr>
        <w:t>全国</w:t>
      </w:r>
      <w:r>
        <w:rPr>
          <w:rFonts w:hint="eastAsia"/>
          <w:lang w:eastAsia="zh-CN"/>
        </w:rPr>
        <w:t>监管平台截图</w:t>
      </w:r>
      <w:r>
        <w:rPr>
          <w:rFonts w:hint="eastAsia"/>
          <w:lang w:val="en-US" w:eastAsia="zh-CN"/>
        </w:rPr>
        <w:t>2：</w:t>
      </w:r>
    </w:p>
    <w:p w14:paraId="1A24F132">
      <w:r>
        <w:drawing>
          <wp:inline distT="0" distB="0" distL="114300" distR="114300">
            <wp:extent cx="5779135" cy="2919730"/>
            <wp:effectExtent l="0" t="0" r="12065" b="13970"/>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icPr>
                  <pic:blipFill>
                    <a:blip r:embed="rId22"/>
                    <a:stretch>
                      <a:fillRect/>
                    </a:stretch>
                  </pic:blipFill>
                  <pic:spPr>
                    <a:xfrm>
                      <a:off x="0" y="0"/>
                      <a:ext cx="5779135" cy="2919730"/>
                    </a:xfrm>
                    <a:prstGeom prst="rect">
                      <a:avLst/>
                    </a:prstGeom>
                    <a:noFill/>
                    <a:ln>
                      <a:noFill/>
                    </a:ln>
                  </pic:spPr>
                </pic:pic>
              </a:graphicData>
            </a:graphic>
          </wp:inline>
        </w:drawing>
      </w:r>
    </w:p>
    <w:p w14:paraId="225DBDF6">
      <w:pPr>
        <w:rPr>
          <w:rFonts w:hint="eastAsia"/>
          <w:lang w:val="en-US" w:eastAsia="zh-CN"/>
        </w:rPr>
      </w:pPr>
      <w:r>
        <w:rPr>
          <w:rFonts w:hint="eastAsia"/>
          <w:lang w:eastAsia="zh-CN"/>
        </w:rPr>
        <w:t>工程招标代理机构省厅监管平台截图</w:t>
      </w:r>
      <w:r>
        <w:rPr>
          <w:rFonts w:hint="eastAsia"/>
          <w:lang w:val="en-US" w:eastAsia="zh-CN"/>
        </w:rPr>
        <w:t>3：</w:t>
      </w:r>
    </w:p>
    <w:p w14:paraId="626A1EBC"/>
    <w:p w14:paraId="6B42E45C">
      <w:r>
        <w:drawing>
          <wp:inline distT="0" distB="0" distL="114300" distR="114300">
            <wp:extent cx="5837555" cy="2949575"/>
            <wp:effectExtent l="0" t="0" r="10795" b="3175"/>
            <wp:docPr id="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pic:cNvPicPr>
                      <a:picLocks noChangeAspect="1"/>
                    </pic:cNvPicPr>
                  </pic:nvPicPr>
                  <pic:blipFill>
                    <a:blip r:embed="rId23"/>
                    <a:stretch>
                      <a:fillRect/>
                    </a:stretch>
                  </pic:blipFill>
                  <pic:spPr>
                    <a:xfrm>
                      <a:off x="0" y="0"/>
                      <a:ext cx="5837555" cy="2949575"/>
                    </a:xfrm>
                    <a:prstGeom prst="rect">
                      <a:avLst/>
                    </a:prstGeom>
                    <a:noFill/>
                    <a:ln>
                      <a:noFill/>
                    </a:ln>
                  </pic:spPr>
                </pic:pic>
              </a:graphicData>
            </a:graphic>
          </wp:inline>
        </w:drawing>
      </w:r>
    </w:p>
    <w:p w14:paraId="0271F9EE">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368AA2D3">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45521BAD">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52F5E7A4">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18636EA7">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5DC4CAEF">
      <w:pPr>
        <w:wordWrap w:val="0"/>
        <w:spacing w:line="360" w:lineRule="auto"/>
        <w:ind w:right="-34" w:rightChars="-16"/>
        <w:jc w:val="center"/>
        <w:rPr>
          <w:rFonts w:hint="eastAsia" w:ascii="宋体" w:hAnsi="宋体" w:eastAsia="宋体" w:cs="宋体"/>
          <w:color w:val="auto"/>
          <w:sz w:val="22"/>
          <w:szCs w:val="22"/>
          <w:highlight w:val="none"/>
        </w:rPr>
      </w:pPr>
      <w:r>
        <w:rPr>
          <w:rFonts w:hint="eastAsia" w:ascii="宋体" w:hAnsi="宋体" w:eastAsia="宋体" w:cs="宋体"/>
          <w:color w:val="auto"/>
          <w:sz w:val="28"/>
          <w:szCs w:val="28"/>
          <w:highlight w:val="none"/>
        </w:rPr>
        <w:t>目  录</w:t>
      </w:r>
    </w:p>
    <w:p w14:paraId="68903107">
      <w:pPr>
        <w:pStyle w:val="31"/>
        <w:tabs>
          <w:tab w:val="right" w:leader="dot" w:pos="9258"/>
        </w:tabs>
        <w:wordWrap w:val="0"/>
        <w:spacing w:line="360" w:lineRule="auto"/>
        <w:rPr>
          <w:rFonts w:hint="eastAsia" w:ascii="宋体" w:hAnsi="宋体" w:eastAsia="宋体" w:cs="宋体"/>
          <w:color w:val="auto"/>
          <w:kern w:val="0"/>
          <w:sz w:val="22"/>
          <w:szCs w:val="21"/>
          <w:highlight w:val="none"/>
        </w:rPr>
      </w:pPr>
      <w:r>
        <w:rPr>
          <w:rFonts w:hint="eastAsia" w:ascii="宋体" w:hAnsi="宋体" w:eastAsia="宋体" w:cs="宋体"/>
          <w:color w:val="auto"/>
          <w:kern w:val="0"/>
          <w:sz w:val="48"/>
          <w:szCs w:val="21"/>
          <w:highlight w:val="none"/>
        </w:rPr>
        <w:fldChar w:fldCharType="begin"/>
      </w:r>
      <w:r>
        <w:rPr>
          <w:rFonts w:hint="eastAsia" w:ascii="宋体" w:hAnsi="宋体" w:eastAsia="宋体" w:cs="宋体"/>
          <w:color w:val="auto"/>
          <w:kern w:val="0"/>
          <w:sz w:val="48"/>
          <w:szCs w:val="21"/>
          <w:highlight w:val="none"/>
        </w:rPr>
        <w:instrText xml:space="preserve"> TOC \o "1-3" \h \z \u </w:instrText>
      </w:r>
      <w:r>
        <w:rPr>
          <w:rFonts w:hint="eastAsia" w:ascii="宋体" w:hAnsi="宋体" w:eastAsia="宋体" w:cs="宋体"/>
          <w:color w:val="auto"/>
          <w:kern w:val="0"/>
          <w:sz w:val="48"/>
          <w:szCs w:val="21"/>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"_Toc30152"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第一章 招标公告</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t>3</w:t>
      </w:r>
      <w:r>
        <w:rPr>
          <w:rFonts w:hint="eastAsia" w:ascii="宋体" w:hAnsi="宋体" w:eastAsia="宋体" w:cs="宋体"/>
          <w:color w:val="auto"/>
          <w:kern w:val="0"/>
          <w:sz w:val="22"/>
          <w:szCs w:val="21"/>
          <w:highlight w:val="none"/>
        </w:rPr>
        <w:fldChar w:fldCharType="end"/>
      </w:r>
    </w:p>
    <w:p w14:paraId="5747714C">
      <w:pPr>
        <w:pStyle w:val="31"/>
        <w:tabs>
          <w:tab w:val="right" w:leader="dot" w:pos="9258"/>
        </w:tabs>
        <w:wordWrap w:val="0"/>
        <w:spacing w:line="360" w:lineRule="auto"/>
        <w:rPr>
          <w:rFonts w:hint="eastAsia" w:ascii="宋体" w:hAnsi="宋体" w:eastAsia="宋体" w:cs="宋体"/>
          <w:color w:val="auto"/>
          <w:kern w:val="0"/>
          <w:sz w:val="22"/>
          <w:szCs w:val="21"/>
          <w:highlight w:val="none"/>
        </w:rPr>
      </w:pPr>
      <w:r>
        <w:rPr>
          <w:rFonts w:hint="eastAsia" w:ascii="宋体" w:hAnsi="宋体" w:eastAsia="宋体" w:cs="宋体"/>
          <w:color w:val="auto"/>
          <w:kern w:val="0"/>
          <w:sz w:val="22"/>
          <w:szCs w:val="21"/>
          <w:highlight w:val="none"/>
        </w:rPr>
        <w:t xml:space="preserve">第二章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"_Toc19087"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投标人须知</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_Toc19087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8</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2D610913">
      <w:pPr>
        <w:pStyle w:val="31"/>
        <w:tabs>
          <w:tab w:val="right" w:leader="dot" w:pos="9258"/>
        </w:tabs>
        <w:wordWrap w:val="0"/>
        <w:spacing w:line="360" w:lineRule="auto"/>
        <w:ind w:firstLine="210" w:firstLineChars="1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"_Toc19087"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投标人须知前附表</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_Toc19087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8</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18B47175">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"_Toc30479"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1.总则</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_Toc30479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16</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4326703A">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"_Toc1388"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2.招标文件</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_Toc1388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18</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2B90B3C5">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"_Toc6457"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3.投标文件</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_Toc6457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19</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46135617">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"_Toc511"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4.投标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_Toc511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22</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090ED2CB">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"_Toc19918"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5.开标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_Toc19918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23</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10AF41E8">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"_Toc18521"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6.评标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_Toc18521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24</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720C6456">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"_Toc9404"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7.合同授予</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_Toc9404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25</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07FEE7F7">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"_Toc30077"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8.重新招标和不再招标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_Toc30077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26</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52DD7605">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"_Toc19552"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9.纪律和监督</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_Toc19552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26</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613236FC">
      <w:pPr>
        <w:pStyle w:val="31"/>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"_Toc9424"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10.需要补充的其他内容</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_Toc9424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27</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464E9520">
      <w:pPr>
        <w:pStyle w:val="31"/>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"_Toc6044"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第三章 评标办法（</w:t>
      </w:r>
      <w:r>
        <w:rPr>
          <w:rFonts w:hint="eastAsia" w:ascii="宋体" w:hAnsi="宋体" w:eastAsia="宋体" w:cs="宋体"/>
          <w:color w:val="auto"/>
          <w:kern w:val="0"/>
          <w:sz w:val="22"/>
          <w:szCs w:val="21"/>
          <w:highlight w:val="none"/>
          <w:lang w:val="en-US" w:eastAsia="zh-CN"/>
        </w:rPr>
        <w:t>综合评估法</w:t>
      </w:r>
      <w:r>
        <w:rPr>
          <w:rFonts w:hint="eastAsia" w:ascii="宋体" w:hAnsi="宋体" w:eastAsia="宋体" w:cs="宋体"/>
          <w:color w:val="auto"/>
          <w:kern w:val="0"/>
          <w:sz w:val="22"/>
          <w:szCs w:val="21"/>
          <w:highlight w:val="none"/>
        </w:rPr>
        <w:t>）</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t>.......</w:t>
      </w:r>
      <w:r>
        <w:rPr>
          <w:rFonts w:hint="eastAsia" w:ascii="宋体" w:hAnsi="宋体" w:eastAsia="宋体" w:cs="宋体"/>
          <w:color w:val="auto"/>
          <w:kern w:val="0"/>
          <w:sz w:val="22"/>
          <w:szCs w:val="21"/>
          <w:highlight w:val="none"/>
          <w:lang w:val="en-US" w:eastAsia="zh-CN"/>
        </w:rPr>
        <w:t>3</w:t>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1</w:t>
      </w:r>
    </w:p>
    <w:p w14:paraId="37C22A70">
      <w:pPr>
        <w:pStyle w:val="31"/>
        <w:tabs>
          <w:tab w:val="right" w:leader="dot" w:pos="9258"/>
        </w:tabs>
        <w:wordWrap w:val="0"/>
        <w:spacing w:line="360" w:lineRule="auto"/>
        <w:ind w:firstLine="210" w:firstLineChars="100"/>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"_Toc25714"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评标办法前附表</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lang w:val="en-US" w:eastAsia="zh-CN"/>
        </w:rPr>
        <w:t>3</w:t>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1</w:t>
      </w:r>
    </w:p>
    <w:p w14:paraId="530F3609">
      <w:pPr>
        <w:pStyle w:val="31"/>
        <w:tabs>
          <w:tab w:val="right" w:leader="dot" w:pos="9258"/>
        </w:tabs>
        <w:wordWrap w:val="0"/>
        <w:spacing w:line="360" w:lineRule="auto"/>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"_Toc13936"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第四章 定标办法（核查随机法）</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_Toc13936 \h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53</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799A498A">
      <w:pPr>
        <w:pStyle w:val="31"/>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"_Toc5772"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第五章 合同条款及格式</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t>5</w:t>
      </w:r>
      <w:r>
        <w:rPr>
          <w:rFonts w:hint="eastAsia" w:ascii="宋体" w:hAnsi="宋体" w:cs="宋体"/>
          <w:color w:val="auto"/>
          <w:kern w:val="0"/>
          <w:sz w:val="22"/>
          <w:szCs w:val="21"/>
          <w:highlight w:val="none"/>
          <w:lang w:val="en-US" w:eastAsia="zh-CN"/>
        </w:rPr>
        <w:t>5</w:t>
      </w:r>
    </w:p>
    <w:p w14:paraId="5A250F27">
      <w:pPr>
        <w:pStyle w:val="31"/>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"_Toc5959"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第六章 工程量清单（另册提供）</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86</w:t>
      </w:r>
    </w:p>
    <w:p w14:paraId="1EDA4FFB">
      <w:pPr>
        <w:pStyle w:val="31"/>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"_Toc10873"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第七章 图纸（另册提供）</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87</w:t>
      </w:r>
    </w:p>
    <w:p w14:paraId="4F81C621">
      <w:pPr>
        <w:pStyle w:val="31"/>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第八章 技术标准和要求</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88</w:t>
      </w:r>
    </w:p>
    <w:p w14:paraId="4B19D253">
      <w:pPr>
        <w:pStyle w:val="31"/>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"_Toc15424"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第九章 投标文件格式</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89</w:t>
      </w:r>
    </w:p>
    <w:p w14:paraId="1E91526F">
      <w:pPr>
        <w:pStyle w:val="31"/>
        <w:tabs>
          <w:tab w:val="right" w:leader="dot" w:pos="9258"/>
        </w:tabs>
        <w:wordWrap w:val="0"/>
        <w:spacing w:line="360" w:lineRule="auto"/>
        <w:rPr>
          <w:rFonts w:hint="eastAsia" w:ascii="宋体" w:hAnsi="宋体" w:eastAsia="宋体" w:cs="宋体"/>
          <w:b/>
          <w:bCs/>
          <w:color w:val="auto"/>
          <w:kern w:val="0"/>
          <w:highlight w:val="none"/>
        </w:rPr>
      </w:pPr>
      <w:r>
        <w:rPr>
          <w:rFonts w:hint="eastAsia" w:ascii="宋体" w:hAnsi="宋体" w:eastAsia="宋体" w:cs="宋体"/>
          <w:color w:val="auto"/>
          <w:kern w:val="0"/>
          <w:sz w:val="22"/>
          <w:szCs w:val="21"/>
          <w:highlight w:val="none"/>
        </w:rPr>
        <w:fldChar w:fldCharType="end"/>
      </w:r>
    </w:p>
    <w:p w14:paraId="03ED3D8D">
      <w:pPr>
        <w:pStyle w:val="31"/>
        <w:tabs>
          <w:tab w:val="right" w:leader="dot" w:pos="9258"/>
        </w:tabs>
        <w:wordWrap w:val="0"/>
        <w:spacing w:line="360" w:lineRule="auto"/>
        <w:rPr>
          <w:rFonts w:hint="eastAsia" w:ascii="宋体" w:hAnsi="宋体" w:eastAsia="宋体" w:cs="宋体"/>
          <w:b/>
          <w:bCs/>
          <w:color w:val="auto"/>
          <w:kern w:val="0"/>
          <w:highlight w:val="none"/>
        </w:rPr>
        <w:sectPr>
          <w:footerReference r:id="rId8" w:type="first"/>
          <w:footerReference r:id="rId7" w:type="default"/>
          <w:pgSz w:w="11905" w:h="16838"/>
          <w:pgMar w:top="1440" w:right="1423" w:bottom="1440" w:left="1366" w:header="1077" w:footer="1077" w:gutter="0"/>
          <w:pgNumType w:fmt="decimal" w:start="1"/>
          <w:cols w:space="720" w:num="1"/>
          <w:titlePg/>
        </w:sectPr>
      </w:pPr>
    </w:p>
    <w:bookmarkEnd w:id="0"/>
    <w:bookmarkEnd w:id="1"/>
    <w:bookmarkEnd w:id="2"/>
    <w:bookmarkEnd w:id="3"/>
    <w:bookmarkEnd w:id="4"/>
    <w:bookmarkEnd w:id="5"/>
    <w:bookmarkEnd w:id="6"/>
    <w:bookmarkEnd w:id="7"/>
    <w:bookmarkEnd w:id="8"/>
    <w:p w14:paraId="54F3F315">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bookmarkStart w:id="12" w:name="_Toc30152"/>
      <w:bookmarkStart w:id="13" w:name="_Toc6560"/>
      <w:bookmarkStart w:id="14" w:name="_Toc214433858"/>
      <w:bookmarkStart w:id="15" w:name="_Toc227492215"/>
      <w:bookmarkStart w:id="16" w:name="_Toc227657458"/>
      <w:bookmarkStart w:id="17" w:name="_Toc272772545"/>
      <w:r>
        <w:rPr>
          <w:rFonts w:hint="eastAsia" w:ascii="宋体" w:hAnsi="宋体" w:eastAsia="宋体" w:cs="宋体"/>
          <w:b/>
          <w:color w:val="auto"/>
          <w:kern w:val="0"/>
          <w:sz w:val="36"/>
          <w:highlight w:val="none"/>
        </w:rPr>
        <w:t>第一章 招标公告</w:t>
      </w:r>
      <w:bookmarkEnd w:id="12"/>
      <w:bookmarkEnd w:id="13"/>
      <w:bookmarkStart w:id="18" w:name="_Toc500865775"/>
      <w:bookmarkStart w:id="19" w:name="_Toc980"/>
      <w:bookmarkStart w:id="20" w:name="OLE_LINK2"/>
      <w:bookmarkStart w:id="21" w:name="_Toc22439"/>
      <w:bookmarkStart w:id="22" w:name="_Toc418520722"/>
      <w:bookmarkStart w:id="23" w:name="_Toc434136590"/>
    </w:p>
    <w:bookmarkEnd w:id="18"/>
    <w:bookmarkEnd w:id="19"/>
    <w:bookmarkEnd w:id="20"/>
    <w:bookmarkEnd w:id="21"/>
    <w:bookmarkEnd w:id="22"/>
    <w:bookmarkEnd w:id="23"/>
    <w:p w14:paraId="16C77337">
      <w:pPr>
        <w:wordWrap w:val="0"/>
        <w:spacing w:line="360" w:lineRule="auto"/>
        <w:jc w:val="center"/>
        <w:rPr>
          <w:rFonts w:hint="eastAsia" w:ascii="宋体" w:hAnsi="宋体" w:cs="宋体"/>
          <w:b/>
          <w:color w:val="auto"/>
          <w:kern w:val="0"/>
          <w:sz w:val="32"/>
          <w:szCs w:val="32"/>
          <w:highlight w:val="none"/>
          <w:lang w:eastAsia="zh-CN"/>
        </w:rPr>
      </w:pPr>
      <w:bookmarkStart w:id="24" w:name="_Toc4006"/>
      <w:r>
        <w:rPr>
          <w:rFonts w:hint="eastAsia" w:ascii="宋体" w:hAnsi="宋体" w:cs="宋体"/>
          <w:b/>
          <w:color w:val="auto"/>
          <w:kern w:val="0"/>
          <w:sz w:val="32"/>
          <w:szCs w:val="32"/>
          <w:highlight w:val="none"/>
          <w:lang w:eastAsia="zh-CN"/>
        </w:rPr>
        <w:t>西平县二郎镇人民政府2025年西平县二郎镇</w:t>
      </w:r>
    </w:p>
    <w:p w14:paraId="1BB46221">
      <w:pPr>
        <w:wordWrap w:val="0"/>
        <w:spacing w:line="360" w:lineRule="auto"/>
        <w:jc w:val="center"/>
        <w:rPr>
          <w:rFonts w:hint="eastAsia" w:ascii="宋体" w:hAnsi="宋体" w:cs="宋体"/>
          <w:b/>
          <w:color w:val="auto"/>
          <w:kern w:val="0"/>
          <w:sz w:val="32"/>
          <w:szCs w:val="32"/>
          <w:highlight w:val="none"/>
          <w:lang w:eastAsia="zh-CN"/>
        </w:rPr>
      </w:pPr>
      <w:r>
        <w:rPr>
          <w:rFonts w:hint="eastAsia" w:ascii="宋体" w:hAnsi="宋体" w:cs="宋体"/>
          <w:b/>
          <w:color w:val="auto"/>
          <w:kern w:val="0"/>
          <w:sz w:val="32"/>
          <w:szCs w:val="32"/>
          <w:highlight w:val="none"/>
          <w:lang w:eastAsia="zh-CN"/>
        </w:rPr>
        <w:t>肉牛养殖产业园项目</w:t>
      </w:r>
    </w:p>
    <w:p w14:paraId="43C4E4A3">
      <w:pPr>
        <w:wordWrap w:val="0"/>
        <w:spacing w:line="360" w:lineRule="auto"/>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32"/>
          <w:szCs w:val="32"/>
          <w:highlight w:val="none"/>
        </w:rPr>
        <w:t>招标公告</w:t>
      </w:r>
    </w:p>
    <w:p w14:paraId="15B26395">
      <w:pPr>
        <w:pStyle w:val="42"/>
        <w:wordWrap w:val="0"/>
        <w:spacing w:after="0" w:line="360" w:lineRule="auto"/>
        <w:jc w:val="center"/>
        <w:rPr>
          <w:rFonts w:hint="default" w:ascii="宋体" w:hAnsi="宋体" w:eastAsia="宋体" w:cs="宋体"/>
          <w:b/>
          <w:color w:val="auto"/>
          <w:kern w:val="0"/>
          <w:sz w:val="32"/>
          <w:szCs w:val="32"/>
          <w:highlight w:val="none"/>
          <w:lang w:val="en-US" w:eastAsia="zh-CN" w:bidi="ar-SA"/>
        </w:rPr>
      </w:pPr>
      <w:r>
        <w:rPr>
          <w:rFonts w:hint="eastAsia" w:ascii="宋体" w:hAnsi="宋体" w:eastAsia="宋体" w:cs="宋体"/>
          <w:b/>
          <w:color w:val="auto"/>
          <w:kern w:val="0"/>
          <w:sz w:val="28"/>
          <w:szCs w:val="28"/>
          <w:highlight w:val="none"/>
        </w:rPr>
        <w:t>项目编号：</w:t>
      </w:r>
      <w:r>
        <w:rPr>
          <w:rFonts w:hint="eastAsia" w:ascii="宋体" w:hAnsi="宋体" w:eastAsia="宋体" w:cs="宋体"/>
          <w:b/>
          <w:color w:val="auto"/>
          <w:kern w:val="0"/>
          <w:sz w:val="32"/>
          <w:szCs w:val="32"/>
          <w:highlight w:val="none"/>
          <w:lang w:val="en-US" w:eastAsia="zh-CN" w:bidi="ar-SA"/>
        </w:rPr>
        <w:t>XPGC-2026-063</w:t>
      </w:r>
    </w:p>
    <w:p w14:paraId="640C71FE">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1.招标条件</w:t>
      </w:r>
    </w:p>
    <w:p w14:paraId="6BA4DD42">
      <w:pPr>
        <w:wordWrap w:val="0"/>
        <w:spacing w:line="360"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本招标项目</w:t>
      </w:r>
      <w:r>
        <w:rPr>
          <w:rFonts w:hint="eastAsia" w:ascii="宋体" w:hAnsi="宋体" w:cs="宋体"/>
          <w:color w:val="auto"/>
          <w:sz w:val="21"/>
          <w:szCs w:val="21"/>
          <w:highlight w:val="none"/>
          <w:lang w:eastAsia="zh-CN"/>
        </w:rPr>
        <w:t>西平县二郎镇人民政府2025年西平县二郎镇肉牛养殖产业园项目</w:t>
      </w:r>
      <w:r>
        <w:rPr>
          <w:rFonts w:hint="eastAsia" w:ascii="宋体" w:hAnsi="宋体" w:eastAsia="宋体" w:cs="宋体"/>
          <w:bCs/>
          <w:color w:val="auto"/>
          <w:sz w:val="21"/>
          <w:szCs w:val="21"/>
          <w:highlight w:val="none"/>
        </w:rPr>
        <w:t>已由相关主管部门批准建设</w:t>
      </w:r>
      <w:r>
        <w:rPr>
          <w:rFonts w:hint="eastAsia" w:ascii="宋体" w:hAnsi="宋体" w:eastAsia="宋体" w:cs="宋体"/>
          <w:color w:val="auto"/>
          <w:sz w:val="21"/>
          <w:szCs w:val="21"/>
          <w:highlight w:val="none"/>
        </w:rPr>
        <w:t>，项目代码为：260</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-411721-04-01-</w:t>
      </w:r>
      <w:r>
        <w:rPr>
          <w:rFonts w:hint="eastAsia" w:ascii="宋体" w:hAnsi="宋体" w:cs="宋体"/>
          <w:color w:val="auto"/>
          <w:sz w:val="21"/>
          <w:szCs w:val="21"/>
          <w:highlight w:val="none"/>
          <w:lang w:val="en-US" w:eastAsia="zh-CN"/>
        </w:rPr>
        <w:t>983188</w:t>
      </w:r>
      <w:r>
        <w:rPr>
          <w:rFonts w:hint="eastAsia" w:ascii="宋体" w:hAnsi="宋体" w:eastAsia="宋体" w:cs="宋体"/>
          <w:color w:val="auto"/>
          <w:sz w:val="21"/>
          <w:szCs w:val="21"/>
          <w:highlight w:val="none"/>
        </w:rPr>
        <w:t>，招标人为</w:t>
      </w:r>
      <w:r>
        <w:rPr>
          <w:rFonts w:hint="eastAsia" w:ascii="宋体" w:hAnsi="宋体" w:cs="宋体"/>
          <w:color w:val="auto"/>
          <w:sz w:val="21"/>
          <w:szCs w:val="21"/>
          <w:highlight w:val="none"/>
          <w:lang w:eastAsia="zh-CN"/>
        </w:rPr>
        <w:t>西平县二郎镇人民政府</w:t>
      </w:r>
      <w:r>
        <w:rPr>
          <w:rFonts w:hint="eastAsia" w:ascii="宋体" w:hAnsi="宋体" w:eastAsia="宋体" w:cs="宋体"/>
          <w:color w:val="auto"/>
          <w:sz w:val="21"/>
          <w:szCs w:val="21"/>
          <w:highlight w:val="none"/>
        </w:rPr>
        <w:t>，资金来源：</w:t>
      </w:r>
      <w:r>
        <w:rPr>
          <w:rFonts w:hint="eastAsia" w:ascii="宋体" w:hAnsi="宋体" w:cs="宋体"/>
          <w:color w:val="auto"/>
          <w:sz w:val="21"/>
          <w:szCs w:val="21"/>
          <w:highlight w:val="none"/>
          <w:lang w:val="en-US" w:eastAsia="zh-CN"/>
        </w:rPr>
        <w:t>财政衔接资金</w:t>
      </w:r>
      <w:r>
        <w:rPr>
          <w:rFonts w:hint="eastAsia" w:ascii="宋体" w:hAnsi="宋体" w:eastAsia="宋体" w:cs="宋体"/>
          <w:color w:val="auto"/>
          <w:sz w:val="21"/>
          <w:szCs w:val="21"/>
          <w:highlight w:val="none"/>
        </w:rPr>
        <w:t>，资金已落实。项目已具备招标条件，现对该项目施工进行公开招标。</w:t>
      </w:r>
    </w:p>
    <w:p w14:paraId="2D5DC37D">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2.项目概况与招标范围 </w:t>
      </w:r>
    </w:p>
    <w:p w14:paraId="2460BC8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2.1项目名称：</w:t>
      </w:r>
      <w:r>
        <w:rPr>
          <w:rFonts w:hint="eastAsia" w:ascii="宋体" w:hAnsi="宋体" w:cs="宋体"/>
          <w:color w:val="auto"/>
          <w:sz w:val="21"/>
          <w:szCs w:val="21"/>
          <w:highlight w:val="none"/>
          <w:lang w:eastAsia="zh-CN"/>
        </w:rPr>
        <w:t>西平县二郎镇人民政府2025年西平县二郎镇肉牛养殖产业园项目</w:t>
      </w:r>
    </w:p>
    <w:p w14:paraId="7F37F547">
      <w:pPr>
        <w:wordWrap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2.2项目概况：该项目位于西平县</w:t>
      </w:r>
      <w:r>
        <w:rPr>
          <w:rFonts w:hint="eastAsia" w:ascii="宋体" w:hAnsi="宋体" w:cs="宋体"/>
          <w:color w:val="auto"/>
          <w:sz w:val="21"/>
          <w:szCs w:val="21"/>
          <w:highlight w:val="none"/>
          <w:lang w:eastAsia="zh-CN"/>
        </w:rPr>
        <w:t>二郎镇</w:t>
      </w:r>
      <w:r>
        <w:rPr>
          <w:rFonts w:hint="eastAsia" w:ascii="宋体" w:hAnsi="宋体" w:eastAsia="宋体" w:cs="宋体"/>
          <w:color w:val="auto"/>
          <w:sz w:val="21"/>
          <w:szCs w:val="21"/>
          <w:highlight w:val="none"/>
        </w:rPr>
        <w:t>，本次招标范围新建钢结构牛舍两座，建筑面积4806平方米，新建钢结</w:t>
      </w:r>
      <w:bookmarkStart w:id="25" w:name="OLE_LINK5"/>
      <w:r>
        <w:rPr>
          <w:rFonts w:hint="eastAsia" w:ascii="宋体" w:hAnsi="宋体" w:eastAsia="宋体" w:cs="宋体"/>
          <w:color w:val="auto"/>
          <w:sz w:val="21"/>
          <w:szCs w:val="21"/>
          <w:highlight w:val="none"/>
        </w:rPr>
        <w:t>构</w:t>
      </w:r>
      <w:bookmarkEnd w:id="25"/>
      <w:r>
        <w:rPr>
          <w:rFonts w:hint="eastAsia" w:ascii="宋体" w:hAnsi="宋体" w:eastAsia="宋体" w:cs="宋体"/>
          <w:color w:val="auto"/>
          <w:sz w:val="21"/>
          <w:szCs w:val="21"/>
          <w:highlight w:val="none"/>
        </w:rPr>
        <w:t>仓库一座，建筑面积4677.4平方米。</w:t>
      </w:r>
    </w:p>
    <w:p w14:paraId="001911A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r>
        <w:rPr>
          <w:rFonts w:hint="eastAsia" w:ascii="宋体" w:hAnsi="宋体" w:eastAsia="宋体" w:cs="宋体"/>
          <w:color w:val="auto"/>
          <w:sz w:val="21"/>
          <w:szCs w:val="21"/>
          <w:highlight w:val="none"/>
          <w:lang w:val="en-US" w:eastAsia="zh-CN"/>
        </w:rPr>
        <w:t>建设地点：西平县境内；</w:t>
      </w:r>
    </w:p>
    <w:p w14:paraId="7D09F5F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2.4标段划分：本</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共划分</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val="en-US" w:eastAsia="zh-CN"/>
        </w:rPr>
        <w:t>施工</w:t>
      </w:r>
      <w:r>
        <w:rPr>
          <w:rFonts w:hint="eastAsia" w:ascii="宋体" w:hAnsi="宋体" w:eastAsia="宋体" w:cs="宋体"/>
          <w:color w:val="auto"/>
          <w:sz w:val="21"/>
          <w:szCs w:val="21"/>
          <w:highlight w:val="none"/>
        </w:rPr>
        <w:t>标段</w:t>
      </w:r>
    </w:p>
    <w:p w14:paraId="271894E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质量要求：合格；</w:t>
      </w:r>
    </w:p>
    <w:p w14:paraId="15FEA12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计划工期：</w:t>
      </w:r>
      <w:r>
        <w:rPr>
          <w:rFonts w:hint="eastAsia" w:ascii="宋体" w:hAnsi="宋体" w:cs="宋体"/>
          <w:color w:val="auto"/>
          <w:sz w:val="21"/>
          <w:szCs w:val="21"/>
          <w:highlight w:val="none"/>
          <w:lang w:val="en-US" w:eastAsia="zh-CN"/>
        </w:rPr>
        <w:t>60</w:t>
      </w:r>
      <w:r>
        <w:rPr>
          <w:rFonts w:hint="eastAsia" w:ascii="宋体" w:hAnsi="宋体" w:eastAsia="宋体" w:cs="宋体"/>
          <w:color w:val="auto"/>
          <w:sz w:val="21"/>
          <w:szCs w:val="21"/>
          <w:highlight w:val="none"/>
        </w:rPr>
        <w:t>日历天；</w:t>
      </w:r>
    </w:p>
    <w:p w14:paraId="3A58EE7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招标范围：本项目招标文件、施工图纸及工程量清单所含全部内容（最终以工程量清单、施工图纸内容和施工招标答疑纪要为准）</w:t>
      </w:r>
      <w:r>
        <w:rPr>
          <w:rFonts w:hint="eastAsia" w:ascii="宋体" w:hAnsi="宋体" w:eastAsia="宋体" w:cs="宋体"/>
          <w:color w:val="auto"/>
          <w:sz w:val="21"/>
          <w:szCs w:val="21"/>
          <w:highlight w:val="none"/>
          <w:lang w:val="en-US" w:eastAsia="zh-CN"/>
        </w:rPr>
        <w:t>；</w:t>
      </w:r>
    </w:p>
    <w:p w14:paraId="57F6229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2.8本项目采用“评定分离”</w:t>
      </w:r>
      <w:r>
        <w:rPr>
          <w:rFonts w:hint="eastAsia" w:ascii="宋体" w:hAnsi="宋体" w:cs="宋体"/>
          <w:color w:val="auto"/>
          <w:sz w:val="21"/>
          <w:szCs w:val="21"/>
          <w:highlight w:val="none"/>
          <w:lang w:val="en-US" w:eastAsia="zh-CN"/>
        </w:rPr>
        <w:t>核查随机法</w:t>
      </w:r>
      <w:r>
        <w:rPr>
          <w:rFonts w:hint="eastAsia" w:ascii="宋体" w:hAnsi="宋体" w:eastAsia="宋体" w:cs="宋体"/>
          <w:color w:val="auto"/>
          <w:sz w:val="21"/>
          <w:szCs w:val="21"/>
          <w:highlight w:val="none"/>
        </w:rPr>
        <w:t>确定中标人。</w:t>
      </w:r>
    </w:p>
    <w:p w14:paraId="74F539C8">
      <w:pPr>
        <w:wordWrap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3.投标人资格要求</w:t>
      </w:r>
    </w:p>
    <w:p w14:paraId="7F1DA1CF">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bookmarkStart w:id="26" w:name="_Toc26447355"/>
      <w:r>
        <w:rPr>
          <w:rFonts w:hint="eastAsia" w:ascii="宋体" w:hAnsi="宋体" w:eastAsia="宋体" w:cs="宋体"/>
          <w:b w:val="0"/>
          <w:bCs w:val="0"/>
          <w:color w:val="auto"/>
          <w:kern w:val="0"/>
          <w:sz w:val="21"/>
          <w:szCs w:val="21"/>
          <w:highlight w:val="none"/>
          <w:lang w:val="en-US" w:eastAsia="zh-CN"/>
        </w:rPr>
        <w:t>3.1</w:t>
      </w:r>
      <w:r>
        <w:rPr>
          <w:rFonts w:hint="eastAsia" w:ascii="宋体" w:hAnsi="宋体" w:eastAsia="宋体" w:cs="宋体"/>
          <w:b w:val="0"/>
          <w:bCs w:val="0"/>
          <w:color w:val="auto"/>
          <w:kern w:val="0"/>
          <w:sz w:val="21"/>
          <w:szCs w:val="21"/>
          <w:highlight w:val="none"/>
        </w:rPr>
        <w:t>投标人具有独立企业法人资格并具有有效的营业执照；</w:t>
      </w:r>
    </w:p>
    <w:p w14:paraId="1402C22F">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3.2</w:t>
      </w:r>
      <w:r>
        <w:rPr>
          <w:rFonts w:hint="eastAsia" w:ascii="宋体" w:hAnsi="宋体" w:eastAsia="宋体" w:cs="宋体"/>
          <w:b w:val="0"/>
          <w:bCs w:val="0"/>
          <w:color w:val="auto"/>
          <w:kern w:val="0"/>
          <w:sz w:val="21"/>
          <w:szCs w:val="21"/>
          <w:highlight w:val="none"/>
        </w:rPr>
        <w:t>资质要求：投标人具有建筑工程施工总承包贰级及以上资质，具有有效的安全生产许可证；并在人员、设备、资金等方面具有相应的施工能力；</w:t>
      </w:r>
    </w:p>
    <w:p w14:paraId="0DC71D94">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3.3</w:t>
      </w:r>
      <w:r>
        <w:rPr>
          <w:rFonts w:hint="eastAsia" w:ascii="宋体" w:hAnsi="宋体" w:eastAsia="宋体" w:cs="宋体"/>
          <w:b w:val="0"/>
          <w:bCs w:val="0"/>
          <w:color w:val="auto"/>
          <w:kern w:val="0"/>
          <w:sz w:val="21"/>
          <w:szCs w:val="21"/>
          <w:highlight w:val="none"/>
        </w:rPr>
        <w:t>项目经理要求：拟派项目经理须具备建筑工程专业贰级及以上注册建造师执业资格，具有有效的安全生产考核合格证书（B证），且未担任其他在施建设工程项目的项目经理（自行承诺），并提供劳动合同及本单位近三个月任意一个月为其缴纳的社保证明；</w:t>
      </w:r>
    </w:p>
    <w:p w14:paraId="6BDE44EA">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3.4</w:t>
      </w:r>
      <w:r>
        <w:rPr>
          <w:rFonts w:hint="eastAsia" w:ascii="宋体" w:hAnsi="宋体" w:eastAsia="宋体" w:cs="宋体"/>
          <w:b w:val="0"/>
          <w:bCs w:val="0"/>
          <w:color w:val="auto"/>
          <w:kern w:val="0"/>
          <w:sz w:val="21"/>
          <w:szCs w:val="21"/>
          <w:highlight w:val="none"/>
        </w:rPr>
        <w:t>技术负责人资格要求：拟派项目技术负责人具有工程系列相关专业中级或以上职称，并提供劳动合同及本单位近三个月任意一个月为其缴纳的社保证明；</w:t>
      </w:r>
    </w:p>
    <w:p w14:paraId="4E485942">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3.5</w:t>
      </w:r>
      <w:r>
        <w:rPr>
          <w:rFonts w:hint="eastAsia" w:ascii="宋体" w:hAnsi="宋体" w:eastAsia="宋体" w:cs="宋体"/>
          <w:b w:val="0"/>
          <w:bCs w:val="0"/>
          <w:color w:val="auto"/>
          <w:kern w:val="0"/>
          <w:sz w:val="21"/>
          <w:szCs w:val="21"/>
          <w:highlight w:val="none"/>
        </w:rPr>
        <w:t>财务要求：</w:t>
      </w:r>
      <w:r>
        <w:rPr>
          <w:rFonts w:hint="eastAsia" w:ascii="宋体" w:hAnsi="宋体" w:eastAsia="宋体" w:cs="宋体"/>
          <w:b w:val="0"/>
          <w:bCs w:val="0"/>
          <w:color w:val="auto"/>
          <w:kern w:val="0"/>
          <w:sz w:val="21"/>
          <w:szCs w:val="21"/>
          <w:highlight w:val="none"/>
          <w:lang w:val="en-US" w:eastAsia="zh-CN"/>
        </w:rPr>
        <w:t>具有良好的商业信誉和健全的财务会计制度，没有财务被接管、冻结、破产状态</w:t>
      </w:r>
      <w:r>
        <w:rPr>
          <w:rFonts w:hint="eastAsia" w:ascii="宋体" w:hAnsi="宋体" w:eastAsia="宋体" w:cs="宋体"/>
          <w:b w:val="0"/>
          <w:bCs w:val="0"/>
          <w:color w:val="auto"/>
          <w:kern w:val="0"/>
          <w:sz w:val="21"/>
          <w:szCs w:val="21"/>
          <w:highlight w:val="none"/>
        </w:rPr>
        <w:t>，提供企业近三年（2023年度、2024年度</w:t>
      </w:r>
      <w:r>
        <w:rPr>
          <w:rFonts w:hint="eastAsia" w:ascii="宋体" w:hAnsi="宋体" w:cs="宋体"/>
          <w:b w:val="0"/>
          <w:bCs w:val="0"/>
          <w:color w:val="auto"/>
          <w:kern w:val="0"/>
          <w:sz w:val="21"/>
          <w:szCs w:val="21"/>
          <w:highlight w:val="none"/>
          <w:lang w:eastAsia="zh-CN"/>
        </w:rPr>
        <w:t>、</w:t>
      </w:r>
      <w:r>
        <w:rPr>
          <w:rFonts w:hint="eastAsia" w:ascii="宋体" w:hAnsi="宋体" w:cs="宋体"/>
          <w:b w:val="0"/>
          <w:bCs w:val="0"/>
          <w:color w:val="auto"/>
          <w:kern w:val="0"/>
          <w:sz w:val="21"/>
          <w:szCs w:val="21"/>
          <w:highlight w:val="none"/>
          <w:lang w:val="en-US" w:eastAsia="zh-CN"/>
        </w:rPr>
        <w:t>2025年度</w:t>
      </w:r>
      <w:r>
        <w:rPr>
          <w:rFonts w:hint="eastAsia" w:ascii="宋体" w:hAnsi="宋体" w:eastAsia="宋体" w:cs="宋体"/>
          <w:b w:val="0"/>
          <w:bCs w:val="0"/>
          <w:color w:val="auto"/>
          <w:kern w:val="0"/>
          <w:sz w:val="21"/>
          <w:szCs w:val="21"/>
          <w:highlight w:val="none"/>
        </w:rPr>
        <w:t>）经会计师事务所或审计机构审计的年度财务审计报告（</w:t>
      </w:r>
      <w:r>
        <w:rPr>
          <w:rFonts w:hint="eastAsia" w:ascii="宋体" w:hAnsi="宋体" w:cs="宋体"/>
          <w:b w:val="0"/>
          <w:bCs w:val="0"/>
          <w:color w:val="auto"/>
          <w:kern w:val="0"/>
          <w:sz w:val="21"/>
          <w:szCs w:val="21"/>
          <w:highlight w:val="none"/>
          <w:lang w:val="en-US" w:eastAsia="zh-CN"/>
        </w:rPr>
        <w:t>若2025年审计报告未出，则提供</w:t>
      </w:r>
      <w:r>
        <w:rPr>
          <w:rFonts w:hint="eastAsia" w:ascii="宋体" w:hAnsi="宋体" w:eastAsia="宋体" w:cs="宋体"/>
          <w:b w:val="0"/>
          <w:bCs w:val="0"/>
          <w:color w:val="auto"/>
          <w:kern w:val="0"/>
          <w:sz w:val="21"/>
          <w:szCs w:val="21"/>
          <w:highlight w:val="none"/>
        </w:rPr>
        <w:t>2022年、2023年度、2024年度</w:t>
      </w:r>
      <w:r>
        <w:rPr>
          <w:rFonts w:hint="eastAsia" w:ascii="宋体" w:hAnsi="宋体" w:cs="宋体"/>
          <w:b w:val="0"/>
          <w:bCs w:val="0"/>
          <w:color w:val="auto"/>
          <w:kern w:val="0"/>
          <w:sz w:val="21"/>
          <w:szCs w:val="21"/>
          <w:highlight w:val="none"/>
          <w:lang w:val="en-US" w:eastAsia="zh-CN"/>
        </w:rPr>
        <w:t>审计报告；</w:t>
      </w:r>
      <w:r>
        <w:rPr>
          <w:rFonts w:hint="eastAsia" w:ascii="宋体" w:hAnsi="宋体" w:eastAsia="宋体" w:cs="宋体"/>
          <w:b w:val="0"/>
          <w:bCs w:val="0"/>
          <w:color w:val="auto"/>
          <w:kern w:val="0"/>
          <w:sz w:val="21"/>
          <w:szCs w:val="21"/>
          <w:highlight w:val="none"/>
        </w:rPr>
        <w:t>公司成立不足三年的，从成立年份开始提供，新成立的企业无法提供财务审计报告的按实际情况提供银行资信证明即可）；</w:t>
      </w:r>
    </w:p>
    <w:p w14:paraId="6471261E">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w:t>
      </w: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信誉要求：投标人及其法定代表人和拟派项目经理不得存在以下情形之一：</w:t>
      </w:r>
    </w:p>
    <w:p w14:paraId="0BD174CA">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w:t>
      </w: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.1被列入</w:t>
      </w:r>
      <w:bookmarkStart w:id="27" w:name="OLE_LINK3"/>
      <w:r>
        <w:rPr>
          <w:rFonts w:hint="eastAsia" w:ascii="宋体" w:hAnsi="宋体" w:eastAsia="宋体" w:cs="宋体"/>
          <w:b w:val="0"/>
          <w:bCs w:val="0"/>
          <w:color w:val="auto"/>
          <w:kern w:val="0"/>
          <w:sz w:val="21"/>
          <w:szCs w:val="21"/>
          <w:highlight w:val="none"/>
        </w:rPr>
        <w:t>全国或省级建筑市场监管公共服务平台</w:t>
      </w:r>
      <w:bookmarkEnd w:id="27"/>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黑名单</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且在管理期限内的（投标人、拟派项目经理）；</w:t>
      </w:r>
    </w:p>
    <w:p w14:paraId="3AF00704">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w:t>
      </w: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.2被列入</w:t>
      </w:r>
      <w:bookmarkStart w:id="28" w:name="OLE_LINK10"/>
      <w:bookmarkStart w:id="29" w:name="OLE_LINK11"/>
      <w:r>
        <w:rPr>
          <w:rFonts w:hint="eastAsia" w:ascii="宋体" w:hAnsi="宋体" w:eastAsia="宋体" w:cs="宋体"/>
          <w:b w:val="0"/>
          <w:bCs w:val="0"/>
          <w:color w:val="auto"/>
          <w:kern w:val="0"/>
          <w:sz w:val="21"/>
          <w:szCs w:val="21"/>
          <w:highlight w:val="none"/>
        </w:rPr>
        <w:t>国家企业信用信息公示系统</w:t>
      </w:r>
      <w:bookmarkEnd w:id="28"/>
      <w:bookmarkEnd w:id="29"/>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严重违法失信名单</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且在管理期限内的；</w:t>
      </w:r>
    </w:p>
    <w:p w14:paraId="0B47B452">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w:t>
      </w: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.3被列入信用中国网站</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失信被执行人</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且在管理期限内的；</w:t>
      </w:r>
    </w:p>
    <w:p w14:paraId="138C00B3">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w:t>
      </w: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.4投标所用资质项在全国或省级建筑市场监管公共服务平台资质状况被标注资质异常状态的（投标人）；</w:t>
      </w:r>
    </w:p>
    <w:p w14:paraId="7B84B7AD">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投标人需提供上述途径查询结果截图，并对其真实性负责。查询时间为招标公告发布之日后，投标截止时间前，查询结果需显示时间。若存在一个及以上记录的，其投标资格应予以否决。</w:t>
      </w:r>
    </w:p>
    <w:p w14:paraId="75F1722F">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招标人或招标代理机构通过全国建筑市场监管公共服务平台、国家企业信用信息公示系统、“信用中国”网站、省级建筑市场监管公共服务平台等渠道进行查询复核并留档，以查询复核结果为准</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bCs/>
          <w:color w:val="auto"/>
          <w:kern w:val="0"/>
          <w:sz w:val="21"/>
          <w:szCs w:val="21"/>
          <w:highlight w:val="none"/>
        </w:rPr>
        <w:t>查询</w:t>
      </w:r>
      <w:r>
        <w:rPr>
          <w:rFonts w:hint="eastAsia" w:ascii="宋体" w:hAnsi="宋体" w:eastAsia="宋体" w:cs="宋体"/>
          <w:b/>
          <w:bCs/>
          <w:color w:val="auto"/>
          <w:kern w:val="0"/>
          <w:sz w:val="21"/>
          <w:szCs w:val="21"/>
          <w:highlight w:val="none"/>
          <w:lang w:eastAsia="zh-CN"/>
        </w:rPr>
        <w:t>信息的</w:t>
      </w:r>
      <w:r>
        <w:rPr>
          <w:rFonts w:hint="eastAsia" w:ascii="宋体" w:hAnsi="宋体" w:eastAsia="宋体" w:cs="宋体"/>
          <w:b/>
          <w:bCs/>
          <w:color w:val="auto"/>
          <w:kern w:val="0"/>
          <w:sz w:val="21"/>
          <w:szCs w:val="21"/>
          <w:highlight w:val="none"/>
        </w:rPr>
        <w:t>截止时间为</w:t>
      </w:r>
      <w:r>
        <w:rPr>
          <w:rFonts w:hint="eastAsia" w:ascii="宋体" w:hAnsi="宋体" w:cs="宋体"/>
          <w:b/>
          <w:bCs/>
          <w:color w:val="auto"/>
          <w:kern w:val="0"/>
          <w:sz w:val="21"/>
          <w:szCs w:val="21"/>
          <w:highlight w:val="none"/>
          <w:lang w:val="en-US" w:eastAsia="zh-CN"/>
        </w:rPr>
        <w:t>开标当天</w:t>
      </w:r>
      <w:r>
        <w:rPr>
          <w:rFonts w:hint="eastAsia" w:ascii="宋体" w:hAnsi="宋体" w:eastAsia="宋体" w:cs="宋体"/>
          <w:b w:val="0"/>
          <w:bCs w:val="0"/>
          <w:color w:val="auto"/>
          <w:kern w:val="0"/>
          <w:sz w:val="21"/>
          <w:szCs w:val="21"/>
          <w:highlight w:val="none"/>
        </w:rPr>
        <w:t>。</w:t>
      </w:r>
    </w:p>
    <w:p w14:paraId="445C8E29">
      <w:pPr>
        <w:widowControl/>
        <w:wordWrap w:val="0"/>
        <w:spacing w:line="360" w:lineRule="auto"/>
        <w:ind w:firstLine="367" w:firstLineChars="175"/>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本项目不接受联合体投标。</w:t>
      </w:r>
    </w:p>
    <w:p w14:paraId="4DBF640C">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3.8其他要求：</w:t>
      </w:r>
    </w:p>
    <w:p w14:paraId="6E3D73A3">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（1）单位负责人为同一人或者存在控股、管理关系的不同单位，不得同时参加本项目投标（提供加盖投标人公章的“国家企业信用信息公示系统”中公示的公司信息、股东或投资人相关信息）。</w:t>
      </w:r>
    </w:p>
    <w:p w14:paraId="098F23D3">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招标人应对该项目中标候选人的资格、业绩等信息进行审查，发现投标人不符合招标文件资格审查标准、存在虚假或不实材料的，招标人将取消中标候选人资格，并将违法违规情况移交至行政监督部门。</w:t>
      </w:r>
    </w:p>
    <w:p w14:paraId="4ACACAED">
      <w:pPr>
        <w:widowControl/>
        <w:wordWrap w:val="0"/>
        <w:spacing w:line="360" w:lineRule="auto"/>
        <w:ind w:firstLine="367" w:firstLineChars="175"/>
        <w:jc w:val="left"/>
        <w:rPr>
          <w:rFonts w:hint="eastAsia"/>
          <w:color w:val="auto"/>
          <w:highlight w:val="none"/>
          <w:lang w:val="en-US" w:eastAsia="zh-CN"/>
        </w:rPr>
      </w:pPr>
      <w:r>
        <w:rPr>
          <w:rFonts w:hint="eastAsia" w:ascii="宋体" w:hAnsi="宋体" w:eastAsia="宋体" w:cs="宋体"/>
          <w:color w:val="auto"/>
          <w:kern w:val="0"/>
          <w:sz w:val="21"/>
          <w:szCs w:val="21"/>
          <w:highlight w:val="none"/>
          <w:lang w:val="en-US" w:eastAsia="zh-CN"/>
        </w:rPr>
        <w:t>（</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）合同签订前，招标人有权对该项目中标人的资格、人员信息等进行核查，发现有虚假或不实信息的，招标人将取消其中标人资格，并重新组织定标或重新招标。</w:t>
      </w:r>
    </w:p>
    <w:p w14:paraId="443CCCB4">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4.企业注册</w:t>
      </w:r>
      <w:bookmarkEnd w:id="26"/>
    </w:p>
    <w:p w14:paraId="50BC201A">
      <w:pPr>
        <w:wordWrap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1910C9B1">
      <w:pPr>
        <w:wordWrap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4.2请各投标人注意完善主体信息（如开户银行及开户账号等），以免未填写或错误导致系统判定废标。</w:t>
      </w:r>
    </w:p>
    <w:p w14:paraId="45354EFF">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5.招标文件的获取</w:t>
      </w:r>
    </w:p>
    <w:p w14:paraId="51DC1B6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5.1招标文件获取时间：凡有意参加投标者，请于202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日8：00时至202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 xml:space="preserve"> 24</w:t>
      </w:r>
      <w:r>
        <w:rPr>
          <w:rFonts w:hint="eastAsia" w:ascii="宋体" w:hAnsi="宋体" w:eastAsia="宋体" w:cs="宋体"/>
          <w:color w:val="auto"/>
          <w:sz w:val="21"/>
          <w:szCs w:val="21"/>
          <w:highlight w:val="none"/>
        </w:rPr>
        <w:t>日1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0时，登录“交易平台网站”（https://ggzy.zhumadian.gov.cn/TPFront/），凭领取的企业身份认证锁（CA密钥）登录系统进行免费下载招标文件。投标人未按规定在网上下载招标文件的，其投标将被拒绝。</w:t>
      </w:r>
    </w:p>
    <w:p w14:paraId="38E45E3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5.2招标文件获取方式：凭CA密钥登</w:t>
      </w:r>
      <w:r>
        <w:rPr>
          <w:rFonts w:hint="eastAsia" w:ascii="宋体" w:hAnsi="宋体" w:cs="宋体"/>
          <w:color w:val="auto"/>
          <w:sz w:val="21"/>
          <w:szCs w:val="21"/>
          <w:highlight w:val="none"/>
          <w:lang w:val="en-US" w:eastAsia="zh-CN"/>
        </w:rPr>
        <w:t>录</w:t>
      </w:r>
      <w:r>
        <w:rPr>
          <w:rFonts w:hint="eastAsia" w:ascii="宋体" w:hAnsi="宋体" w:eastAsia="宋体" w:cs="宋体"/>
          <w:color w:val="auto"/>
          <w:sz w:val="21"/>
          <w:szCs w:val="21"/>
          <w:highlight w:val="none"/>
        </w:rPr>
        <w:t>会员系统并按网上提示下载招标文件及资料。（详见交易平台网站</w:t>
      </w:r>
      <w:r>
        <w:rPr>
          <w:rFonts w:hint="eastAsia" w:ascii="宋体" w:hAnsi="宋体" w:eastAsia="宋体" w:cs="宋体"/>
          <w:bCs/>
          <w:color w:val="auto"/>
          <w:sz w:val="21"/>
          <w:szCs w:val="21"/>
          <w:highlight w:val="none"/>
        </w:rPr>
        <w:t>下载中心</w:t>
      </w:r>
      <w:r>
        <w:rPr>
          <w:rFonts w:hint="eastAsia" w:ascii="宋体" w:hAnsi="宋体" w:eastAsia="宋体" w:cs="宋体"/>
          <w:color w:val="auto"/>
          <w:sz w:val="21"/>
          <w:szCs w:val="21"/>
          <w:highlight w:val="none"/>
        </w:rPr>
        <w:t>栏目里投标人操作手册）。</w:t>
      </w:r>
    </w:p>
    <w:p w14:paraId="579D284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59286CE2">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6.资格审查方式</w:t>
      </w:r>
    </w:p>
    <w:p w14:paraId="08849702">
      <w:pPr>
        <w:wordWrap w:val="0"/>
        <w:spacing w:line="360" w:lineRule="auto"/>
        <w:ind w:firstLine="354" w:firstLineChars="16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本招标工程项目对投标申请人的资格审查采用资格后审方式，主要资格审查标准和内容详见招标文件，只有资格审查合格的投标申请人才有可能被授予合同。</w:t>
      </w:r>
    </w:p>
    <w:p w14:paraId="1ADD08DA">
      <w:pPr>
        <w:widowControl/>
        <w:wordWrap w:val="0"/>
        <w:spacing w:line="360" w:lineRule="auto"/>
        <w:ind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本项目采用不见面开标，投标人无需递交纸质投标文件及原件，投标企业应在项目开标前，将项目经理、人员、资质、业绩、财</w:t>
      </w:r>
      <w:r>
        <w:rPr>
          <w:rFonts w:hint="eastAsia" w:ascii="宋体" w:hAnsi="宋体" w:eastAsia="宋体" w:cs="宋体"/>
          <w:color w:val="auto"/>
          <w:kern w:val="0"/>
          <w:sz w:val="21"/>
          <w:szCs w:val="21"/>
          <w:highlight w:val="none"/>
        </w:rPr>
        <w:t>务等投标所需材料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p>
    <w:p w14:paraId="612B4F77">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7.投标文件的上传/递交</w:t>
      </w:r>
    </w:p>
    <w:p w14:paraId="3ECEB37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7.1本项目采用不见面开标、投标人需要递交电子投标文件，无需递交纸质文件。</w:t>
      </w:r>
    </w:p>
    <w:p w14:paraId="34A3BE5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上传/递交截止时间（投标截止时间，下同）和地点见招标文件。加密电子投标文件（*.ZMDTF格式）应在投标截止时间前通过驻马店市公共资源交易电子交易平台（http://ggzy.zhumadian.gov.cn:8820/TPbidder）上传完成。</w:t>
      </w:r>
    </w:p>
    <w:p w14:paraId="432FD82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9CEF4F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7.4远程开标前，投标人务必在驻马店市公共资源交易电子交易平台（http://ggzy.zhumadian.gov.cn:8820/TPbidder）投标文件上传模块中使用“模拟解密”功能，验证本机远程自助解密环境。</w:t>
      </w:r>
    </w:p>
    <w:p w14:paraId="79E99B9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7.5逾期上传/送达的或者未上传/未送达指定地点的投标文件，招标人不予受理。</w:t>
      </w:r>
    </w:p>
    <w:p w14:paraId="3C161A68">
      <w:pPr>
        <w:pStyle w:val="38"/>
        <w:wordWrap w:val="0"/>
        <w:spacing w:before="0" w:beforeAutospacing="0" w:after="0" w:afterAutospacing="0" w:line="360" w:lineRule="auto"/>
        <w:ind w:right="42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8.发布公告的媒介</w:t>
      </w:r>
    </w:p>
    <w:p w14:paraId="47784E73">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本招标公告同时在《中国招标投标公共服务平台》、《河南省政府采购网》、《驻马店市公共资源交易平台》</w:t>
      </w:r>
      <w:r>
        <w:rPr>
          <w:rFonts w:hint="eastAsia" w:ascii="宋体" w:hAnsi="宋体" w:eastAsia="宋体" w:cs="宋体"/>
          <w:color w:val="auto"/>
          <w:sz w:val="21"/>
          <w:szCs w:val="21"/>
          <w:highlight w:val="none"/>
          <w:shd w:val="clear" w:color="auto" w:fill="FFFFFF"/>
          <w:lang w:val="en-US" w:eastAsia="zh-CN"/>
        </w:rPr>
        <w:t>上</w:t>
      </w:r>
      <w:r>
        <w:rPr>
          <w:rFonts w:hint="eastAsia" w:ascii="宋体" w:hAnsi="宋体" w:eastAsia="宋体" w:cs="宋体"/>
          <w:color w:val="auto"/>
          <w:sz w:val="21"/>
          <w:szCs w:val="21"/>
          <w:highlight w:val="none"/>
          <w:shd w:val="clear" w:color="auto" w:fill="FFFFFF"/>
        </w:rPr>
        <w:t>发布。</w:t>
      </w:r>
    </w:p>
    <w:p w14:paraId="2B9F6A4D">
      <w:pPr>
        <w:widowControl/>
        <w:wordWrap w:val="0"/>
        <w:spacing w:line="360" w:lineRule="auto"/>
        <w:ind w:right="42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sz w:val="21"/>
          <w:szCs w:val="21"/>
          <w:highlight w:val="none"/>
        </w:rPr>
        <w:t>.特别提醒：</w:t>
      </w:r>
    </w:p>
    <w:p w14:paraId="58FBEE02">
      <w:pPr>
        <w:widowControl/>
        <w:wordWrap w:val="0"/>
        <w:spacing w:line="360" w:lineRule="auto"/>
        <w:ind w:firstLine="461"/>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29995091">
      <w:pPr>
        <w:widowControl/>
        <w:wordWrap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7DCE65BD">
      <w:pPr>
        <w:widowControl/>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6EC14028">
      <w:pPr>
        <w:widowControl/>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w:t>
      </w:r>
      <w:r>
        <w:rPr>
          <w:rFonts w:hint="eastAsia" w:ascii="宋体" w:hAnsi="宋体" w:eastAsia="宋体" w:cs="宋体"/>
          <w:color w:val="auto"/>
          <w:sz w:val="21"/>
          <w:szCs w:val="21"/>
          <w:highlight w:val="none"/>
        </w:rPr>
        <w:t>（https://ggzy.zhumadian.gov.cn/TPFront/InfoDetail/?InfoID=09eaacd6-a524-447f-a5fd-776c58eb1582&amp;CategoryNum=026001）</w:t>
      </w:r>
    </w:p>
    <w:p w14:paraId="4737E108">
      <w:pPr>
        <w:widowControl/>
        <w:wordWrap w:val="0"/>
        <w:spacing w:line="360" w:lineRule="auto"/>
        <w:ind w:right="325" w:rightChars="15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10.联系方式</w:t>
      </w:r>
    </w:p>
    <w:p w14:paraId="5F35A078">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招 标 人：</w:t>
      </w:r>
      <w:r>
        <w:rPr>
          <w:rFonts w:hint="eastAsia" w:ascii="宋体" w:hAnsi="宋体" w:cs="宋体"/>
          <w:color w:val="auto"/>
          <w:sz w:val="21"/>
          <w:szCs w:val="21"/>
          <w:highlight w:val="none"/>
          <w:shd w:val="clear" w:color="auto" w:fill="FFFFFF"/>
          <w:lang w:eastAsia="zh-CN"/>
        </w:rPr>
        <w:t>西平县二郎镇人民政府</w:t>
      </w:r>
    </w:p>
    <w:p w14:paraId="1179AF09">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办公地址：驻马店市西平县二郎镇二郎街107国道西纬三西路16号</w:t>
      </w:r>
    </w:p>
    <w:p w14:paraId="77D3DA6C">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联 系 人：</w:t>
      </w:r>
      <w:r>
        <w:rPr>
          <w:rFonts w:hint="eastAsia" w:ascii="宋体" w:hAnsi="宋体" w:cs="宋体"/>
          <w:color w:val="auto"/>
          <w:sz w:val="21"/>
          <w:szCs w:val="21"/>
          <w:highlight w:val="none"/>
          <w:shd w:val="clear" w:color="auto" w:fill="FFFFFF"/>
          <w:lang w:val="en-US" w:eastAsia="zh-CN"/>
        </w:rPr>
        <w:t>张先生</w:t>
      </w:r>
      <w:r>
        <w:rPr>
          <w:rFonts w:hint="eastAsia" w:ascii="宋体" w:hAnsi="宋体" w:cs="宋体"/>
          <w:color w:val="FF0000"/>
          <w:sz w:val="21"/>
          <w:szCs w:val="21"/>
          <w:highlight w:val="none"/>
          <w:shd w:val="clear" w:color="auto" w:fill="FFFFFF"/>
          <w:lang w:val="en-US" w:eastAsia="zh-CN"/>
        </w:rPr>
        <w:t xml:space="preserve"> </w:t>
      </w:r>
    </w:p>
    <w:p w14:paraId="7171267C">
      <w:pPr>
        <w:widowControl/>
        <w:wordWrap w:val="0"/>
        <w:spacing w:line="360" w:lineRule="auto"/>
        <w:ind w:right="325" w:rightChars="155" w:firstLine="420" w:firstLineChars="200"/>
        <w:jc w:val="left"/>
        <w:rPr>
          <w:rFonts w:hint="eastAsia" w:ascii="宋体" w:hAnsi="宋体" w:eastAsia="宋体" w:cs="宋体"/>
          <w:color w:val="FF0000"/>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电    话：</w:t>
      </w:r>
      <w:r>
        <w:rPr>
          <w:rFonts w:hint="eastAsia" w:ascii="宋体" w:hAnsi="宋体" w:cs="宋体"/>
          <w:color w:val="auto"/>
          <w:sz w:val="21"/>
          <w:szCs w:val="21"/>
          <w:highlight w:val="none"/>
          <w:shd w:val="clear" w:color="auto" w:fill="FFFFFF"/>
          <w:lang w:val="en-US" w:eastAsia="zh-CN"/>
        </w:rPr>
        <w:t>13419711341</w:t>
      </w:r>
      <w:r>
        <w:rPr>
          <w:rFonts w:hint="eastAsia" w:ascii="宋体" w:hAnsi="宋体" w:cs="宋体"/>
          <w:color w:val="FF0000"/>
          <w:sz w:val="21"/>
          <w:szCs w:val="21"/>
          <w:highlight w:val="none"/>
          <w:shd w:val="clear" w:color="auto" w:fill="FFFFFF"/>
          <w:lang w:val="en-US" w:eastAsia="zh-CN"/>
        </w:rPr>
        <w:t xml:space="preserve"> </w:t>
      </w:r>
    </w:p>
    <w:p w14:paraId="4FD16C44">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p>
    <w:p w14:paraId="67BC3F1A">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招标代理机构：</w:t>
      </w:r>
      <w:r>
        <w:rPr>
          <w:rFonts w:hint="eastAsia" w:ascii="宋体" w:hAnsi="宋体" w:cs="宋体"/>
          <w:color w:val="auto"/>
          <w:sz w:val="21"/>
          <w:szCs w:val="21"/>
          <w:highlight w:val="none"/>
          <w:shd w:val="clear" w:color="auto" w:fill="FFFFFF"/>
          <w:lang w:eastAsia="zh-CN"/>
        </w:rPr>
        <w:t>青润工程设计有限公司</w:t>
      </w:r>
    </w:p>
    <w:p w14:paraId="456D4308">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地址：</w:t>
      </w:r>
      <w:r>
        <w:rPr>
          <w:rFonts w:hint="eastAsia" w:ascii="宋体" w:hAnsi="宋体" w:cs="宋体"/>
          <w:color w:val="auto"/>
          <w:sz w:val="21"/>
          <w:szCs w:val="21"/>
          <w:highlight w:val="none"/>
          <w:shd w:val="clear" w:color="auto" w:fill="FFFFFF"/>
          <w:lang w:eastAsia="zh-CN"/>
        </w:rPr>
        <w:t>河南省驻马店市盘龙山路与泰山路交叉口西班牙小镇二期8号楼一单元2907号</w:t>
      </w:r>
    </w:p>
    <w:p w14:paraId="6AD8A4F0">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联系人：</w:t>
      </w:r>
      <w:r>
        <w:rPr>
          <w:rFonts w:hint="eastAsia" w:ascii="宋体" w:hAnsi="宋体" w:cs="宋体"/>
          <w:color w:val="auto"/>
          <w:sz w:val="21"/>
          <w:szCs w:val="21"/>
          <w:highlight w:val="none"/>
          <w:shd w:val="clear" w:color="auto" w:fill="FFFFFF"/>
          <w:lang w:val="en-US" w:eastAsia="zh-CN"/>
        </w:rPr>
        <w:t>孙先生</w:t>
      </w:r>
    </w:p>
    <w:p w14:paraId="43FE03E0">
      <w:pPr>
        <w:widowControl/>
        <w:wordWrap w:val="0"/>
        <w:spacing w:line="360" w:lineRule="auto"/>
        <w:ind w:right="325" w:rightChars="155" w:firstLine="420" w:firstLineChars="200"/>
        <w:jc w:val="left"/>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联系电话：</w:t>
      </w:r>
      <w:r>
        <w:rPr>
          <w:rFonts w:hint="eastAsia" w:ascii="宋体" w:hAnsi="宋体" w:cs="宋体"/>
          <w:color w:val="auto"/>
          <w:sz w:val="21"/>
          <w:szCs w:val="21"/>
          <w:highlight w:val="none"/>
          <w:shd w:val="clear" w:color="auto" w:fill="FFFFFF"/>
          <w:lang w:val="en-US" w:eastAsia="zh-CN"/>
        </w:rPr>
        <w:t>13353870878</w:t>
      </w:r>
    </w:p>
    <w:p w14:paraId="40A5BC8D">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p>
    <w:p w14:paraId="188A8CC0">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监督单位：</w:t>
      </w:r>
      <w:r>
        <w:rPr>
          <w:rFonts w:hint="eastAsia" w:ascii="宋体" w:hAnsi="宋体" w:eastAsia="宋体" w:cs="宋体"/>
          <w:color w:val="auto"/>
          <w:sz w:val="21"/>
          <w:szCs w:val="21"/>
          <w:highlight w:val="none"/>
          <w:shd w:val="clear" w:color="auto" w:fill="FFFFFF"/>
          <w:lang w:val="en-US" w:eastAsia="zh-CN"/>
        </w:rPr>
        <w:t>西平县农业农村局</w:t>
      </w:r>
    </w:p>
    <w:p w14:paraId="01827AAE">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联系人：</w:t>
      </w:r>
      <w:r>
        <w:rPr>
          <w:rFonts w:hint="eastAsia" w:ascii="宋体" w:hAnsi="宋体" w:cs="宋体"/>
          <w:color w:val="FF0000"/>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en-US" w:eastAsia="zh-CN"/>
        </w:rPr>
        <w:t>蔡先生</w:t>
      </w:r>
    </w:p>
    <w:p w14:paraId="60D5A8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325" w:rightChars="155" w:firstLine="420" w:firstLineChars="200"/>
        <w:jc w:val="left"/>
      </w:pPr>
      <w:r>
        <w:rPr>
          <w:rFonts w:hint="eastAsia" w:ascii="宋体" w:hAnsi="宋体" w:eastAsia="宋体" w:cs="宋体"/>
          <w:color w:val="auto"/>
          <w:sz w:val="21"/>
          <w:szCs w:val="21"/>
          <w:highlight w:val="none"/>
          <w:shd w:val="clear" w:color="auto" w:fill="FFFFFF"/>
        </w:rPr>
        <w:t>电话：</w:t>
      </w:r>
      <w:r>
        <w:rPr>
          <w:rFonts w:hint="eastAsia" w:ascii="宋体" w:hAnsi="宋体" w:cs="宋体"/>
          <w:color w:val="FF0000"/>
          <w:sz w:val="21"/>
          <w:szCs w:val="21"/>
          <w:highlight w:val="none"/>
          <w:shd w:val="clear" w:color="auto" w:fill="FFFFFF"/>
          <w:lang w:val="en-US" w:eastAsia="zh-CN"/>
        </w:rPr>
        <w:t xml:space="preserve"> </w:t>
      </w:r>
      <w:r>
        <w:rPr>
          <w:rFonts w:hint="eastAsia" w:ascii="宋体" w:hAnsi="宋体" w:eastAsia="宋体" w:cs="宋体"/>
          <w:color w:val="333333"/>
          <w:kern w:val="2"/>
          <w:sz w:val="21"/>
          <w:szCs w:val="21"/>
          <w:shd w:val="clear" w:fill="FFFFFF"/>
          <w:lang w:val="en-US" w:eastAsia="zh-CN" w:bidi="ar"/>
        </w:rPr>
        <w:t>0396-6222825</w:t>
      </w:r>
    </w:p>
    <w:p w14:paraId="6B2AB4B4">
      <w:pPr>
        <w:widowControl/>
        <w:wordWrap w:val="0"/>
        <w:spacing w:line="360" w:lineRule="auto"/>
        <w:ind w:right="325" w:rightChars="155" w:firstLine="420" w:firstLineChars="200"/>
        <w:jc w:val="left"/>
        <w:rPr>
          <w:rFonts w:hint="eastAsia" w:ascii="宋体" w:hAnsi="宋体" w:eastAsia="宋体" w:cs="宋体"/>
          <w:color w:val="FF0000"/>
          <w:sz w:val="21"/>
          <w:szCs w:val="21"/>
          <w:highlight w:val="none"/>
          <w:shd w:val="clear" w:color="auto" w:fill="FFFFFF"/>
          <w:lang w:val="en-US" w:eastAsia="zh-CN"/>
        </w:rPr>
      </w:pPr>
    </w:p>
    <w:p w14:paraId="015C1195">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C40490B">
      <w:pPr>
        <w:pStyle w:val="41"/>
        <w:wordWrap w:val="0"/>
        <w:spacing w:after="0" w:line="360" w:lineRule="auto"/>
        <w:ind w:firstLine="361"/>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第二章 投标人须知</w:t>
      </w:r>
      <w:bookmarkEnd w:id="14"/>
      <w:bookmarkEnd w:id="15"/>
      <w:bookmarkEnd w:id="16"/>
      <w:bookmarkEnd w:id="17"/>
      <w:bookmarkEnd w:id="24"/>
      <w:bookmarkStart w:id="30" w:name="_Toc228337070"/>
      <w:bookmarkStart w:id="31" w:name="_Toc228591629"/>
      <w:bookmarkStart w:id="32" w:name="_Toc228591481"/>
      <w:bookmarkStart w:id="33" w:name="_Toc227492216"/>
      <w:bookmarkStart w:id="34" w:name="_Toc214433859"/>
      <w:bookmarkStart w:id="35" w:name="_Toc228589135"/>
      <w:bookmarkStart w:id="36" w:name="_Toc227657459"/>
    </w:p>
    <w:p w14:paraId="19562B30">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bookmarkStart w:id="37" w:name="_Toc228881133"/>
      <w:bookmarkStart w:id="38" w:name="_Toc272772546"/>
      <w:bookmarkStart w:id="39" w:name="_Toc19484"/>
      <w:bookmarkStart w:id="40" w:name="_Toc17236"/>
      <w:bookmarkStart w:id="41" w:name="_Toc19087"/>
      <w:r>
        <w:rPr>
          <w:rFonts w:hint="eastAsia" w:ascii="宋体" w:hAnsi="宋体" w:eastAsia="宋体" w:cs="宋体"/>
          <w:b/>
          <w:color w:val="auto"/>
          <w:kern w:val="0"/>
          <w:sz w:val="28"/>
          <w:highlight w:val="none"/>
        </w:rPr>
        <w:t>投标人须知前附表</w:t>
      </w:r>
      <w:bookmarkEnd w:id="30"/>
      <w:bookmarkEnd w:id="31"/>
      <w:bookmarkEnd w:id="32"/>
      <w:bookmarkEnd w:id="33"/>
      <w:bookmarkEnd w:id="34"/>
      <w:bookmarkEnd w:id="35"/>
      <w:bookmarkEnd w:id="36"/>
      <w:bookmarkEnd w:id="37"/>
      <w:bookmarkEnd w:id="38"/>
      <w:bookmarkEnd w:id="39"/>
      <w:bookmarkEnd w:id="40"/>
      <w:bookmarkEnd w:id="41"/>
    </w:p>
    <w:tbl>
      <w:tblPr>
        <w:tblStyle w:val="43"/>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968"/>
        <w:gridCol w:w="6520"/>
      </w:tblGrid>
      <w:tr w14:paraId="6A212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70" w:type="dxa"/>
            <w:vAlign w:val="center"/>
          </w:tcPr>
          <w:p w14:paraId="69B79060">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条款号</w:t>
            </w:r>
          </w:p>
        </w:tc>
        <w:tc>
          <w:tcPr>
            <w:tcW w:w="1968" w:type="dxa"/>
            <w:vAlign w:val="center"/>
          </w:tcPr>
          <w:p w14:paraId="3D4B6BAD">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 款 名 称</w:t>
            </w:r>
          </w:p>
        </w:tc>
        <w:tc>
          <w:tcPr>
            <w:tcW w:w="6520" w:type="dxa"/>
            <w:vAlign w:val="center"/>
          </w:tcPr>
          <w:p w14:paraId="517AFFF4">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编 列 内 容</w:t>
            </w:r>
          </w:p>
        </w:tc>
      </w:tr>
      <w:tr w14:paraId="26C67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970" w:type="dxa"/>
            <w:vAlign w:val="center"/>
          </w:tcPr>
          <w:p w14:paraId="7908724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w:t>
            </w:r>
          </w:p>
        </w:tc>
        <w:tc>
          <w:tcPr>
            <w:tcW w:w="1968" w:type="dxa"/>
            <w:vAlign w:val="center"/>
          </w:tcPr>
          <w:p w14:paraId="546425B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w:t>
            </w:r>
          </w:p>
        </w:tc>
        <w:tc>
          <w:tcPr>
            <w:tcW w:w="6520" w:type="dxa"/>
            <w:vAlign w:val="center"/>
          </w:tcPr>
          <w:p w14:paraId="76FF5F0C">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 标 人：</w:t>
            </w:r>
            <w:r>
              <w:rPr>
                <w:rFonts w:hint="eastAsia" w:ascii="宋体" w:hAnsi="宋体" w:cs="宋体"/>
                <w:color w:val="auto"/>
                <w:sz w:val="21"/>
                <w:szCs w:val="21"/>
                <w:highlight w:val="none"/>
                <w:lang w:eastAsia="zh-CN"/>
              </w:rPr>
              <w:t>西平县二郎镇人民政府</w:t>
            </w:r>
          </w:p>
          <w:p w14:paraId="793B99A6">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办公地址：驻马店市西平县二郎镇二郎街107国道西纬三西路16号</w:t>
            </w:r>
          </w:p>
          <w:p w14:paraId="48D88EDD">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 系 人：</w:t>
            </w:r>
            <w:r>
              <w:rPr>
                <w:rFonts w:hint="eastAsia" w:ascii="宋体" w:hAnsi="宋体" w:cs="宋体"/>
                <w:color w:val="auto"/>
                <w:sz w:val="21"/>
                <w:szCs w:val="21"/>
                <w:highlight w:val="none"/>
                <w:shd w:val="clear" w:color="auto" w:fill="FFFFFF"/>
                <w:lang w:val="en-US" w:eastAsia="zh-CN"/>
              </w:rPr>
              <w:t xml:space="preserve">张先生  </w:t>
            </w:r>
          </w:p>
          <w:p w14:paraId="3A00F456">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    话：</w:t>
            </w:r>
            <w:r>
              <w:rPr>
                <w:rFonts w:hint="eastAsia" w:ascii="宋体" w:hAnsi="宋体" w:cs="宋体"/>
                <w:color w:val="auto"/>
                <w:sz w:val="21"/>
                <w:szCs w:val="21"/>
                <w:highlight w:val="none"/>
                <w:shd w:val="clear" w:color="auto" w:fill="FFFFFF"/>
                <w:lang w:val="en-US" w:eastAsia="zh-CN"/>
              </w:rPr>
              <w:t>13419711341</w:t>
            </w:r>
          </w:p>
        </w:tc>
      </w:tr>
      <w:tr w14:paraId="0701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970" w:type="dxa"/>
            <w:vAlign w:val="center"/>
          </w:tcPr>
          <w:p w14:paraId="1985B5F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w:t>
            </w:r>
          </w:p>
        </w:tc>
        <w:tc>
          <w:tcPr>
            <w:tcW w:w="1968" w:type="dxa"/>
            <w:vAlign w:val="center"/>
          </w:tcPr>
          <w:p w14:paraId="19C5C08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招标代理机构</w:t>
            </w:r>
          </w:p>
        </w:tc>
        <w:tc>
          <w:tcPr>
            <w:tcW w:w="6520" w:type="dxa"/>
            <w:vAlign w:val="center"/>
          </w:tcPr>
          <w:p w14:paraId="2E83A023">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招标代理机构：</w:t>
            </w:r>
            <w:r>
              <w:rPr>
                <w:rFonts w:hint="eastAsia" w:ascii="宋体" w:hAnsi="宋体" w:cs="宋体"/>
                <w:color w:val="auto"/>
                <w:sz w:val="21"/>
                <w:szCs w:val="21"/>
                <w:highlight w:val="none"/>
                <w:lang w:eastAsia="zh-CN"/>
              </w:rPr>
              <w:t>青润工程设计有限公司</w:t>
            </w:r>
          </w:p>
          <w:p w14:paraId="2DA8EBBE">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cs="宋体"/>
                <w:color w:val="auto"/>
                <w:sz w:val="21"/>
                <w:szCs w:val="21"/>
                <w:highlight w:val="none"/>
                <w:lang w:eastAsia="zh-CN"/>
              </w:rPr>
              <w:t>河南省驻马店市盘龙山路与泰山路交叉口西班牙小镇二期8号楼一单元2907号</w:t>
            </w:r>
          </w:p>
          <w:p w14:paraId="79E5FCA2">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r>
              <w:rPr>
                <w:rFonts w:hint="eastAsia" w:ascii="宋体" w:hAnsi="宋体" w:cs="宋体"/>
                <w:color w:val="auto"/>
                <w:sz w:val="21"/>
                <w:szCs w:val="21"/>
                <w:highlight w:val="none"/>
                <w:lang w:val="en-US" w:eastAsia="zh-CN"/>
              </w:rPr>
              <w:t>孙</w:t>
            </w:r>
            <w:r>
              <w:rPr>
                <w:rFonts w:hint="eastAsia" w:ascii="宋体" w:hAnsi="宋体" w:eastAsia="宋体" w:cs="宋体"/>
                <w:color w:val="auto"/>
                <w:sz w:val="21"/>
                <w:szCs w:val="21"/>
                <w:highlight w:val="none"/>
              </w:rPr>
              <w:t>先生</w:t>
            </w:r>
          </w:p>
          <w:p w14:paraId="19D14074">
            <w:pPr>
              <w:wordWrap w:val="0"/>
              <w:autoSpaceDE w:val="0"/>
              <w:autoSpaceDN w:val="0"/>
              <w:adjustRightInd w:val="0"/>
              <w:spacing w:line="360" w:lineRule="auto"/>
              <w:ind w:right="-34" w:rightChars="-16"/>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w:t>
            </w:r>
            <w:r>
              <w:rPr>
                <w:rFonts w:hint="eastAsia" w:ascii="宋体" w:hAnsi="宋体" w:cs="宋体"/>
                <w:color w:val="auto"/>
                <w:sz w:val="21"/>
                <w:szCs w:val="21"/>
                <w:highlight w:val="none"/>
                <w:lang w:val="en-US" w:eastAsia="zh-CN"/>
              </w:rPr>
              <w:t>13353870878</w:t>
            </w:r>
          </w:p>
        </w:tc>
      </w:tr>
      <w:tr w14:paraId="3D479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70" w:type="dxa"/>
            <w:vAlign w:val="center"/>
          </w:tcPr>
          <w:p w14:paraId="6DB2355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1.1.4</w:t>
            </w:r>
          </w:p>
        </w:tc>
        <w:tc>
          <w:tcPr>
            <w:tcW w:w="1968" w:type="dxa"/>
            <w:vAlign w:val="center"/>
          </w:tcPr>
          <w:p w14:paraId="569CBE5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520" w:type="dxa"/>
            <w:vAlign w:val="center"/>
          </w:tcPr>
          <w:p w14:paraId="3A0EF2C8">
            <w:pPr>
              <w:wordWrap w:val="0"/>
              <w:spacing w:line="360" w:lineRule="auto"/>
              <w:ind w:right="-34" w:rightChars="-16"/>
              <w:rPr>
                <w:rFonts w:hint="eastAsia" w:ascii="宋体" w:hAnsi="宋体" w:eastAsia="宋体" w:cs="宋体"/>
                <w:color w:val="auto"/>
                <w:kern w:val="0"/>
                <w:sz w:val="21"/>
                <w:szCs w:val="21"/>
                <w:highlight w:val="none"/>
                <w:lang w:eastAsia="zh-CN"/>
              </w:rPr>
            </w:pPr>
            <w:r>
              <w:rPr>
                <w:rFonts w:hint="eastAsia" w:ascii="宋体" w:hAnsi="宋体" w:cs="宋体"/>
                <w:color w:val="auto"/>
                <w:sz w:val="21"/>
                <w:szCs w:val="21"/>
                <w:highlight w:val="none"/>
                <w:lang w:eastAsia="zh-CN"/>
              </w:rPr>
              <w:t>西平县二郎镇人民政府2025年西平县二郎镇肉牛养殖产业园项目</w:t>
            </w:r>
          </w:p>
        </w:tc>
      </w:tr>
      <w:tr w14:paraId="40E6B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70" w:type="dxa"/>
            <w:vAlign w:val="center"/>
          </w:tcPr>
          <w:p w14:paraId="45B25FE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w:t>
            </w:r>
          </w:p>
        </w:tc>
        <w:tc>
          <w:tcPr>
            <w:tcW w:w="1968" w:type="dxa"/>
            <w:vAlign w:val="center"/>
          </w:tcPr>
          <w:p w14:paraId="17B8B82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建设地点</w:t>
            </w:r>
          </w:p>
        </w:tc>
        <w:tc>
          <w:tcPr>
            <w:tcW w:w="6520" w:type="dxa"/>
            <w:vAlign w:val="center"/>
          </w:tcPr>
          <w:p w14:paraId="256F330F">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西平县境内</w:t>
            </w:r>
          </w:p>
        </w:tc>
      </w:tr>
      <w:tr w14:paraId="23B7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970" w:type="dxa"/>
            <w:vAlign w:val="center"/>
          </w:tcPr>
          <w:p w14:paraId="1EE3120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1.1.6</w:t>
            </w:r>
          </w:p>
        </w:tc>
        <w:tc>
          <w:tcPr>
            <w:tcW w:w="1968" w:type="dxa"/>
            <w:vAlign w:val="center"/>
          </w:tcPr>
          <w:p w14:paraId="1C155D1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建设规模</w:t>
            </w:r>
          </w:p>
        </w:tc>
        <w:tc>
          <w:tcPr>
            <w:tcW w:w="6520" w:type="dxa"/>
            <w:vAlign w:val="center"/>
          </w:tcPr>
          <w:p w14:paraId="11E9C7DF">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该项目位于西平县</w:t>
            </w:r>
            <w:r>
              <w:rPr>
                <w:rFonts w:hint="eastAsia" w:ascii="宋体" w:hAnsi="宋体" w:eastAsia="宋体" w:cs="宋体"/>
                <w:color w:val="auto"/>
                <w:sz w:val="21"/>
                <w:szCs w:val="21"/>
                <w:highlight w:val="none"/>
                <w:lang w:eastAsia="zh-CN"/>
              </w:rPr>
              <w:t>二郎镇</w:t>
            </w:r>
            <w:r>
              <w:rPr>
                <w:rFonts w:hint="eastAsia" w:ascii="宋体" w:hAnsi="宋体" w:eastAsia="宋体" w:cs="宋体"/>
                <w:color w:val="auto"/>
                <w:sz w:val="21"/>
                <w:szCs w:val="21"/>
                <w:highlight w:val="none"/>
              </w:rPr>
              <w:t>，本次招标范围新建钢结构牛舍两座，建筑面积4806平方米，新建钢结构仓库一座，建筑面积4677.4平方米。</w:t>
            </w:r>
          </w:p>
        </w:tc>
      </w:tr>
      <w:tr w14:paraId="188D3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65A2C2D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w:t>
            </w:r>
          </w:p>
        </w:tc>
        <w:tc>
          <w:tcPr>
            <w:tcW w:w="1968" w:type="dxa"/>
            <w:vAlign w:val="center"/>
          </w:tcPr>
          <w:p w14:paraId="498B143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资金来源</w:t>
            </w:r>
          </w:p>
        </w:tc>
        <w:tc>
          <w:tcPr>
            <w:tcW w:w="6520" w:type="dxa"/>
            <w:vAlign w:val="center"/>
          </w:tcPr>
          <w:p w14:paraId="56B6C5D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cs="宋体"/>
                <w:color w:val="auto"/>
                <w:sz w:val="21"/>
                <w:szCs w:val="21"/>
                <w:highlight w:val="none"/>
                <w:lang w:val="en-US" w:eastAsia="zh-CN"/>
              </w:rPr>
              <w:t>财政衔接资金</w:t>
            </w:r>
          </w:p>
        </w:tc>
      </w:tr>
      <w:tr w14:paraId="55AE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70" w:type="dxa"/>
            <w:vAlign w:val="center"/>
          </w:tcPr>
          <w:p w14:paraId="3F8BA4F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1.2.2</w:t>
            </w:r>
          </w:p>
        </w:tc>
        <w:tc>
          <w:tcPr>
            <w:tcW w:w="1968" w:type="dxa"/>
            <w:vAlign w:val="center"/>
          </w:tcPr>
          <w:p w14:paraId="74DBD67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资金落实情况</w:t>
            </w:r>
          </w:p>
        </w:tc>
        <w:tc>
          <w:tcPr>
            <w:tcW w:w="6520" w:type="dxa"/>
            <w:vAlign w:val="center"/>
          </w:tcPr>
          <w:p w14:paraId="489FB47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资金已落实</w:t>
            </w:r>
          </w:p>
        </w:tc>
      </w:tr>
      <w:tr w14:paraId="350F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vAlign w:val="center"/>
          </w:tcPr>
          <w:p w14:paraId="4AD0398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1.3.1</w:t>
            </w:r>
          </w:p>
        </w:tc>
        <w:tc>
          <w:tcPr>
            <w:tcW w:w="1968" w:type="dxa"/>
            <w:vAlign w:val="center"/>
          </w:tcPr>
          <w:p w14:paraId="24D126A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招标范围</w:t>
            </w:r>
          </w:p>
        </w:tc>
        <w:tc>
          <w:tcPr>
            <w:tcW w:w="6520" w:type="dxa"/>
            <w:tcBorders>
              <w:bottom w:val="single" w:color="auto" w:sz="4" w:space="0"/>
            </w:tcBorders>
            <w:vAlign w:val="center"/>
          </w:tcPr>
          <w:p w14:paraId="16CC1B0F">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本项目招标文件、施工图纸及工程量清单所含全部内容（最终以工程量清单、施工图纸内容和施工招标答疑纪要为准）；</w:t>
            </w:r>
          </w:p>
        </w:tc>
      </w:tr>
      <w:tr w14:paraId="1D6F2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4A77069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w:t>
            </w:r>
          </w:p>
        </w:tc>
        <w:tc>
          <w:tcPr>
            <w:tcW w:w="1968" w:type="dxa"/>
            <w:tcBorders>
              <w:right w:val="single" w:color="auto" w:sz="4" w:space="0"/>
            </w:tcBorders>
            <w:vAlign w:val="center"/>
          </w:tcPr>
          <w:p w14:paraId="6BDE9DF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计划工期</w:t>
            </w:r>
          </w:p>
        </w:tc>
        <w:tc>
          <w:tcPr>
            <w:tcW w:w="6520" w:type="dxa"/>
            <w:tcBorders>
              <w:top w:val="single" w:color="auto" w:sz="4" w:space="0"/>
              <w:left w:val="single" w:color="auto" w:sz="4" w:space="0"/>
              <w:bottom w:val="single" w:color="auto" w:sz="4" w:space="0"/>
              <w:right w:val="single" w:color="auto" w:sz="4" w:space="0"/>
            </w:tcBorders>
            <w:vAlign w:val="center"/>
          </w:tcPr>
          <w:p w14:paraId="137DAA84">
            <w:pPr>
              <w:pStyle w:val="87"/>
              <w:wordWrap w:val="0"/>
              <w:spacing w:line="360" w:lineRule="auto"/>
              <w:ind w:right="-34" w:rightChars="-16"/>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60</w:t>
            </w:r>
            <w:r>
              <w:rPr>
                <w:rFonts w:hint="eastAsia" w:ascii="宋体" w:hAnsi="宋体" w:eastAsia="宋体" w:cs="宋体"/>
                <w:color w:val="auto"/>
                <w:sz w:val="21"/>
                <w:szCs w:val="21"/>
                <w:highlight w:val="none"/>
              </w:rPr>
              <w:t>日历天</w:t>
            </w:r>
          </w:p>
        </w:tc>
      </w:tr>
      <w:tr w14:paraId="1E6A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43CF75E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w:t>
            </w:r>
          </w:p>
        </w:tc>
        <w:tc>
          <w:tcPr>
            <w:tcW w:w="1968" w:type="dxa"/>
            <w:vAlign w:val="center"/>
          </w:tcPr>
          <w:p w14:paraId="1F0EF849">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质量标准</w:t>
            </w:r>
          </w:p>
        </w:tc>
        <w:tc>
          <w:tcPr>
            <w:tcW w:w="6520" w:type="dxa"/>
            <w:tcBorders>
              <w:top w:val="single" w:color="auto" w:sz="4" w:space="0"/>
            </w:tcBorders>
            <w:vAlign w:val="center"/>
          </w:tcPr>
          <w:p w14:paraId="4C15AB8E">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tc>
      </w:tr>
      <w:tr w14:paraId="5B6E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0D5EAA8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1.3.4</w:t>
            </w:r>
          </w:p>
        </w:tc>
        <w:tc>
          <w:tcPr>
            <w:tcW w:w="1968" w:type="dxa"/>
            <w:vAlign w:val="center"/>
          </w:tcPr>
          <w:p w14:paraId="4A44AA9D">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标段划分情况</w:t>
            </w:r>
          </w:p>
        </w:tc>
        <w:tc>
          <w:tcPr>
            <w:tcW w:w="6520" w:type="dxa"/>
            <w:tcBorders>
              <w:top w:val="single" w:color="auto" w:sz="4" w:space="0"/>
            </w:tcBorders>
            <w:vAlign w:val="center"/>
          </w:tcPr>
          <w:p w14:paraId="044ABB51">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共</w:t>
            </w:r>
            <w:r>
              <w:rPr>
                <w:rFonts w:hint="eastAsia" w:ascii="宋体" w:hAnsi="宋体" w:eastAsia="宋体" w:cs="宋体"/>
                <w:color w:val="auto"/>
                <w:sz w:val="21"/>
                <w:szCs w:val="21"/>
                <w:highlight w:val="none"/>
              </w:rPr>
              <w:t>划分1个施工标段</w:t>
            </w:r>
          </w:p>
        </w:tc>
      </w:tr>
      <w:tr w14:paraId="2318B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70" w:type="dxa"/>
            <w:vAlign w:val="center"/>
          </w:tcPr>
          <w:p w14:paraId="36745CA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1.4.1</w:t>
            </w:r>
          </w:p>
        </w:tc>
        <w:tc>
          <w:tcPr>
            <w:tcW w:w="1968" w:type="dxa"/>
            <w:vAlign w:val="center"/>
          </w:tcPr>
          <w:p w14:paraId="43C54A5E">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投标人资质条件、能力和信誉</w:t>
            </w:r>
          </w:p>
        </w:tc>
        <w:tc>
          <w:tcPr>
            <w:tcW w:w="6520" w:type="dxa"/>
            <w:vAlign w:val="center"/>
          </w:tcPr>
          <w:p w14:paraId="13171ABE">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同第一章招标公告“3.投标人资格要求”</w:t>
            </w:r>
          </w:p>
        </w:tc>
      </w:tr>
      <w:tr w14:paraId="1F4CC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970" w:type="dxa"/>
            <w:vAlign w:val="center"/>
          </w:tcPr>
          <w:p w14:paraId="4E7D6F1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w:t>
            </w:r>
          </w:p>
        </w:tc>
        <w:tc>
          <w:tcPr>
            <w:tcW w:w="1968" w:type="dxa"/>
            <w:vAlign w:val="center"/>
          </w:tcPr>
          <w:p w14:paraId="2E9B832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是否接受联合体投标</w:t>
            </w:r>
          </w:p>
        </w:tc>
        <w:tc>
          <w:tcPr>
            <w:tcW w:w="6520" w:type="dxa"/>
            <w:vAlign w:val="center"/>
          </w:tcPr>
          <w:p w14:paraId="6F8205B7">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不接受</w:t>
            </w:r>
          </w:p>
          <w:p w14:paraId="5BBF22D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□接受，应满足下列要求：</w:t>
            </w:r>
          </w:p>
          <w:p w14:paraId="5B70346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联合体资质按照联合体协议约定的分工认定。</w:t>
            </w:r>
          </w:p>
        </w:tc>
      </w:tr>
      <w:tr w14:paraId="49AF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70" w:type="dxa"/>
            <w:vAlign w:val="center"/>
          </w:tcPr>
          <w:p w14:paraId="55E9453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1.9.1</w:t>
            </w:r>
          </w:p>
        </w:tc>
        <w:tc>
          <w:tcPr>
            <w:tcW w:w="1968" w:type="dxa"/>
            <w:vAlign w:val="center"/>
          </w:tcPr>
          <w:p w14:paraId="42B7C2B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踏勘现场</w:t>
            </w:r>
          </w:p>
        </w:tc>
        <w:tc>
          <w:tcPr>
            <w:tcW w:w="6520" w:type="dxa"/>
            <w:vAlign w:val="center"/>
          </w:tcPr>
          <w:p w14:paraId="1C71EA2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不组织</w:t>
            </w:r>
          </w:p>
          <w:p w14:paraId="4362293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投标人自行踏勘现场</w:t>
            </w:r>
          </w:p>
        </w:tc>
      </w:tr>
      <w:tr w14:paraId="6D167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jc w:val="center"/>
        </w:trPr>
        <w:tc>
          <w:tcPr>
            <w:tcW w:w="970" w:type="dxa"/>
            <w:vAlign w:val="center"/>
          </w:tcPr>
          <w:p w14:paraId="2B50FC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1.10.1</w:t>
            </w:r>
          </w:p>
        </w:tc>
        <w:tc>
          <w:tcPr>
            <w:tcW w:w="1968" w:type="dxa"/>
            <w:vAlign w:val="center"/>
          </w:tcPr>
          <w:p w14:paraId="0D650C5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投标预备会</w:t>
            </w:r>
          </w:p>
        </w:tc>
        <w:tc>
          <w:tcPr>
            <w:tcW w:w="6520" w:type="dxa"/>
            <w:vAlign w:val="center"/>
          </w:tcPr>
          <w:p w14:paraId="513172A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不召开</w:t>
            </w:r>
          </w:p>
          <w:p w14:paraId="5CAE2C94">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投标单位在收到招标文件三日内，如有疑问登录交易平台向招标单位和招标代理机构提问，招标单位及招标代理机构审查后认为如有必要答疑，会将答疑纪要在交易平台公布。</w:t>
            </w:r>
          </w:p>
        </w:tc>
      </w:tr>
      <w:tr w14:paraId="369BF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jc w:val="center"/>
        </w:trPr>
        <w:tc>
          <w:tcPr>
            <w:tcW w:w="970" w:type="dxa"/>
            <w:vAlign w:val="center"/>
          </w:tcPr>
          <w:p w14:paraId="60EC3E3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w:t>
            </w:r>
          </w:p>
        </w:tc>
        <w:tc>
          <w:tcPr>
            <w:tcW w:w="1968" w:type="dxa"/>
            <w:vAlign w:val="center"/>
          </w:tcPr>
          <w:p w14:paraId="3BEE2BC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分包</w:t>
            </w:r>
          </w:p>
        </w:tc>
        <w:tc>
          <w:tcPr>
            <w:tcW w:w="6520" w:type="dxa"/>
            <w:vAlign w:val="center"/>
          </w:tcPr>
          <w:p w14:paraId="3E41B366">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不允许</w:t>
            </w:r>
          </w:p>
          <w:p w14:paraId="2E82ACCA">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□允许，分包内容要求：</w:t>
            </w:r>
          </w:p>
          <w:p w14:paraId="6B2676BE">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分包金额要求：</w:t>
            </w:r>
          </w:p>
          <w:p w14:paraId="6D7C5A1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接受分包的第三人资质要求：</w:t>
            </w:r>
          </w:p>
        </w:tc>
      </w:tr>
      <w:tr w14:paraId="5EA3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jc w:val="center"/>
        </w:trPr>
        <w:tc>
          <w:tcPr>
            <w:tcW w:w="970" w:type="dxa"/>
            <w:vAlign w:val="center"/>
          </w:tcPr>
          <w:p w14:paraId="3791423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1.12 </w:t>
            </w:r>
          </w:p>
        </w:tc>
        <w:tc>
          <w:tcPr>
            <w:tcW w:w="1968" w:type="dxa"/>
            <w:vAlign w:val="center"/>
          </w:tcPr>
          <w:p w14:paraId="428B370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偏离</w:t>
            </w:r>
          </w:p>
        </w:tc>
        <w:tc>
          <w:tcPr>
            <w:tcW w:w="6520" w:type="dxa"/>
            <w:vAlign w:val="center"/>
          </w:tcPr>
          <w:p w14:paraId="5BAED508">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不允许</w:t>
            </w:r>
          </w:p>
          <w:p w14:paraId="580BC854">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□允许，可偏离的项目和范围见第八章</w:t>
            </w:r>
          </w:p>
          <w:p w14:paraId="1F7F67DD">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“技术标准和要求”：</w:t>
            </w:r>
          </w:p>
          <w:p w14:paraId="2600E46E">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允许偏离最高项数：</w:t>
            </w:r>
            <w:r>
              <w:rPr>
                <w:rFonts w:hint="eastAsia" w:ascii="宋体" w:hAnsi="宋体" w:eastAsia="宋体" w:cs="宋体"/>
                <w:color w:val="auto"/>
                <w:sz w:val="21"/>
                <w:szCs w:val="21"/>
                <w:highlight w:val="none"/>
                <w:u w:val="single"/>
              </w:rPr>
              <w:t xml:space="preserve">      </w:t>
            </w:r>
          </w:p>
          <w:p w14:paraId="190378F3">
            <w:pPr>
              <w:wordWrap w:val="0"/>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偏差调整方法：</w:t>
            </w:r>
            <w:r>
              <w:rPr>
                <w:rFonts w:hint="eastAsia" w:ascii="宋体" w:hAnsi="宋体" w:eastAsia="宋体" w:cs="宋体"/>
                <w:color w:val="auto"/>
                <w:sz w:val="21"/>
                <w:szCs w:val="21"/>
                <w:highlight w:val="none"/>
                <w:u w:val="single"/>
              </w:rPr>
              <w:t xml:space="preserve">          </w:t>
            </w:r>
          </w:p>
        </w:tc>
      </w:tr>
      <w:tr w14:paraId="34C8C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vAlign w:val="center"/>
          </w:tcPr>
          <w:p w14:paraId="2CDE9A5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2.1 </w:t>
            </w:r>
          </w:p>
        </w:tc>
        <w:tc>
          <w:tcPr>
            <w:tcW w:w="1968" w:type="dxa"/>
            <w:vAlign w:val="center"/>
          </w:tcPr>
          <w:p w14:paraId="752A621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构成招标文件的其他材料</w:t>
            </w:r>
          </w:p>
        </w:tc>
        <w:tc>
          <w:tcPr>
            <w:tcW w:w="6520" w:type="dxa"/>
            <w:vAlign w:val="center"/>
          </w:tcPr>
          <w:p w14:paraId="005484D2">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招标文件的补充文件（如有）、</w:t>
            </w:r>
            <w:r>
              <w:rPr>
                <w:rFonts w:hint="eastAsia" w:ascii="宋体" w:hAnsi="宋体" w:eastAsia="宋体" w:cs="宋体"/>
                <w:color w:val="auto"/>
                <w:sz w:val="21"/>
                <w:szCs w:val="21"/>
                <w:highlight w:val="none"/>
              </w:rPr>
              <w:t>图纸（另册提供）、工程量清单（另册提供）</w:t>
            </w:r>
          </w:p>
        </w:tc>
      </w:tr>
      <w:tr w14:paraId="5219B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580E594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2.2.1</w:t>
            </w:r>
          </w:p>
        </w:tc>
        <w:tc>
          <w:tcPr>
            <w:tcW w:w="1968" w:type="dxa"/>
            <w:vAlign w:val="center"/>
          </w:tcPr>
          <w:p w14:paraId="62CDA9D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投标人要求澄清招标文件的截止时间</w:t>
            </w:r>
          </w:p>
        </w:tc>
        <w:tc>
          <w:tcPr>
            <w:tcW w:w="6520" w:type="dxa"/>
            <w:vAlign w:val="center"/>
          </w:tcPr>
          <w:p w14:paraId="276BBA8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时间：递交投标文件截止之日1</w:t>
            </w: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日前</w:t>
            </w:r>
          </w:p>
          <w:p w14:paraId="28A4EC4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形式：登录交易平台匿名提出</w:t>
            </w:r>
          </w:p>
        </w:tc>
      </w:tr>
      <w:tr w14:paraId="15EED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5F1C003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2.2.3</w:t>
            </w:r>
          </w:p>
        </w:tc>
        <w:tc>
          <w:tcPr>
            <w:tcW w:w="1968" w:type="dxa"/>
            <w:vAlign w:val="center"/>
          </w:tcPr>
          <w:p w14:paraId="67EE316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投标人确认收到招标文件澄清的时间</w:t>
            </w:r>
          </w:p>
        </w:tc>
        <w:tc>
          <w:tcPr>
            <w:tcW w:w="6520" w:type="dxa"/>
            <w:vAlign w:val="center"/>
          </w:tcPr>
          <w:p w14:paraId="0AD46F2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u w:val="none"/>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14:paraId="684FB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184BF34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2.3.1</w:t>
            </w:r>
          </w:p>
        </w:tc>
        <w:tc>
          <w:tcPr>
            <w:tcW w:w="1968" w:type="dxa"/>
            <w:vAlign w:val="center"/>
          </w:tcPr>
          <w:p w14:paraId="6E18DAA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招标人书面澄清的时间</w:t>
            </w:r>
          </w:p>
        </w:tc>
        <w:tc>
          <w:tcPr>
            <w:tcW w:w="6520" w:type="dxa"/>
            <w:vAlign w:val="center"/>
          </w:tcPr>
          <w:p w14:paraId="4F68A96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递交投标文件截止之日15日前</w:t>
            </w:r>
          </w:p>
          <w:p w14:paraId="03FEE97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形式：交易平台书面澄清</w:t>
            </w:r>
          </w:p>
        </w:tc>
      </w:tr>
      <w:tr w14:paraId="4002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970" w:type="dxa"/>
            <w:vAlign w:val="center"/>
          </w:tcPr>
          <w:p w14:paraId="069BB80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2.3.2</w:t>
            </w:r>
          </w:p>
        </w:tc>
        <w:tc>
          <w:tcPr>
            <w:tcW w:w="1968" w:type="dxa"/>
            <w:vAlign w:val="center"/>
          </w:tcPr>
          <w:p w14:paraId="083973B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投标人确认收到招标文件修改的时间</w:t>
            </w:r>
          </w:p>
        </w:tc>
        <w:tc>
          <w:tcPr>
            <w:tcW w:w="6520" w:type="dxa"/>
            <w:vAlign w:val="center"/>
          </w:tcPr>
          <w:p w14:paraId="54ED600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14:paraId="5001E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406BDDB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w:t>
            </w:r>
          </w:p>
        </w:tc>
        <w:tc>
          <w:tcPr>
            <w:tcW w:w="1968" w:type="dxa"/>
            <w:vAlign w:val="center"/>
          </w:tcPr>
          <w:p w14:paraId="48955482">
            <w:pPr>
              <w:wordWrap w:val="0"/>
              <w:autoSpaceDE w:val="0"/>
              <w:autoSpaceDN w:val="0"/>
              <w:adjustRightInd w:val="0"/>
              <w:spacing w:line="360" w:lineRule="auto"/>
              <w:ind w:right="-34" w:rightChars="-16"/>
              <w:jc w:val="center"/>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投标人对招标文件提出异议的截止时间</w:t>
            </w:r>
          </w:p>
        </w:tc>
        <w:tc>
          <w:tcPr>
            <w:tcW w:w="6520" w:type="dxa"/>
            <w:vAlign w:val="center"/>
          </w:tcPr>
          <w:p w14:paraId="21866BD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递交投标文件截止之日10日前，招标人收到异议，3日内给予答复；逾期未提出的视为无异议。</w:t>
            </w:r>
          </w:p>
        </w:tc>
      </w:tr>
      <w:tr w14:paraId="6532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jc w:val="center"/>
        </w:trPr>
        <w:tc>
          <w:tcPr>
            <w:tcW w:w="970" w:type="dxa"/>
            <w:vAlign w:val="center"/>
          </w:tcPr>
          <w:p w14:paraId="147990E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w:t>
            </w:r>
          </w:p>
        </w:tc>
        <w:tc>
          <w:tcPr>
            <w:tcW w:w="1968" w:type="dxa"/>
            <w:vAlign w:val="center"/>
          </w:tcPr>
          <w:p w14:paraId="65B9203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构成投标文件的其他材料</w:t>
            </w:r>
          </w:p>
        </w:tc>
        <w:tc>
          <w:tcPr>
            <w:tcW w:w="6520" w:type="dxa"/>
            <w:vAlign w:val="center"/>
          </w:tcPr>
          <w:p w14:paraId="207D15E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投标人自行提供</w:t>
            </w:r>
          </w:p>
        </w:tc>
      </w:tr>
      <w:tr w14:paraId="36015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jc w:val="center"/>
        </w:trPr>
        <w:tc>
          <w:tcPr>
            <w:tcW w:w="970" w:type="dxa"/>
            <w:vAlign w:val="center"/>
          </w:tcPr>
          <w:p w14:paraId="2A237AC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3.3.1</w:t>
            </w:r>
          </w:p>
        </w:tc>
        <w:tc>
          <w:tcPr>
            <w:tcW w:w="1968" w:type="dxa"/>
            <w:vAlign w:val="center"/>
          </w:tcPr>
          <w:p w14:paraId="6751555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投标有效期</w:t>
            </w:r>
          </w:p>
        </w:tc>
        <w:tc>
          <w:tcPr>
            <w:tcW w:w="6520" w:type="dxa"/>
            <w:vAlign w:val="center"/>
          </w:tcPr>
          <w:p w14:paraId="24FFD08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0日历天（从投标截止之日算起）</w:t>
            </w:r>
          </w:p>
        </w:tc>
      </w:tr>
      <w:tr w14:paraId="23B8D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0628E5C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3.4.1</w:t>
            </w:r>
          </w:p>
        </w:tc>
        <w:tc>
          <w:tcPr>
            <w:tcW w:w="1968" w:type="dxa"/>
            <w:vAlign w:val="center"/>
          </w:tcPr>
          <w:p w14:paraId="3BF55A6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w:t>
            </w:r>
          </w:p>
        </w:tc>
        <w:tc>
          <w:tcPr>
            <w:tcW w:w="6520" w:type="dxa"/>
            <w:vAlign w:val="center"/>
          </w:tcPr>
          <w:p w14:paraId="71753069">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是否要求投标人递交投标保证金：</w:t>
            </w:r>
          </w:p>
          <w:p w14:paraId="0704C338">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要求</w:t>
            </w:r>
          </w:p>
          <w:p w14:paraId="7D5920EB">
            <w:pPr>
              <w:wordWrap w:val="0"/>
              <w:adjustRightInd w:val="0"/>
              <w:snapToGrid w:val="0"/>
              <w:spacing w:line="360" w:lineRule="auto"/>
              <w:ind w:firstLine="315" w:firstLineChars="15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投标保证金的金额：</w:t>
            </w:r>
            <w:r>
              <w:rPr>
                <w:rFonts w:hint="eastAsia" w:ascii="宋体" w:hAnsi="宋体" w:cs="宋体"/>
                <w:bCs/>
                <w:color w:val="auto"/>
                <w:sz w:val="21"/>
                <w:szCs w:val="21"/>
                <w:highlight w:val="none"/>
                <w:lang w:val="en-US" w:eastAsia="zh-CN"/>
              </w:rPr>
              <w:t>叁</w:t>
            </w:r>
            <w:r>
              <w:rPr>
                <w:rFonts w:hint="eastAsia" w:ascii="宋体" w:hAnsi="宋体" w:eastAsia="宋体" w:cs="宋体"/>
                <w:bCs/>
                <w:color w:val="auto"/>
                <w:sz w:val="21"/>
                <w:szCs w:val="21"/>
                <w:highlight w:val="none"/>
                <w:lang w:val="en-US" w:eastAsia="zh-CN"/>
              </w:rPr>
              <w:t>万元整</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rPr>
              <w:t>0000.00元）</w:t>
            </w:r>
          </w:p>
          <w:p w14:paraId="6FE1FAE9">
            <w:pPr>
              <w:wordWrap w:val="0"/>
              <w:adjustRightInd w:val="0"/>
              <w:snapToGrid w:val="0"/>
              <w:spacing w:line="360" w:lineRule="auto"/>
              <w:ind w:firstLine="315" w:firstLineChars="15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投标保证金提交截止时间：同投标截止时间</w:t>
            </w:r>
          </w:p>
          <w:p w14:paraId="12951BE1">
            <w:pPr>
              <w:wordWrap w:val="0"/>
              <w:adjustRightInd w:val="0"/>
              <w:snapToGrid w:val="0"/>
              <w:spacing w:line="360" w:lineRule="auto"/>
              <w:ind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投标保证金递交形式：转账或电子保函</w:t>
            </w:r>
          </w:p>
          <w:p w14:paraId="1BC05DAB">
            <w:pPr>
              <w:wordWrap w:val="0"/>
              <w:adjustRightInd w:val="0"/>
              <w:spacing w:line="360" w:lineRule="auto"/>
              <w:ind w:firstLine="315" w:firstLineChars="150"/>
              <w:textAlignment w:val="baseline"/>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转账形式：投标人</w:t>
            </w:r>
            <w:r>
              <w:rPr>
                <w:rFonts w:hint="eastAsia" w:ascii="宋体" w:hAnsi="宋体" w:eastAsia="宋体" w:cs="宋体"/>
                <w:bCs/>
                <w:color w:val="auto"/>
                <w:kern w:val="0"/>
                <w:sz w:val="21"/>
                <w:szCs w:val="21"/>
                <w:highlight w:val="none"/>
              </w:rPr>
              <w:t>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70927510">
            <w:pPr>
              <w:wordWrap w:val="0"/>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投标人将投标保证金于开标时间前</w:t>
            </w:r>
            <w:r>
              <w:rPr>
                <w:rFonts w:hint="eastAsia" w:ascii="宋体" w:hAnsi="宋体" w:eastAsia="宋体" w:cs="宋体"/>
                <w:bCs/>
                <w:color w:val="auto"/>
                <w:kern w:val="0"/>
                <w:sz w:val="21"/>
                <w:szCs w:val="21"/>
                <w:highlight w:val="none"/>
              </w:rPr>
              <w:t>登录交易系统</w:t>
            </w:r>
            <w:r>
              <w:rPr>
                <w:rFonts w:hint="eastAsia" w:ascii="宋体" w:hAnsi="宋体" w:eastAsia="宋体" w:cs="宋体"/>
                <w:color w:val="auto"/>
                <w:kern w:val="0"/>
                <w:sz w:val="21"/>
                <w:szCs w:val="21"/>
                <w:highlight w:val="none"/>
              </w:rPr>
              <w:t>从本公司基本账户一次性足额存至西平县公共资源交易中心指定账户,</w:t>
            </w:r>
            <w:r>
              <w:rPr>
                <w:rFonts w:hint="eastAsia" w:ascii="宋体" w:hAnsi="宋体" w:eastAsia="宋体" w:cs="宋体"/>
                <w:bCs/>
                <w:color w:val="auto"/>
                <w:sz w:val="21"/>
                <w:szCs w:val="21"/>
                <w:highlight w:val="none"/>
              </w:rPr>
              <w:t>不得以现金提交，</w:t>
            </w:r>
            <w:r>
              <w:rPr>
                <w:rFonts w:hint="eastAsia" w:ascii="宋体" w:hAnsi="宋体" w:eastAsia="宋体" w:cs="宋体"/>
                <w:color w:val="auto"/>
                <w:kern w:val="0"/>
                <w:sz w:val="21"/>
                <w:szCs w:val="21"/>
                <w:highlight w:val="none"/>
              </w:rPr>
              <w:t>逾期到账的投标保证金不予受理。</w:t>
            </w:r>
            <w:r>
              <w:rPr>
                <w:rFonts w:hint="eastAsia" w:ascii="宋体" w:hAnsi="宋体" w:eastAsia="宋体" w:cs="宋体"/>
                <w:bCs/>
                <w:color w:val="auto"/>
                <w:sz w:val="21"/>
                <w:szCs w:val="21"/>
                <w:highlight w:val="none"/>
              </w:rPr>
              <w:t>（未从基本账户汇出或未按时到账者视为无效）。如联合体投标，应当以联合体中牵头人的名义提交保证金。</w:t>
            </w:r>
          </w:p>
          <w:p w14:paraId="319BB50B">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w:t>
            </w:r>
          </w:p>
          <w:p w14:paraId="2F03E783">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采用保函形式缴纳的，投标人在投标截止时间前须由专业担保机构出具投标保证金保函，办理电子投标保函费用必须出自投标企业基本账户；并将保函证明</w:t>
            </w:r>
            <w:r>
              <w:rPr>
                <w:rFonts w:hint="eastAsia" w:ascii="宋体" w:hAnsi="宋体" w:eastAsia="宋体" w:cs="宋体"/>
                <w:color w:val="auto"/>
                <w:sz w:val="21"/>
                <w:szCs w:val="21"/>
                <w:highlight w:val="none"/>
                <w:lang w:val="en-US" w:eastAsia="zh-CN"/>
              </w:rPr>
              <w:t>及保函费缴纳证明</w:t>
            </w:r>
            <w:r>
              <w:rPr>
                <w:rFonts w:hint="eastAsia" w:ascii="宋体" w:hAnsi="宋体" w:eastAsia="宋体" w:cs="宋体"/>
                <w:color w:val="auto"/>
                <w:sz w:val="21"/>
                <w:szCs w:val="21"/>
                <w:highlight w:val="none"/>
              </w:rPr>
              <w:t>按规定附于投标文件内并上传至项目资格审查材料内。</w:t>
            </w:r>
          </w:p>
          <w:p w14:paraId="6F65A197">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项目开标前，投标人在交易系统“电子保函申请”页面进行电子保函申请，出具保函的相关机构审批通过后，将以密文形式出具电子保函文件，投标人在金融服务平台可下载该保函文件。</w:t>
            </w:r>
          </w:p>
          <w:p w14:paraId="7813A34D">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交易平台技术咨询：0396-2613088</w:t>
            </w:r>
          </w:p>
          <w:p w14:paraId="05CA7EA8">
            <w:pPr>
              <w:wordWrap w:val="0"/>
              <w:autoSpaceDE w:val="0"/>
              <w:autoSpaceDN w:val="0"/>
              <w:adjustRightInd w:val="0"/>
              <w:spacing w:line="360" w:lineRule="auto"/>
              <w:ind w:right="-34" w:rightChars="-16"/>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rPr>
              <w:t>□不要求</w:t>
            </w:r>
          </w:p>
        </w:tc>
      </w:tr>
      <w:tr w14:paraId="04645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970" w:type="dxa"/>
            <w:vAlign w:val="center"/>
          </w:tcPr>
          <w:p w14:paraId="325F409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3.5.2</w:t>
            </w:r>
          </w:p>
        </w:tc>
        <w:tc>
          <w:tcPr>
            <w:tcW w:w="1968" w:type="dxa"/>
            <w:vAlign w:val="center"/>
          </w:tcPr>
          <w:p w14:paraId="454F81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近年财务状况的年份要求</w:t>
            </w:r>
          </w:p>
        </w:tc>
        <w:tc>
          <w:tcPr>
            <w:tcW w:w="6520" w:type="dxa"/>
            <w:vAlign w:val="center"/>
          </w:tcPr>
          <w:p w14:paraId="2F1C117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2023年度、2024年度、2025年度（若2025年审计报告未出，则提供2022年、2023年度、2024年度审计报告；公司成立不足三年的，从成立年份开始提供，新成立的企业无法提供财务审计报告的按实际情况提供银行资信证明即可）；</w:t>
            </w:r>
          </w:p>
        </w:tc>
      </w:tr>
      <w:tr w14:paraId="38754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970" w:type="dxa"/>
            <w:vAlign w:val="center"/>
          </w:tcPr>
          <w:p w14:paraId="392BBFA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3.5.3</w:t>
            </w:r>
          </w:p>
        </w:tc>
        <w:tc>
          <w:tcPr>
            <w:tcW w:w="1968" w:type="dxa"/>
            <w:vAlign w:val="center"/>
          </w:tcPr>
          <w:p w14:paraId="36D745A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近年完成的类似项目的年份要求</w:t>
            </w:r>
          </w:p>
        </w:tc>
        <w:tc>
          <w:tcPr>
            <w:tcW w:w="6520" w:type="dxa"/>
            <w:vAlign w:val="center"/>
          </w:tcPr>
          <w:p w14:paraId="27069EF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40A78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7BDAD9D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3.5.4</w:t>
            </w:r>
          </w:p>
        </w:tc>
        <w:tc>
          <w:tcPr>
            <w:tcW w:w="1968" w:type="dxa"/>
            <w:vAlign w:val="center"/>
          </w:tcPr>
          <w:p w14:paraId="3B5DAAF4">
            <w:pPr>
              <w:wordWrap w:val="0"/>
              <w:autoSpaceDE w:val="0"/>
              <w:autoSpaceDN w:val="0"/>
              <w:adjustRightInd w:val="0"/>
              <w:spacing w:line="24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正在施工和新承接的项目的年份要求</w:t>
            </w:r>
          </w:p>
        </w:tc>
        <w:tc>
          <w:tcPr>
            <w:tcW w:w="6520" w:type="dxa"/>
            <w:vAlign w:val="center"/>
          </w:tcPr>
          <w:p w14:paraId="4C8C610A">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71A2E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70" w:type="dxa"/>
            <w:vAlign w:val="center"/>
          </w:tcPr>
          <w:p w14:paraId="59CAD6A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3.5.5</w:t>
            </w:r>
          </w:p>
        </w:tc>
        <w:tc>
          <w:tcPr>
            <w:tcW w:w="1968" w:type="dxa"/>
            <w:vAlign w:val="center"/>
          </w:tcPr>
          <w:p w14:paraId="3D91EC1C">
            <w:pPr>
              <w:keepNext w:val="0"/>
              <w:keepLines w:val="0"/>
              <w:pageBreakBefore w:val="0"/>
              <w:widowControl w:val="0"/>
              <w:kinsoku/>
              <w:wordWrap w:val="0"/>
              <w:overflowPunct/>
              <w:topLinePunct w:val="0"/>
              <w:autoSpaceDE w:val="0"/>
              <w:autoSpaceDN w:val="0"/>
              <w:bidi w:val="0"/>
              <w:adjustRightInd w:val="0"/>
              <w:snapToGrid/>
              <w:spacing w:line="240" w:lineRule="auto"/>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近年发生的诉讼及仲裁情况的年份要求</w:t>
            </w:r>
          </w:p>
        </w:tc>
        <w:tc>
          <w:tcPr>
            <w:tcW w:w="6520" w:type="dxa"/>
            <w:vAlign w:val="center"/>
          </w:tcPr>
          <w:p w14:paraId="37BF3E0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579F8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70" w:type="dxa"/>
            <w:vAlign w:val="center"/>
          </w:tcPr>
          <w:p w14:paraId="4C7B45D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w:t>
            </w:r>
          </w:p>
        </w:tc>
        <w:tc>
          <w:tcPr>
            <w:tcW w:w="1968" w:type="dxa"/>
            <w:vAlign w:val="center"/>
          </w:tcPr>
          <w:p w14:paraId="26E78563">
            <w:pPr>
              <w:wordWrap w:val="0"/>
              <w:autoSpaceDE w:val="0"/>
              <w:autoSpaceDN w:val="0"/>
              <w:adjustRightInd w:val="0"/>
              <w:spacing w:line="360" w:lineRule="auto"/>
              <w:ind w:left="-2" w:leftChars="-1" w:right="-34" w:rightChars="-16"/>
              <w:jc w:val="center"/>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是否允许递交备选投标方案</w:t>
            </w:r>
          </w:p>
        </w:tc>
        <w:tc>
          <w:tcPr>
            <w:tcW w:w="6520" w:type="dxa"/>
            <w:vAlign w:val="center"/>
          </w:tcPr>
          <w:p w14:paraId="29B20BF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不允许             □允许</w:t>
            </w:r>
          </w:p>
        </w:tc>
      </w:tr>
      <w:tr w14:paraId="6FF69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17CCB88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3.7.3</w:t>
            </w:r>
          </w:p>
        </w:tc>
        <w:tc>
          <w:tcPr>
            <w:tcW w:w="1968" w:type="dxa"/>
            <w:vAlign w:val="center"/>
          </w:tcPr>
          <w:p w14:paraId="63A75537">
            <w:pPr>
              <w:spacing w:line="360" w:lineRule="auto"/>
              <w:jc w:val="both"/>
              <w:rPr>
                <w:rFonts w:hint="eastAsia" w:ascii="宋体" w:hAnsi="宋体" w:eastAsia="宋体" w:cs="宋体"/>
                <w:color w:val="auto"/>
                <w:kern w:val="0"/>
                <w:sz w:val="21"/>
                <w:szCs w:val="21"/>
                <w:highlight w:val="none"/>
              </w:rPr>
            </w:pPr>
            <w:r>
              <w:rPr>
                <w:rFonts w:hint="default" w:ascii="Times New Roman" w:hAnsi="Times New Roman" w:cs="Times New Roman"/>
                <w:color w:val="auto"/>
                <w:spacing w:val="-2"/>
                <w:kern w:val="0"/>
                <w:szCs w:val="21"/>
                <w:highlight w:val="none"/>
              </w:rPr>
              <w:t>签</w:t>
            </w:r>
            <w:r>
              <w:rPr>
                <w:rFonts w:hint="default" w:ascii="Times New Roman" w:hAnsi="Times New Roman" w:cs="Times New Roman"/>
                <w:color w:val="auto"/>
                <w:kern w:val="0"/>
                <w:szCs w:val="21"/>
                <w:highlight w:val="none"/>
              </w:rPr>
              <w:t>字</w:t>
            </w:r>
            <w:r>
              <w:rPr>
                <w:rFonts w:hint="default" w:ascii="Times New Roman" w:hAnsi="Times New Roman" w:cs="Times New Roman"/>
                <w:color w:val="auto"/>
                <w:spacing w:val="-2"/>
                <w:kern w:val="0"/>
                <w:szCs w:val="21"/>
                <w:highlight w:val="none"/>
              </w:rPr>
              <w:t>或</w:t>
            </w:r>
            <w:r>
              <w:rPr>
                <w:rFonts w:hint="default" w:ascii="Times New Roman" w:hAnsi="Times New Roman" w:cs="Times New Roman"/>
                <w:color w:val="auto"/>
                <w:kern w:val="0"/>
                <w:szCs w:val="21"/>
                <w:highlight w:val="none"/>
              </w:rPr>
              <w:t>盖</w:t>
            </w:r>
            <w:r>
              <w:rPr>
                <w:rFonts w:hint="default" w:ascii="Times New Roman" w:hAnsi="Times New Roman" w:cs="Times New Roman"/>
                <w:color w:val="auto"/>
                <w:spacing w:val="-2"/>
                <w:kern w:val="0"/>
                <w:szCs w:val="21"/>
                <w:highlight w:val="none"/>
              </w:rPr>
              <w:t>章</w:t>
            </w:r>
            <w:r>
              <w:rPr>
                <w:rFonts w:hint="default" w:ascii="Times New Roman" w:hAnsi="Times New Roman" w:cs="Times New Roman"/>
                <w:color w:val="auto"/>
                <w:kern w:val="0"/>
                <w:szCs w:val="21"/>
                <w:highlight w:val="none"/>
              </w:rPr>
              <w:t>要求</w:t>
            </w:r>
          </w:p>
        </w:tc>
        <w:tc>
          <w:tcPr>
            <w:tcW w:w="6520" w:type="dxa"/>
          </w:tcPr>
          <w:p w14:paraId="7FDBB8F9">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电子投标文件：</w:t>
            </w:r>
          </w:p>
          <w:p w14:paraId="52AA01F5">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（1）经过加密的电子投标文件上传件为正本；</w:t>
            </w:r>
          </w:p>
          <w:p w14:paraId="680BB08C">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所有要求投标人加盖公章的地方都须加盖投标人单位的CA印章。</w:t>
            </w:r>
          </w:p>
          <w:p w14:paraId="056EB1E2">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所有要求法定代表人签字的地方都须加盖法定代表人CA印章,需要委托代理人签字的地方，可由委托代理人签字后以图片的形式扫描上传。</w:t>
            </w:r>
          </w:p>
          <w:p w14:paraId="180E8E5B">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工程量清单报价封面的签字、盖章执行以下要求：</w:t>
            </w:r>
          </w:p>
          <w:p w14:paraId="74AFF064">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采用电子版工程量清单报价的清单封面须加盖投标人CA印章、投标人法定代表人CA印章</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造价人员签字</w:t>
            </w:r>
            <w:r>
              <w:rPr>
                <w:rFonts w:hint="eastAsia" w:ascii="宋体" w:hAnsi="宋体" w:eastAsia="宋体" w:cs="宋体"/>
                <w:color w:val="auto"/>
                <w:kern w:val="0"/>
                <w:sz w:val="21"/>
                <w:szCs w:val="21"/>
                <w:highlight w:val="none"/>
              </w:rPr>
              <w:t>并加盖执业专用章。若委托造价咨询单位编制的，还应加盖造价咨询单位公章，由其单位注册造价工程师签字并加盖执业专用章</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投标文件附委托造价咨询单位营业执照及委托协议</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p w14:paraId="2DA4A2DD">
            <w:pPr>
              <w:wordWrap w:val="0"/>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总价措施项目清单与计价表和规费、税金项目计价表中编制人和复核人签字盖章不作要求。</w:t>
            </w:r>
          </w:p>
        </w:tc>
      </w:tr>
      <w:tr w14:paraId="4F2A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70" w:type="dxa"/>
            <w:vAlign w:val="center"/>
          </w:tcPr>
          <w:p w14:paraId="57DE264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3.7.4</w:t>
            </w:r>
          </w:p>
        </w:tc>
        <w:tc>
          <w:tcPr>
            <w:tcW w:w="1968" w:type="dxa"/>
            <w:vAlign w:val="center"/>
          </w:tcPr>
          <w:p w14:paraId="20BA8C4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投标文件份数</w:t>
            </w:r>
          </w:p>
        </w:tc>
        <w:tc>
          <w:tcPr>
            <w:tcW w:w="6520" w:type="dxa"/>
            <w:vAlign w:val="center"/>
          </w:tcPr>
          <w:p w14:paraId="79C2422E">
            <w:pPr>
              <w:wordWrap w:val="0"/>
              <w:adjustRightInd w:val="0"/>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加密的电子投标文件壹份（*.zmdtf 格式，在会员系统指定位置上传）</w:t>
            </w:r>
          </w:p>
        </w:tc>
      </w:tr>
      <w:tr w14:paraId="4578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70" w:type="dxa"/>
            <w:vAlign w:val="center"/>
          </w:tcPr>
          <w:p w14:paraId="5A63BEF3">
            <w:pPr>
              <w:wordWrap w:val="0"/>
              <w:autoSpaceDE w:val="0"/>
              <w:autoSpaceDN w:val="0"/>
              <w:adjustRightInd w:val="0"/>
              <w:spacing w:line="360" w:lineRule="auto"/>
              <w:ind w:right="-34" w:rightChars="-16"/>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3.7.5</w:t>
            </w:r>
          </w:p>
        </w:tc>
        <w:tc>
          <w:tcPr>
            <w:tcW w:w="1968" w:type="dxa"/>
            <w:vAlign w:val="center"/>
          </w:tcPr>
          <w:p w14:paraId="08E1E2E9">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纸质投标文件要求</w:t>
            </w:r>
          </w:p>
        </w:tc>
        <w:tc>
          <w:tcPr>
            <w:tcW w:w="6520" w:type="dxa"/>
            <w:vAlign w:val="center"/>
          </w:tcPr>
          <w:p w14:paraId="04E314D5">
            <w:pPr>
              <w:wordWrap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中标候选人须在中标候选人公示期满后向招标人</w:t>
            </w:r>
            <w:r>
              <w:rPr>
                <w:rFonts w:hint="eastAsia" w:ascii="宋体" w:hAnsi="宋体" w:cs="宋体"/>
                <w:b/>
                <w:bCs/>
                <w:color w:val="auto"/>
                <w:sz w:val="21"/>
                <w:szCs w:val="21"/>
                <w:highlight w:val="none"/>
                <w:lang w:val="en-US" w:eastAsia="zh-CN"/>
              </w:rPr>
              <w:t>或招标代理机构</w:t>
            </w:r>
            <w:r>
              <w:rPr>
                <w:rFonts w:hint="eastAsia" w:ascii="宋体" w:hAnsi="宋体" w:cs="宋体"/>
                <w:b/>
                <w:bCs/>
                <w:color w:val="auto"/>
                <w:sz w:val="21"/>
                <w:szCs w:val="21"/>
                <w:highlight w:val="none"/>
              </w:rPr>
              <w:t>提供与上传电子投标文件一致的纸质投标文件正本壹份、副本肆份，供定标委员会核查定标。</w:t>
            </w:r>
            <w:r>
              <w:rPr>
                <w:rFonts w:hint="eastAsia" w:ascii="宋体" w:hAnsi="宋体" w:cs="宋体"/>
                <w:b/>
                <w:bCs/>
                <w:color w:val="auto"/>
                <w:kern w:val="0"/>
                <w:sz w:val="21"/>
                <w:szCs w:val="21"/>
                <w:highlight w:val="none"/>
              </w:rPr>
              <w:t>纸质文件装订成册，不得采用活页夹等可随时拆换的方式装订。如未按要求提供上述资料的，视为放弃其中标候选人的定标资格</w:t>
            </w:r>
            <w:r>
              <w:rPr>
                <w:rFonts w:hint="eastAsia" w:ascii="宋体" w:hAnsi="宋体" w:cs="宋体"/>
                <w:b/>
                <w:bCs/>
                <w:color w:val="auto"/>
                <w:kern w:val="0"/>
                <w:sz w:val="21"/>
                <w:szCs w:val="21"/>
                <w:highlight w:val="none"/>
                <w:lang w:eastAsia="zh-CN"/>
              </w:rPr>
              <w:t>。</w:t>
            </w:r>
          </w:p>
        </w:tc>
      </w:tr>
      <w:tr w14:paraId="156F2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970" w:type="dxa"/>
            <w:vAlign w:val="center"/>
          </w:tcPr>
          <w:p w14:paraId="04F3A1D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4.2.1</w:t>
            </w:r>
          </w:p>
        </w:tc>
        <w:tc>
          <w:tcPr>
            <w:tcW w:w="1968" w:type="dxa"/>
            <w:vAlign w:val="center"/>
          </w:tcPr>
          <w:p w14:paraId="15144E8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投标截止时间</w:t>
            </w:r>
          </w:p>
        </w:tc>
        <w:tc>
          <w:tcPr>
            <w:tcW w:w="6520" w:type="dxa"/>
            <w:vAlign w:val="center"/>
          </w:tcPr>
          <w:p w14:paraId="6C2709C4">
            <w:pPr>
              <w:wordWrap w:val="0"/>
              <w:autoSpaceDE w:val="0"/>
              <w:autoSpaceDN w:val="0"/>
              <w:adjustRightInd w:val="0"/>
              <w:spacing w:line="360" w:lineRule="auto"/>
              <w:ind w:right="-34" w:rightChars="-16"/>
              <w:rPr>
                <w:rFonts w:hint="eastAsia" w:ascii="宋体" w:hAnsi="宋体" w:eastAsia="宋体" w:cs="宋体"/>
                <w:b/>
                <w:color w:val="auto"/>
                <w:kern w:val="0"/>
                <w:sz w:val="21"/>
                <w:szCs w:val="21"/>
                <w:highlight w:val="none"/>
              </w:rPr>
            </w:pPr>
            <w:bookmarkStart w:id="42" w:name="_Hlk217294823"/>
            <w:r>
              <w:rPr>
                <w:rFonts w:hint="eastAsia" w:ascii="宋体" w:hAnsi="宋体" w:eastAsia="宋体" w:cs="宋体"/>
                <w:b/>
                <w:color w:val="auto"/>
                <w:spacing w:val="20"/>
                <w:kern w:val="0"/>
                <w:sz w:val="21"/>
                <w:szCs w:val="21"/>
                <w:highlight w:val="none"/>
              </w:rPr>
              <w:t>2026年</w:t>
            </w:r>
            <w:r>
              <w:rPr>
                <w:rFonts w:hint="eastAsia" w:ascii="宋体" w:hAnsi="宋体" w:cs="宋体"/>
                <w:b/>
                <w:color w:val="auto"/>
                <w:spacing w:val="20"/>
                <w:kern w:val="0"/>
                <w:sz w:val="21"/>
                <w:szCs w:val="21"/>
                <w:highlight w:val="none"/>
                <w:lang w:val="en-US" w:eastAsia="zh-CN"/>
              </w:rPr>
              <w:t xml:space="preserve">10 </w:t>
            </w:r>
            <w:r>
              <w:rPr>
                <w:rFonts w:hint="eastAsia" w:ascii="宋体" w:hAnsi="宋体" w:eastAsia="宋体" w:cs="宋体"/>
                <w:b/>
                <w:color w:val="auto"/>
                <w:spacing w:val="20"/>
                <w:kern w:val="0"/>
                <w:sz w:val="21"/>
                <w:szCs w:val="21"/>
                <w:highlight w:val="none"/>
              </w:rPr>
              <w:t>月</w:t>
            </w:r>
            <w:r>
              <w:rPr>
                <w:rFonts w:hint="eastAsia" w:ascii="宋体" w:hAnsi="宋体" w:cs="宋体"/>
                <w:b/>
                <w:color w:val="auto"/>
                <w:spacing w:val="20"/>
                <w:kern w:val="0"/>
                <w:sz w:val="21"/>
                <w:szCs w:val="21"/>
                <w:highlight w:val="none"/>
                <w:lang w:val="en-US" w:eastAsia="zh-CN"/>
              </w:rPr>
              <w:t>10</w:t>
            </w:r>
            <w:r>
              <w:rPr>
                <w:rFonts w:hint="eastAsia" w:ascii="宋体" w:hAnsi="宋体" w:eastAsia="宋体" w:cs="宋体"/>
                <w:b/>
                <w:color w:val="auto"/>
                <w:spacing w:val="20"/>
                <w:kern w:val="0"/>
                <w:sz w:val="21"/>
                <w:szCs w:val="21"/>
                <w:highlight w:val="none"/>
              </w:rPr>
              <w:t>日</w:t>
            </w:r>
            <w:r>
              <w:rPr>
                <w:rFonts w:hint="eastAsia" w:ascii="宋体" w:hAnsi="宋体" w:eastAsia="宋体" w:cs="宋体"/>
                <w:b/>
                <w:color w:val="auto"/>
                <w:spacing w:val="20"/>
                <w:kern w:val="0"/>
                <w:sz w:val="21"/>
                <w:szCs w:val="21"/>
                <w:highlight w:val="none"/>
                <w:lang w:val="en-US" w:eastAsia="zh-CN"/>
              </w:rPr>
              <w:t>9</w:t>
            </w:r>
            <w:r>
              <w:rPr>
                <w:rFonts w:hint="eastAsia" w:ascii="宋体" w:hAnsi="宋体" w:eastAsia="宋体" w:cs="宋体"/>
                <w:b/>
                <w:color w:val="auto"/>
                <w:spacing w:val="20"/>
                <w:kern w:val="0"/>
                <w:sz w:val="21"/>
                <w:szCs w:val="21"/>
                <w:highlight w:val="none"/>
              </w:rPr>
              <w:t>时</w:t>
            </w:r>
            <w:r>
              <w:rPr>
                <w:rFonts w:hint="eastAsia" w:ascii="宋体" w:hAnsi="宋体" w:eastAsia="宋体" w:cs="宋体"/>
                <w:b/>
                <w:color w:val="auto"/>
                <w:spacing w:val="20"/>
                <w:kern w:val="0"/>
                <w:sz w:val="21"/>
                <w:szCs w:val="21"/>
                <w:highlight w:val="none"/>
                <w:lang w:val="en-US" w:eastAsia="zh-CN"/>
              </w:rPr>
              <w:t>0</w:t>
            </w:r>
            <w:r>
              <w:rPr>
                <w:rFonts w:hint="eastAsia" w:ascii="宋体" w:hAnsi="宋体" w:eastAsia="宋体" w:cs="宋体"/>
                <w:b/>
                <w:color w:val="auto"/>
                <w:spacing w:val="20"/>
                <w:kern w:val="0"/>
                <w:sz w:val="21"/>
                <w:szCs w:val="21"/>
                <w:highlight w:val="none"/>
              </w:rPr>
              <w:t>0分（北京时间）</w:t>
            </w:r>
            <w:bookmarkEnd w:id="42"/>
          </w:p>
        </w:tc>
      </w:tr>
      <w:tr w14:paraId="6F2ED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3" w:hRule="exact"/>
          <w:jc w:val="center"/>
        </w:trPr>
        <w:tc>
          <w:tcPr>
            <w:tcW w:w="970" w:type="dxa"/>
            <w:vAlign w:val="center"/>
          </w:tcPr>
          <w:p w14:paraId="3792733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w:t>
            </w:r>
          </w:p>
        </w:tc>
        <w:tc>
          <w:tcPr>
            <w:tcW w:w="1968" w:type="dxa"/>
            <w:vAlign w:val="center"/>
          </w:tcPr>
          <w:p w14:paraId="749A9E9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投标文件递交</w:t>
            </w:r>
          </w:p>
        </w:tc>
        <w:tc>
          <w:tcPr>
            <w:tcW w:w="6520" w:type="dxa"/>
            <w:vAlign w:val="center"/>
          </w:tcPr>
          <w:p w14:paraId="1C3F3817">
            <w:pPr>
              <w:pStyle w:val="41"/>
              <w:wordWrap w:val="0"/>
              <w:spacing w:after="0"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电子投标文件的递交</w:t>
            </w:r>
          </w:p>
          <w:p w14:paraId="2EDE9CA6">
            <w:pPr>
              <w:wordWrap w:val="0"/>
              <w:autoSpaceDE w:val="0"/>
              <w:autoSpaceDN w:val="0"/>
              <w:adjustRightInd w:val="0"/>
              <w:spacing w:line="360" w:lineRule="auto"/>
              <w:ind w:right="-34" w:rightChars="-16"/>
              <w:rPr>
                <w:rFonts w:hint="eastAsia" w:ascii="宋体" w:hAnsi="宋体" w:eastAsia="宋体" w:cs="宋体"/>
                <w:b/>
                <w:color w:val="auto"/>
                <w:spacing w:val="20"/>
                <w:kern w:val="0"/>
                <w:sz w:val="21"/>
                <w:szCs w:val="21"/>
                <w:highlight w:val="none"/>
              </w:rPr>
            </w:pPr>
            <w:r>
              <w:rPr>
                <w:rFonts w:hint="eastAsia" w:ascii="宋体" w:hAnsi="宋体" w:eastAsia="宋体" w:cs="宋体"/>
                <w:color w:val="auto"/>
                <w:sz w:val="21"/>
                <w:szCs w:val="21"/>
                <w:highlight w:val="none"/>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4EF26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9" w:hRule="exact"/>
          <w:jc w:val="center"/>
        </w:trPr>
        <w:tc>
          <w:tcPr>
            <w:tcW w:w="970" w:type="dxa"/>
            <w:vAlign w:val="center"/>
          </w:tcPr>
          <w:p w14:paraId="540ECFB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w:t>
            </w:r>
          </w:p>
        </w:tc>
        <w:tc>
          <w:tcPr>
            <w:tcW w:w="1968" w:type="dxa"/>
            <w:vAlign w:val="center"/>
          </w:tcPr>
          <w:p w14:paraId="16962D8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资格审查文件及业绩信誉资料的递交</w:t>
            </w:r>
          </w:p>
        </w:tc>
        <w:tc>
          <w:tcPr>
            <w:tcW w:w="6520" w:type="dxa"/>
            <w:vAlign w:val="center"/>
          </w:tcPr>
          <w:p w14:paraId="2D435934">
            <w:pPr>
              <w:pStyle w:val="41"/>
              <w:wordWrap w:val="0"/>
              <w:spacing w:after="0" w:line="360" w:lineRule="auto"/>
              <w:ind w:firstLine="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无需递交纸质投标文件及原件，投标企业应在项目开标前，将项目经理、人员、资质、业绩、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p w14:paraId="042FA55B">
            <w:pPr>
              <w:pStyle w:val="41"/>
              <w:wordWrap w:val="0"/>
              <w:spacing w:after="0" w:line="360" w:lineRule="auto"/>
              <w:ind w:firstLine="240"/>
              <w:rPr>
                <w:rFonts w:hint="eastAsia"/>
                <w:color w:val="auto"/>
                <w:highlight w:val="none"/>
              </w:rPr>
            </w:pPr>
            <w:r>
              <w:rPr>
                <w:rFonts w:hint="eastAsia" w:ascii="宋体" w:hAnsi="宋体" w:eastAsia="宋体" w:cs="宋体"/>
                <w:color w:val="auto"/>
                <w:sz w:val="21"/>
                <w:szCs w:val="21"/>
                <w:highlight w:val="none"/>
                <w:lang w:val="en-US" w:eastAsia="zh-CN"/>
              </w:rPr>
              <w:t>（注：各投标企业应如实填报诚信库信息，因交易主体自行填报信息的错误、缺项、虚假而造成的后果由交易主体自行承担并作出承</w:t>
            </w:r>
            <w:r>
              <w:rPr>
                <w:rFonts w:hint="eastAsia" w:ascii="宋体" w:hAnsi="宋体" w:eastAsia="宋体" w:cs="宋体"/>
                <w:color w:val="auto"/>
                <w:sz w:val="2"/>
                <w:szCs w:val="2"/>
                <w:highlight w:val="none"/>
                <w:lang w:val="en-US" w:eastAsia="zh-CN"/>
              </w:rPr>
              <w:t xml:space="preserve"> </w:t>
            </w:r>
            <w:r>
              <w:rPr>
                <w:rFonts w:hint="eastAsia" w:ascii="宋体" w:hAnsi="宋体" w:eastAsia="宋体" w:cs="宋体"/>
                <w:color w:val="auto"/>
                <w:sz w:val="21"/>
                <w:szCs w:val="21"/>
                <w:highlight w:val="none"/>
                <w:lang w:val="en-US" w:eastAsia="zh-CN"/>
              </w:rPr>
              <w:t>诺否则视为不响</w:t>
            </w:r>
            <w:r>
              <w:rPr>
                <w:rFonts w:hint="eastAsia" w:ascii="宋体" w:hAnsi="宋体" w:eastAsia="宋体" w:cs="宋体"/>
                <w:color w:val="auto"/>
                <w:sz w:val="2"/>
                <w:szCs w:val="2"/>
                <w:highlight w:val="none"/>
                <w:lang w:val="en-US" w:eastAsia="zh-CN"/>
              </w:rPr>
              <w:t xml:space="preserve"> </w:t>
            </w:r>
            <w:r>
              <w:rPr>
                <w:rFonts w:hint="eastAsia" w:ascii="宋体" w:hAnsi="宋体" w:eastAsia="宋体" w:cs="宋体"/>
                <w:color w:val="auto"/>
                <w:sz w:val="21"/>
                <w:szCs w:val="21"/>
                <w:highlight w:val="none"/>
                <w:lang w:val="en-US" w:eastAsia="zh-CN"/>
              </w:rPr>
              <w:t>应。）</w:t>
            </w:r>
          </w:p>
        </w:tc>
      </w:tr>
      <w:tr w14:paraId="640F4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70" w:type="dxa"/>
            <w:tcFitText/>
            <w:vAlign w:val="center"/>
          </w:tcPr>
          <w:p w14:paraId="74D6C218">
            <w:pPr>
              <w:wordWrap w:val="0"/>
              <w:autoSpaceDE w:val="0"/>
              <w:autoSpaceDN w:val="0"/>
              <w:adjustRightInd w:val="0"/>
              <w:spacing w:line="360" w:lineRule="auto"/>
              <w:ind w:right="-34" w:rightChars="-16"/>
              <w:jc w:val="both"/>
              <w:rPr>
                <w:rFonts w:hint="eastAsia" w:ascii="宋体" w:hAnsi="宋体" w:eastAsia="宋体" w:cs="宋体"/>
                <w:color w:val="auto"/>
                <w:spacing w:val="0"/>
                <w:kern w:val="0"/>
                <w:sz w:val="21"/>
                <w:szCs w:val="21"/>
                <w:highlight w:val="none"/>
                <w:lang w:val="en-US" w:eastAsia="zh-CN"/>
              </w:rPr>
            </w:pPr>
            <w:r>
              <w:rPr>
                <w:rFonts w:hint="eastAsia" w:ascii="宋体" w:hAnsi="宋体" w:eastAsia="宋体" w:cs="宋体"/>
                <w:color w:val="auto"/>
                <w:spacing w:val="63"/>
                <w:kern w:val="0"/>
                <w:sz w:val="21"/>
                <w:szCs w:val="21"/>
                <w:highlight w:val="none"/>
                <w:lang w:val="en-US" w:eastAsia="zh-CN"/>
              </w:rPr>
              <w:t>4.2.</w:t>
            </w:r>
            <w:r>
              <w:rPr>
                <w:rFonts w:hint="eastAsia" w:ascii="宋体" w:hAnsi="宋体" w:eastAsia="宋体" w:cs="宋体"/>
                <w:color w:val="auto"/>
                <w:spacing w:val="0"/>
                <w:kern w:val="0"/>
                <w:sz w:val="21"/>
                <w:szCs w:val="21"/>
                <w:highlight w:val="none"/>
                <w:lang w:val="en-US" w:eastAsia="zh-CN"/>
              </w:rPr>
              <w:t>4</w:t>
            </w:r>
          </w:p>
        </w:tc>
        <w:tc>
          <w:tcPr>
            <w:tcW w:w="1968" w:type="dxa"/>
            <w:vAlign w:val="center"/>
          </w:tcPr>
          <w:p w14:paraId="6816C36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是否退还投标文件</w:t>
            </w:r>
          </w:p>
        </w:tc>
        <w:tc>
          <w:tcPr>
            <w:tcW w:w="6520" w:type="dxa"/>
            <w:tcFitText/>
            <w:vAlign w:val="center"/>
          </w:tcPr>
          <w:p w14:paraId="094CD383">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fldChar w:fldCharType="begin"/>
            </w:r>
            <w:r>
              <w:rPr>
                <w:rFonts w:hint="eastAsia" w:ascii="宋体" w:hAnsi="宋体" w:eastAsia="宋体" w:cs="宋体"/>
                <w:color w:val="auto"/>
                <w:kern w:val="0"/>
                <w:sz w:val="21"/>
                <w:szCs w:val="21"/>
                <w:highlight w:val="none"/>
                <w:lang w:val="en-US" w:eastAsia="zh-CN" w:bidi="ar-SA"/>
              </w:rPr>
              <w:instrText xml:space="preserve"> eq \o\ac(</w:instrText>
            </w:r>
            <w:r>
              <w:rPr>
                <w:rFonts w:hint="eastAsia" w:ascii="宋体" w:hAnsi="宋体" w:eastAsia="宋体" w:cs="宋体"/>
                <w:color w:val="auto"/>
                <w:kern w:val="0"/>
                <w:position w:val="-4"/>
                <w:sz w:val="31"/>
                <w:szCs w:val="21"/>
                <w:highlight w:val="none"/>
                <w:lang w:val="en-US" w:eastAsia="zh-CN" w:bidi="ar-SA"/>
              </w:rPr>
              <w:instrText xml:space="preserve">□</w:instrText>
            </w:r>
            <w:r>
              <w:rPr>
                <w:rFonts w:hint="eastAsia" w:ascii="宋体" w:hAnsi="宋体" w:eastAsia="宋体" w:cs="宋体"/>
                <w:color w:val="auto"/>
                <w:kern w:val="0"/>
                <w:position w:val="0"/>
                <w:sz w:val="21"/>
                <w:szCs w:val="21"/>
                <w:highlight w:val="none"/>
                <w:lang w:val="en-US" w:eastAsia="zh-CN" w:bidi="ar-SA"/>
              </w:rPr>
              <w:instrText xml:space="preserve">,√)</w:instrText>
            </w:r>
            <w:r>
              <w:rPr>
                <w:rFonts w:hint="eastAsia" w:ascii="宋体" w:hAnsi="宋体" w:eastAsia="宋体" w:cs="宋体"/>
                <w:color w:val="auto"/>
                <w:kern w:val="0"/>
                <w:sz w:val="21"/>
                <w:szCs w:val="21"/>
                <w:highlight w:val="none"/>
                <w:lang w:val="en-US" w:eastAsia="zh-CN" w:bidi="ar-SA"/>
              </w:rPr>
              <w:fldChar w:fldCharType="end"/>
            </w:r>
            <w:r>
              <w:rPr>
                <w:rFonts w:hint="eastAsia" w:ascii="宋体" w:hAnsi="宋体" w:eastAsia="宋体" w:cs="宋体"/>
                <w:color w:val="auto"/>
                <w:kern w:val="0"/>
                <w:sz w:val="21"/>
                <w:szCs w:val="21"/>
                <w:highlight w:val="none"/>
                <w:lang w:val="en-US" w:eastAsia="zh-CN" w:bidi="ar-SA"/>
              </w:rPr>
              <w:t>不退还           □退还</w:t>
            </w:r>
          </w:p>
        </w:tc>
      </w:tr>
      <w:tr w14:paraId="7349C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970" w:type="dxa"/>
            <w:vAlign w:val="center"/>
          </w:tcPr>
          <w:p w14:paraId="0A322AF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w:t>
            </w:r>
          </w:p>
        </w:tc>
        <w:tc>
          <w:tcPr>
            <w:tcW w:w="1968" w:type="dxa"/>
            <w:vAlign w:val="center"/>
          </w:tcPr>
          <w:p w14:paraId="2CEBF0B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开标时间和地点</w:t>
            </w:r>
          </w:p>
        </w:tc>
        <w:tc>
          <w:tcPr>
            <w:tcW w:w="6520" w:type="dxa"/>
            <w:vAlign w:val="center"/>
          </w:tcPr>
          <w:p w14:paraId="71496795">
            <w:pPr>
              <w:wordWrap w:val="0"/>
              <w:autoSpaceDE w:val="0"/>
              <w:autoSpaceDN w:val="0"/>
              <w:adjustRightInd w:val="0"/>
              <w:spacing w:line="360" w:lineRule="auto"/>
              <w:ind w:right="-34" w:rightChars="-16"/>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开标时间：</w:t>
            </w:r>
            <w:r>
              <w:rPr>
                <w:rFonts w:hint="eastAsia" w:ascii="宋体" w:hAnsi="宋体" w:eastAsia="宋体" w:cs="宋体"/>
                <w:b/>
                <w:bCs/>
                <w:color w:val="auto"/>
                <w:kern w:val="0"/>
                <w:sz w:val="21"/>
                <w:szCs w:val="21"/>
                <w:highlight w:val="none"/>
                <w:lang w:val="en-US" w:eastAsia="zh-CN"/>
              </w:rPr>
              <w:t>同</w:t>
            </w:r>
            <w:r>
              <w:rPr>
                <w:rFonts w:hint="eastAsia" w:ascii="宋体" w:hAnsi="宋体" w:eastAsia="宋体" w:cs="宋体"/>
                <w:b/>
                <w:bCs/>
                <w:color w:val="auto"/>
                <w:kern w:val="0"/>
                <w:sz w:val="21"/>
                <w:szCs w:val="21"/>
                <w:highlight w:val="none"/>
              </w:rPr>
              <w:t>投标截止时间</w:t>
            </w:r>
          </w:p>
          <w:p w14:paraId="6DFA4777">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开标地点：西平县公共资源交易中心不见面开标厅</w:t>
            </w:r>
          </w:p>
          <w:p w14:paraId="573843B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u w:val="single"/>
              </w:rPr>
              <w:t>（电子投标文件必须凭制作投标文件所用的 CA 密钥在10分钟内完成解密）。</w:t>
            </w:r>
          </w:p>
        </w:tc>
      </w:tr>
      <w:tr w14:paraId="2177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0946533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5.2 </w:t>
            </w:r>
          </w:p>
        </w:tc>
        <w:tc>
          <w:tcPr>
            <w:tcW w:w="1968" w:type="dxa"/>
            <w:vAlign w:val="center"/>
          </w:tcPr>
          <w:p w14:paraId="22ABCA6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开标程序</w:t>
            </w:r>
          </w:p>
        </w:tc>
        <w:tc>
          <w:tcPr>
            <w:tcW w:w="6520" w:type="dxa"/>
            <w:vAlign w:val="center"/>
          </w:tcPr>
          <w:p w14:paraId="7EAA82F0">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6AA4E9A9">
            <w:pPr>
              <w:wordWrap w:val="0"/>
              <w:autoSpaceDE w:val="0"/>
              <w:autoSpaceDN w:val="0"/>
              <w:adjustRightInd w:val="0"/>
              <w:spacing w:line="360" w:lineRule="auto"/>
              <w:ind w:right="-34" w:rightChars="-16"/>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2、在投标截止时间前，各投标人必须在网上开标系统内完成签到，否则其投标按无效标处理，系统内投标文件将被退回。</w:t>
            </w:r>
          </w:p>
        </w:tc>
      </w:tr>
      <w:tr w14:paraId="22A98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970" w:type="dxa"/>
            <w:vAlign w:val="center"/>
          </w:tcPr>
          <w:p w14:paraId="5ED4E77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6.1.1 </w:t>
            </w:r>
          </w:p>
        </w:tc>
        <w:tc>
          <w:tcPr>
            <w:tcW w:w="1968" w:type="dxa"/>
            <w:vAlign w:val="center"/>
          </w:tcPr>
          <w:p w14:paraId="1EF42A5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评标委员会的组建</w:t>
            </w:r>
          </w:p>
        </w:tc>
        <w:tc>
          <w:tcPr>
            <w:tcW w:w="6520" w:type="dxa"/>
            <w:vAlign w:val="center"/>
          </w:tcPr>
          <w:p w14:paraId="51573B0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评标委员会由招标人依法组建，由 5人组成；</w:t>
            </w:r>
          </w:p>
          <w:p w14:paraId="1FC17051">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FA27B27">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招标人代表1人（招标人代表应由具有评标专家相应或者类似条件的人员担任，或招标人从河南省综合专家库确定1名评标专家作为招标人代表）；</w:t>
            </w:r>
          </w:p>
          <w:p w14:paraId="19FC2013">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经济、技术类专家</w:t>
            </w:r>
            <w:r>
              <w:rPr>
                <w:rFonts w:hint="eastAsia" w:ascii="宋体" w:hAnsi="宋体" w:eastAsia="宋体" w:cs="宋体"/>
                <w:color w:val="auto"/>
                <w:sz w:val="21"/>
                <w:szCs w:val="21"/>
                <w:highlight w:val="none"/>
                <w:u w:val="single"/>
              </w:rPr>
              <w:t xml:space="preserve"> 4</w:t>
            </w:r>
            <w:r>
              <w:rPr>
                <w:rFonts w:hint="eastAsia" w:ascii="宋体" w:hAnsi="宋体" w:eastAsia="宋体" w:cs="宋体"/>
                <w:color w:val="auto"/>
                <w:sz w:val="21"/>
                <w:szCs w:val="21"/>
                <w:highlight w:val="none"/>
              </w:rPr>
              <w:t>人；</w:t>
            </w:r>
          </w:p>
          <w:p w14:paraId="05CCC86B">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551FF1F3">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☑开标前在监督部门的监督下从《河南省综合专家库》中采用电脑随机抽签方式确定，负责评标活动。（默认）</w:t>
            </w:r>
          </w:p>
          <w:p w14:paraId="08FA579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    </w:t>
            </w:r>
          </w:p>
        </w:tc>
      </w:tr>
      <w:tr w14:paraId="52B63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970" w:type="dxa"/>
            <w:vAlign w:val="center"/>
          </w:tcPr>
          <w:p w14:paraId="1A3B2A44">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6.3.4</w:t>
            </w:r>
          </w:p>
        </w:tc>
        <w:tc>
          <w:tcPr>
            <w:tcW w:w="1968" w:type="dxa"/>
            <w:vAlign w:val="center"/>
          </w:tcPr>
          <w:p w14:paraId="5AF6AC8E">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本次评标采用的评标方法</w:t>
            </w:r>
          </w:p>
        </w:tc>
        <w:tc>
          <w:tcPr>
            <w:tcW w:w="6520" w:type="dxa"/>
            <w:vAlign w:val="center"/>
          </w:tcPr>
          <w:p w14:paraId="66FE7F7E">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 xml:space="preserve">合格制+基准值     </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合理低价法   </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lang w:eastAsia="zh-CN"/>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综合评估法 </w:t>
            </w:r>
          </w:p>
        </w:tc>
      </w:tr>
      <w:tr w14:paraId="08DEB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vAlign w:val="center"/>
          </w:tcPr>
          <w:p w14:paraId="714D7892">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6.3.5</w:t>
            </w:r>
          </w:p>
        </w:tc>
        <w:tc>
          <w:tcPr>
            <w:tcW w:w="1968" w:type="dxa"/>
            <w:vAlign w:val="center"/>
          </w:tcPr>
          <w:p w14:paraId="2B174DF3">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520" w:type="dxa"/>
            <w:vAlign w:val="center"/>
          </w:tcPr>
          <w:p w14:paraId="4A258660">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网络电子评标（电子评标过程中当出现突发情况，导致系统无法正常运行且短时间内无法修复时，经监督部门同意，延迟评标。）</w:t>
            </w:r>
          </w:p>
          <w:p w14:paraId="5FA05A20">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☑远程网络电子评标</w:t>
            </w:r>
          </w:p>
        </w:tc>
      </w:tr>
      <w:tr w14:paraId="3DD66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70" w:type="dxa"/>
            <w:tcBorders>
              <w:top w:val="nil"/>
            </w:tcBorders>
            <w:vAlign w:val="center"/>
          </w:tcPr>
          <w:p w14:paraId="32C8015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7.1</w:t>
            </w:r>
          </w:p>
        </w:tc>
        <w:tc>
          <w:tcPr>
            <w:tcW w:w="1968" w:type="dxa"/>
            <w:vAlign w:val="center"/>
          </w:tcPr>
          <w:p w14:paraId="5FBFC05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定标办法</w:t>
            </w:r>
          </w:p>
        </w:tc>
        <w:tc>
          <w:tcPr>
            <w:tcW w:w="6520" w:type="dxa"/>
            <w:tcBorders>
              <w:top w:val="nil"/>
            </w:tcBorders>
            <w:vAlign w:val="center"/>
          </w:tcPr>
          <w:p w14:paraId="2380AE96">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本项目采用“评定分离”核查随机法确定中标人</w:t>
            </w:r>
            <w:r>
              <w:rPr>
                <w:rFonts w:hint="eastAsia" w:ascii="宋体" w:hAnsi="宋体" w:eastAsia="宋体" w:cs="宋体"/>
                <w:color w:val="auto"/>
                <w:sz w:val="21"/>
                <w:szCs w:val="21"/>
                <w:highlight w:val="none"/>
                <w:lang w:val="en-US"/>
              </w:rPr>
              <w:t>，具体详见第四章定标办法。</w:t>
            </w:r>
          </w:p>
        </w:tc>
      </w:tr>
      <w:tr w14:paraId="07BB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4" w:hRule="atLeast"/>
          <w:jc w:val="center"/>
        </w:trPr>
        <w:tc>
          <w:tcPr>
            <w:tcW w:w="970" w:type="dxa"/>
            <w:vAlign w:val="center"/>
          </w:tcPr>
          <w:p w14:paraId="7A365EA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7.6.1</w:t>
            </w:r>
          </w:p>
        </w:tc>
        <w:tc>
          <w:tcPr>
            <w:tcW w:w="1968" w:type="dxa"/>
            <w:vAlign w:val="center"/>
          </w:tcPr>
          <w:p w14:paraId="41008E5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w:t>
            </w:r>
          </w:p>
        </w:tc>
        <w:tc>
          <w:tcPr>
            <w:tcW w:w="6520" w:type="dxa"/>
            <w:vAlign w:val="center"/>
          </w:tcPr>
          <w:p w14:paraId="65E22F54">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是否要求中标人提供履约保证金：</w:t>
            </w:r>
          </w:p>
          <w:p w14:paraId="3D2929B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要求提供 </w:t>
            </w:r>
          </w:p>
          <w:p w14:paraId="09C62F58">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履约保证金的形式：银行转账或保函</w:t>
            </w:r>
          </w:p>
          <w:p w14:paraId="2C569E69">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履约保证金额：</w:t>
            </w:r>
            <w:r>
              <w:rPr>
                <w:rFonts w:hint="eastAsia" w:ascii="宋体" w:hAnsi="宋体" w:eastAsia="宋体" w:cs="宋体"/>
                <w:color w:val="auto"/>
                <w:kern w:val="0"/>
                <w:sz w:val="21"/>
                <w:szCs w:val="21"/>
                <w:highlight w:val="none"/>
                <w:lang w:val="en-US" w:eastAsia="zh-CN"/>
              </w:rPr>
              <w:t>/</w:t>
            </w:r>
          </w:p>
          <w:p w14:paraId="5247F7C8">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履约保证金递交时间：招标人确定中标人后，中标人应在在接到招标人通知后</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日内，将履约保证金打入招标人指定账户或按照招标文件要求的形式提交其他保证。逾期未交纳的取消其中标资格。</w:t>
            </w:r>
          </w:p>
          <w:p w14:paraId="7D6403B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lang w:eastAsia="zh-CN"/>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不要求</w:t>
            </w:r>
          </w:p>
        </w:tc>
      </w:tr>
      <w:tr w14:paraId="0E3F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970" w:type="dxa"/>
            <w:vAlign w:val="center"/>
          </w:tcPr>
          <w:p w14:paraId="11F5D68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8.1</w:t>
            </w:r>
          </w:p>
        </w:tc>
        <w:tc>
          <w:tcPr>
            <w:tcW w:w="1968" w:type="dxa"/>
            <w:vAlign w:val="center"/>
          </w:tcPr>
          <w:p w14:paraId="3606190C">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重新招标和不再招标</w:t>
            </w:r>
          </w:p>
        </w:tc>
        <w:tc>
          <w:tcPr>
            <w:tcW w:w="6520" w:type="dxa"/>
            <w:vAlign w:val="center"/>
          </w:tcPr>
          <w:p w14:paraId="40032519">
            <w:pPr>
              <w:pStyle w:val="171"/>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1、重新招标</w:t>
            </w:r>
          </w:p>
          <w:p w14:paraId="1F1CDF8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77ACFC6E">
            <w:pPr>
              <w:wordWrap w:val="0"/>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（1）投标截止时间止，投标人少于3个的；</w:t>
            </w:r>
          </w:p>
          <w:p w14:paraId="145BBC46">
            <w:pPr>
              <w:wordWrap w:val="0"/>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3E43EBC2">
            <w:pPr>
              <w:pStyle w:val="171"/>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2、不再招标</w:t>
            </w:r>
          </w:p>
          <w:p w14:paraId="466664D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0F10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vAlign w:val="center"/>
          </w:tcPr>
          <w:p w14:paraId="07FE817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 需要补充的其他内容</w:t>
            </w:r>
          </w:p>
        </w:tc>
      </w:tr>
      <w:tr w14:paraId="18FD2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458" w:type="dxa"/>
            <w:gridSpan w:val="3"/>
            <w:vAlign w:val="center"/>
          </w:tcPr>
          <w:p w14:paraId="07EA50F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 词语定义</w:t>
            </w:r>
          </w:p>
        </w:tc>
      </w:tr>
      <w:tr w14:paraId="22086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70" w:type="dxa"/>
            <w:vAlign w:val="center"/>
          </w:tcPr>
          <w:p w14:paraId="086BDDB9">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w:t>
            </w:r>
          </w:p>
        </w:tc>
        <w:tc>
          <w:tcPr>
            <w:tcW w:w="1968" w:type="dxa"/>
            <w:vAlign w:val="center"/>
          </w:tcPr>
          <w:p w14:paraId="7F7702DD">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类似项目</w:t>
            </w:r>
          </w:p>
        </w:tc>
        <w:tc>
          <w:tcPr>
            <w:tcW w:w="6520" w:type="dxa"/>
            <w:vAlign w:val="center"/>
          </w:tcPr>
          <w:p w14:paraId="4A093436">
            <w:pPr>
              <w:wordWrap w:val="0"/>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类似项目是指：</w:t>
            </w:r>
            <w:r>
              <w:rPr>
                <w:rFonts w:hint="eastAsia" w:ascii="宋体" w:hAnsi="宋体" w:eastAsia="宋体" w:cs="宋体"/>
                <w:b w:val="0"/>
                <w:bCs w:val="0"/>
                <w:color w:val="auto"/>
                <w:kern w:val="0"/>
                <w:sz w:val="21"/>
                <w:szCs w:val="21"/>
                <w:highlight w:val="none"/>
              </w:rPr>
              <w:t>建筑工程施工</w:t>
            </w:r>
            <w:r>
              <w:rPr>
                <w:rFonts w:hint="eastAsia" w:ascii="宋体" w:hAnsi="宋体" w:cs="宋体"/>
                <w:b w:val="0"/>
                <w:bCs w:val="0"/>
                <w:color w:val="auto"/>
                <w:kern w:val="0"/>
                <w:sz w:val="21"/>
                <w:szCs w:val="21"/>
                <w:highlight w:val="none"/>
                <w:lang w:val="en-US" w:eastAsia="zh-CN"/>
              </w:rPr>
              <w:t>项目</w:t>
            </w:r>
          </w:p>
        </w:tc>
      </w:tr>
      <w:tr w14:paraId="78C0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70" w:type="dxa"/>
            <w:vAlign w:val="center"/>
          </w:tcPr>
          <w:p w14:paraId="44C80B97">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10.1.2</w:t>
            </w:r>
          </w:p>
        </w:tc>
        <w:tc>
          <w:tcPr>
            <w:tcW w:w="1968" w:type="dxa"/>
            <w:vAlign w:val="center"/>
          </w:tcPr>
          <w:p w14:paraId="0B490104">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w:t>
            </w:r>
          </w:p>
        </w:tc>
        <w:tc>
          <w:tcPr>
            <w:tcW w:w="6520" w:type="dxa"/>
            <w:vAlign w:val="center"/>
          </w:tcPr>
          <w:p w14:paraId="2487C128">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不良行为记录是指：/</w:t>
            </w:r>
          </w:p>
        </w:tc>
      </w:tr>
      <w:tr w14:paraId="3228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938" w:type="dxa"/>
            <w:gridSpan w:val="2"/>
            <w:tcBorders>
              <w:right w:val="nil"/>
            </w:tcBorders>
            <w:vAlign w:val="center"/>
          </w:tcPr>
          <w:p w14:paraId="3CF0638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10.2  招标控制价</w:t>
            </w:r>
          </w:p>
        </w:tc>
        <w:tc>
          <w:tcPr>
            <w:tcW w:w="6520" w:type="dxa"/>
            <w:tcBorders>
              <w:left w:val="nil"/>
            </w:tcBorders>
            <w:vAlign w:val="center"/>
          </w:tcPr>
          <w:p w14:paraId="1D927EA7">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p>
        </w:tc>
      </w:tr>
      <w:tr w14:paraId="27A39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70" w:type="dxa"/>
            <w:vAlign w:val="center"/>
          </w:tcPr>
          <w:p w14:paraId="5F1FAEB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bookmarkStart w:id="2352" w:name="_GoBack"/>
          </w:p>
        </w:tc>
        <w:tc>
          <w:tcPr>
            <w:tcW w:w="1968" w:type="dxa"/>
            <w:tcBorders>
              <w:right w:val="single" w:color="auto" w:sz="4" w:space="0"/>
            </w:tcBorders>
            <w:vAlign w:val="center"/>
          </w:tcPr>
          <w:p w14:paraId="42206E7E">
            <w:pPr>
              <w:wordWrap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p>
        </w:tc>
        <w:tc>
          <w:tcPr>
            <w:tcW w:w="6520" w:type="dxa"/>
            <w:tcBorders>
              <w:left w:val="single" w:color="auto" w:sz="4" w:space="0"/>
            </w:tcBorders>
            <w:vAlign w:val="center"/>
          </w:tcPr>
          <w:p w14:paraId="136149AC">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□不设招标控制价</w:t>
            </w:r>
          </w:p>
          <w:p w14:paraId="28118BD0">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设招标控制价，招标控制价为：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6908499.37 </w:t>
            </w:r>
            <w:r>
              <w:rPr>
                <w:rFonts w:hint="eastAsia" w:ascii="宋体" w:hAnsi="宋体" w:eastAsia="宋体" w:cs="宋体"/>
                <w:color w:val="auto"/>
                <w:sz w:val="21"/>
                <w:szCs w:val="21"/>
                <w:highlight w:val="none"/>
                <w:u w:val="single"/>
              </w:rPr>
              <w:t>元</w:t>
            </w:r>
            <w:r>
              <w:rPr>
                <w:rFonts w:hint="eastAsia" w:ascii="宋体" w:hAnsi="宋体" w:eastAsia="宋体" w:cs="宋体"/>
                <w:color w:val="auto"/>
                <w:sz w:val="21"/>
                <w:szCs w:val="21"/>
                <w:highlight w:val="none"/>
              </w:rPr>
              <w:t>。</w:t>
            </w:r>
          </w:p>
          <w:p w14:paraId="26EA37C7">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21930CB7">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105" w:firstLine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1、措施项目费（含安全文明施工费）：</w:t>
            </w:r>
            <w:r>
              <w:rPr>
                <w:rFonts w:hint="eastAsia" w:ascii="宋体" w:hAnsi="宋体" w:cs="宋体"/>
                <w:color w:val="auto"/>
                <w:sz w:val="21"/>
                <w:szCs w:val="21"/>
                <w:highlight w:val="none"/>
                <w:lang w:val="en-US" w:eastAsia="zh-CN"/>
              </w:rPr>
              <w:t>255284.25</w:t>
            </w:r>
            <w:r>
              <w:rPr>
                <w:rFonts w:hint="eastAsia" w:ascii="宋体" w:hAnsi="宋体" w:eastAsia="宋体" w:cs="宋体"/>
                <w:color w:val="auto"/>
                <w:sz w:val="21"/>
                <w:szCs w:val="21"/>
                <w:highlight w:val="none"/>
                <w:lang w:val="en-US" w:eastAsia="zh-CN"/>
              </w:rPr>
              <w:t>元；</w:t>
            </w:r>
          </w:p>
          <w:p w14:paraId="1E543A0E">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105" w:firstLine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2、规费：120377.45元；</w:t>
            </w:r>
          </w:p>
          <w:p w14:paraId="54EB4949">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105" w:firstLine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3、税金：</w:t>
            </w:r>
            <w:r>
              <w:rPr>
                <w:rFonts w:hint="eastAsia" w:ascii="宋体" w:hAnsi="宋体" w:cs="宋体"/>
                <w:color w:val="auto"/>
                <w:sz w:val="21"/>
                <w:szCs w:val="21"/>
                <w:highlight w:val="none"/>
                <w:lang w:val="en-US" w:eastAsia="zh-CN"/>
              </w:rPr>
              <w:t>570426.55</w:t>
            </w:r>
            <w:r>
              <w:rPr>
                <w:rFonts w:hint="eastAsia" w:ascii="宋体" w:hAnsi="宋体" w:eastAsia="宋体" w:cs="宋体"/>
                <w:color w:val="auto"/>
                <w:sz w:val="21"/>
                <w:szCs w:val="21"/>
                <w:highlight w:val="none"/>
                <w:lang w:val="en-US" w:eastAsia="zh-CN"/>
              </w:rPr>
              <w:t>元；</w:t>
            </w:r>
          </w:p>
          <w:p w14:paraId="3842B589">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105" w:firstLine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4、安全文明施工措施费：</w:t>
            </w:r>
            <w:r>
              <w:rPr>
                <w:rFonts w:hint="eastAsia" w:ascii="宋体" w:hAnsi="宋体" w:cs="宋体"/>
                <w:color w:val="auto"/>
                <w:sz w:val="21"/>
                <w:szCs w:val="21"/>
                <w:highlight w:val="none"/>
                <w:lang w:val="en-US" w:eastAsia="zh-CN"/>
              </w:rPr>
              <w:t>97306.64</w:t>
            </w:r>
            <w:r>
              <w:rPr>
                <w:rFonts w:hint="eastAsia" w:ascii="宋体" w:hAnsi="宋体" w:eastAsia="宋体" w:cs="宋体"/>
                <w:color w:val="auto"/>
                <w:sz w:val="21"/>
                <w:szCs w:val="21"/>
                <w:highlight w:val="none"/>
                <w:lang w:val="en-US" w:eastAsia="zh-CN"/>
              </w:rPr>
              <w:t>元；</w:t>
            </w:r>
          </w:p>
          <w:p w14:paraId="1F5E6586">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105" w:firstLine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5、暂列金额：0元；</w:t>
            </w:r>
          </w:p>
          <w:p w14:paraId="328F300D">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105" w:firstLineChars="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6、专业工程暂估价：</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lang w:val="en-US" w:eastAsia="zh-CN"/>
              </w:rPr>
              <w:t>元。</w:t>
            </w:r>
          </w:p>
          <w:p w14:paraId="3F0449F9">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firstLine="105" w:firstLineChars="5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备注：招标控制价完整版由各潜在投标人凭CA密钥登</w:t>
            </w:r>
            <w:r>
              <w:rPr>
                <w:rFonts w:hint="eastAsia" w:ascii="宋体" w:hAnsi="宋体" w:cs="宋体"/>
                <w:color w:val="auto"/>
                <w:sz w:val="21"/>
                <w:szCs w:val="21"/>
                <w:highlight w:val="none"/>
                <w:lang w:val="en-US" w:eastAsia="zh-CN"/>
              </w:rPr>
              <w:t>录</w:t>
            </w:r>
            <w:r>
              <w:rPr>
                <w:rFonts w:hint="eastAsia" w:ascii="宋体" w:hAnsi="宋体" w:eastAsia="宋体" w:cs="宋体"/>
                <w:color w:val="auto"/>
                <w:sz w:val="21"/>
                <w:szCs w:val="21"/>
                <w:highlight w:val="none"/>
                <w:lang w:val="en-US" w:eastAsia="zh-CN"/>
              </w:rPr>
              <w:t>会员系统并按网上提示操作下载</w:t>
            </w:r>
            <w:r>
              <w:rPr>
                <w:rFonts w:hint="eastAsia" w:ascii="宋体" w:hAnsi="宋体" w:cs="宋体"/>
                <w:color w:val="auto"/>
                <w:sz w:val="21"/>
                <w:szCs w:val="21"/>
                <w:highlight w:val="none"/>
                <w:lang w:val="en-US" w:eastAsia="zh-CN"/>
              </w:rPr>
              <w:t>。</w:t>
            </w:r>
          </w:p>
          <w:p w14:paraId="6916363E">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设招标控制价，开标之日7天前公布。</w:t>
            </w:r>
          </w:p>
        </w:tc>
      </w:tr>
      <w:bookmarkEnd w:id="2352"/>
      <w:tr w14:paraId="430BD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vAlign w:val="center"/>
          </w:tcPr>
          <w:p w14:paraId="2ACEBEA9">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  “暗标”评审</w:t>
            </w:r>
          </w:p>
        </w:tc>
      </w:tr>
      <w:tr w14:paraId="0DD49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970" w:type="dxa"/>
            <w:vAlign w:val="center"/>
          </w:tcPr>
          <w:p w14:paraId="3AC0D61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1968" w:type="dxa"/>
            <w:vAlign w:val="center"/>
          </w:tcPr>
          <w:p w14:paraId="4875011E">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施工组织设计是否采用</w:t>
            </w:r>
          </w:p>
          <w:p w14:paraId="13D03B43">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“暗标”评审方式</w:t>
            </w:r>
          </w:p>
        </w:tc>
        <w:tc>
          <w:tcPr>
            <w:tcW w:w="6520" w:type="dxa"/>
            <w:vAlign w:val="center"/>
          </w:tcPr>
          <w:p w14:paraId="0DA7FE29">
            <w:pPr>
              <w:wordWrap w:val="0"/>
              <w:adjustRightInd w:val="0"/>
              <w:snapToGrid w:val="0"/>
              <w:spacing w:line="360" w:lineRule="auto"/>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 不采用</w:t>
            </w:r>
          </w:p>
          <w:p w14:paraId="09B63B7B">
            <w:pPr>
              <w:wordWrap w:val="0"/>
              <w:adjustRightInd w:val="0"/>
              <w:snapToGrid w:val="0"/>
              <w:spacing w:line="360" w:lineRule="auto"/>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采用，投标人应严格按照第九章“投标文件格式”中“施工组织设计（技术暗标）编制的要求”，编制施工组织设计。</w:t>
            </w:r>
          </w:p>
        </w:tc>
      </w:tr>
      <w:tr w14:paraId="267C4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458" w:type="dxa"/>
            <w:gridSpan w:val="3"/>
            <w:vAlign w:val="center"/>
          </w:tcPr>
          <w:p w14:paraId="64B8E304">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10.4  投标人代表出席开标会</w:t>
            </w:r>
          </w:p>
        </w:tc>
      </w:tr>
      <w:tr w14:paraId="65984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70" w:type="dxa"/>
            <w:tcBorders>
              <w:bottom w:val="single" w:color="auto" w:sz="4" w:space="0"/>
            </w:tcBorders>
            <w:vAlign w:val="center"/>
          </w:tcPr>
          <w:p w14:paraId="1826DC0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nil"/>
              <w:bottom w:val="single" w:color="auto" w:sz="4" w:space="0"/>
            </w:tcBorders>
            <w:vAlign w:val="center"/>
          </w:tcPr>
          <w:p w14:paraId="5235218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本工程采用远程不见面交易的模式。开标当日，投标人无需到达开标现场。</w:t>
            </w:r>
          </w:p>
        </w:tc>
      </w:tr>
      <w:tr w14:paraId="20817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458" w:type="dxa"/>
            <w:gridSpan w:val="3"/>
            <w:tcBorders>
              <w:top w:val="single" w:color="auto" w:sz="4" w:space="0"/>
              <w:bottom w:val="single" w:color="auto" w:sz="4" w:space="0"/>
            </w:tcBorders>
            <w:vAlign w:val="center"/>
          </w:tcPr>
          <w:p w14:paraId="79E6138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10.5 中标候选人公示</w:t>
            </w:r>
          </w:p>
        </w:tc>
      </w:tr>
      <w:tr w14:paraId="2A690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tcBorders>
              <w:top w:val="single" w:color="auto" w:sz="4" w:space="0"/>
              <w:bottom w:val="single" w:color="auto" w:sz="4" w:space="0"/>
            </w:tcBorders>
            <w:vAlign w:val="center"/>
          </w:tcPr>
          <w:p w14:paraId="17AE070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bottom w:val="single" w:color="auto" w:sz="4" w:space="0"/>
            </w:tcBorders>
            <w:vAlign w:val="center"/>
          </w:tcPr>
          <w:p w14:paraId="797C6C80">
            <w:pPr>
              <w:wordWrap w:val="0"/>
              <w:autoSpaceDE w:val="0"/>
              <w:autoSpaceDN w:val="0"/>
              <w:adjustRightInd w:val="0"/>
              <w:spacing w:line="360" w:lineRule="auto"/>
              <w:ind w:right="-34" w:rightChars="-16"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招标人收到评标委员会评标报告后3日内，应将中标候选人的情况在本招标项目招标公告（文件）发布的同一媒介予以公示，公示期</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日（遇国家法定节假日的顺延）。</w:t>
            </w:r>
          </w:p>
        </w:tc>
      </w:tr>
      <w:tr w14:paraId="5821D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458" w:type="dxa"/>
            <w:gridSpan w:val="3"/>
            <w:tcBorders>
              <w:top w:val="single" w:color="auto" w:sz="4" w:space="0"/>
              <w:bottom w:val="single" w:color="auto" w:sz="4" w:space="0"/>
            </w:tcBorders>
            <w:vAlign w:val="center"/>
          </w:tcPr>
          <w:p w14:paraId="02560DA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10.6  知识产权</w:t>
            </w:r>
          </w:p>
        </w:tc>
      </w:tr>
      <w:tr w14:paraId="33C52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tcBorders>
              <w:top w:val="single" w:color="auto" w:sz="4" w:space="0"/>
              <w:bottom w:val="single" w:color="auto" w:sz="4" w:space="0"/>
            </w:tcBorders>
            <w:vAlign w:val="center"/>
          </w:tcPr>
          <w:p w14:paraId="5BD56ED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bottom w:val="single" w:color="auto" w:sz="4" w:space="0"/>
            </w:tcBorders>
            <w:vAlign w:val="center"/>
          </w:tcPr>
          <w:p w14:paraId="1BE2B24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557C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458" w:type="dxa"/>
            <w:gridSpan w:val="3"/>
            <w:tcBorders>
              <w:top w:val="single" w:color="auto" w:sz="4" w:space="0"/>
              <w:bottom w:val="single" w:color="auto" w:sz="4" w:space="0"/>
            </w:tcBorders>
            <w:vAlign w:val="center"/>
          </w:tcPr>
          <w:p w14:paraId="1BEC653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10.7  同义词语</w:t>
            </w:r>
          </w:p>
        </w:tc>
      </w:tr>
      <w:tr w14:paraId="0D354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tcBorders>
              <w:top w:val="single" w:color="auto" w:sz="4" w:space="0"/>
              <w:bottom w:val="single" w:color="auto" w:sz="4" w:space="0"/>
            </w:tcBorders>
            <w:vAlign w:val="center"/>
          </w:tcPr>
          <w:p w14:paraId="4B6819C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tcBorders>
            <w:vAlign w:val="center"/>
          </w:tcPr>
          <w:p w14:paraId="3DB7CA1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4C7C3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30AE39B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10.8  监  督</w:t>
            </w:r>
          </w:p>
        </w:tc>
      </w:tr>
      <w:tr w14:paraId="254E7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6" w:hRule="atLeast"/>
          <w:jc w:val="center"/>
        </w:trPr>
        <w:tc>
          <w:tcPr>
            <w:tcW w:w="970" w:type="dxa"/>
            <w:tcBorders>
              <w:top w:val="single" w:color="auto" w:sz="4" w:space="0"/>
              <w:bottom w:val="single" w:color="auto" w:sz="4" w:space="0"/>
            </w:tcBorders>
            <w:vAlign w:val="center"/>
          </w:tcPr>
          <w:p w14:paraId="0ED76D4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vAlign w:val="center"/>
          </w:tcPr>
          <w:p w14:paraId="174F0073">
            <w:pPr>
              <w:wordWrap w:val="0"/>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本项目的招标投标活动及其相关当事人应当接受有管辖权的建设工程招标投标行政监督部门依法实施的监督。</w:t>
            </w:r>
          </w:p>
          <w:p w14:paraId="783D9F5E">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监督单位：</w:t>
            </w:r>
            <w:r>
              <w:rPr>
                <w:rFonts w:hint="eastAsia" w:ascii="宋体" w:hAnsi="宋体" w:eastAsia="宋体" w:cs="宋体"/>
                <w:color w:val="auto"/>
                <w:sz w:val="21"/>
                <w:szCs w:val="21"/>
                <w:highlight w:val="none"/>
                <w:shd w:val="clear" w:color="auto" w:fill="FFFFFF"/>
                <w:lang w:val="en-US" w:eastAsia="zh-CN"/>
              </w:rPr>
              <w:t>西平县农业农村局</w:t>
            </w:r>
          </w:p>
          <w:p w14:paraId="1B07FBA3">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联系人：</w:t>
            </w:r>
            <w:r>
              <w:rPr>
                <w:rFonts w:hint="eastAsia" w:ascii="宋体" w:hAnsi="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lang w:val="en-US" w:eastAsia="zh-CN"/>
              </w:rPr>
              <w:t>蔡先生</w:t>
            </w:r>
          </w:p>
          <w:p w14:paraId="66E481C1">
            <w:pPr>
              <w:widowControl/>
              <w:spacing w:line="400" w:lineRule="exact"/>
              <w:ind w:right="420"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shd w:val="clear" w:color="auto" w:fill="FFFFFF"/>
              </w:rPr>
              <w:t>电话：</w:t>
            </w:r>
            <w:r>
              <w:rPr>
                <w:rFonts w:hint="eastAsia" w:ascii="宋体" w:hAnsi="宋体" w:eastAsia="宋体" w:cs="宋体"/>
                <w:color w:val="auto"/>
                <w:kern w:val="2"/>
                <w:sz w:val="21"/>
                <w:szCs w:val="21"/>
                <w:shd w:val="clear" w:fill="FFFFFF"/>
                <w:lang w:val="en-US" w:eastAsia="zh-CN" w:bidi="ar"/>
              </w:rPr>
              <w:t>0396-622</w:t>
            </w:r>
            <w:r>
              <w:rPr>
                <w:rFonts w:hint="eastAsia" w:ascii="宋体" w:hAnsi="宋体" w:eastAsia="宋体" w:cs="宋体"/>
                <w:color w:val="333333"/>
                <w:kern w:val="2"/>
                <w:sz w:val="21"/>
                <w:szCs w:val="21"/>
                <w:shd w:val="clear" w:fill="FFFFFF"/>
                <w:lang w:val="en-US" w:eastAsia="zh-CN" w:bidi="ar"/>
              </w:rPr>
              <w:t>2825</w:t>
            </w:r>
          </w:p>
        </w:tc>
      </w:tr>
      <w:tr w14:paraId="14756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5E40127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10.9  解释权</w:t>
            </w:r>
          </w:p>
        </w:tc>
      </w:tr>
      <w:tr w14:paraId="50A2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23795CA8">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68509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458" w:type="dxa"/>
            <w:gridSpan w:val="3"/>
            <w:tcBorders>
              <w:top w:val="single" w:color="auto" w:sz="4" w:space="0"/>
              <w:bottom w:val="single" w:color="auto" w:sz="4" w:space="0"/>
            </w:tcBorders>
            <w:vAlign w:val="center"/>
          </w:tcPr>
          <w:p w14:paraId="3A75D3D3">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10.10  招标人补充的其他内容</w:t>
            </w:r>
          </w:p>
        </w:tc>
      </w:tr>
      <w:tr w14:paraId="680BD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458" w:type="dxa"/>
            <w:gridSpan w:val="3"/>
            <w:tcBorders>
              <w:top w:val="single" w:color="auto" w:sz="4" w:space="0"/>
              <w:bottom w:val="single" w:color="auto" w:sz="4" w:space="0"/>
            </w:tcBorders>
            <w:vAlign w:val="center"/>
          </w:tcPr>
          <w:p w14:paraId="1BB61C2A">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1、潜在投标人如对招标文件有异议，请在规定时间内在驻马店市公共资源交易系统平台上提出，以其他方式递交的异议不予接受。</w:t>
            </w:r>
          </w:p>
          <w:p w14:paraId="781BB10F">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2、投标人在投标截止时间前应随时关注驻马店市公共资源交易系统电子平台发出的有关本工程的答疑、修改等相关内容。</w:t>
            </w:r>
          </w:p>
          <w:p w14:paraId="01CB6823">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3、因驻马店市公共资源交易中心在开标前具有保密性，投标人在投标文件递交截止时间前须自行查看项目进展、变更通知、澄清及回复，因投标人未及时查看而造成的后果自负。</w:t>
            </w:r>
          </w:p>
          <w:p w14:paraId="2D053C1A">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请投标人持编制投标文件的CA钥匙进行在线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6D461FDA">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5、交易系统中的投标函及投标函附录，请按照交易中心系统格式进行填写；投标文件中的投标函及投标函附录按照招标文件格式进行填写。</w:t>
            </w:r>
          </w:p>
          <w:p w14:paraId="41160D84">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招标过程中如果投标人或潜在投标人有质疑或投诉，需按照财政部94号令标准格式提交，由授权代表提出质疑的，授权代表须为投标人或潜在投标人单位正式员工（提供近期有效社保证明），否则招标人和代理公司不予回复。</w:t>
            </w:r>
          </w:p>
          <w:p w14:paraId="17ED059C">
            <w:pPr>
              <w:pStyle w:val="41"/>
              <w:ind w:left="0" w:leftChars="0" w:firstLine="200" w:firstLineChars="100"/>
              <w:rPr>
                <w:rFonts w:hint="eastAsia" w:ascii="宋体" w:hAnsi="宋体" w:cs="宋体"/>
                <w:color w:val="auto"/>
                <w:sz w:val="21"/>
                <w:szCs w:val="21"/>
                <w:highlight w:val="none"/>
                <w:lang w:val="en-US" w:eastAsia="zh-CN"/>
              </w:rPr>
            </w:pPr>
            <w:r>
              <w:rPr>
                <w:rFonts w:hint="eastAsia" w:ascii="宋体" w:hAnsi="宋体" w:cs="宋体"/>
                <w:color w:val="auto"/>
                <w:szCs w:val="21"/>
                <w:highlight w:val="none"/>
                <w:lang w:val="en-US" w:eastAsia="zh-CN"/>
              </w:rPr>
              <w:t>7、</w:t>
            </w:r>
            <w:bookmarkStart w:id="43" w:name="OLE_LINK4"/>
            <w:r>
              <w:rPr>
                <w:rFonts w:hint="eastAsia" w:ascii="宋体" w:hAnsi="宋体" w:cs="宋体"/>
                <w:color w:val="auto"/>
                <w:sz w:val="21"/>
                <w:szCs w:val="21"/>
                <w:highlight w:val="none"/>
                <w:lang w:val="en-US" w:eastAsia="zh-CN"/>
              </w:rPr>
              <w:t>招标文件对踏勘现场方面做出的条款，投标人须逐条做出承</w:t>
            </w:r>
            <w:r>
              <w:rPr>
                <w:rFonts w:hint="eastAsia" w:ascii="宋体" w:hAnsi="宋体" w:cs="宋体"/>
                <w:color w:val="auto"/>
                <w:sz w:val="2"/>
                <w:szCs w:val="2"/>
                <w:highlight w:val="none"/>
                <w:lang w:val="en-US" w:eastAsia="zh-CN"/>
              </w:rPr>
              <w:t xml:space="preserve"> </w:t>
            </w:r>
            <w:r>
              <w:rPr>
                <w:rFonts w:hint="eastAsia" w:ascii="宋体" w:hAnsi="宋体" w:cs="宋体"/>
                <w:color w:val="auto"/>
                <w:sz w:val="21"/>
                <w:szCs w:val="21"/>
                <w:highlight w:val="none"/>
                <w:lang w:val="en-US" w:eastAsia="zh-CN"/>
              </w:rPr>
              <w:t>诺。</w:t>
            </w:r>
            <w:bookmarkEnd w:id="43"/>
          </w:p>
          <w:p w14:paraId="1D191245">
            <w:pPr>
              <w:wordWrap w:val="0"/>
              <w:autoSpaceDE w:val="0"/>
              <w:autoSpaceDN w:val="0"/>
              <w:adjustRightInd w:val="0"/>
              <w:spacing w:line="360" w:lineRule="auto"/>
              <w:ind w:right="-34" w:rightChars="-16" w:firstLine="210" w:firstLineChars="100"/>
              <w:rPr>
                <w:rFonts w:hint="default"/>
                <w:color w:val="auto"/>
                <w:highlight w:val="none"/>
                <w:lang w:val="en-US"/>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招标代理服务费：</w:t>
            </w:r>
            <w:r>
              <w:rPr>
                <w:rFonts w:hint="eastAsia" w:ascii="宋体" w:hAnsi="宋体" w:cs="宋体"/>
                <w:color w:val="auto"/>
                <w:sz w:val="21"/>
                <w:szCs w:val="21"/>
                <w:highlight w:val="none"/>
                <w:lang w:val="en-US" w:eastAsia="zh-CN"/>
              </w:rPr>
              <w:t>参照</w:t>
            </w:r>
            <w:r>
              <w:rPr>
                <w:rFonts w:hint="eastAsia" w:ascii="宋体" w:hAnsi="宋体" w:eastAsia="宋体" w:cs="宋体"/>
                <w:color w:val="auto"/>
                <w:sz w:val="21"/>
                <w:szCs w:val="21"/>
                <w:highlight w:val="none"/>
                <w:lang w:val="en-US" w:eastAsia="zh-CN"/>
              </w:rPr>
              <w:t>《河南省招标代理服务收费指导意见》（豫招协[2023]002号）</w:t>
            </w:r>
            <w:r>
              <w:rPr>
                <w:rFonts w:hint="eastAsia" w:ascii="宋体" w:hAnsi="宋体" w:cs="宋体"/>
                <w:color w:val="auto"/>
                <w:sz w:val="21"/>
                <w:szCs w:val="21"/>
                <w:highlight w:val="none"/>
                <w:lang w:val="en-US" w:eastAsia="zh-CN"/>
              </w:rPr>
              <w:t>文件规定，以中标金额为计费基数</w:t>
            </w:r>
            <w:r>
              <w:rPr>
                <w:rFonts w:hint="eastAsia" w:ascii="宋体" w:hAnsi="宋体" w:eastAsia="宋体" w:cs="宋体"/>
                <w:color w:val="auto"/>
                <w:sz w:val="21"/>
                <w:szCs w:val="21"/>
                <w:highlight w:val="none"/>
                <w:lang w:val="en-US" w:eastAsia="zh-CN"/>
              </w:rPr>
              <w:t>，由中标人在领取中标通知书前向代理机构</w:t>
            </w:r>
            <w:r>
              <w:rPr>
                <w:rFonts w:hint="eastAsia" w:ascii="宋体" w:hAnsi="宋体" w:cs="宋体"/>
                <w:color w:val="auto"/>
                <w:sz w:val="21"/>
                <w:szCs w:val="21"/>
                <w:highlight w:val="none"/>
                <w:lang w:val="en-US" w:eastAsia="zh-CN"/>
              </w:rPr>
              <w:t>以转账的方式</w:t>
            </w:r>
            <w:r>
              <w:rPr>
                <w:rFonts w:hint="eastAsia" w:ascii="宋体" w:hAnsi="宋体" w:eastAsia="宋体" w:cs="宋体"/>
                <w:color w:val="auto"/>
                <w:sz w:val="21"/>
                <w:szCs w:val="21"/>
                <w:highlight w:val="none"/>
                <w:lang w:val="en-US" w:eastAsia="zh-CN"/>
              </w:rPr>
              <w:t>支付。</w:t>
            </w:r>
          </w:p>
        </w:tc>
      </w:tr>
    </w:tbl>
    <w:p w14:paraId="7EA83AD3">
      <w:pPr>
        <w:pStyle w:val="87"/>
        <w:wordWrap w:val="0"/>
        <w:spacing w:line="360" w:lineRule="auto"/>
        <w:ind w:right="-34" w:rightChars="-16"/>
        <w:outlineLvl w:val="0"/>
        <w:rPr>
          <w:rFonts w:hint="eastAsia" w:ascii="宋体" w:hAnsi="宋体" w:eastAsia="宋体" w:cs="宋体"/>
          <w:color w:val="auto"/>
          <w:sz w:val="28"/>
          <w:szCs w:val="28"/>
          <w:highlight w:val="none"/>
        </w:rPr>
      </w:pPr>
      <w:bookmarkStart w:id="44" w:name="_Toc228589136"/>
      <w:bookmarkStart w:id="45" w:name="_Toc227492217"/>
      <w:bookmarkStart w:id="46" w:name="_Toc227657460"/>
      <w:bookmarkStart w:id="47" w:name="_Toc272772547"/>
      <w:bookmarkStart w:id="48" w:name="_Toc13659"/>
      <w:bookmarkStart w:id="49" w:name="_Toc214433860"/>
      <w:bookmarkStart w:id="50" w:name="_Toc228881134"/>
      <w:bookmarkStart w:id="51" w:name="_Toc228591630"/>
      <w:bookmarkStart w:id="52" w:name="_Toc228337071"/>
      <w:bookmarkStart w:id="53" w:name="_Toc228591482"/>
    </w:p>
    <w:p w14:paraId="31C103FF">
      <w:pPr>
        <w:pStyle w:val="87"/>
        <w:wordWrap w:val="0"/>
        <w:spacing w:line="360" w:lineRule="auto"/>
        <w:ind w:right="-34" w:rightChars="-16"/>
        <w:outlineLvl w:val="0"/>
        <w:rPr>
          <w:rFonts w:hint="eastAsia" w:ascii="宋体" w:hAnsi="宋体" w:eastAsia="宋体" w:cs="宋体"/>
          <w:b/>
          <w:bCs/>
          <w:color w:val="auto"/>
          <w:sz w:val="21"/>
          <w:szCs w:val="21"/>
          <w:highlight w:val="none"/>
        </w:rPr>
      </w:pPr>
      <w:bookmarkStart w:id="54" w:name="_Toc30479"/>
      <w:r>
        <w:rPr>
          <w:rFonts w:hint="eastAsia" w:ascii="宋体" w:hAnsi="宋体" w:eastAsia="宋体" w:cs="宋体"/>
          <w:b/>
          <w:bCs/>
          <w:color w:val="auto"/>
          <w:sz w:val="21"/>
          <w:szCs w:val="21"/>
          <w:highlight w:val="none"/>
        </w:rPr>
        <w:t>1. 总则</w:t>
      </w:r>
      <w:bookmarkEnd w:id="44"/>
      <w:bookmarkEnd w:id="45"/>
      <w:bookmarkEnd w:id="46"/>
      <w:bookmarkEnd w:id="47"/>
      <w:bookmarkEnd w:id="48"/>
      <w:bookmarkEnd w:id="49"/>
      <w:bookmarkEnd w:id="50"/>
      <w:bookmarkEnd w:id="51"/>
      <w:bookmarkEnd w:id="52"/>
      <w:bookmarkEnd w:id="53"/>
      <w:bookmarkEnd w:id="54"/>
    </w:p>
    <w:p w14:paraId="17BF1A0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5" w:name="_Toc214433861"/>
      <w:bookmarkStart w:id="56" w:name="_Toc29436"/>
      <w:bookmarkStart w:id="57" w:name="_Toc227657461"/>
      <w:bookmarkStart w:id="58" w:name="_Toc228591631"/>
      <w:bookmarkStart w:id="59" w:name="_Toc227492218"/>
      <w:bookmarkStart w:id="60" w:name="_Toc228881135"/>
      <w:bookmarkStart w:id="61" w:name="_Toc272772548"/>
      <w:bookmarkStart w:id="62" w:name="_Toc228337072"/>
      <w:bookmarkStart w:id="63" w:name="_Toc228591483"/>
      <w:bookmarkStart w:id="64" w:name="_Toc24007"/>
      <w:bookmarkStart w:id="65" w:name="_Toc228589137"/>
      <w:r>
        <w:rPr>
          <w:rFonts w:hint="eastAsia" w:ascii="宋体" w:hAnsi="宋体" w:eastAsia="宋体" w:cs="宋体"/>
          <w:b/>
          <w:bCs/>
          <w:color w:val="auto"/>
          <w:kern w:val="0"/>
          <w:sz w:val="21"/>
          <w:szCs w:val="21"/>
          <w:highlight w:val="none"/>
        </w:rPr>
        <w:t>1.1 项目概况</w:t>
      </w:r>
      <w:bookmarkEnd w:id="55"/>
      <w:bookmarkEnd w:id="56"/>
      <w:bookmarkEnd w:id="57"/>
      <w:bookmarkEnd w:id="58"/>
      <w:bookmarkEnd w:id="59"/>
      <w:bookmarkEnd w:id="60"/>
      <w:bookmarkEnd w:id="61"/>
      <w:bookmarkEnd w:id="62"/>
      <w:bookmarkEnd w:id="63"/>
      <w:bookmarkEnd w:id="64"/>
      <w:bookmarkEnd w:id="65"/>
    </w:p>
    <w:p w14:paraId="685F09B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 根据《中华人民共和国招标投标法》、《中华人民共和国招标投标法实施条例》等有关法律、法规和规章的规定，本招标项目已具备招标条件，现对本项目施工标段进行公开招标。</w:t>
      </w:r>
    </w:p>
    <w:p w14:paraId="65027F9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 本项目招标人：见投标人须知前附表。</w:t>
      </w:r>
    </w:p>
    <w:p w14:paraId="51EE32A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 本项目招标代理机构：见投标人须知前附表。</w:t>
      </w:r>
    </w:p>
    <w:p w14:paraId="6CA21BE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1.1.4 本招标工程名称：见投标人须知前附表。</w:t>
      </w:r>
    </w:p>
    <w:p w14:paraId="2F08BF5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 本项目建设地点：见投标人须知前附表。</w:t>
      </w:r>
    </w:p>
    <w:p w14:paraId="4778BA40">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1.1.6本项目建设规模：见投标人须知前附表。</w:t>
      </w:r>
    </w:p>
    <w:p w14:paraId="1ACEC8C7">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6" w:name="_Toc228881136"/>
      <w:bookmarkStart w:id="67" w:name="_Toc227492219"/>
      <w:bookmarkStart w:id="68" w:name="_Toc228591484"/>
      <w:bookmarkStart w:id="69" w:name="_Toc272772549"/>
      <w:bookmarkStart w:id="70" w:name="_Toc214433862"/>
      <w:bookmarkStart w:id="71" w:name="_Toc228589138"/>
      <w:bookmarkStart w:id="72" w:name="_Toc23594"/>
      <w:bookmarkStart w:id="73" w:name="_Toc228337073"/>
      <w:bookmarkStart w:id="74" w:name="_Toc227657462"/>
      <w:bookmarkStart w:id="75" w:name="_Toc228591632"/>
      <w:bookmarkStart w:id="76" w:name="_Toc25197"/>
      <w:r>
        <w:rPr>
          <w:rFonts w:hint="eastAsia" w:ascii="宋体" w:hAnsi="宋体" w:eastAsia="宋体" w:cs="宋体"/>
          <w:b/>
          <w:bCs/>
          <w:color w:val="auto"/>
          <w:kern w:val="0"/>
          <w:sz w:val="21"/>
          <w:szCs w:val="21"/>
          <w:highlight w:val="none"/>
        </w:rPr>
        <w:t>1.2 资金来源和落实情况</w:t>
      </w:r>
      <w:bookmarkEnd w:id="66"/>
      <w:bookmarkEnd w:id="67"/>
      <w:bookmarkEnd w:id="68"/>
      <w:bookmarkEnd w:id="69"/>
      <w:bookmarkEnd w:id="70"/>
      <w:bookmarkEnd w:id="71"/>
      <w:bookmarkEnd w:id="72"/>
      <w:bookmarkEnd w:id="73"/>
      <w:bookmarkEnd w:id="74"/>
      <w:bookmarkEnd w:id="75"/>
      <w:bookmarkEnd w:id="76"/>
    </w:p>
    <w:p w14:paraId="6FC2D3C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 本招标项目的资金来源：见投标人须知前附表。</w:t>
      </w:r>
    </w:p>
    <w:p w14:paraId="2E02B620">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1.2.2 本招标项目的资金落实情况：见投标人须知前附表。</w:t>
      </w:r>
    </w:p>
    <w:p w14:paraId="1D2D676C">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77" w:name="_Toc228881137"/>
      <w:bookmarkStart w:id="78" w:name="_Toc228589139"/>
      <w:bookmarkStart w:id="79" w:name="_Toc228591485"/>
      <w:bookmarkStart w:id="80" w:name="_Toc227492220"/>
      <w:bookmarkStart w:id="81" w:name="_Toc227657463"/>
      <w:bookmarkStart w:id="82" w:name="_Toc272772550"/>
      <w:bookmarkStart w:id="83" w:name="_Toc228337074"/>
      <w:bookmarkStart w:id="84" w:name="_Toc214433863"/>
      <w:bookmarkStart w:id="85" w:name="_Toc228591633"/>
      <w:bookmarkStart w:id="86" w:name="_Toc350"/>
      <w:bookmarkStart w:id="87" w:name="_Toc9282"/>
      <w:r>
        <w:rPr>
          <w:rFonts w:hint="eastAsia" w:ascii="宋体" w:hAnsi="宋体" w:eastAsia="宋体" w:cs="宋体"/>
          <w:b/>
          <w:bCs/>
          <w:color w:val="auto"/>
          <w:kern w:val="0"/>
          <w:sz w:val="21"/>
          <w:szCs w:val="21"/>
          <w:highlight w:val="none"/>
        </w:rPr>
        <w:t>1.3 招标范围、计划工期和质量</w:t>
      </w:r>
      <w:bookmarkEnd w:id="77"/>
      <w:bookmarkEnd w:id="78"/>
      <w:bookmarkEnd w:id="79"/>
      <w:bookmarkEnd w:id="80"/>
      <w:bookmarkEnd w:id="81"/>
      <w:bookmarkEnd w:id="82"/>
      <w:bookmarkEnd w:id="83"/>
      <w:bookmarkEnd w:id="84"/>
      <w:bookmarkEnd w:id="85"/>
      <w:r>
        <w:rPr>
          <w:rFonts w:hint="eastAsia" w:ascii="宋体" w:hAnsi="宋体" w:eastAsia="宋体" w:cs="宋体"/>
          <w:b/>
          <w:bCs/>
          <w:color w:val="auto"/>
          <w:kern w:val="0"/>
          <w:sz w:val="21"/>
          <w:szCs w:val="21"/>
          <w:highlight w:val="none"/>
        </w:rPr>
        <w:t>标准</w:t>
      </w:r>
      <w:bookmarkEnd w:id="86"/>
      <w:bookmarkEnd w:id="87"/>
    </w:p>
    <w:p w14:paraId="0EA1212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1.3.1 本次招标范围：见投标人须知前附表。</w:t>
      </w:r>
    </w:p>
    <w:p w14:paraId="472CDB4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 本项目的计划工期：见投标人须知前附表。</w:t>
      </w:r>
    </w:p>
    <w:p w14:paraId="67EAF0E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 本项目的质量标准：见投标人须知前附表。</w:t>
      </w:r>
    </w:p>
    <w:p w14:paraId="5914165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1.3.4 本项目标段划分：见投标人须知前附表。</w:t>
      </w:r>
    </w:p>
    <w:p w14:paraId="3D1FA22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88" w:name="_Toc152045533"/>
      <w:bookmarkStart w:id="89" w:name="_Toc326853468"/>
      <w:bookmarkStart w:id="90" w:name="_Toc152042309"/>
      <w:bookmarkStart w:id="91" w:name="_Toc144974501"/>
      <w:bookmarkStart w:id="92" w:name="_Toc22510"/>
      <w:r>
        <w:rPr>
          <w:rFonts w:hint="eastAsia" w:ascii="宋体" w:hAnsi="宋体" w:eastAsia="宋体" w:cs="宋体"/>
          <w:b/>
          <w:bCs/>
          <w:color w:val="auto"/>
          <w:kern w:val="0"/>
          <w:sz w:val="21"/>
          <w:szCs w:val="21"/>
          <w:highlight w:val="none"/>
        </w:rPr>
        <w:t>1.4 投标人资格要求（适用于已进行资格预审的）</w:t>
      </w:r>
      <w:bookmarkEnd w:id="88"/>
      <w:bookmarkEnd w:id="89"/>
      <w:bookmarkEnd w:id="90"/>
      <w:bookmarkEnd w:id="91"/>
      <w:bookmarkEnd w:id="92"/>
    </w:p>
    <w:p w14:paraId="05726D9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投标人应是收到招标人发出投标邀请书的单位。</w:t>
      </w:r>
    </w:p>
    <w:p w14:paraId="0AC64D72">
      <w:pPr>
        <w:wordWrap w:val="0"/>
        <w:autoSpaceDE w:val="0"/>
        <w:autoSpaceDN w:val="0"/>
        <w:adjustRightInd w:val="0"/>
        <w:spacing w:line="360" w:lineRule="auto"/>
        <w:ind w:right="-34" w:rightChars="-16"/>
        <w:jc w:val="left"/>
        <w:outlineLvl w:val="0"/>
        <w:rPr>
          <w:rFonts w:hint="eastAsia" w:ascii="宋体" w:hAnsi="宋体" w:eastAsia="宋体" w:cs="宋体"/>
          <w:b/>
          <w:bCs/>
          <w:color w:val="auto"/>
          <w:sz w:val="21"/>
          <w:szCs w:val="21"/>
          <w:highlight w:val="none"/>
        </w:rPr>
      </w:pPr>
      <w:bookmarkStart w:id="93" w:name="_Toc272772551"/>
      <w:bookmarkStart w:id="94" w:name="_Toc2187"/>
      <w:bookmarkStart w:id="95" w:name="_Toc17318"/>
      <w:r>
        <w:rPr>
          <w:rFonts w:hint="eastAsia" w:ascii="宋体" w:hAnsi="宋体" w:eastAsia="宋体" w:cs="宋体"/>
          <w:b/>
          <w:bCs/>
          <w:color w:val="auto"/>
          <w:kern w:val="0"/>
          <w:sz w:val="21"/>
          <w:szCs w:val="21"/>
          <w:highlight w:val="none"/>
        </w:rPr>
        <w:t>1.4 投标人资格要求</w:t>
      </w:r>
      <w:bookmarkEnd w:id="93"/>
      <w:r>
        <w:rPr>
          <w:rFonts w:hint="eastAsia" w:ascii="宋体" w:hAnsi="宋体" w:eastAsia="宋体" w:cs="宋体"/>
          <w:b/>
          <w:bCs/>
          <w:color w:val="auto"/>
          <w:sz w:val="21"/>
          <w:szCs w:val="21"/>
          <w:highlight w:val="none"/>
        </w:rPr>
        <w:t>（适用于未进行资格预审的）</w:t>
      </w:r>
      <w:bookmarkEnd w:id="94"/>
      <w:bookmarkEnd w:id="95"/>
    </w:p>
    <w:p w14:paraId="0DE10039">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1"/>
          <w:szCs w:val="21"/>
          <w:highlight w:val="none"/>
        </w:rPr>
      </w:pPr>
      <w:bookmarkStart w:id="96" w:name="_Toc499892739"/>
      <w:bookmarkStart w:id="97" w:name="_Toc499891543"/>
      <w:bookmarkStart w:id="98" w:name="_Toc500577592"/>
      <w:bookmarkStart w:id="99" w:name="_Toc31272"/>
      <w:bookmarkStart w:id="100" w:name="_Toc22341"/>
      <w:bookmarkStart w:id="101" w:name="_Toc500865783"/>
      <w:r>
        <w:rPr>
          <w:rFonts w:hint="eastAsia" w:ascii="宋体" w:hAnsi="宋体" w:eastAsia="宋体" w:cs="宋体"/>
          <w:color w:val="auto"/>
          <w:kern w:val="0"/>
          <w:sz w:val="21"/>
          <w:szCs w:val="21"/>
          <w:highlight w:val="none"/>
        </w:rPr>
        <w:t>1.4.1 投标人应具备承担本项目施工的资质条件、能力和信誉。</w:t>
      </w:r>
      <w:bookmarkEnd w:id="96"/>
      <w:bookmarkEnd w:id="97"/>
      <w:bookmarkEnd w:id="98"/>
      <w:bookmarkEnd w:id="99"/>
      <w:bookmarkEnd w:id="100"/>
      <w:bookmarkEnd w:id="101"/>
    </w:p>
    <w:p w14:paraId="529A31AF">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(l）企业资质要求：见投标人须知前附表；</w:t>
      </w:r>
    </w:p>
    <w:p w14:paraId="12318A26">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(2）项目经理要求：见投标人须知前附表；</w:t>
      </w:r>
    </w:p>
    <w:p w14:paraId="52CE7444">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（3）技术负责人要求：见投标人须知前附表；</w:t>
      </w:r>
    </w:p>
    <w:p w14:paraId="67546CBD">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(4）财务要求：见投标人须知前附表；</w:t>
      </w:r>
    </w:p>
    <w:p w14:paraId="014237EF">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(5）信誉要求：见投标人须知前附表。</w:t>
      </w:r>
    </w:p>
    <w:p w14:paraId="0C6FE9A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（6）其他要求：见投标人须知前附表。</w:t>
      </w:r>
    </w:p>
    <w:p w14:paraId="2901C8E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1.4.2是否接受联合体投标：见投标人须知前附表规定。</w:t>
      </w:r>
    </w:p>
    <w:p w14:paraId="1DCAFA38">
      <w:pPr>
        <w:wordWrap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投标人须知前附表规定接受联合体投标的，除应符合本章第1.4.1项和投标人须知前附表的要求外，还应遵守以下规定： </w:t>
      </w:r>
    </w:p>
    <w:p w14:paraId="2C4B6EFA">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w:t>
      </w:r>
    </w:p>
    <w:p w14:paraId="67E4C9F3">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7ADF963C">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（3）联合体各方不得再以自己名义单独或参加其他联合体在同一标段中投标。</w:t>
      </w:r>
    </w:p>
    <w:p w14:paraId="0D3150B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1.4.3 投标人不得存在下列情形之一：</w:t>
      </w:r>
    </w:p>
    <w:p w14:paraId="529E2107">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（1）为招标人不具有独立法人资格的附属机构（单位）；</w:t>
      </w:r>
    </w:p>
    <w:p w14:paraId="56FDE0F5">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（2）与招标人存在利害关系且可能影响招标公正性；</w:t>
      </w:r>
    </w:p>
    <w:p w14:paraId="212A31EE">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（3）与本招标项目的其他投标人为同一单位负责人；</w:t>
      </w:r>
    </w:p>
    <w:p w14:paraId="0DC936A0">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（4）与本招标项目的其他投标人存在控股、管理关系；</w:t>
      </w:r>
    </w:p>
    <w:p w14:paraId="3DAE8C87">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（5）为本项目前期准备提供设计、编制技术规范或其他文件的咨询服务，但设计施工总承包的除外；</w:t>
      </w:r>
    </w:p>
    <w:p w14:paraId="33F34BB3">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（6）为本项目的监理人；</w:t>
      </w:r>
    </w:p>
    <w:p w14:paraId="726F1827">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（7）为本项目的代建人；</w:t>
      </w:r>
    </w:p>
    <w:p w14:paraId="1E0DAEDD">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（8）为本项目提供招标代理服务的；</w:t>
      </w:r>
    </w:p>
    <w:p w14:paraId="5AB4215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（9）与本项目的监理人或代建人或招标代理机构同为一个法定代表人的；</w:t>
      </w:r>
    </w:p>
    <w:p w14:paraId="2F656214">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（10）与本项目的监理人或代建人或招标代理机构相互控股或参股的；</w:t>
      </w:r>
    </w:p>
    <w:p w14:paraId="065710E1">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（11）与本项目的监理人或代建人或招标代理机构相互任职或工作的；</w:t>
      </w:r>
    </w:p>
    <w:p w14:paraId="70F40FA7">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（12）被责令停业、暂扣或者吊销许可证、暂扣或者吊销营业执照的；</w:t>
      </w:r>
    </w:p>
    <w:p w14:paraId="617D7DE0">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（13）被依法暂停或取消投标资格的；</w:t>
      </w:r>
    </w:p>
    <w:p w14:paraId="0740A23C">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（14）进入清算程序，或被宣告破产，或其他丧失履约能力的情形；</w:t>
      </w:r>
    </w:p>
    <w:p w14:paraId="7FE1D847">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（15）在最近三年内有骗取中标或严重违约或重大工程质量安全问题的。</w:t>
      </w:r>
    </w:p>
    <w:p w14:paraId="6FBD40EC">
      <w:pPr>
        <w:wordWrap w:val="0"/>
        <w:autoSpaceDE w:val="0"/>
        <w:autoSpaceDN w:val="0"/>
        <w:adjustRightInd w:val="0"/>
        <w:spacing w:line="360" w:lineRule="auto"/>
        <w:ind w:left="141" w:leftChars="67"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（16）被最高人民法院在“信用中国”网站（www.creditchina.gov.cn）或各级信用信息共享平台中列入失信被执行人名单；</w:t>
      </w:r>
    </w:p>
    <w:p w14:paraId="2AE79490">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（17）法律法规或投标人须知前附表规定的其他情形。</w:t>
      </w:r>
    </w:p>
    <w:p w14:paraId="05042E7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02" w:name="_Toc228591487"/>
      <w:bookmarkStart w:id="103" w:name="_Toc227657465"/>
      <w:bookmarkStart w:id="104" w:name="_Toc25989"/>
      <w:bookmarkStart w:id="105" w:name="_Toc228591635"/>
      <w:bookmarkStart w:id="106" w:name="_Toc228881139"/>
      <w:bookmarkStart w:id="107" w:name="_Toc227492222"/>
      <w:bookmarkStart w:id="108" w:name="_Toc228589141"/>
      <w:bookmarkStart w:id="109" w:name="_Toc228337076"/>
      <w:bookmarkStart w:id="110" w:name="_Toc272772552"/>
      <w:bookmarkStart w:id="111" w:name="_Toc1866"/>
      <w:bookmarkStart w:id="112" w:name="_Toc214433865"/>
      <w:r>
        <w:rPr>
          <w:rFonts w:hint="eastAsia" w:ascii="宋体" w:hAnsi="宋体" w:eastAsia="宋体" w:cs="宋体"/>
          <w:b/>
          <w:bCs/>
          <w:color w:val="auto"/>
          <w:kern w:val="0"/>
          <w:sz w:val="21"/>
          <w:szCs w:val="21"/>
          <w:highlight w:val="none"/>
        </w:rPr>
        <w:t>1.5 费用承担</w:t>
      </w:r>
      <w:bookmarkEnd w:id="102"/>
      <w:bookmarkEnd w:id="103"/>
      <w:bookmarkEnd w:id="104"/>
      <w:bookmarkEnd w:id="105"/>
      <w:bookmarkEnd w:id="106"/>
      <w:bookmarkEnd w:id="107"/>
      <w:bookmarkEnd w:id="108"/>
      <w:bookmarkEnd w:id="109"/>
      <w:bookmarkEnd w:id="110"/>
      <w:bookmarkEnd w:id="111"/>
      <w:bookmarkEnd w:id="112"/>
    </w:p>
    <w:p w14:paraId="22FE214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投标人准备和参加投标活动发生的费用自理。</w:t>
      </w:r>
    </w:p>
    <w:p w14:paraId="1899D57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13" w:name="_Toc272772553"/>
      <w:bookmarkStart w:id="114" w:name="_Toc20464"/>
      <w:bookmarkStart w:id="115" w:name="_Toc18810"/>
      <w:bookmarkStart w:id="116" w:name="_Toc228591636"/>
      <w:bookmarkStart w:id="117" w:name="_Toc227657466"/>
      <w:bookmarkStart w:id="118" w:name="_Toc228337077"/>
      <w:bookmarkStart w:id="119" w:name="_Toc228591488"/>
      <w:bookmarkStart w:id="120" w:name="_Toc228881140"/>
      <w:bookmarkStart w:id="121" w:name="_Toc228589142"/>
      <w:bookmarkStart w:id="122" w:name="_Toc214433866"/>
      <w:bookmarkStart w:id="123" w:name="_Toc227492223"/>
      <w:r>
        <w:rPr>
          <w:rFonts w:hint="eastAsia" w:ascii="宋体" w:hAnsi="宋体" w:eastAsia="宋体" w:cs="宋体"/>
          <w:b/>
          <w:bCs/>
          <w:color w:val="auto"/>
          <w:kern w:val="0"/>
          <w:sz w:val="21"/>
          <w:szCs w:val="21"/>
          <w:highlight w:val="none"/>
        </w:rPr>
        <w:t>1.6 保密</w:t>
      </w:r>
      <w:bookmarkEnd w:id="113"/>
      <w:bookmarkEnd w:id="114"/>
      <w:bookmarkEnd w:id="115"/>
      <w:bookmarkEnd w:id="116"/>
      <w:bookmarkEnd w:id="117"/>
      <w:bookmarkEnd w:id="118"/>
      <w:bookmarkEnd w:id="119"/>
      <w:bookmarkEnd w:id="120"/>
      <w:bookmarkEnd w:id="121"/>
      <w:bookmarkEnd w:id="122"/>
      <w:bookmarkEnd w:id="123"/>
    </w:p>
    <w:p w14:paraId="2DB8BE3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参与招标投标活动的各方应对招标文件和投标文件中的商业和技术等秘密保密，违者应对由此造成的后果承担法律责任。</w:t>
      </w:r>
    </w:p>
    <w:p w14:paraId="6624B78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24" w:name="_Toc228591637"/>
      <w:bookmarkStart w:id="125" w:name="_Toc228881141"/>
      <w:bookmarkStart w:id="126" w:name="_Toc214433867"/>
      <w:bookmarkStart w:id="127" w:name="_Toc228591489"/>
      <w:bookmarkStart w:id="128" w:name="_Toc22494"/>
      <w:bookmarkStart w:id="129" w:name="_Toc272772554"/>
      <w:bookmarkStart w:id="130" w:name="_Toc227492224"/>
      <w:bookmarkStart w:id="131" w:name="_Toc16280"/>
      <w:bookmarkStart w:id="132" w:name="_Toc227657467"/>
      <w:bookmarkStart w:id="133" w:name="_Toc228337078"/>
      <w:bookmarkStart w:id="134" w:name="_Toc228589143"/>
      <w:r>
        <w:rPr>
          <w:rFonts w:hint="eastAsia" w:ascii="宋体" w:hAnsi="宋体" w:eastAsia="宋体" w:cs="宋体"/>
          <w:b/>
          <w:bCs/>
          <w:color w:val="auto"/>
          <w:kern w:val="0"/>
          <w:sz w:val="21"/>
          <w:szCs w:val="21"/>
          <w:highlight w:val="none"/>
        </w:rPr>
        <w:t>1.7 语言文字</w:t>
      </w:r>
      <w:bookmarkEnd w:id="124"/>
      <w:bookmarkEnd w:id="125"/>
      <w:bookmarkEnd w:id="126"/>
      <w:bookmarkEnd w:id="127"/>
      <w:bookmarkEnd w:id="128"/>
      <w:bookmarkEnd w:id="129"/>
      <w:bookmarkEnd w:id="130"/>
      <w:bookmarkEnd w:id="131"/>
      <w:bookmarkEnd w:id="132"/>
      <w:bookmarkEnd w:id="133"/>
      <w:bookmarkEnd w:id="134"/>
    </w:p>
    <w:p w14:paraId="65056AC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除专用术语外，与招标投标有关的语言均使用中文。必要时专用术语应附有中文注释。</w:t>
      </w:r>
    </w:p>
    <w:p w14:paraId="4072342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35" w:name="_Toc227657468"/>
      <w:bookmarkStart w:id="136" w:name="_Toc228881142"/>
      <w:bookmarkStart w:id="137" w:name="_Toc214433868"/>
      <w:bookmarkStart w:id="138" w:name="_Toc227492225"/>
      <w:bookmarkStart w:id="139" w:name="_Toc228337079"/>
      <w:bookmarkStart w:id="140" w:name="_Toc228591490"/>
      <w:bookmarkStart w:id="141" w:name="_Toc2761"/>
      <w:bookmarkStart w:id="142" w:name="_Toc1685"/>
      <w:bookmarkStart w:id="143" w:name="_Toc228589144"/>
      <w:bookmarkStart w:id="144" w:name="_Toc228591638"/>
      <w:bookmarkStart w:id="145" w:name="_Toc272772555"/>
      <w:r>
        <w:rPr>
          <w:rFonts w:hint="eastAsia" w:ascii="宋体" w:hAnsi="宋体" w:eastAsia="宋体" w:cs="宋体"/>
          <w:b/>
          <w:bCs/>
          <w:color w:val="auto"/>
          <w:kern w:val="0"/>
          <w:sz w:val="21"/>
          <w:szCs w:val="21"/>
          <w:highlight w:val="none"/>
        </w:rPr>
        <w:t>1.8 计量单位</w:t>
      </w:r>
      <w:bookmarkEnd w:id="135"/>
      <w:bookmarkEnd w:id="136"/>
      <w:bookmarkEnd w:id="137"/>
      <w:bookmarkEnd w:id="138"/>
      <w:bookmarkEnd w:id="139"/>
      <w:bookmarkEnd w:id="140"/>
      <w:bookmarkEnd w:id="141"/>
      <w:bookmarkEnd w:id="142"/>
      <w:bookmarkEnd w:id="143"/>
      <w:bookmarkEnd w:id="144"/>
      <w:bookmarkEnd w:id="145"/>
    </w:p>
    <w:p w14:paraId="10AC758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所有计量均采用中华人民共和国法定计量单位。</w:t>
      </w:r>
    </w:p>
    <w:p w14:paraId="0DF8850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46" w:name="_Toc18351"/>
      <w:bookmarkStart w:id="147" w:name="_Toc240"/>
      <w:bookmarkStart w:id="148" w:name="_Toc227492226"/>
      <w:bookmarkStart w:id="149" w:name="_Toc227657469"/>
      <w:bookmarkStart w:id="150" w:name="_Toc228881143"/>
      <w:bookmarkStart w:id="151" w:name="_Toc228591639"/>
      <w:bookmarkStart w:id="152" w:name="_Toc228591491"/>
      <w:bookmarkStart w:id="153" w:name="_Toc214433869"/>
      <w:bookmarkStart w:id="154" w:name="_Toc272772556"/>
      <w:bookmarkStart w:id="155" w:name="_Toc228589145"/>
      <w:bookmarkStart w:id="156" w:name="_Toc228337080"/>
      <w:r>
        <w:rPr>
          <w:rFonts w:hint="eastAsia" w:ascii="宋体" w:hAnsi="宋体" w:eastAsia="宋体" w:cs="宋体"/>
          <w:b/>
          <w:bCs/>
          <w:color w:val="auto"/>
          <w:kern w:val="0"/>
          <w:sz w:val="21"/>
          <w:szCs w:val="21"/>
          <w:highlight w:val="none"/>
        </w:rPr>
        <w:t>1.9 踏勘现场</w:t>
      </w:r>
      <w:bookmarkEnd w:id="146"/>
      <w:bookmarkEnd w:id="147"/>
      <w:bookmarkEnd w:id="148"/>
      <w:bookmarkEnd w:id="149"/>
      <w:bookmarkEnd w:id="150"/>
      <w:bookmarkEnd w:id="151"/>
      <w:bookmarkEnd w:id="152"/>
      <w:bookmarkEnd w:id="153"/>
      <w:bookmarkEnd w:id="154"/>
      <w:bookmarkEnd w:id="155"/>
      <w:bookmarkEnd w:id="156"/>
    </w:p>
    <w:p w14:paraId="43B1C11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1.9.1 投标人须知前附表规定不组织踏勘现场。由投标人自行组织现场踏勘，发生费用自理。</w:t>
      </w:r>
    </w:p>
    <w:p w14:paraId="79F4238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1.9.2 投标人踏勘现场发生的费用自理。</w:t>
      </w:r>
    </w:p>
    <w:p w14:paraId="12781FC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1.9.3 除招标人的原因外，投标人自行负责在踏勘现场中所发生的人员伤亡和财产损失。</w:t>
      </w:r>
    </w:p>
    <w:p w14:paraId="7BCD3D3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1.9.4 招标人在踏勘现场中介绍的工程场地和相关的周边环境情况，供投标人在编制投标文件时参考，招标人不对投标人据此作出的判断和决策负责。</w:t>
      </w:r>
    </w:p>
    <w:p w14:paraId="1D1BB65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57" w:name="_Toc272772557"/>
      <w:bookmarkStart w:id="158" w:name="_Toc31328"/>
      <w:bookmarkStart w:id="159" w:name="_Toc228589146"/>
      <w:bookmarkStart w:id="160" w:name="_Toc228337081"/>
      <w:bookmarkStart w:id="161" w:name="_Toc228591640"/>
      <w:bookmarkStart w:id="162" w:name="_Toc228881144"/>
      <w:bookmarkStart w:id="163" w:name="_Toc227492227"/>
      <w:bookmarkStart w:id="164" w:name="_Toc214433870"/>
      <w:bookmarkStart w:id="165" w:name="_Toc228591492"/>
      <w:bookmarkStart w:id="166" w:name="_Toc227657470"/>
      <w:bookmarkStart w:id="167" w:name="_Toc13880"/>
      <w:r>
        <w:rPr>
          <w:rFonts w:hint="eastAsia" w:ascii="宋体" w:hAnsi="宋体" w:eastAsia="宋体" w:cs="宋体"/>
          <w:b/>
          <w:bCs/>
          <w:color w:val="auto"/>
          <w:kern w:val="0"/>
          <w:sz w:val="21"/>
          <w:szCs w:val="21"/>
          <w:highlight w:val="none"/>
        </w:rPr>
        <w:t>1.10 投标预备会</w:t>
      </w:r>
      <w:bookmarkEnd w:id="157"/>
      <w:bookmarkEnd w:id="158"/>
      <w:bookmarkEnd w:id="159"/>
      <w:bookmarkEnd w:id="160"/>
      <w:bookmarkEnd w:id="161"/>
      <w:bookmarkEnd w:id="162"/>
      <w:bookmarkEnd w:id="163"/>
      <w:bookmarkEnd w:id="164"/>
      <w:bookmarkEnd w:id="165"/>
      <w:bookmarkEnd w:id="166"/>
      <w:bookmarkEnd w:id="167"/>
    </w:p>
    <w:p w14:paraId="2804ABE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1.10.1 投标人是否召开投标预备会：见投标人须知前附表规定。</w:t>
      </w:r>
    </w:p>
    <w:p w14:paraId="3B11770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投标单位在收到招标文件三日内，如有疑问登录交易平台向招标单位和招标代理机构提问，招标单位及招标代理机构审查后认为如有必要答疑，会将答疑纪要在交易平台公布。</w:t>
      </w:r>
    </w:p>
    <w:p w14:paraId="7D1C338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68" w:name="_Toc214433871"/>
      <w:bookmarkStart w:id="169" w:name="_Toc228881145"/>
      <w:bookmarkStart w:id="170" w:name="_Toc272772558"/>
      <w:bookmarkStart w:id="171" w:name="_Toc228337082"/>
      <w:bookmarkStart w:id="172" w:name="_Toc228591641"/>
      <w:bookmarkStart w:id="173" w:name="_Toc6079"/>
      <w:bookmarkStart w:id="174" w:name="_Toc227492228"/>
      <w:bookmarkStart w:id="175" w:name="_Toc228589147"/>
      <w:bookmarkStart w:id="176" w:name="_Toc228591493"/>
      <w:bookmarkStart w:id="177" w:name="_Toc227657471"/>
      <w:bookmarkStart w:id="178" w:name="_Toc16858"/>
      <w:r>
        <w:rPr>
          <w:rFonts w:hint="eastAsia" w:ascii="宋体" w:hAnsi="宋体" w:eastAsia="宋体" w:cs="宋体"/>
          <w:b/>
          <w:bCs/>
          <w:color w:val="auto"/>
          <w:kern w:val="0"/>
          <w:sz w:val="21"/>
          <w:szCs w:val="21"/>
          <w:highlight w:val="none"/>
        </w:rPr>
        <w:t>1.11 分包</w:t>
      </w:r>
      <w:bookmarkEnd w:id="168"/>
      <w:bookmarkEnd w:id="169"/>
      <w:bookmarkEnd w:id="170"/>
      <w:bookmarkEnd w:id="171"/>
      <w:bookmarkEnd w:id="172"/>
      <w:bookmarkEnd w:id="173"/>
      <w:bookmarkEnd w:id="174"/>
      <w:bookmarkEnd w:id="175"/>
      <w:bookmarkEnd w:id="176"/>
      <w:bookmarkEnd w:id="177"/>
      <w:bookmarkEnd w:id="178"/>
    </w:p>
    <w:p w14:paraId="10382F7A">
      <w:pPr>
        <w:wordWrap w:val="0"/>
        <w:autoSpaceDE w:val="0"/>
        <w:autoSpaceDN w:val="0"/>
        <w:adjustRightInd w:val="0"/>
        <w:spacing w:line="360" w:lineRule="auto"/>
        <w:ind w:right="-34" w:rightChars="-16" w:firstLine="525" w:firstLineChars="250"/>
        <w:jc w:val="left"/>
        <w:outlineLvl w:val="0"/>
        <w:rPr>
          <w:rFonts w:hint="eastAsia" w:ascii="宋体" w:hAnsi="宋体" w:eastAsia="宋体" w:cs="宋体"/>
          <w:color w:val="auto"/>
          <w:kern w:val="0"/>
          <w:sz w:val="21"/>
          <w:szCs w:val="21"/>
          <w:highlight w:val="none"/>
        </w:rPr>
      </w:pPr>
      <w:bookmarkStart w:id="179" w:name="_Toc453573264"/>
      <w:bookmarkStart w:id="180" w:name="_Toc454031527"/>
      <w:bookmarkStart w:id="181" w:name="_Toc1144"/>
      <w:bookmarkStart w:id="182" w:name="_Toc368902779"/>
      <w:bookmarkStart w:id="183" w:name="_Toc369620533"/>
      <w:bookmarkStart w:id="184" w:name="_Toc10664"/>
      <w:bookmarkStart w:id="185" w:name="_Toc500865791"/>
      <w:bookmarkStart w:id="186" w:name="_Toc499892747"/>
      <w:bookmarkStart w:id="187" w:name="_Toc6396"/>
      <w:bookmarkStart w:id="188" w:name="_Toc418520737"/>
      <w:bookmarkStart w:id="189" w:name="_Toc436583848"/>
      <w:bookmarkStart w:id="190" w:name="_Toc463776533"/>
      <w:bookmarkStart w:id="191" w:name="_Toc372286490"/>
      <w:bookmarkStart w:id="192" w:name="_Toc228589148"/>
      <w:bookmarkStart w:id="193" w:name="_Toc228591494"/>
      <w:bookmarkStart w:id="194" w:name="_Toc228881146"/>
      <w:bookmarkStart w:id="195" w:name="_Toc228337083"/>
      <w:bookmarkStart w:id="196" w:name="_Toc227492229"/>
      <w:bookmarkStart w:id="197" w:name="_Toc272772559"/>
      <w:bookmarkStart w:id="198" w:name="_Toc227657472"/>
      <w:bookmarkStart w:id="199" w:name="_Toc228591642"/>
      <w:bookmarkStart w:id="200" w:name="_Toc214433872"/>
      <w:r>
        <w:rPr>
          <w:rFonts w:hint="eastAsia" w:ascii="宋体" w:hAnsi="宋体" w:eastAsia="宋体" w:cs="宋体"/>
          <w:color w:val="auto"/>
          <w:kern w:val="0"/>
          <w:sz w:val="21"/>
          <w:szCs w:val="21"/>
          <w:highlight w:val="none"/>
        </w:rPr>
        <w:t>本项目是否允许分包及允许分包的具体要求：见投标人须知前附表。</w:t>
      </w:r>
      <w:bookmarkEnd w:id="179"/>
      <w:bookmarkEnd w:id="180"/>
      <w:bookmarkEnd w:id="181"/>
      <w:bookmarkEnd w:id="182"/>
      <w:bookmarkEnd w:id="183"/>
      <w:bookmarkEnd w:id="184"/>
      <w:bookmarkEnd w:id="185"/>
      <w:bookmarkEnd w:id="186"/>
      <w:bookmarkEnd w:id="187"/>
      <w:bookmarkEnd w:id="188"/>
      <w:bookmarkEnd w:id="189"/>
      <w:bookmarkEnd w:id="190"/>
      <w:bookmarkEnd w:id="191"/>
    </w:p>
    <w:p w14:paraId="71631838">
      <w:pPr>
        <w:wordWrap w:val="0"/>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招标人允许分包的，投标人拟在中标后将中标项目的部分非主体、非关键性工作进行分包的，应符合投标人须知前附表规定的分包内容、分包金额和接受分包的第三人资质要求等限制性条件。</w:t>
      </w:r>
    </w:p>
    <w:p w14:paraId="4650802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01" w:name="_Toc5185"/>
      <w:bookmarkStart w:id="202" w:name="_Toc23595"/>
      <w:r>
        <w:rPr>
          <w:rFonts w:hint="eastAsia" w:ascii="宋体" w:hAnsi="宋体" w:eastAsia="宋体" w:cs="宋体"/>
          <w:b/>
          <w:bCs/>
          <w:color w:val="auto"/>
          <w:kern w:val="0"/>
          <w:sz w:val="21"/>
          <w:szCs w:val="21"/>
          <w:highlight w:val="none"/>
        </w:rPr>
        <w:t>1.12 偏离</w:t>
      </w:r>
      <w:bookmarkEnd w:id="192"/>
      <w:bookmarkEnd w:id="193"/>
      <w:bookmarkEnd w:id="194"/>
      <w:bookmarkEnd w:id="195"/>
      <w:bookmarkEnd w:id="196"/>
      <w:bookmarkEnd w:id="197"/>
      <w:bookmarkEnd w:id="198"/>
      <w:bookmarkEnd w:id="199"/>
      <w:bookmarkEnd w:id="200"/>
      <w:bookmarkEnd w:id="201"/>
      <w:bookmarkEnd w:id="202"/>
    </w:p>
    <w:p w14:paraId="02D06E81">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本项目是否允许偏离及允许偏离的具体要求：见投标人须知前附表。</w:t>
      </w:r>
    </w:p>
    <w:p w14:paraId="70A5936B">
      <w:pPr>
        <w:wordWrap w:val="0"/>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投标人须知前附表允许投标文件偏离招标文件某些要求的，偏离应当符合招标文件规定的偏离范围和幅度。</w:t>
      </w:r>
    </w:p>
    <w:p w14:paraId="321D4F45">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03" w:name="_Toc228591495"/>
      <w:bookmarkStart w:id="204" w:name="_Toc228337084"/>
      <w:bookmarkStart w:id="205" w:name="_Toc227657473"/>
      <w:bookmarkStart w:id="206" w:name="_Toc228591643"/>
      <w:bookmarkStart w:id="207" w:name="_Toc227492230"/>
      <w:bookmarkStart w:id="208" w:name="_Toc214433873"/>
      <w:bookmarkStart w:id="209" w:name="_Toc1388"/>
      <w:bookmarkStart w:id="210" w:name="_Toc228589149"/>
      <w:bookmarkStart w:id="211" w:name="_Toc1302"/>
      <w:bookmarkStart w:id="212" w:name="_Toc228881147"/>
      <w:bookmarkStart w:id="213" w:name="_Toc272772560"/>
      <w:r>
        <w:rPr>
          <w:rFonts w:hint="eastAsia" w:ascii="宋体" w:hAnsi="宋体" w:eastAsia="宋体" w:cs="宋体"/>
          <w:b/>
          <w:bCs/>
          <w:color w:val="auto"/>
          <w:kern w:val="0"/>
          <w:sz w:val="21"/>
          <w:szCs w:val="21"/>
          <w:highlight w:val="none"/>
        </w:rPr>
        <w:t>2. 招标文件</w:t>
      </w:r>
      <w:bookmarkEnd w:id="203"/>
      <w:bookmarkEnd w:id="204"/>
      <w:bookmarkEnd w:id="205"/>
      <w:bookmarkEnd w:id="206"/>
      <w:bookmarkEnd w:id="207"/>
      <w:bookmarkEnd w:id="208"/>
      <w:bookmarkEnd w:id="209"/>
      <w:bookmarkEnd w:id="210"/>
      <w:bookmarkEnd w:id="211"/>
      <w:bookmarkEnd w:id="212"/>
      <w:bookmarkEnd w:id="213"/>
    </w:p>
    <w:p w14:paraId="710B3B1C">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14" w:name="_Toc228337085"/>
      <w:bookmarkStart w:id="215" w:name="_Toc214433874"/>
      <w:bookmarkStart w:id="216" w:name="_Toc227657474"/>
      <w:bookmarkStart w:id="217" w:name="_Toc7519"/>
      <w:bookmarkStart w:id="218" w:name="_Toc6663"/>
      <w:bookmarkStart w:id="219" w:name="_Toc227492231"/>
      <w:bookmarkStart w:id="220" w:name="_Toc228591644"/>
      <w:bookmarkStart w:id="221" w:name="_Toc272772561"/>
      <w:bookmarkStart w:id="222" w:name="_Toc228591496"/>
      <w:bookmarkStart w:id="223" w:name="_Toc228589150"/>
      <w:bookmarkStart w:id="224" w:name="_Toc228881148"/>
      <w:r>
        <w:rPr>
          <w:rFonts w:hint="eastAsia" w:ascii="宋体" w:hAnsi="宋体" w:eastAsia="宋体" w:cs="宋体"/>
          <w:b/>
          <w:bCs/>
          <w:color w:val="auto"/>
          <w:kern w:val="0"/>
          <w:sz w:val="21"/>
          <w:szCs w:val="21"/>
          <w:highlight w:val="none"/>
        </w:rPr>
        <w:t>2.1 招标文件的组成</w:t>
      </w:r>
      <w:bookmarkEnd w:id="214"/>
      <w:bookmarkEnd w:id="215"/>
      <w:bookmarkEnd w:id="216"/>
      <w:bookmarkEnd w:id="217"/>
      <w:bookmarkEnd w:id="218"/>
      <w:bookmarkEnd w:id="219"/>
      <w:bookmarkEnd w:id="220"/>
      <w:bookmarkEnd w:id="221"/>
      <w:bookmarkEnd w:id="222"/>
      <w:bookmarkEnd w:id="223"/>
      <w:bookmarkEnd w:id="224"/>
    </w:p>
    <w:p w14:paraId="21E30901">
      <w:pPr>
        <w:tabs>
          <w:tab w:val="left" w:pos="1260"/>
        </w:tabs>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本招标文件包括：</w:t>
      </w:r>
    </w:p>
    <w:p w14:paraId="01267EAF">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（1）招标公告；</w:t>
      </w:r>
    </w:p>
    <w:p w14:paraId="3B68609D">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（2）投标人须知；</w:t>
      </w:r>
    </w:p>
    <w:p w14:paraId="374ED666">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（3）评标办法；</w:t>
      </w:r>
    </w:p>
    <w:p w14:paraId="562D406E">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（4）定标办法；</w:t>
      </w:r>
    </w:p>
    <w:p w14:paraId="72168336">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（5）合同条款及格式；</w:t>
      </w:r>
    </w:p>
    <w:p w14:paraId="4497177A">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（6）工程量清单；</w:t>
      </w:r>
    </w:p>
    <w:p w14:paraId="2E373BAF">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（7）图纸；</w:t>
      </w:r>
    </w:p>
    <w:p w14:paraId="6D31DADB">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（8）技术标准和要求；</w:t>
      </w:r>
    </w:p>
    <w:p w14:paraId="0252D50B">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（9）投标文件格式；</w:t>
      </w:r>
    </w:p>
    <w:p w14:paraId="4336F5D2">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根据本章第1.10 款、第2.2 款和第2.3 款对招标文件所作的澄清、修改，构成招标文件的组成部分。</w:t>
      </w:r>
    </w:p>
    <w:p w14:paraId="16F1788C">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25" w:name="_Toc214433875"/>
      <w:bookmarkStart w:id="226" w:name="_Toc228591497"/>
      <w:bookmarkStart w:id="227" w:name="_Toc272772562"/>
      <w:bookmarkStart w:id="228" w:name="_Toc1746"/>
      <w:bookmarkStart w:id="229" w:name="_Toc228589151"/>
      <w:bookmarkStart w:id="230" w:name="_Toc228881149"/>
      <w:bookmarkStart w:id="231" w:name="_Toc228591645"/>
      <w:bookmarkStart w:id="232" w:name="_Toc227492232"/>
      <w:bookmarkStart w:id="233" w:name="_Toc7194"/>
      <w:bookmarkStart w:id="234" w:name="_Toc227657475"/>
      <w:bookmarkStart w:id="235" w:name="_Toc228337086"/>
      <w:r>
        <w:rPr>
          <w:rFonts w:hint="eastAsia" w:ascii="宋体" w:hAnsi="宋体" w:eastAsia="宋体" w:cs="宋体"/>
          <w:b/>
          <w:bCs/>
          <w:color w:val="auto"/>
          <w:kern w:val="0"/>
          <w:sz w:val="21"/>
          <w:szCs w:val="21"/>
          <w:highlight w:val="none"/>
        </w:rPr>
        <w:t>2.2 招标文件的澄清</w:t>
      </w:r>
      <w:bookmarkEnd w:id="225"/>
      <w:bookmarkEnd w:id="226"/>
      <w:bookmarkEnd w:id="227"/>
      <w:bookmarkEnd w:id="228"/>
      <w:bookmarkEnd w:id="229"/>
      <w:bookmarkEnd w:id="230"/>
      <w:bookmarkEnd w:id="231"/>
      <w:bookmarkEnd w:id="232"/>
      <w:bookmarkEnd w:id="233"/>
      <w:bookmarkEnd w:id="234"/>
      <w:bookmarkEnd w:id="235"/>
    </w:p>
    <w:p w14:paraId="758B5E43">
      <w:pPr>
        <w:wordWrap w:val="0"/>
        <w:spacing w:line="360" w:lineRule="auto"/>
        <w:ind w:firstLine="420" w:firstLineChars="200"/>
        <w:rPr>
          <w:rFonts w:hint="eastAsia" w:ascii="宋体" w:hAnsi="宋体" w:eastAsia="宋体" w:cs="宋体"/>
          <w:color w:val="auto"/>
          <w:sz w:val="21"/>
          <w:szCs w:val="21"/>
          <w:highlight w:val="none"/>
        </w:rPr>
      </w:pPr>
      <w:bookmarkStart w:id="236" w:name="_Toc227492233"/>
      <w:bookmarkStart w:id="237" w:name="_Toc227657476"/>
      <w:bookmarkStart w:id="238" w:name="_Toc228881150"/>
      <w:bookmarkStart w:id="239" w:name="_Toc228589152"/>
      <w:bookmarkStart w:id="240" w:name="_Toc228591646"/>
      <w:bookmarkStart w:id="241" w:name="_Toc272772563"/>
      <w:bookmarkStart w:id="242" w:name="_Toc228337087"/>
      <w:bookmarkStart w:id="243" w:name="_Toc228591498"/>
      <w:bookmarkStart w:id="244" w:name="_Toc214433876"/>
      <w:r>
        <w:rPr>
          <w:rFonts w:hint="eastAsia" w:ascii="宋体" w:hAnsi="宋体" w:eastAsia="宋体" w:cs="宋体"/>
          <w:color w:val="auto"/>
          <w:sz w:val="21"/>
          <w:szCs w:val="21"/>
          <w:highlight w:val="none"/>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2E353B0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14:paraId="6E425A4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投标人在收到澄清后，应在投标人须知前附表规定的时间内在交易平台上回复确认已收到该澄清。</w:t>
      </w:r>
    </w:p>
    <w:p w14:paraId="7617DE0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2.2.4除非招标人认为确有必要答复，否则，招标人有权拒绝回复投标人在投标须知前附表第2.2.1项规定的时间后的任何澄清要求。</w:t>
      </w:r>
    </w:p>
    <w:p w14:paraId="0AF972F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45" w:name="_Toc22477"/>
      <w:bookmarkStart w:id="246" w:name="_Toc1812"/>
      <w:r>
        <w:rPr>
          <w:rFonts w:hint="eastAsia" w:ascii="宋体" w:hAnsi="宋体" w:eastAsia="宋体" w:cs="宋体"/>
          <w:b/>
          <w:bCs/>
          <w:color w:val="auto"/>
          <w:kern w:val="0"/>
          <w:sz w:val="21"/>
          <w:szCs w:val="21"/>
          <w:highlight w:val="none"/>
        </w:rPr>
        <w:t>2.3 招标文件的修改</w:t>
      </w:r>
      <w:bookmarkEnd w:id="236"/>
      <w:bookmarkEnd w:id="237"/>
      <w:bookmarkEnd w:id="238"/>
      <w:bookmarkEnd w:id="239"/>
      <w:bookmarkEnd w:id="240"/>
      <w:bookmarkEnd w:id="241"/>
      <w:bookmarkEnd w:id="242"/>
      <w:bookmarkEnd w:id="243"/>
      <w:bookmarkEnd w:id="244"/>
      <w:bookmarkEnd w:id="245"/>
      <w:bookmarkEnd w:id="246"/>
    </w:p>
    <w:p w14:paraId="5281E393">
      <w:pPr>
        <w:wordWrap w:val="0"/>
        <w:spacing w:line="360" w:lineRule="auto"/>
        <w:ind w:firstLine="420" w:firstLineChars="200"/>
        <w:rPr>
          <w:rFonts w:hint="eastAsia" w:ascii="宋体" w:hAnsi="宋体" w:eastAsia="宋体" w:cs="宋体"/>
          <w:color w:val="auto"/>
          <w:sz w:val="21"/>
          <w:szCs w:val="21"/>
          <w:highlight w:val="none"/>
        </w:rPr>
      </w:pPr>
      <w:bookmarkStart w:id="247" w:name="_Toc227492234"/>
      <w:bookmarkStart w:id="248" w:name="_Toc228591647"/>
      <w:bookmarkStart w:id="249" w:name="_Toc228881151"/>
      <w:bookmarkStart w:id="250" w:name="_Toc227657477"/>
      <w:bookmarkStart w:id="251" w:name="_Toc228337088"/>
      <w:bookmarkStart w:id="252" w:name="_Toc272772564"/>
      <w:bookmarkStart w:id="253" w:name="_Toc228589153"/>
      <w:bookmarkStart w:id="254" w:name="_Toc214433877"/>
      <w:bookmarkStart w:id="255" w:name="_Toc228591499"/>
      <w:r>
        <w:rPr>
          <w:rFonts w:hint="eastAsia" w:ascii="宋体" w:hAnsi="宋体" w:eastAsia="宋体" w:cs="宋体"/>
          <w:color w:val="auto"/>
          <w:sz w:val="21"/>
          <w:szCs w:val="21"/>
          <w:highlight w:val="none"/>
        </w:rPr>
        <w:t xml:space="preserve">2.3.1 在投标截止时间15天前，招标人可以修改招标文件。如有修改，应在交易平台上发给所有获取招标文件的投标人。如果修改招标文件的时间距投标截止时间不足15天，相应延长投标截止时间。 </w:t>
      </w:r>
    </w:p>
    <w:p w14:paraId="0626B67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投标人收到修改内容后，应在投标人须知前附表规定的时间内在交易平台上回复确认已收到该修改。</w:t>
      </w:r>
    </w:p>
    <w:p w14:paraId="53C7E804">
      <w:pPr>
        <w:wordWrap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2.4招标文件的异议</w:t>
      </w:r>
    </w:p>
    <w:p w14:paraId="05A6E38D">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或者其他利害关系人对招标文件有异议的，应当在投标截止时间10日前以书面形式提出，逾期为未提，视为对招标文件无异议。招标人将在收到异议之日起3日内作出答复；作出答复前，将暂停招标投标活动。</w:t>
      </w:r>
    </w:p>
    <w:p w14:paraId="2AA31B8E">
      <w:pPr>
        <w:pStyle w:val="87"/>
        <w:wordWrap w:val="0"/>
        <w:spacing w:line="360" w:lineRule="auto"/>
        <w:ind w:right="-34" w:rightChars="-16"/>
        <w:outlineLvl w:val="0"/>
        <w:rPr>
          <w:rFonts w:hint="eastAsia" w:ascii="宋体" w:hAnsi="宋体" w:eastAsia="宋体" w:cs="宋体"/>
          <w:b/>
          <w:bCs/>
          <w:color w:val="auto"/>
          <w:sz w:val="21"/>
          <w:szCs w:val="21"/>
          <w:highlight w:val="none"/>
        </w:rPr>
      </w:pPr>
      <w:bookmarkStart w:id="256" w:name="_Toc5844"/>
      <w:bookmarkStart w:id="257" w:name="_Toc6457"/>
      <w:r>
        <w:rPr>
          <w:rFonts w:hint="eastAsia" w:ascii="宋体" w:hAnsi="宋体" w:eastAsia="宋体" w:cs="宋体"/>
          <w:b/>
          <w:bCs/>
          <w:color w:val="auto"/>
          <w:sz w:val="21"/>
          <w:szCs w:val="21"/>
          <w:highlight w:val="none"/>
        </w:rPr>
        <w:t>3. 投标文件</w:t>
      </w:r>
      <w:bookmarkEnd w:id="247"/>
      <w:bookmarkEnd w:id="248"/>
      <w:bookmarkEnd w:id="249"/>
      <w:bookmarkEnd w:id="250"/>
      <w:bookmarkEnd w:id="251"/>
      <w:bookmarkEnd w:id="252"/>
      <w:bookmarkEnd w:id="253"/>
      <w:bookmarkEnd w:id="254"/>
      <w:bookmarkEnd w:id="255"/>
      <w:bookmarkEnd w:id="256"/>
      <w:bookmarkEnd w:id="257"/>
    </w:p>
    <w:p w14:paraId="22E0FC2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58" w:name="_Toc228881152"/>
      <w:bookmarkStart w:id="259" w:name="_Toc228591648"/>
      <w:bookmarkStart w:id="260" w:name="_Toc228337089"/>
      <w:bookmarkStart w:id="261" w:name="_Toc272772565"/>
      <w:bookmarkStart w:id="262" w:name="_Toc227657478"/>
      <w:bookmarkStart w:id="263" w:name="_Toc8959"/>
      <w:bookmarkStart w:id="264" w:name="_Toc228589154"/>
      <w:bookmarkStart w:id="265" w:name="_Toc214433878"/>
      <w:bookmarkStart w:id="266" w:name="_Toc2191"/>
      <w:bookmarkStart w:id="267" w:name="_Toc227492235"/>
      <w:bookmarkStart w:id="268" w:name="_Toc228591500"/>
      <w:r>
        <w:rPr>
          <w:rFonts w:hint="eastAsia" w:ascii="宋体" w:hAnsi="宋体" w:eastAsia="宋体" w:cs="宋体"/>
          <w:b/>
          <w:bCs/>
          <w:color w:val="auto"/>
          <w:kern w:val="0"/>
          <w:sz w:val="21"/>
          <w:szCs w:val="21"/>
          <w:highlight w:val="none"/>
        </w:rPr>
        <w:t>3.1 投标文件的组成</w:t>
      </w:r>
      <w:bookmarkEnd w:id="258"/>
      <w:bookmarkEnd w:id="259"/>
      <w:bookmarkEnd w:id="260"/>
      <w:bookmarkEnd w:id="261"/>
      <w:bookmarkEnd w:id="262"/>
      <w:bookmarkEnd w:id="263"/>
      <w:bookmarkEnd w:id="264"/>
      <w:bookmarkEnd w:id="265"/>
      <w:bookmarkEnd w:id="266"/>
      <w:bookmarkEnd w:id="267"/>
      <w:bookmarkEnd w:id="268"/>
    </w:p>
    <w:p w14:paraId="0FFD998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 投标文件应包括下列内容：</w:t>
      </w:r>
    </w:p>
    <w:p w14:paraId="01034C98">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（1）投标函及投标函附录；</w:t>
      </w:r>
    </w:p>
    <w:p w14:paraId="06437F5E">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（2）法定代表人身份证明；</w:t>
      </w:r>
    </w:p>
    <w:p w14:paraId="07E9ABEE">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（3）附有法定代表人身份证明的授权委托书；</w:t>
      </w:r>
    </w:p>
    <w:p w14:paraId="44BE8F6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（4）投标保证金；</w:t>
      </w:r>
    </w:p>
    <w:p w14:paraId="6659E4B2">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（5）已标价工程量清单；</w:t>
      </w:r>
    </w:p>
    <w:p w14:paraId="0123F04D">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（6）技术标；</w:t>
      </w:r>
    </w:p>
    <w:p w14:paraId="4DB9AA87">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（7）技术标准和要求；</w:t>
      </w:r>
    </w:p>
    <w:p w14:paraId="4F06608C">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（8）项目管理机构；</w:t>
      </w:r>
    </w:p>
    <w:p w14:paraId="4669AA43">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（9）资格审查资料；</w:t>
      </w:r>
    </w:p>
    <w:p w14:paraId="0AC563F0">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（10）其他材料。</w:t>
      </w:r>
    </w:p>
    <w:p w14:paraId="42EFA64C">
      <w:pPr>
        <w:wordWrap w:val="0"/>
        <w:autoSpaceDE w:val="0"/>
        <w:autoSpaceDN w:val="0"/>
        <w:adjustRightInd w:val="0"/>
        <w:spacing w:line="360" w:lineRule="auto"/>
        <w:ind w:right="-34" w:rightChars="-16" w:firstLine="525" w:firstLineChars="250"/>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投标人在评标过程中作出的符合法律法规和招标文件规定的澄清确认，构成投标文件的组成部分。</w:t>
      </w:r>
      <w:r>
        <w:rPr>
          <w:rFonts w:hint="eastAsia" w:ascii="宋体" w:hAnsi="宋体" w:cs="宋体"/>
          <w:color w:val="auto"/>
          <w:kern w:val="0"/>
          <w:sz w:val="21"/>
          <w:szCs w:val="21"/>
          <w:highlight w:val="none"/>
          <w:lang w:val="en-US" w:eastAsia="zh-CN"/>
        </w:rPr>
        <w:t>投标人为响应招标文件要求而自拟格式的内容均须致招标人，加盖本单位公章并由其法定代表人签章。</w:t>
      </w:r>
    </w:p>
    <w:p w14:paraId="19B73090">
      <w:pPr>
        <w:wordWrap w:val="0"/>
        <w:spacing w:line="360" w:lineRule="auto"/>
        <w:ind w:firstLine="462" w:firstLineChars="2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投标人须知前附表规定不接受联合体投标的，或投标人没有组成联合体的，投标文件不包括本章第3.1.1（4）目所指的联合体协议书。</w:t>
      </w:r>
    </w:p>
    <w:p w14:paraId="1577DD38">
      <w:pPr>
        <w:wordWrap w:val="0"/>
        <w:spacing w:line="360" w:lineRule="auto"/>
        <w:ind w:firstLine="462" w:firstLineChars="2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投标人须知前附表未要求提交投标保证金的，投标文件不包括本章第 3.1.1（5）目所指的投标保证金。</w:t>
      </w:r>
    </w:p>
    <w:p w14:paraId="52A9E90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69" w:name="_Toc228591649"/>
      <w:bookmarkStart w:id="270" w:name="_Toc214433879"/>
      <w:bookmarkStart w:id="271" w:name="_Toc228337090"/>
      <w:bookmarkStart w:id="272" w:name="_Toc28077"/>
      <w:bookmarkStart w:id="273" w:name="_Toc228881153"/>
      <w:bookmarkStart w:id="274" w:name="_Toc1006"/>
      <w:bookmarkStart w:id="275" w:name="_Toc272772566"/>
      <w:bookmarkStart w:id="276" w:name="_Toc227657479"/>
      <w:bookmarkStart w:id="277" w:name="_Toc227492236"/>
      <w:bookmarkStart w:id="278" w:name="_Toc228591501"/>
      <w:bookmarkStart w:id="279" w:name="_Toc228589155"/>
      <w:r>
        <w:rPr>
          <w:rFonts w:hint="eastAsia" w:ascii="宋体" w:hAnsi="宋体" w:eastAsia="宋体" w:cs="宋体"/>
          <w:b/>
          <w:bCs/>
          <w:color w:val="auto"/>
          <w:kern w:val="0"/>
          <w:sz w:val="21"/>
          <w:szCs w:val="21"/>
          <w:highlight w:val="none"/>
        </w:rPr>
        <w:t>3.2 投标报价</w:t>
      </w:r>
      <w:bookmarkEnd w:id="269"/>
      <w:bookmarkEnd w:id="270"/>
      <w:bookmarkEnd w:id="271"/>
      <w:bookmarkEnd w:id="272"/>
      <w:bookmarkEnd w:id="273"/>
      <w:bookmarkEnd w:id="274"/>
      <w:bookmarkEnd w:id="275"/>
      <w:bookmarkEnd w:id="276"/>
      <w:bookmarkEnd w:id="277"/>
      <w:bookmarkEnd w:id="278"/>
      <w:bookmarkEnd w:id="279"/>
    </w:p>
    <w:p w14:paraId="27EFA6F8">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280" w:name="_Toc454031536"/>
      <w:bookmarkStart w:id="281" w:name="_Toc500577609"/>
      <w:bookmarkStart w:id="282" w:name="_Toc453573273"/>
      <w:bookmarkStart w:id="283" w:name="_Toc31523"/>
      <w:bookmarkStart w:id="284" w:name="_Toc463776542"/>
      <w:bookmarkStart w:id="285" w:name="_Toc499892756"/>
      <w:bookmarkStart w:id="286" w:name="_Toc27067"/>
      <w:bookmarkStart w:id="287" w:name="_Toc500865800"/>
      <w:bookmarkStart w:id="288" w:name="_Toc7059"/>
      <w:bookmarkStart w:id="289" w:name="_Toc368902788"/>
      <w:bookmarkStart w:id="290" w:name="_Toc459289868"/>
      <w:bookmarkStart w:id="291" w:name="_Toc372286499"/>
      <w:bookmarkStart w:id="292" w:name="_Toc499891560"/>
      <w:bookmarkStart w:id="293" w:name="_Toc369620542"/>
      <w:bookmarkStart w:id="294" w:name="_Toc436583857"/>
      <w:bookmarkStart w:id="295" w:name="_Toc418520746"/>
      <w:r>
        <w:rPr>
          <w:rFonts w:hint="eastAsia" w:ascii="宋体" w:hAnsi="宋体" w:eastAsia="宋体" w:cs="宋体"/>
          <w:color w:val="auto"/>
          <w:kern w:val="0"/>
          <w:sz w:val="21"/>
          <w:szCs w:val="21"/>
          <w:highlight w:val="none"/>
        </w:rPr>
        <w:t>3.2.1 投标人应按第六章“工程量清单”的要求填写相应表格。</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14:paraId="7C5FEEB0">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296" w:name="_Toc372286500"/>
      <w:bookmarkStart w:id="297" w:name="_Toc499892757"/>
      <w:bookmarkStart w:id="298" w:name="_Toc459289869"/>
      <w:bookmarkStart w:id="299" w:name="_Toc436583858"/>
      <w:bookmarkStart w:id="300" w:name="_Toc22976"/>
      <w:bookmarkStart w:id="301" w:name="_Toc499891561"/>
      <w:bookmarkStart w:id="302" w:name="_Toc14634"/>
      <w:bookmarkStart w:id="303" w:name="_Toc5041"/>
      <w:bookmarkStart w:id="304" w:name="_Toc453573274"/>
      <w:bookmarkStart w:id="305" w:name="_Toc500577610"/>
      <w:bookmarkStart w:id="306" w:name="_Toc369620543"/>
      <w:bookmarkStart w:id="307" w:name="_Toc368902789"/>
      <w:bookmarkStart w:id="308" w:name="_Toc500865801"/>
      <w:bookmarkStart w:id="309" w:name="_Toc463776543"/>
      <w:bookmarkStart w:id="310" w:name="_Toc418520747"/>
      <w:bookmarkStart w:id="311" w:name="_Toc454031537"/>
      <w:r>
        <w:rPr>
          <w:rFonts w:hint="eastAsia" w:ascii="宋体" w:hAnsi="宋体" w:eastAsia="宋体" w:cs="宋体"/>
          <w:color w:val="auto"/>
          <w:kern w:val="0"/>
          <w:sz w:val="21"/>
          <w:szCs w:val="21"/>
          <w:highlight w:val="none"/>
        </w:rPr>
        <w:t>3.2.2 投标人在投标截止时间前修改投标函中的投标总报价，应同时修改“工程量清单”中的相应报价。此修改须符合本章第4.3款的有关要求。</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136ADC1B">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312" w:name="_Toc418520748"/>
      <w:bookmarkStart w:id="313" w:name="_Toc459289870"/>
      <w:bookmarkStart w:id="314" w:name="_Toc436583859"/>
      <w:bookmarkStart w:id="315" w:name="_Toc453573275"/>
      <w:bookmarkStart w:id="316" w:name="_Toc500865802"/>
      <w:bookmarkStart w:id="317" w:name="_Toc500577611"/>
      <w:bookmarkStart w:id="318" w:name="_Toc19757"/>
      <w:bookmarkStart w:id="319" w:name="_Toc499891562"/>
      <w:bookmarkStart w:id="320" w:name="_Toc25639"/>
      <w:bookmarkStart w:id="321" w:name="_Toc454031538"/>
      <w:bookmarkStart w:id="322" w:name="_Toc463776544"/>
      <w:bookmarkStart w:id="323" w:name="_Toc372286501"/>
      <w:bookmarkStart w:id="324" w:name="_Toc12444"/>
      <w:bookmarkStart w:id="325" w:name="_Toc499892758"/>
      <w:bookmarkStart w:id="326" w:name="_Toc369620544"/>
      <w:bookmarkStart w:id="327" w:name="_Toc368902790"/>
      <w:r>
        <w:rPr>
          <w:rFonts w:hint="eastAsia" w:ascii="宋体" w:hAnsi="宋体" w:eastAsia="宋体" w:cs="宋体"/>
          <w:color w:val="auto"/>
          <w:kern w:val="0"/>
          <w:sz w:val="21"/>
          <w:szCs w:val="21"/>
          <w:highlight w:val="none"/>
        </w:rPr>
        <w:t>3.2.3 投标工程量清单必须按照招标人提供的工程量清单格式进行填写报价，不得做任何修改。</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14:paraId="3EB356AC">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328" w:name="_Toc499891563"/>
      <w:bookmarkStart w:id="329" w:name="_Toc9838"/>
      <w:bookmarkStart w:id="330" w:name="_Toc463776545"/>
      <w:bookmarkStart w:id="331" w:name="_Toc436583860"/>
      <w:bookmarkStart w:id="332" w:name="_Toc369620545"/>
      <w:bookmarkStart w:id="333" w:name="_Toc453573276"/>
      <w:bookmarkStart w:id="334" w:name="_Toc31960"/>
      <w:bookmarkStart w:id="335" w:name="_Toc500577612"/>
      <w:bookmarkStart w:id="336" w:name="_Toc499892759"/>
      <w:bookmarkStart w:id="337" w:name="_Toc368902791"/>
      <w:bookmarkStart w:id="338" w:name="_Toc459289871"/>
      <w:bookmarkStart w:id="339" w:name="_Toc500865803"/>
      <w:bookmarkStart w:id="340" w:name="_Toc372286502"/>
      <w:bookmarkStart w:id="341" w:name="_Toc454031539"/>
      <w:bookmarkStart w:id="342" w:name="_Toc32699"/>
      <w:bookmarkStart w:id="343" w:name="_Toc418520749"/>
      <w:r>
        <w:rPr>
          <w:rFonts w:hint="eastAsia" w:ascii="宋体" w:hAnsi="宋体" w:eastAsia="宋体" w:cs="宋体"/>
          <w:color w:val="auto"/>
          <w:kern w:val="0"/>
          <w:sz w:val="21"/>
          <w:szCs w:val="21"/>
          <w:highlight w:val="none"/>
        </w:rPr>
        <w:t>3.2.4 投标人对项目的各项报价和竣工结算的计价方式均采用工程量清单计价方式。</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6B58340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3.2.5</w:t>
      </w:r>
      <w:r>
        <w:rPr>
          <w:rFonts w:hint="eastAsia" w:ascii="宋体" w:hAnsi="宋体" w:eastAsia="宋体" w:cs="宋体"/>
          <w:color w:val="auto"/>
          <w:sz w:val="21"/>
          <w:szCs w:val="21"/>
          <w:highlight w:val="none"/>
        </w:rPr>
        <w:t>安全文明施工措施费应按</w:t>
      </w:r>
      <w:r>
        <w:rPr>
          <w:rFonts w:hint="eastAsia" w:ascii="宋体" w:hAnsi="宋体" w:eastAsia="宋体" w:cs="宋体"/>
          <w:b/>
          <w:color w:val="auto"/>
          <w:sz w:val="21"/>
          <w:szCs w:val="21"/>
          <w:highlight w:val="none"/>
        </w:rPr>
        <w:t>豫建设标［2014］57号文</w:t>
      </w:r>
      <w:r>
        <w:rPr>
          <w:rFonts w:hint="eastAsia" w:ascii="宋体" w:hAnsi="宋体" w:eastAsia="宋体" w:cs="宋体"/>
          <w:color w:val="auto"/>
          <w:sz w:val="21"/>
          <w:szCs w:val="21"/>
          <w:highlight w:val="none"/>
        </w:rPr>
        <w:t>规定足额计取计入工程总报价中，单独列项；增值税按照</w:t>
      </w:r>
      <w:r>
        <w:rPr>
          <w:rFonts w:hint="eastAsia" w:ascii="宋体" w:hAnsi="宋体" w:eastAsia="宋体" w:cs="宋体"/>
          <w:b/>
          <w:bCs/>
          <w:color w:val="auto"/>
          <w:sz w:val="21"/>
          <w:szCs w:val="21"/>
          <w:highlight w:val="none"/>
        </w:rPr>
        <w:t>建办标函［2019］193号文</w:t>
      </w:r>
      <w:r>
        <w:rPr>
          <w:rFonts w:hint="eastAsia" w:ascii="宋体" w:hAnsi="宋体" w:eastAsia="宋体" w:cs="宋体"/>
          <w:color w:val="auto"/>
          <w:sz w:val="21"/>
          <w:szCs w:val="21"/>
          <w:highlight w:val="none"/>
        </w:rPr>
        <w:t>记取；扬尘污染防治费按</w:t>
      </w:r>
      <w:r>
        <w:rPr>
          <w:rFonts w:hint="eastAsia" w:ascii="宋体" w:hAnsi="宋体" w:eastAsia="宋体" w:cs="宋体"/>
          <w:b/>
          <w:color w:val="auto"/>
          <w:sz w:val="21"/>
          <w:szCs w:val="21"/>
          <w:highlight w:val="none"/>
        </w:rPr>
        <w:t>豫建设标［2016］47号文</w:t>
      </w:r>
      <w:r>
        <w:rPr>
          <w:rFonts w:hint="eastAsia" w:ascii="宋体" w:hAnsi="宋体" w:eastAsia="宋体" w:cs="宋体"/>
          <w:color w:val="auto"/>
          <w:sz w:val="21"/>
          <w:szCs w:val="21"/>
          <w:highlight w:val="none"/>
        </w:rPr>
        <w:t>记取；规费中的社会保障费、工伤保险费执行</w:t>
      </w:r>
      <w:r>
        <w:rPr>
          <w:rFonts w:hint="eastAsia" w:ascii="宋体" w:hAnsi="宋体" w:eastAsia="宋体" w:cs="宋体"/>
          <w:b/>
          <w:color w:val="auto"/>
          <w:sz w:val="21"/>
          <w:szCs w:val="21"/>
          <w:highlight w:val="none"/>
        </w:rPr>
        <w:t>豫建设标[2014]29号文、豫建建[2016]62号文</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以上计费依据如国家省市有政策调整，按新政策执行</w:t>
      </w:r>
      <w:r>
        <w:rPr>
          <w:rFonts w:hint="eastAsia" w:ascii="宋体" w:hAnsi="宋体" w:eastAsia="宋体" w:cs="宋体"/>
          <w:color w:val="auto"/>
          <w:sz w:val="21"/>
          <w:szCs w:val="21"/>
          <w:highlight w:val="none"/>
        </w:rPr>
        <w:t>。</w:t>
      </w:r>
    </w:p>
    <w:p w14:paraId="36B4DE9D">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清单报价编制依据：                  </w:t>
      </w:r>
    </w:p>
    <w:p w14:paraId="02273FE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1）招标文件、答疑纪要及有关书面通知；</w:t>
      </w:r>
    </w:p>
    <w:p w14:paraId="2D5F782C">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2）经业主确认的施工图纸、设计变更、工程量清单；</w:t>
      </w:r>
    </w:p>
    <w:p w14:paraId="522E2ED5">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3）现行的计价依据和政策；</w:t>
      </w:r>
    </w:p>
    <w:p w14:paraId="2DDD14D1">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《建设工程工程量清单计价规范》</w:t>
      </w:r>
    </w:p>
    <w:p w14:paraId="51D1154E">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《河南省通用安装工程预算定额》</w:t>
      </w:r>
    </w:p>
    <w:p w14:paraId="008ACEFC">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《河南省市政工程预算定额》</w:t>
      </w:r>
    </w:p>
    <w:p w14:paraId="68BCDBF1">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……与之配套的相关计价文件；</w:t>
      </w:r>
    </w:p>
    <w:p w14:paraId="29E8932E">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4）本报价包括施工图纸中发包内容（有补遗及招标答疑纪要时以补遗及招标答疑纪要修改内容为准）。</w:t>
      </w:r>
    </w:p>
    <w:p w14:paraId="6D3DE755">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3.2.6材料价格：材料价格可以参考驻马店市</w:t>
      </w:r>
      <w:r>
        <w:rPr>
          <w:rFonts w:hint="eastAsia" w:ascii="宋体" w:hAnsi="宋体" w:eastAsia="宋体" w:cs="宋体"/>
          <w:b/>
          <w:color w:val="auto"/>
          <w:sz w:val="21"/>
          <w:szCs w:val="21"/>
          <w:highlight w:val="none"/>
        </w:rPr>
        <w:t>最新季度</w:t>
      </w:r>
      <w:r>
        <w:rPr>
          <w:rFonts w:hint="eastAsia" w:ascii="宋体" w:hAnsi="宋体" w:eastAsia="宋体" w:cs="宋体"/>
          <w:color w:val="auto"/>
          <w:sz w:val="21"/>
          <w:szCs w:val="21"/>
          <w:highlight w:val="none"/>
        </w:rPr>
        <w:t>建设工程造价信息，或投标人根据建筑材料市场情况自主确定。</w:t>
      </w:r>
    </w:p>
    <w:p w14:paraId="5A6267D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3.2.7承包价的确定和调整</w:t>
      </w:r>
    </w:p>
    <w:p w14:paraId="11CF31F1">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1、工程承包价包括完成本招标发包范围内的全部施工内容所需的工程成本、利润、规费、专项费用、税金、政策性调整等全部费用</w:t>
      </w:r>
      <w:r>
        <w:rPr>
          <w:rFonts w:hint="eastAsia" w:ascii="宋体" w:hAnsi="宋体" w:eastAsia="宋体" w:cs="宋体"/>
          <w:b/>
          <w:color w:val="auto"/>
          <w:sz w:val="21"/>
          <w:szCs w:val="21"/>
          <w:highlight w:val="none"/>
        </w:rPr>
        <w:t>(暂列金额依据工程量清单及招标控制价编制说明中注明计取方式计算)，工程竣工结算超过暂列金额等费用按国家定额、施工期造价信息、国家有关税费规定等据实计量计价</w:t>
      </w:r>
      <w:r>
        <w:rPr>
          <w:rFonts w:hint="eastAsia" w:ascii="宋体" w:hAnsi="宋体" w:eastAsia="宋体" w:cs="宋体"/>
          <w:color w:val="auto"/>
          <w:sz w:val="21"/>
          <w:szCs w:val="21"/>
          <w:highlight w:val="none"/>
        </w:rPr>
        <w:t>。</w:t>
      </w:r>
    </w:p>
    <w:p w14:paraId="00EA98FB">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2、本工程在施工当中因承包方失误造成费用增加的，中标价格不调整。</w:t>
      </w:r>
    </w:p>
    <w:p w14:paraId="4C5CDAFF">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、因业主原因造成的工程量、材料等变更、签证的工程量清单项目，其对应的综合单价按下列方法确定：</w:t>
      </w:r>
    </w:p>
    <w:p w14:paraId="52BDA9B9">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1）合同中已有适用的综合单价，按合同中已有的综合单价确定；</w:t>
      </w:r>
    </w:p>
    <w:p w14:paraId="142B45B9">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2）合同中有类似的综合单价，参照类似的综合单价确定；</w:t>
      </w:r>
    </w:p>
    <w:p w14:paraId="7D4AACCD">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3）合同中没有适用或类似的综合单价，由承包人提出综合单价，经发包人确认后执行。</w:t>
      </w:r>
    </w:p>
    <w:p w14:paraId="60584876">
      <w:pPr>
        <w:wordWrap w:val="0"/>
        <w:autoSpaceDE w:val="0"/>
        <w:autoSpaceDN w:val="0"/>
        <w:adjustRightInd w:val="0"/>
        <w:spacing w:line="360" w:lineRule="auto"/>
        <w:ind w:right="-34" w:rightChars="-16"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、投标人的投标价，应是本须知所述本工程全部工程的投标价，并以投标人在工程量清单报价中提出的单价或总价为依据。</w:t>
      </w:r>
      <w:r>
        <w:rPr>
          <w:rFonts w:hint="eastAsia" w:ascii="宋体" w:hAnsi="宋体" w:cs="宋体"/>
          <w:color w:val="auto"/>
          <w:sz w:val="21"/>
          <w:szCs w:val="21"/>
          <w:highlight w:val="none"/>
          <w:lang w:val="en-US" w:eastAsia="zh-CN"/>
        </w:rPr>
        <w:t>投标函及投标函附录投标总报价处须加盖法人章，否则视为未响应招标文件。</w:t>
      </w:r>
    </w:p>
    <w:p w14:paraId="1FA37FF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44" w:name="_Toc228589156"/>
      <w:bookmarkStart w:id="345" w:name="_Toc272772567"/>
      <w:bookmarkStart w:id="346" w:name="_Toc27366"/>
      <w:bookmarkStart w:id="347" w:name="_Toc227492237"/>
      <w:bookmarkStart w:id="348" w:name="_Toc228881154"/>
      <w:bookmarkStart w:id="349" w:name="_Toc228591650"/>
      <w:bookmarkStart w:id="350" w:name="_Toc227657480"/>
      <w:bookmarkStart w:id="351" w:name="_Toc214433880"/>
      <w:bookmarkStart w:id="352" w:name="_Toc10386"/>
      <w:bookmarkStart w:id="353" w:name="_Toc228591502"/>
      <w:bookmarkStart w:id="354" w:name="_Toc228337091"/>
      <w:r>
        <w:rPr>
          <w:rFonts w:hint="eastAsia" w:ascii="宋体" w:hAnsi="宋体" w:eastAsia="宋体" w:cs="宋体"/>
          <w:b/>
          <w:bCs/>
          <w:color w:val="auto"/>
          <w:kern w:val="0"/>
          <w:sz w:val="21"/>
          <w:szCs w:val="21"/>
          <w:highlight w:val="none"/>
        </w:rPr>
        <w:t>3.3 投标有效期</w:t>
      </w:r>
      <w:bookmarkEnd w:id="344"/>
      <w:bookmarkEnd w:id="345"/>
      <w:bookmarkEnd w:id="346"/>
      <w:bookmarkEnd w:id="347"/>
      <w:bookmarkEnd w:id="348"/>
      <w:bookmarkEnd w:id="349"/>
      <w:bookmarkEnd w:id="350"/>
      <w:bookmarkEnd w:id="351"/>
      <w:bookmarkEnd w:id="352"/>
      <w:bookmarkEnd w:id="353"/>
      <w:bookmarkEnd w:id="354"/>
    </w:p>
    <w:p w14:paraId="4017111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3.3.1 在投标人须知前附表规定的投标有效期内，投标人不得要求撤销或修改其投标文件。除投标人须知前附表另有规定外，投标有效期为</w:t>
      </w: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0</w:t>
      </w:r>
      <w:r>
        <w:rPr>
          <w:rFonts w:hint="eastAsia" w:ascii="宋体" w:hAnsi="宋体" w:cs="宋体"/>
          <w:color w:val="auto"/>
          <w:kern w:val="0"/>
          <w:sz w:val="21"/>
          <w:szCs w:val="21"/>
          <w:highlight w:val="none"/>
          <w:lang w:val="en-US" w:eastAsia="zh-CN"/>
        </w:rPr>
        <w:t>日历</w:t>
      </w:r>
      <w:r>
        <w:rPr>
          <w:rFonts w:hint="eastAsia" w:ascii="宋体" w:hAnsi="宋体" w:eastAsia="宋体" w:cs="宋体"/>
          <w:color w:val="auto"/>
          <w:kern w:val="0"/>
          <w:sz w:val="21"/>
          <w:szCs w:val="21"/>
          <w:highlight w:val="none"/>
        </w:rPr>
        <w:t>天。</w:t>
      </w:r>
    </w:p>
    <w:p w14:paraId="26A5D5C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3.3.2 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21C6265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55" w:name="_Toc227657481"/>
      <w:bookmarkStart w:id="356" w:name="_Toc23407"/>
      <w:bookmarkStart w:id="357" w:name="_Toc228337092"/>
      <w:bookmarkStart w:id="358" w:name="_Toc6375"/>
      <w:bookmarkStart w:id="359" w:name="_Toc228591651"/>
      <w:bookmarkStart w:id="360" w:name="_Toc228589157"/>
      <w:bookmarkStart w:id="361" w:name="_Toc227492238"/>
      <w:bookmarkStart w:id="362" w:name="_Toc214433881"/>
      <w:bookmarkStart w:id="363" w:name="_Toc228881155"/>
      <w:bookmarkStart w:id="364" w:name="_Toc228591503"/>
      <w:bookmarkStart w:id="365" w:name="_Toc272772568"/>
      <w:r>
        <w:rPr>
          <w:rFonts w:hint="eastAsia" w:ascii="宋体" w:hAnsi="宋体" w:eastAsia="宋体" w:cs="宋体"/>
          <w:b/>
          <w:bCs/>
          <w:color w:val="auto"/>
          <w:kern w:val="0"/>
          <w:sz w:val="21"/>
          <w:szCs w:val="21"/>
          <w:highlight w:val="none"/>
        </w:rPr>
        <w:t>3.4 投标保证金</w:t>
      </w:r>
      <w:bookmarkEnd w:id="355"/>
      <w:bookmarkEnd w:id="356"/>
      <w:bookmarkEnd w:id="357"/>
      <w:bookmarkEnd w:id="358"/>
      <w:bookmarkEnd w:id="359"/>
      <w:bookmarkEnd w:id="360"/>
      <w:bookmarkEnd w:id="361"/>
      <w:bookmarkEnd w:id="362"/>
      <w:bookmarkEnd w:id="363"/>
      <w:bookmarkEnd w:id="364"/>
      <w:bookmarkEnd w:id="365"/>
    </w:p>
    <w:p w14:paraId="18495A1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3.4.1 投标人在递交投标文件的同时，应按投标人须知前附表规定的金额、递交形式和第九章“投标文件格式”规定的投标保证金格式递交投标保证金，并作为其投标文件的组成部分。</w:t>
      </w:r>
    </w:p>
    <w:p w14:paraId="2BEF3B2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联合体投标的，其投标保证金由牵头人递交，并应符合投标人须知前附表的规定。</w:t>
      </w:r>
    </w:p>
    <w:p w14:paraId="4BA47B6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3.4.2 投标人不按本章第3.4.1 项要求提交投标保证金的，其投标文件作无效标处理。</w:t>
      </w:r>
    </w:p>
    <w:p w14:paraId="365D4AB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3.4.3 招标人与中标人签订合同后5日内，按有关规定向中标人和未中标人退还投标保证金。</w:t>
      </w:r>
    </w:p>
    <w:p w14:paraId="54527C9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3.4.4 有下列情形之一的，投标保证金将不予退还：</w:t>
      </w:r>
    </w:p>
    <w:p w14:paraId="329A7C40">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（1）投标人在规定的投标有效期内撤销或修改其投标文件；</w:t>
      </w:r>
    </w:p>
    <w:p w14:paraId="542BA53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（2）招标人发放中标通知书前，排名第一的中标候选人除因被查实存在违法违规行为取消第一中标候选人资格和不可抗力放弃中标外，排名第一的中标候选人放弃中标的，其递交的投标保证金招标人不予退还；</w:t>
      </w:r>
    </w:p>
    <w:p w14:paraId="55D77A2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（3）中标人在收到中标通知书后，无正当理由拒签合同协议书或未按招标文件规定提交履约保证金；</w:t>
      </w:r>
    </w:p>
    <w:p w14:paraId="5D53D3F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（4）有串标、围标、弄虚作假等违规情况的。</w:t>
      </w:r>
    </w:p>
    <w:p w14:paraId="02AD010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66" w:name="_Toc228881156"/>
      <w:bookmarkStart w:id="367" w:name="_Toc227657482"/>
      <w:bookmarkStart w:id="368" w:name="_Toc228591652"/>
      <w:bookmarkStart w:id="369" w:name="_Toc228591504"/>
      <w:bookmarkStart w:id="370" w:name="_Toc228337093"/>
      <w:bookmarkStart w:id="371" w:name="_Toc228589158"/>
      <w:bookmarkStart w:id="372" w:name="_Toc272772569"/>
      <w:bookmarkStart w:id="373" w:name="_Toc227492239"/>
      <w:bookmarkStart w:id="374" w:name="_Toc214433882"/>
      <w:bookmarkStart w:id="375" w:name="_Toc5393"/>
      <w:bookmarkStart w:id="376" w:name="_Toc6761"/>
      <w:r>
        <w:rPr>
          <w:rFonts w:hint="eastAsia" w:ascii="宋体" w:hAnsi="宋体" w:eastAsia="宋体" w:cs="宋体"/>
          <w:b/>
          <w:bCs/>
          <w:color w:val="auto"/>
          <w:kern w:val="0"/>
          <w:sz w:val="21"/>
          <w:szCs w:val="21"/>
          <w:highlight w:val="none"/>
        </w:rPr>
        <w:t>3.5资格审查资料</w:t>
      </w:r>
      <w:bookmarkEnd w:id="366"/>
      <w:bookmarkEnd w:id="367"/>
      <w:bookmarkEnd w:id="368"/>
      <w:bookmarkEnd w:id="369"/>
      <w:bookmarkEnd w:id="370"/>
      <w:bookmarkEnd w:id="371"/>
      <w:bookmarkEnd w:id="372"/>
      <w:bookmarkEnd w:id="373"/>
      <w:bookmarkEnd w:id="374"/>
      <w:r>
        <w:rPr>
          <w:rFonts w:hint="eastAsia" w:ascii="宋体" w:hAnsi="宋体" w:eastAsia="宋体" w:cs="宋体"/>
          <w:b/>
          <w:bCs/>
          <w:color w:val="auto"/>
          <w:kern w:val="0"/>
          <w:sz w:val="21"/>
          <w:szCs w:val="21"/>
          <w:highlight w:val="none"/>
        </w:rPr>
        <w:t>（适用于未进行资格预审的）</w:t>
      </w:r>
      <w:bookmarkEnd w:id="375"/>
      <w:bookmarkEnd w:id="376"/>
    </w:p>
    <w:p w14:paraId="0B0AAEB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bookmarkStart w:id="377" w:name="_Toc282853913"/>
      <w:bookmarkStart w:id="378" w:name="_Toc228591654"/>
      <w:bookmarkStart w:id="379" w:name="_Toc228591506"/>
      <w:bookmarkStart w:id="380" w:name="_Toc228337095"/>
      <w:bookmarkStart w:id="381" w:name="_Toc228881158"/>
      <w:bookmarkStart w:id="382" w:name="_Toc227492241"/>
      <w:bookmarkStart w:id="383" w:name="_Toc227657484"/>
      <w:bookmarkStart w:id="384" w:name="_Toc228589160"/>
      <w:bookmarkStart w:id="385" w:name="_Toc272772571"/>
      <w:bookmarkStart w:id="386" w:name="_Toc214433884"/>
      <w:r>
        <w:rPr>
          <w:rFonts w:hint="eastAsia" w:ascii="宋体" w:hAnsi="宋体" w:eastAsia="宋体" w:cs="宋体"/>
          <w:color w:val="auto"/>
          <w:kern w:val="0"/>
          <w:sz w:val="21"/>
          <w:szCs w:val="21"/>
          <w:highlight w:val="none"/>
        </w:rPr>
        <w:t>投标人在编制投标文件时，应提供如下资料，以证实其各项资格条件能满足要求，具备承担本项目施工的资质条件、能力和信誉。</w:t>
      </w:r>
    </w:p>
    <w:p w14:paraId="3ADD8DD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3.5.1 “投标人基本情况表”应附投标人营业执照</w:t>
      </w:r>
      <w:r>
        <w:rPr>
          <w:rFonts w:hint="eastAsia" w:ascii="宋体" w:hAnsi="宋体" w:cs="宋体"/>
          <w:color w:val="auto"/>
          <w:kern w:val="0"/>
          <w:sz w:val="21"/>
          <w:szCs w:val="21"/>
          <w:highlight w:val="none"/>
          <w:lang w:val="en-US" w:eastAsia="zh-CN"/>
        </w:rPr>
        <w:t>正</w:t>
      </w:r>
      <w:r>
        <w:rPr>
          <w:rFonts w:hint="eastAsia" w:ascii="宋体" w:hAnsi="宋体" w:eastAsia="宋体" w:cs="宋体"/>
          <w:color w:val="auto"/>
          <w:kern w:val="0"/>
          <w:sz w:val="21"/>
          <w:szCs w:val="21"/>
          <w:highlight w:val="none"/>
        </w:rPr>
        <w:t>本</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资质证书</w:t>
      </w:r>
      <w:r>
        <w:rPr>
          <w:rFonts w:hint="eastAsia" w:ascii="宋体" w:hAnsi="宋体" w:cs="宋体"/>
          <w:color w:val="auto"/>
          <w:kern w:val="0"/>
          <w:sz w:val="21"/>
          <w:szCs w:val="21"/>
          <w:highlight w:val="none"/>
          <w:lang w:val="en-US" w:eastAsia="zh-CN"/>
        </w:rPr>
        <w:t>副本</w:t>
      </w:r>
      <w:r>
        <w:rPr>
          <w:rFonts w:hint="eastAsia" w:ascii="宋体" w:hAnsi="宋体" w:eastAsia="宋体" w:cs="宋体"/>
          <w:color w:val="auto"/>
          <w:kern w:val="0"/>
          <w:sz w:val="21"/>
          <w:szCs w:val="21"/>
          <w:highlight w:val="none"/>
        </w:rPr>
        <w:t>和安全生产许可证等材料的</w:t>
      </w:r>
      <w:r>
        <w:rPr>
          <w:rFonts w:hint="eastAsia" w:ascii="宋体" w:hAnsi="宋体" w:eastAsia="宋体" w:cs="宋体"/>
          <w:color w:val="auto"/>
          <w:kern w:val="0"/>
          <w:sz w:val="21"/>
          <w:szCs w:val="21"/>
          <w:highlight w:val="none"/>
          <w:lang w:val="en-US" w:eastAsia="zh-CN"/>
        </w:rPr>
        <w:t>复印件</w:t>
      </w:r>
      <w:r>
        <w:rPr>
          <w:rFonts w:hint="eastAsia" w:ascii="宋体" w:hAnsi="宋体" w:eastAsia="宋体" w:cs="宋体"/>
          <w:color w:val="auto"/>
          <w:kern w:val="0"/>
          <w:sz w:val="21"/>
          <w:szCs w:val="21"/>
          <w:highlight w:val="none"/>
        </w:rPr>
        <w:t>。</w:t>
      </w:r>
    </w:p>
    <w:p w14:paraId="4BE4A2E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3.5.2 “近年财务状况表”应附经会计师事务所或审计机构审计的财务会计报表，包括资产负债表、现金流量表、利润表（损益表）和财务情况说明书或附注的复印件或扫描件，具体年份要求见投标人须知前附表。投标人的成立时间少于投标人须知前附表规定年份的，提供基本户银行出具的资信证明。</w:t>
      </w:r>
    </w:p>
    <w:p w14:paraId="4E8DB27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3.5.3 “近年完成的类似项目情况表”应附中标通知书</w:t>
      </w:r>
      <w:r>
        <w:rPr>
          <w:rFonts w:hint="eastAsia" w:ascii="宋体" w:hAnsi="宋体" w:cs="宋体"/>
          <w:color w:val="auto"/>
          <w:kern w:val="0"/>
          <w:sz w:val="21"/>
          <w:szCs w:val="21"/>
          <w:highlight w:val="none"/>
          <w:lang w:val="en-US" w:eastAsia="zh-CN"/>
        </w:rPr>
        <w:t>和</w:t>
      </w:r>
      <w:r>
        <w:rPr>
          <w:rFonts w:hint="eastAsia" w:ascii="宋体" w:hAnsi="宋体" w:eastAsia="宋体" w:cs="宋体"/>
          <w:color w:val="auto"/>
          <w:kern w:val="0"/>
          <w:sz w:val="21"/>
          <w:szCs w:val="21"/>
          <w:highlight w:val="none"/>
        </w:rPr>
        <w:t>合同协议书或工程接收证书（工程竣工验收证书）的复印件，具体年份要求见投标人须知前附表。每张表格只填写一个项目，并标明序号。</w:t>
      </w:r>
    </w:p>
    <w:p w14:paraId="0EAD933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3.5.4 “正在施工和新承接的项目情况表”应附中标通知书或合同协议书复印件。每张表格只填写一个项目，并标明序号。</w:t>
      </w:r>
    </w:p>
    <w:p w14:paraId="0720F640">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3.5.5 “近年发生的诉讼及仲裁情况”应说明相关情况，并附法院或仲裁机构作出的判决、裁决等有关法律文书复印件，具体年份要求见投标人须知前附表。</w:t>
      </w:r>
    </w:p>
    <w:p w14:paraId="204217F7">
      <w:pPr>
        <w:wordWrap w:val="0"/>
        <w:spacing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投标人</w:t>
      </w:r>
      <w:r>
        <w:rPr>
          <w:rFonts w:hint="eastAsia" w:ascii="宋体" w:hAnsi="宋体" w:eastAsia="宋体" w:cs="宋体"/>
          <w:b w:val="0"/>
          <w:bCs/>
          <w:color w:val="auto"/>
          <w:sz w:val="21"/>
          <w:szCs w:val="21"/>
          <w:highlight w:val="none"/>
        </w:rPr>
        <w:t>所使用的资格、信誉、业绩</w:t>
      </w:r>
      <w:r>
        <w:rPr>
          <w:rFonts w:hint="eastAsia" w:ascii="宋体" w:hAnsi="宋体" w:cs="宋体"/>
          <w:b w:val="0"/>
          <w:bCs/>
          <w:color w:val="auto"/>
          <w:sz w:val="21"/>
          <w:szCs w:val="21"/>
          <w:highlight w:val="none"/>
          <w:lang w:val="en-US" w:eastAsia="zh-CN"/>
        </w:rPr>
        <w:t>等</w:t>
      </w:r>
      <w:r>
        <w:rPr>
          <w:rFonts w:hint="eastAsia" w:ascii="宋体" w:hAnsi="宋体" w:eastAsia="宋体" w:cs="宋体"/>
          <w:b w:val="0"/>
          <w:bCs/>
          <w:color w:val="auto"/>
          <w:sz w:val="21"/>
          <w:szCs w:val="21"/>
          <w:highlight w:val="none"/>
        </w:rPr>
        <w:t>必须为本法人所拥有</w:t>
      </w:r>
      <w:r>
        <w:rPr>
          <w:rFonts w:hint="eastAsia" w:ascii="宋体" w:hAnsi="宋体" w:cs="宋体"/>
          <w:b w:val="0"/>
          <w:bCs/>
          <w:color w:val="auto"/>
          <w:sz w:val="21"/>
          <w:szCs w:val="21"/>
          <w:highlight w:val="none"/>
          <w:lang w:val="en-US" w:eastAsia="zh-CN"/>
        </w:rPr>
        <w:t>并</w:t>
      </w:r>
      <w:r>
        <w:rPr>
          <w:rFonts w:hint="eastAsia" w:ascii="宋体" w:hAnsi="宋体" w:eastAsia="宋体" w:cs="宋体"/>
          <w:b w:val="0"/>
          <w:bCs/>
          <w:color w:val="auto"/>
          <w:sz w:val="21"/>
          <w:szCs w:val="21"/>
          <w:highlight w:val="none"/>
        </w:rPr>
        <w:t>书面承</w:t>
      </w:r>
      <w:r>
        <w:rPr>
          <w:rFonts w:hint="eastAsia" w:ascii="宋体" w:hAnsi="宋体" w:eastAsia="宋体" w:cs="宋体"/>
          <w:b w:val="0"/>
          <w:bCs/>
          <w:color w:val="auto"/>
          <w:sz w:val="2"/>
          <w:szCs w:val="2"/>
          <w:highlight w:val="none"/>
          <w:lang w:val="en-US" w:eastAsia="zh-CN"/>
        </w:rPr>
        <w:t xml:space="preserve"> </w:t>
      </w:r>
      <w:r>
        <w:rPr>
          <w:rFonts w:hint="eastAsia" w:ascii="宋体" w:hAnsi="宋体" w:eastAsia="宋体" w:cs="宋体"/>
          <w:b w:val="0"/>
          <w:bCs/>
          <w:color w:val="auto"/>
          <w:sz w:val="21"/>
          <w:szCs w:val="21"/>
          <w:highlight w:val="none"/>
        </w:rPr>
        <w:t>诺，作为</w:t>
      </w:r>
      <w:r>
        <w:rPr>
          <w:rFonts w:hint="eastAsia" w:ascii="宋体" w:hAnsi="宋体" w:cs="宋体"/>
          <w:b w:val="0"/>
          <w:bCs/>
          <w:color w:val="auto"/>
          <w:sz w:val="21"/>
          <w:szCs w:val="21"/>
          <w:highlight w:val="none"/>
          <w:lang w:val="en-US" w:eastAsia="zh-CN"/>
        </w:rPr>
        <w:t>资格</w:t>
      </w:r>
      <w:r>
        <w:rPr>
          <w:rFonts w:hint="eastAsia" w:ascii="宋体" w:hAnsi="宋体" w:eastAsia="宋体" w:cs="宋体"/>
          <w:b w:val="0"/>
          <w:bCs/>
          <w:color w:val="auto"/>
          <w:sz w:val="21"/>
          <w:szCs w:val="21"/>
          <w:highlight w:val="none"/>
        </w:rPr>
        <w:t>审查的一项。</w:t>
      </w:r>
    </w:p>
    <w:p w14:paraId="65B65698">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3.6 备选投标方案（不允许）</w:t>
      </w:r>
      <w:bookmarkEnd w:id="377"/>
    </w:p>
    <w:p w14:paraId="28E3784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bookmarkStart w:id="387" w:name="_Toc3192"/>
      <w:r>
        <w:rPr>
          <w:rFonts w:hint="eastAsia" w:ascii="宋体" w:hAnsi="宋体" w:eastAsia="宋体" w:cs="宋体"/>
          <w:color w:val="auto"/>
          <w:kern w:val="0"/>
          <w:sz w:val="21"/>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bookmarkEnd w:id="387"/>
    </w:p>
    <w:p w14:paraId="20F484BA">
      <w:pPr>
        <w:wordWrap w:val="0"/>
        <w:spacing w:line="360" w:lineRule="auto"/>
        <w:rPr>
          <w:rFonts w:hint="eastAsia" w:ascii="宋体" w:hAnsi="宋体" w:eastAsia="宋体" w:cs="宋体"/>
          <w:b/>
          <w:color w:val="auto"/>
          <w:sz w:val="21"/>
          <w:szCs w:val="21"/>
          <w:highlight w:val="none"/>
        </w:rPr>
      </w:pPr>
      <w:bookmarkStart w:id="388" w:name="_Toc18505"/>
      <w:r>
        <w:rPr>
          <w:rFonts w:hint="eastAsia" w:ascii="宋体" w:hAnsi="宋体" w:eastAsia="宋体" w:cs="宋体"/>
          <w:b/>
          <w:color w:val="auto"/>
          <w:sz w:val="21"/>
          <w:szCs w:val="21"/>
          <w:highlight w:val="none"/>
        </w:rPr>
        <w:t>3.7 投标文件的编制</w:t>
      </w:r>
      <w:bookmarkEnd w:id="378"/>
      <w:bookmarkEnd w:id="379"/>
      <w:bookmarkEnd w:id="380"/>
      <w:bookmarkEnd w:id="381"/>
      <w:bookmarkEnd w:id="382"/>
      <w:bookmarkEnd w:id="383"/>
      <w:bookmarkEnd w:id="384"/>
      <w:bookmarkEnd w:id="385"/>
      <w:bookmarkEnd w:id="386"/>
      <w:bookmarkEnd w:id="388"/>
    </w:p>
    <w:p w14:paraId="5F54B1AC">
      <w:pPr>
        <w:wordWrap w:val="0"/>
        <w:spacing w:line="360" w:lineRule="auto"/>
        <w:ind w:firstLine="420" w:firstLineChars="200"/>
        <w:rPr>
          <w:rFonts w:hint="eastAsia" w:ascii="宋体" w:hAnsi="宋体" w:eastAsia="宋体" w:cs="宋体"/>
          <w:color w:val="auto"/>
          <w:sz w:val="21"/>
          <w:szCs w:val="21"/>
          <w:highlight w:val="none"/>
        </w:rPr>
      </w:pPr>
      <w:bookmarkStart w:id="389" w:name="_Toc214433885"/>
      <w:bookmarkStart w:id="390" w:name="_Toc228337096"/>
      <w:bookmarkStart w:id="391" w:name="_Toc272772572"/>
      <w:bookmarkStart w:id="392" w:name="_Toc228591507"/>
      <w:bookmarkStart w:id="393" w:name="_Toc227657485"/>
      <w:bookmarkStart w:id="394" w:name="_Toc228591655"/>
      <w:bookmarkStart w:id="395" w:name="_Toc227492242"/>
      <w:bookmarkStart w:id="396" w:name="_Toc228589161"/>
      <w:bookmarkStart w:id="397" w:name="_Toc228881159"/>
      <w:bookmarkStart w:id="398" w:name="_Toc16906"/>
      <w:r>
        <w:rPr>
          <w:rFonts w:hint="eastAsia" w:ascii="宋体" w:hAnsi="宋体" w:eastAsia="宋体" w:cs="宋体"/>
          <w:color w:val="auto"/>
          <w:sz w:val="21"/>
          <w:szCs w:val="21"/>
          <w:highlight w:val="none"/>
        </w:rPr>
        <w:t>3.7.1 投标文件应按第九章“投标文件格式”使用驻马店市公共资源交易系统投标文件制作专用工具软件编制。其中，投标函附录在满足招标文件实质性要求的基础上，可以提出比招标文件要求更有利于招标人的承诺。</w:t>
      </w:r>
    </w:p>
    <w:p w14:paraId="7C09901D">
      <w:pPr>
        <w:wordWrap w:val="0"/>
        <w:spacing w:line="360" w:lineRule="auto"/>
        <w:ind w:firstLine="420" w:firstLineChars="200"/>
        <w:rPr>
          <w:rFonts w:hint="eastAsia" w:ascii="宋体" w:hAnsi="宋体" w:eastAsia="宋体" w:cs="宋体"/>
          <w:color w:val="auto"/>
          <w:kern w:val="0"/>
          <w:sz w:val="24"/>
          <w:highlight w:val="none"/>
        </w:rPr>
      </w:pPr>
      <w:r>
        <w:rPr>
          <w:rFonts w:hint="eastAsia" w:ascii="宋体" w:hAnsi="宋体" w:eastAsia="宋体" w:cs="宋体"/>
          <w:color w:val="auto"/>
          <w:sz w:val="21"/>
          <w:szCs w:val="21"/>
          <w:highlight w:val="none"/>
        </w:rPr>
        <w:t>3.7.2 投标文件应当对招标文件有关工期、投标有效期、质量标准、技术标准和要求、招标范围等实质性内容作出响应。</w:t>
      </w:r>
      <w:r>
        <w:rPr>
          <w:rFonts w:hint="eastAsia" w:ascii="宋体" w:hAnsi="宋体" w:cs="宋体"/>
          <w:color w:val="auto"/>
          <w:sz w:val="21"/>
          <w:szCs w:val="21"/>
          <w:highlight w:val="none"/>
          <w:lang w:val="en-US" w:eastAsia="zh-CN"/>
        </w:rPr>
        <w:t>投标人应按本招标文件规定的格式和顺序编制投标文件，除了投标文件封面以外，每个页面应在明显位置编制页码，按流水顺序填写，投标文件的目录应编序，在“目录”处须加盖法人章，否则视为未实质性响应招标文件。</w:t>
      </w:r>
    </w:p>
    <w:p w14:paraId="484BE6A2">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3.7.3因投标人自身原因，导致电子投标文件上传件出现问题，其投标文件作无效标处理。</w:t>
      </w:r>
    </w:p>
    <w:p w14:paraId="03C18C04">
      <w:pPr>
        <w:pStyle w:val="87"/>
        <w:wordWrap w:val="0"/>
        <w:spacing w:line="360" w:lineRule="auto"/>
        <w:ind w:right="-34" w:rightChars="-16"/>
        <w:outlineLvl w:val="0"/>
        <w:rPr>
          <w:rFonts w:hint="eastAsia" w:ascii="宋体" w:hAnsi="宋体" w:eastAsia="宋体" w:cs="宋体"/>
          <w:b/>
          <w:bCs/>
          <w:color w:val="auto"/>
          <w:sz w:val="21"/>
          <w:szCs w:val="21"/>
          <w:highlight w:val="none"/>
        </w:rPr>
      </w:pPr>
      <w:bookmarkStart w:id="399" w:name="_Toc511"/>
      <w:r>
        <w:rPr>
          <w:rFonts w:hint="eastAsia" w:ascii="宋体" w:hAnsi="宋体" w:eastAsia="宋体" w:cs="宋体"/>
          <w:b/>
          <w:bCs/>
          <w:color w:val="auto"/>
          <w:sz w:val="21"/>
          <w:szCs w:val="21"/>
          <w:highlight w:val="none"/>
        </w:rPr>
        <w:t>4. 投标</w:t>
      </w:r>
      <w:bookmarkEnd w:id="389"/>
      <w:bookmarkEnd w:id="390"/>
      <w:bookmarkEnd w:id="391"/>
      <w:bookmarkEnd w:id="392"/>
      <w:bookmarkEnd w:id="393"/>
      <w:bookmarkEnd w:id="394"/>
      <w:bookmarkEnd w:id="395"/>
      <w:bookmarkEnd w:id="396"/>
      <w:bookmarkEnd w:id="397"/>
      <w:bookmarkEnd w:id="398"/>
      <w:bookmarkEnd w:id="399"/>
    </w:p>
    <w:p w14:paraId="4B8FCCB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00" w:name="_Toc214433886"/>
      <w:bookmarkStart w:id="401" w:name="_Toc227657486"/>
      <w:bookmarkStart w:id="402" w:name="_Toc272772573"/>
      <w:bookmarkStart w:id="403" w:name="_Toc228881160"/>
      <w:bookmarkStart w:id="404" w:name="_Toc31524"/>
      <w:bookmarkStart w:id="405" w:name="_Toc227492243"/>
      <w:bookmarkStart w:id="406" w:name="_Toc25502"/>
      <w:bookmarkStart w:id="407" w:name="_Toc228589162"/>
      <w:bookmarkStart w:id="408" w:name="_Toc228591508"/>
      <w:bookmarkStart w:id="409" w:name="_Toc228591656"/>
      <w:bookmarkStart w:id="410" w:name="_Toc228337097"/>
      <w:r>
        <w:rPr>
          <w:rFonts w:hint="eastAsia" w:ascii="宋体" w:hAnsi="宋体" w:eastAsia="宋体" w:cs="宋体"/>
          <w:b/>
          <w:bCs/>
          <w:color w:val="auto"/>
          <w:kern w:val="0"/>
          <w:sz w:val="21"/>
          <w:szCs w:val="21"/>
          <w:highlight w:val="none"/>
        </w:rPr>
        <w:t>4.1 投标文件的密封和标记</w:t>
      </w:r>
      <w:bookmarkEnd w:id="400"/>
      <w:bookmarkEnd w:id="401"/>
      <w:bookmarkEnd w:id="402"/>
      <w:bookmarkEnd w:id="403"/>
      <w:bookmarkEnd w:id="404"/>
      <w:bookmarkEnd w:id="405"/>
      <w:bookmarkEnd w:id="406"/>
      <w:bookmarkEnd w:id="407"/>
      <w:bookmarkEnd w:id="408"/>
      <w:bookmarkEnd w:id="409"/>
      <w:bookmarkEnd w:id="410"/>
    </w:p>
    <w:p w14:paraId="4D32905A">
      <w:pPr>
        <w:wordWrap w:val="0"/>
        <w:spacing w:line="360" w:lineRule="auto"/>
        <w:ind w:firstLine="420" w:firstLineChars="200"/>
        <w:rPr>
          <w:rFonts w:hint="eastAsia" w:ascii="宋体" w:hAnsi="宋体" w:eastAsia="宋体" w:cs="宋体"/>
          <w:color w:val="auto"/>
          <w:sz w:val="21"/>
          <w:szCs w:val="21"/>
          <w:highlight w:val="none"/>
        </w:rPr>
      </w:pPr>
      <w:bookmarkStart w:id="411" w:name="_Toc227492244"/>
      <w:bookmarkStart w:id="412" w:name="_Toc228591509"/>
      <w:bookmarkStart w:id="413" w:name="_Toc228337098"/>
      <w:bookmarkStart w:id="414" w:name="_Toc228591657"/>
      <w:bookmarkStart w:id="415" w:name="_Toc227657487"/>
      <w:bookmarkStart w:id="416" w:name="_Toc228881161"/>
      <w:bookmarkStart w:id="417" w:name="_Toc228589163"/>
      <w:bookmarkStart w:id="418" w:name="_Toc272772574"/>
      <w:bookmarkStart w:id="419" w:name="_Toc214433887"/>
      <w:r>
        <w:rPr>
          <w:rFonts w:hint="eastAsia" w:ascii="宋体" w:hAnsi="宋体" w:eastAsia="宋体" w:cs="宋体"/>
          <w:color w:val="auto"/>
          <w:sz w:val="21"/>
          <w:szCs w:val="21"/>
          <w:highlight w:val="none"/>
        </w:rPr>
        <w:t>4.1.1 网上上传的电子投标文件应使用数字证书认证并加密；如网上上传的投标文件未按本章第3.7项要求加密和数字证书认证的投标文件，招标人将不予受理。</w:t>
      </w:r>
    </w:p>
    <w:p w14:paraId="2A41020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20" w:name="_Toc25433"/>
      <w:bookmarkStart w:id="421" w:name="_Toc20235"/>
      <w:r>
        <w:rPr>
          <w:rFonts w:hint="eastAsia" w:ascii="宋体" w:hAnsi="宋体" w:eastAsia="宋体" w:cs="宋体"/>
          <w:b/>
          <w:bCs/>
          <w:color w:val="auto"/>
          <w:kern w:val="0"/>
          <w:sz w:val="21"/>
          <w:szCs w:val="21"/>
          <w:highlight w:val="none"/>
        </w:rPr>
        <w:t>4.2 投标文件的递交</w:t>
      </w:r>
      <w:bookmarkEnd w:id="411"/>
      <w:bookmarkEnd w:id="412"/>
      <w:bookmarkEnd w:id="413"/>
      <w:bookmarkEnd w:id="414"/>
      <w:bookmarkEnd w:id="415"/>
      <w:bookmarkEnd w:id="416"/>
      <w:bookmarkEnd w:id="417"/>
      <w:bookmarkEnd w:id="418"/>
      <w:bookmarkEnd w:id="419"/>
      <w:bookmarkEnd w:id="420"/>
      <w:bookmarkEnd w:id="421"/>
    </w:p>
    <w:p w14:paraId="36772D1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bookmarkStart w:id="422" w:name="_Toc228591658"/>
      <w:bookmarkStart w:id="423" w:name="_Toc228337099"/>
      <w:bookmarkStart w:id="424" w:name="_Toc228591510"/>
      <w:bookmarkStart w:id="425" w:name="_Toc272772575"/>
      <w:bookmarkStart w:id="426" w:name="_Toc214433888"/>
      <w:bookmarkStart w:id="427" w:name="_Toc228589164"/>
      <w:bookmarkStart w:id="428" w:name="_Toc227657488"/>
      <w:bookmarkStart w:id="429" w:name="_Toc228881162"/>
      <w:bookmarkStart w:id="430" w:name="_Toc227492245"/>
      <w:r>
        <w:rPr>
          <w:rFonts w:hint="eastAsia" w:ascii="宋体" w:hAnsi="宋体" w:eastAsia="宋体" w:cs="宋体"/>
          <w:color w:val="auto"/>
          <w:kern w:val="0"/>
          <w:sz w:val="21"/>
          <w:szCs w:val="21"/>
          <w:highlight w:val="none"/>
        </w:rPr>
        <w:t>4.2.1 投标人应在投标人须知前附表规定的投标截止时间前递交投标文件。</w:t>
      </w:r>
    </w:p>
    <w:p w14:paraId="18BFBBE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 投标人递交投标文件的地点：见投标人须知前附表。</w:t>
      </w:r>
    </w:p>
    <w:p w14:paraId="3209703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本项目采用不见面开标，投标人无需递交纸质投标文件及原件，投标企业应在项目开标前，将项目经理、人员、资质、业绩、财务等投标所需材料扫描件，上传至驻马店市公共资源电子交易平台诚信库中，同时在“资格审查材料（不见面开标）”</w:t>
      </w:r>
      <w:r>
        <w:rPr>
          <w:rFonts w:hint="eastAsia" w:ascii="宋体" w:hAnsi="宋体" w:eastAsia="宋体" w:cs="宋体"/>
          <w:color w:val="auto"/>
          <w:sz w:val="21"/>
          <w:szCs w:val="21"/>
          <w:highlight w:val="none"/>
          <w:shd w:val="clear" w:color="auto" w:fill="FFFFFF"/>
        </w:rPr>
        <w:t>菜单下按标段挑选该标段投标所用资格审查材料</w:t>
      </w:r>
      <w:r>
        <w:rPr>
          <w:rFonts w:hint="eastAsia" w:ascii="宋体" w:hAnsi="宋体" w:eastAsia="宋体" w:cs="宋体"/>
          <w:color w:val="auto"/>
          <w:kern w:val="0"/>
          <w:sz w:val="21"/>
          <w:szCs w:val="21"/>
          <w:highlight w:val="none"/>
        </w:rPr>
        <w:t>，</w:t>
      </w:r>
      <w:r>
        <w:rPr>
          <w:rFonts w:hint="eastAsia" w:ascii="宋体" w:hAnsi="宋体" w:cs="宋体"/>
          <w:color w:val="auto"/>
          <w:kern w:val="0"/>
          <w:sz w:val="21"/>
          <w:szCs w:val="21"/>
          <w:highlight w:val="none"/>
          <w:lang w:val="en-US" w:eastAsia="zh-CN"/>
        </w:rPr>
        <w:t>投标人</w:t>
      </w:r>
      <w:r>
        <w:rPr>
          <w:rFonts w:hint="eastAsia" w:ascii="宋体" w:hAnsi="宋体" w:eastAsia="宋体" w:cs="宋体"/>
          <w:color w:val="auto"/>
          <w:kern w:val="0"/>
          <w:sz w:val="21"/>
          <w:szCs w:val="21"/>
          <w:highlight w:val="none"/>
        </w:rPr>
        <w:t>对所提供的全部资料的合法性、真实性负责</w:t>
      </w:r>
      <w:r>
        <w:rPr>
          <w:rFonts w:hint="eastAsia" w:ascii="宋体" w:hAnsi="宋体" w:eastAsia="宋体" w:cs="宋体"/>
          <w:color w:val="auto"/>
          <w:kern w:val="0"/>
          <w:sz w:val="21"/>
          <w:szCs w:val="21"/>
          <w:highlight w:val="none"/>
          <w:lang w:val="en-US" w:eastAsia="zh-CN"/>
        </w:rPr>
        <w:t>并做出承</w:t>
      </w:r>
      <w:r>
        <w:rPr>
          <w:rFonts w:hint="eastAsia" w:ascii="宋体" w:hAnsi="宋体" w:eastAsia="宋体" w:cs="宋体"/>
          <w:color w:val="auto"/>
          <w:kern w:val="0"/>
          <w:sz w:val="2"/>
          <w:szCs w:val="2"/>
          <w:highlight w:val="none"/>
          <w:lang w:val="en-US" w:eastAsia="zh-CN"/>
        </w:rPr>
        <w:t xml:space="preserve"> </w:t>
      </w:r>
      <w:r>
        <w:rPr>
          <w:rFonts w:hint="eastAsia" w:ascii="宋体" w:hAnsi="宋体" w:eastAsia="宋体" w:cs="宋体"/>
          <w:color w:val="auto"/>
          <w:kern w:val="0"/>
          <w:sz w:val="21"/>
          <w:szCs w:val="21"/>
          <w:highlight w:val="none"/>
          <w:lang w:val="en-US" w:eastAsia="zh-CN"/>
        </w:rPr>
        <w:t>诺</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否则视为未响应招标文件，</w:t>
      </w:r>
      <w:r>
        <w:rPr>
          <w:rFonts w:hint="eastAsia" w:ascii="宋体" w:hAnsi="宋体" w:eastAsia="宋体" w:cs="宋体"/>
          <w:color w:val="auto"/>
          <w:kern w:val="0"/>
          <w:sz w:val="21"/>
          <w:szCs w:val="21"/>
          <w:highlight w:val="none"/>
        </w:rPr>
        <w:t>评标时以电子投标文件及“资格审查材料（不见面开标）”菜单中选取的信息为准。</w:t>
      </w:r>
    </w:p>
    <w:p w14:paraId="1F40D2A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4.2.4 逾期送达的或者未送达指定地点的投标文件，招标人不予受理。</w:t>
      </w:r>
    </w:p>
    <w:p w14:paraId="45AFDBF8">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31" w:name="_Toc13689"/>
      <w:bookmarkStart w:id="432" w:name="_Toc26166"/>
      <w:r>
        <w:rPr>
          <w:rFonts w:hint="eastAsia" w:ascii="宋体" w:hAnsi="宋体" w:eastAsia="宋体" w:cs="宋体"/>
          <w:b/>
          <w:bCs/>
          <w:color w:val="auto"/>
          <w:kern w:val="0"/>
          <w:sz w:val="21"/>
          <w:szCs w:val="21"/>
          <w:highlight w:val="none"/>
        </w:rPr>
        <w:t>4.3 投标文件的修改与撤回</w:t>
      </w:r>
      <w:bookmarkEnd w:id="422"/>
      <w:bookmarkEnd w:id="423"/>
      <w:bookmarkEnd w:id="424"/>
      <w:bookmarkEnd w:id="425"/>
      <w:bookmarkEnd w:id="426"/>
      <w:bookmarkEnd w:id="427"/>
      <w:bookmarkEnd w:id="428"/>
      <w:bookmarkEnd w:id="429"/>
      <w:bookmarkEnd w:id="430"/>
      <w:bookmarkEnd w:id="431"/>
      <w:bookmarkEnd w:id="432"/>
    </w:p>
    <w:p w14:paraId="06757324">
      <w:pPr>
        <w:wordWrap w:val="0"/>
        <w:spacing w:line="360" w:lineRule="auto"/>
        <w:ind w:firstLine="420" w:firstLineChars="200"/>
        <w:rPr>
          <w:rFonts w:hint="eastAsia" w:ascii="宋体" w:hAnsi="宋体" w:eastAsia="宋体" w:cs="宋体"/>
          <w:color w:val="auto"/>
          <w:sz w:val="21"/>
          <w:szCs w:val="21"/>
          <w:highlight w:val="none"/>
        </w:rPr>
      </w:pPr>
      <w:bookmarkStart w:id="433" w:name="_Toc228591659"/>
      <w:bookmarkStart w:id="434" w:name="_Toc227492246"/>
      <w:bookmarkStart w:id="435" w:name="_Toc228589165"/>
      <w:bookmarkStart w:id="436" w:name="_Toc228337100"/>
      <w:bookmarkStart w:id="437" w:name="_Toc272772576"/>
      <w:bookmarkStart w:id="438" w:name="_Toc228591511"/>
      <w:bookmarkStart w:id="439" w:name="_Toc214433889"/>
      <w:bookmarkStart w:id="440" w:name="_Toc228881163"/>
      <w:bookmarkStart w:id="441" w:name="_Toc227657489"/>
      <w:r>
        <w:rPr>
          <w:rFonts w:hint="eastAsia" w:ascii="宋体" w:hAnsi="宋体" w:eastAsia="宋体" w:cs="宋体"/>
          <w:color w:val="auto"/>
          <w:kern w:val="0"/>
          <w:sz w:val="21"/>
          <w:szCs w:val="21"/>
          <w:highlight w:val="none"/>
        </w:rPr>
        <w:t>4.3.1 在</w:t>
      </w:r>
      <w:r>
        <w:rPr>
          <w:rFonts w:hint="eastAsia" w:ascii="宋体" w:hAnsi="宋体" w:eastAsia="宋体" w:cs="宋体"/>
          <w:color w:val="auto"/>
          <w:sz w:val="21"/>
          <w:szCs w:val="21"/>
          <w:highlight w:val="none"/>
        </w:rPr>
        <w:t>投标人须知前附表4.2.1项规定</w:t>
      </w:r>
      <w:r>
        <w:rPr>
          <w:rFonts w:hint="eastAsia" w:ascii="宋体" w:hAnsi="宋体" w:eastAsia="宋体" w:cs="宋体"/>
          <w:color w:val="auto"/>
          <w:kern w:val="0"/>
          <w:sz w:val="21"/>
          <w:szCs w:val="21"/>
          <w:highlight w:val="none"/>
        </w:rPr>
        <w:t>的投标截止时间前，</w:t>
      </w:r>
      <w:r>
        <w:rPr>
          <w:rFonts w:hint="eastAsia" w:ascii="宋体" w:hAnsi="宋体" w:eastAsia="宋体" w:cs="宋体"/>
          <w:color w:val="auto"/>
          <w:sz w:val="21"/>
          <w:szCs w:val="21"/>
          <w:highlight w:val="none"/>
        </w:rPr>
        <w:t>投标人可以多次修改或撤回已递交的投标文件，最终投标文件以投标截止时间前完成上传至驻马店市公共资源交易中心交易系统最后一份投标文件为准。</w:t>
      </w:r>
    </w:p>
    <w:p w14:paraId="7E12866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4.3.2 投标人修改或撤回已递交投标文件的书面通知应按照本章第3.7.3 项的要求签字或盖章。</w:t>
      </w:r>
    </w:p>
    <w:p w14:paraId="301CD9B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42" w:name="_Toc19918"/>
      <w:bookmarkStart w:id="443" w:name="_Toc30349"/>
      <w:r>
        <w:rPr>
          <w:rFonts w:hint="eastAsia" w:ascii="宋体" w:hAnsi="宋体" w:eastAsia="宋体" w:cs="宋体"/>
          <w:b/>
          <w:bCs/>
          <w:color w:val="auto"/>
          <w:kern w:val="0"/>
          <w:sz w:val="21"/>
          <w:szCs w:val="21"/>
          <w:highlight w:val="none"/>
        </w:rPr>
        <w:t>5. 开标</w:t>
      </w:r>
      <w:bookmarkEnd w:id="433"/>
      <w:bookmarkEnd w:id="434"/>
      <w:bookmarkEnd w:id="435"/>
      <w:bookmarkEnd w:id="436"/>
      <w:bookmarkEnd w:id="437"/>
      <w:bookmarkEnd w:id="438"/>
      <w:bookmarkEnd w:id="439"/>
      <w:bookmarkEnd w:id="440"/>
      <w:bookmarkEnd w:id="441"/>
      <w:bookmarkEnd w:id="442"/>
      <w:bookmarkEnd w:id="443"/>
    </w:p>
    <w:p w14:paraId="0DC7D278">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44" w:name="_Toc3044"/>
      <w:bookmarkStart w:id="445" w:name="_Toc23922"/>
      <w:r>
        <w:rPr>
          <w:rFonts w:hint="eastAsia" w:ascii="宋体" w:hAnsi="宋体" w:eastAsia="宋体" w:cs="宋体"/>
          <w:b/>
          <w:bCs/>
          <w:color w:val="auto"/>
          <w:kern w:val="0"/>
          <w:sz w:val="21"/>
          <w:szCs w:val="21"/>
          <w:highlight w:val="none"/>
        </w:rPr>
        <w:t>5.1开标的时间、地点和要求</w:t>
      </w:r>
      <w:bookmarkEnd w:id="444"/>
      <w:bookmarkEnd w:id="445"/>
    </w:p>
    <w:p w14:paraId="119BAE5D">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5.1.1招标人在本章第 4.2.1项规定的投标截止时间（开标时间）和投标人须知前附表规定的地点开标。</w:t>
      </w:r>
    </w:p>
    <w:p w14:paraId="1DB579DF">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采用远程不见面交易的模式。开标当日，投标人的法定代表人或其委托代理人无需到达开标现场，仅需在任意地点通过驻马店不见面开标系统（http://ggzy.zhumadian.gov.cn:9190/BidOpening/bidopeninghallaction/hall/login）及相应的配套硬件设备（摄像头、话筒、麦克风等），使用CA密钥完成远程解密、评标办法与系数抽取、文件传输、提疑澄清、开标唱标、结果公布等交互环节。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1B2C76D5">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（2）参加人员：</w:t>
      </w:r>
    </w:p>
    <w:p w14:paraId="03313708">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1B831219">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5.1.2投标人须在投标人须知前附表规定的时间内完成解密。 </w:t>
      </w:r>
    </w:p>
    <w:p w14:paraId="1FB92C7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46" w:name="_Toc25295"/>
      <w:r>
        <w:rPr>
          <w:rFonts w:hint="eastAsia" w:ascii="宋体" w:hAnsi="宋体" w:eastAsia="宋体" w:cs="宋体"/>
          <w:b/>
          <w:bCs/>
          <w:color w:val="auto"/>
          <w:kern w:val="0"/>
          <w:sz w:val="21"/>
          <w:szCs w:val="21"/>
          <w:highlight w:val="none"/>
        </w:rPr>
        <w:t>5.2  开标程序</w:t>
      </w:r>
      <w:bookmarkEnd w:id="446"/>
    </w:p>
    <w:p w14:paraId="160BAEDD">
      <w:pPr>
        <w:wordWrap w:val="0"/>
        <w:spacing w:line="360" w:lineRule="auto"/>
        <w:ind w:firstLine="420" w:firstLineChars="200"/>
        <w:jc w:val="left"/>
        <w:rPr>
          <w:rFonts w:hint="eastAsia" w:ascii="宋体" w:hAnsi="宋体" w:eastAsia="宋体" w:cs="宋体"/>
          <w:color w:val="auto"/>
          <w:szCs w:val="21"/>
          <w:highlight w:val="none"/>
        </w:rPr>
      </w:pPr>
      <w:bookmarkStart w:id="447" w:name="_Toc272772579"/>
      <w:bookmarkStart w:id="448" w:name="_Toc228591662"/>
      <w:bookmarkStart w:id="449" w:name="_Toc228589168"/>
      <w:bookmarkStart w:id="450" w:name="_Toc228337103"/>
      <w:bookmarkStart w:id="451" w:name="_Toc227657492"/>
      <w:bookmarkStart w:id="452" w:name="_Toc214433892"/>
      <w:bookmarkStart w:id="453" w:name="_Toc228591514"/>
      <w:bookmarkStart w:id="454" w:name="_Toc228881166"/>
      <w:bookmarkStart w:id="455" w:name="_Toc227492249"/>
      <w:r>
        <w:rPr>
          <w:rFonts w:hint="eastAsia" w:ascii="宋体" w:hAnsi="宋体" w:eastAsia="宋体" w:cs="宋体"/>
          <w:color w:val="auto"/>
          <w:sz w:val="21"/>
          <w:szCs w:val="21"/>
          <w:highlight w:val="none"/>
        </w:rPr>
        <w:t xml:space="preserve">5.2.1 </w:t>
      </w:r>
      <w:r>
        <w:rPr>
          <w:rFonts w:hint="eastAsia" w:ascii="宋体" w:hAnsi="宋体" w:eastAsia="宋体" w:cs="宋体"/>
          <w:color w:val="auto"/>
          <w:szCs w:val="21"/>
          <w:highlight w:val="none"/>
        </w:rPr>
        <w:t>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56927529">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主持人按下列程序进行开标：</w:t>
      </w:r>
    </w:p>
    <w:p w14:paraId="77E64E1A">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（1）宣布投标截止；</w:t>
      </w:r>
    </w:p>
    <w:p w14:paraId="49032623">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（2）公布投标人；</w:t>
      </w:r>
    </w:p>
    <w:p w14:paraId="656BE500">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（3）解密投标文件；</w:t>
      </w:r>
    </w:p>
    <w:p w14:paraId="6EE72341">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（4）唱标；</w:t>
      </w:r>
    </w:p>
    <w:p w14:paraId="47648FDD">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）开标结束；</w:t>
      </w:r>
    </w:p>
    <w:p w14:paraId="518C9DBE">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若因招标人原因或网上招投标平台发生故障，导致无法按时完成投标文件解密或开、评标工作无法进行的，可根据实际情况相应延迟解密时间或调整开、评标时间。</w:t>
      </w:r>
    </w:p>
    <w:p w14:paraId="5CDDD3AD">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开标时出现下列情况的，招标人将拒绝其投标文件。</w:t>
      </w:r>
    </w:p>
    <w:p w14:paraId="44108675">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（1）经检查数字证书无效的投标文件；</w:t>
      </w:r>
    </w:p>
    <w:p w14:paraId="4C797D4C">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（2）投标人未按投标人须知前附表 5.1项规定的时间内因投标人自身原因，导致电子投标文件上传件出现问题无法正常解密、解密失败或解密超时的；</w:t>
      </w:r>
    </w:p>
    <w:p w14:paraId="563C71F5">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w:t>
      </w:r>
      <w:bookmarkStart w:id="456" w:name="_Toc30524"/>
      <w:r>
        <w:rPr>
          <w:rFonts w:hint="eastAsia" w:ascii="宋体" w:hAnsi="宋体" w:eastAsia="宋体" w:cs="宋体"/>
          <w:b/>
          <w:bCs/>
          <w:color w:val="auto"/>
          <w:kern w:val="0"/>
          <w:sz w:val="21"/>
          <w:szCs w:val="21"/>
          <w:highlight w:val="none"/>
        </w:rPr>
        <w:t>5.3 开标异议</w:t>
      </w:r>
      <w:bookmarkEnd w:id="456"/>
    </w:p>
    <w:p w14:paraId="1057F240">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投标人对开标有异议的，可在开标期间通过不见面开标大厅进行网上提问，招标人当场作出答复。</w:t>
      </w:r>
    </w:p>
    <w:p w14:paraId="188AEE2A">
      <w:pPr>
        <w:pStyle w:val="87"/>
        <w:wordWrap w:val="0"/>
        <w:spacing w:line="360" w:lineRule="auto"/>
        <w:ind w:right="-34" w:rightChars="-16"/>
        <w:outlineLvl w:val="0"/>
        <w:rPr>
          <w:rFonts w:hint="eastAsia" w:ascii="宋体" w:hAnsi="宋体" w:eastAsia="宋体" w:cs="宋体"/>
          <w:b/>
          <w:bCs/>
          <w:color w:val="auto"/>
          <w:sz w:val="21"/>
          <w:szCs w:val="21"/>
          <w:highlight w:val="none"/>
        </w:rPr>
      </w:pPr>
      <w:bookmarkStart w:id="457" w:name="_Toc18521"/>
      <w:bookmarkStart w:id="458" w:name="_Toc21687"/>
      <w:r>
        <w:rPr>
          <w:rFonts w:hint="eastAsia" w:ascii="宋体" w:hAnsi="宋体" w:eastAsia="宋体" w:cs="宋体"/>
          <w:b/>
          <w:bCs/>
          <w:color w:val="auto"/>
          <w:sz w:val="21"/>
          <w:szCs w:val="21"/>
          <w:highlight w:val="none"/>
        </w:rPr>
        <w:t>6. 评标</w:t>
      </w:r>
      <w:bookmarkEnd w:id="447"/>
      <w:bookmarkEnd w:id="448"/>
      <w:bookmarkEnd w:id="449"/>
      <w:bookmarkEnd w:id="450"/>
      <w:bookmarkEnd w:id="451"/>
      <w:bookmarkEnd w:id="452"/>
      <w:bookmarkEnd w:id="453"/>
      <w:bookmarkEnd w:id="454"/>
      <w:bookmarkEnd w:id="455"/>
      <w:bookmarkEnd w:id="457"/>
      <w:bookmarkEnd w:id="458"/>
    </w:p>
    <w:p w14:paraId="02D67EB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59" w:name="_Toc228881167"/>
      <w:bookmarkStart w:id="460" w:name="_Toc227657493"/>
      <w:bookmarkStart w:id="461" w:name="_Toc228591515"/>
      <w:bookmarkStart w:id="462" w:name="_Toc214433893"/>
      <w:bookmarkStart w:id="463" w:name="_Toc228337104"/>
      <w:bookmarkStart w:id="464" w:name="_Toc20474"/>
      <w:bookmarkStart w:id="465" w:name="_Toc228591663"/>
      <w:bookmarkStart w:id="466" w:name="_Toc272772580"/>
      <w:bookmarkStart w:id="467" w:name="_Toc228589169"/>
      <w:bookmarkStart w:id="468" w:name="_Toc23550"/>
      <w:bookmarkStart w:id="469" w:name="_Toc227492250"/>
      <w:r>
        <w:rPr>
          <w:rFonts w:hint="eastAsia" w:ascii="宋体" w:hAnsi="宋体" w:eastAsia="宋体" w:cs="宋体"/>
          <w:b/>
          <w:bCs/>
          <w:color w:val="auto"/>
          <w:kern w:val="0"/>
          <w:sz w:val="21"/>
          <w:szCs w:val="21"/>
          <w:highlight w:val="none"/>
        </w:rPr>
        <w:t>6.1 评标委员会</w:t>
      </w:r>
      <w:bookmarkEnd w:id="459"/>
      <w:bookmarkEnd w:id="460"/>
      <w:bookmarkEnd w:id="461"/>
      <w:bookmarkEnd w:id="462"/>
      <w:bookmarkEnd w:id="463"/>
      <w:bookmarkEnd w:id="464"/>
      <w:bookmarkEnd w:id="465"/>
      <w:bookmarkEnd w:id="466"/>
      <w:bookmarkEnd w:id="467"/>
      <w:bookmarkEnd w:id="468"/>
      <w:bookmarkEnd w:id="469"/>
    </w:p>
    <w:p w14:paraId="7C2FD11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6.1.1</w:t>
      </w:r>
      <w:r>
        <w:rPr>
          <w:rFonts w:hint="eastAsia" w:ascii="宋体" w:hAnsi="宋体" w:eastAsia="宋体" w:cs="宋体"/>
          <w:color w:val="auto"/>
          <w:sz w:val="21"/>
          <w:szCs w:val="21"/>
          <w:highlight w:val="none"/>
        </w:rPr>
        <w:t>评标由招标人依法组建的评标委员会负责。评标委员会由有关技术、经济等方面的专家组成。评标委员会成员人数以及技术、经济等方面专家的确定方式见投标人须知前附表。</w:t>
      </w:r>
    </w:p>
    <w:p w14:paraId="003B7DBE">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6.1.2 评标委员会成员有下列情形之一的，应当回避：</w:t>
      </w:r>
    </w:p>
    <w:p w14:paraId="23949446">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（1）投标人的在职人员；</w:t>
      </w:r>
    </w:p>
    <w:p w14:paraId="64D0E191">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（2）投标人或者投标人主要负责人的近亲属；</w:t>
      </w:r>
    </w:p>
    <w:p w14:paraId="53896DF5">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（3）与投标人有其他利害关系，可能影响公正评标的；</w:t>
      </w:r>
    </w:p>
    <w:p w14:paraId="47488692">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（4）招标项目主管部门或者对项目招标投标活动具有监督管理职责的行政监督部门的工作人员；</w:t>
      </w:r>
    </w:p>
    <w:p w14:paraId="17F66547">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（5）曾因在招标、评标以及其他与招标投标有关活动中从事违法行为而受过行政处罚或刑事处罚的。</w:t>
      </w:r>
    </w:p>
    <w:p w14:paraId="11E0F9A4">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（6）招标项目代理机构的在职人员；</w:t>
      </w:r>
    </w:p>
    <w:p w14:paraId="40D04657">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（7）法律、法规和规章规定的其他情形。</w:t>
      </w:r>
    </w:p>
    <w:p w14:paraId="664DBFA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70" w:name="_Toc272772581"/>
      <w:bookmarkStart w:id="471" w:name="_Toc228589170"/>
      <w:bookmarkStart w:id="472" w:name="_Toc228591664"/>
      <w:bookmarkStart w:id="473" w:name="_Toc227492251"/>
      <w:bookmarkStart w:id="474" w:name="_Toc227657494"/>
      <w:bookmarkStart w:id="475" w:name="_Toc228591516"/>
      <w:bookmarkStart w:id="476" w:name="_Toc19497"/>
      <w:bookmarkStart w:id="477" w:name="_Toc13709"/>
      <w:bookmarkStart w:id="478" w:name="_Toc228881168"/>
      <w:bookmarkStart w:id="479" w:name="_Toc228337105"/>
      <w:bookmarkStart w:id="480" w:name="_Toc214433894"/>
      <w:r>
        <w:rPr>
          <w:rFonts w:hint="eastAsia" w:ascii="宋体" w:hAnsi="宋体" w:eastAsia="宋体" w:cs="宋体"/>
          <w:b/>
          <w:bCs/>
          <w:color w:val="auto"/>
          <w:kern w:val="0"/>
          <w:sz w:val="21"/>
          <w:szCs w:val="21"/>
          <w:highlight w:val="none"/>
        </w:rPr>
        <w:t>6.2 评标原则</w:t>
      </w:r>
      <w:bookmarkEnd w:id="470"/>
      <w:bookmarkEnd w:id="471"/>
      <w:bookmarkEnd w:id="472"/>
      <w:bookmarkEnd w:id="473"/>
      <w:bookmarkEnd w:id="474"/>
      <w:bookmarkEnd w:id="475"/>
      <w:bookmarkEnd w:id="476"/>
      <w:bookmarkEnd w:id="477"/>
      <w:bookmarkEnd w:id="478"/>
      <w:bookmarkEnd w:id="479"/>
      <w:bookmarkEnd w:id="480"/>
    </w:p>
    <w:p w14:paraId="2ED933E5">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评标活动遵循公平、公正、科学和择优的原则。</w:t>
      </w:r>
    </w:p>
    <w:p w14:paraId="24F19627">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81" w:name="_Toc12057"/>
      <w:bookmarkStart w:id="482" w:name="_Toc227657495"/>
      <w:bookmarkStart w:id="483" w:name="_Toc228591517"/>
      <w:bookmarkStart w:id="484" w:name="_Toc6691"/>
      <w:bookmarkStart w:id="485" w:name="_Toc228881169"/>
      <w:bookmarkStart w:id="486" w:name="_Toc214433895"/>
      <w:bookmarkStart w:id="487" w:name="_Toc227492252"/>
      <w:bookmarkStart w:id="488" w:name="_Toc228591665"/>
      <w:bookmarkStart w:id="489" w:name="_Toc272772582"/>
      <w:bookmarkStart w:id="490" w:name="_Toc228337106"/>
      <w:bookmarkStart w:id="491" w:name="_Toc228589171"/>
      <w:r>
        <w:rPr>
          <w:rFonts w:hint="eastAsia" w:ascii="宋体" w:hAnsi="宋体" w:eastAsia="宋体" w:cs="宋体"/>
          <w:b/>
          <w:bCs/>
          <w:color w:val="auto"/>
          <w:kern w:val="0"/>
          <w:sz w:val="21"/>
          <w:szCs w:val="21"/>
          <w:highlight w:val="none"/>
        </w:rPr>
        <w:t>6.3 评标</w:t>
      </w:r>
      <w:bookmarkEnd w:id="481"/>
      <w:bookmarkEnd w:id="482"/>
      <w:bookmarkEnd w:id="483"/>
      <w:bookmarkEnd w:id="484"/>
      <w:bookmarkEnd w:id="485"/>
      <w:bookmarkEnd w:id="486"/>
      <w:bookmarkEnd w:id="487"/>
      <w:bookmarkEnd w:id="488"/>
      <w:bookmarkEnd w:id="489"/>
      <w:bookmarkEnd w:id="490"/>
      <w:bookmarkEnd w:id="491"/>
    </w:p>
    <w:p w14:paraId="4289A912">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6.3.1评标委员会按照第三章“评标办法”规定的方法、评审因素、标准和程序对投标文件进行评审。第三章“评标办法”没有规定的方法、评审因素和标准，不作为评标依据。评标方法和评标方式见前附表6.3.4及6.3.5项。</w:t>
      </w:r>
    </w:p>
    <w:p w14:paraId="1D7A2A37">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92" w:name="_Toc18443"/>
      <w:bookmarkStart w:id="493" w:name="_Toc18818"/>
      <w:bookmarkStart w:id="494" w:name="_Toc21800"/>
      <w:bookmarkStart w:id="495" w:name="_Toc48292859"/>
      <w:r>
        <w:rPr>
          <w:rFonts w:hint="eastAsia" w:ascii="宋体" w:hAnsi="宋体" w:eastAsia="宋体" w:cs="宋体"/>
          <w:color w:val="auto"/>
          <w:kern w:val="0"/>
          <w:sz w:val="21"/>
          <w:szCs w:val="21"/>
          <w:highlight w:val="none"/>
        </w:rPr>
        <w:t>6.3.2电子过程中当出现以下情况时，导致系统无法正常运行，根据实际情况延迟评标或调整评标时间：</w:t>
      </w:r>
      <w:bookmarkEnd w:id="492"/>
      <w:bookmarkEnd w:id="493"/>
      <w:bookmarkEnd w:id="494"/>
      <w:bookmarkEnd w:id="495"/>
    </w:p>
    <w:p w14:paraId="4713060E">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96" w:name="_Toc4805"/>
      <w:bookmarkStart w:id="497" w:name="_Toc23874"/>
      <w:bookmarkStart w:id="498" w:name="_Toc48292860"/>
      <w:bookmarkStart w:id="499" w:name="_Toc2791"/>
      <w:r>
        <w:rPr>
          <w:rFonts w:hint="eastAsia" w:ascii="宋体" w:hAnsi="宋体" w:eastAsia="宋体" w:cs="宋体"/>
          <w:color w:val="auto"/>
          <w:kern w:val="0"/>
          <w:sz w:val="21"/>
          <w:szCs w:val="21"/>
          <w:highlight w:val="none"/>
        </w:rPr>
        <w:t>（1）系统服务器发生故障，无法访问或无法使用系统；</w:t>
      </w:r>
      <w:bookmarkEnd w:id="496"/>
      <w:bookmarkEnd w:id="497"/>
      <w:bookmarkEnd w:id="498"/>
      <w:bookmarkEnd w:id="499"/>
    </w:p>
    <w:p w14:paraId="0A5717FD">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500" w:name="_Toc9568"/>
      <w:bookmarkStart w:id="501" w:name="_Toc19141"/>
      <w:bookmarkStart w:id="502" w:name="_Toc19080"/>
      <w:bookmarkStart w:id="503" w:name="_Toc48292861"/>
      <w:r>
        <w:rPr>
          <w:rFonts w:hint="eastAsia" w:ascii="宋体" w:hAnsi="宋体" w:eastAsia="宋体" w:cs="宋体"/>
          <w:color w:val="auto"/>
          <w:kern w:val="0"/>
          <w:sz w:val="21"/>
          <w:szCs w:val="21"/>
          <w:highlight w:val="none"/>
        </w:rPr>
        <w:t>（2）系统的软件或数据库出现错误，不能进行正常操作；</w:t>
      </w:r>
      <w:bookmarkEnd w:id="500"/>
      <w:bookmarkEnd w:id="501"/>
      <w:bookmarkEnd w:id="502"/>
      <w:bookmarkEnd w:id="503"/>
    </w:p>
    <w:p w14:paraId="2DA7F935">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504" w:name="_Toc12655"/>
      <w:bookmarkStart w:id="505" w:name="_Toc13380"/>
      <w:bookmarkStart w:id="506" w:name="_Toc12501"/>
      <w:bookmarkStart w:id="507" w:name="_Toc48292862"/>
      <w:r>
        <w:rPr>
          <w:rFonts w:hint="eastAsia" w:ascii="宋体" w:hAnsi="宋体" w:eastAsia="宋体" w:cs="宋体"/>
          <w:color w:val="auto"/>
          <w:kern w:val="0"/>
          <w:sz w:val="21"/>
          <w:szCs w:val="21"/>
          <w:highlight w:val="none"/>
        </w:rPr>
        <w:t>（3）系统发现有安全漏洞，有潜在的泄密危险；</w:t>
      </w:r>
      <w:bookmarkEnd w:id="504"/>
      <w:bookmarkEnd w:id="505"/>
      <w:bookmarkEnd w:id="506"/>
      <w:bookmarkEnd w:id="507"/>
    </w:p>
    <w:p w14:paraId="4E6277EE">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508" w:name="_Toc48292863"/>
      <w:bookmarkStart w:id="509" w:name="_Toc15494"/>
      <w:bookmarkStart w:id="510" w:name="_Toc30811"/>
      <w:bookmarkStart w:id="511" w:name="_Toc3038"/>
      <w:r>
        <w:rPr>
          <w:rFonts w:hint="eastAsia" w:ascii="宋体" w:hAnsi="宋体" w:eastAsia="宋体" w:cs="宋体"/>
          <w:color w:val="auto"/>
          <w:kern w:val="0"/>
          <w:sz w:val="21"/>
          <w:szCs w:val="21"/>
          <w:highlight w:val="none"/>
        </w:rPr>
        <w:t>（4）出现断电事故；</w:t>
      </w:r>
      <w:bookmarkEnd w:id="508"/>
      <w:bookmarkEnd w:id="509"/>
      <w:bookmarkEnd w:id="510"/>
      <w:bookmarkEnd w:id="511"/>
    </w:p>
    <w:p w14:paraId="2D3F4028">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512" w:name="_Toc30400"/>
      <w:bookmarkStart w:id="513" w:name="_Toc48292864"/>
      <w:bookmarkStart w:id="514" w:name="_Toc25085"/>
      <w:bookmarkStart w:id="515" w:name="_Toc17116"/>
      <w:r>
        <w:rPr>
          <w:rFonts w:hint="eastAsia" w:ascii="宋体" w:hAnsi="宋体" w:eastAsia="宋体" w:cs="宋体"/>
          <w:color w:val="auto"/>
          <w:kern w:val="0"/>
          <w:sz w:val="21"/>
          <w:szCs w:val="21"/>
          <w:highlight w:val="none"/>
        </w:rPr>
        <w:t>（5）其他无法保证招投标过程正常进行的情形。</w:t>
      </w:r>
      <w:bookmarkEnd w:id="512"/>
      <w:bookmarkEnd w:id="513"/>
      <w:bookmarkEnd w:id="514"/>
      <w:bookmarkEnd w:id="515"/>
    </w:p>
    <w:p w14:paraId="66463877">
      <w:pPr>
        <w:pStyle w:val="87"/>
        <w:wordWrap w:val="0"/>
        <w:spacing w:line="360" w:lineRule="auto"/>
        <w:ind w:right="-34" w:rightChars="-16"/>
        <w:outlineLvl w:val="0"/>
        <w:rPr>
          <w:rFonts w:hint="eastAsia" w:ascii="宋体" w:hAnsi="宋体" w:eastAsia="宋体" w:cs="宋体"/>
          <w:b/>
          <w:bCs/>
          <w:color w:val="auto"/>
          <w:sz w:val="21"/>
          <w:szCs w:val="21"/>
          <w:highlight w:val="none"/>
        </w:rPr>
      </w:pPr>
      <w:bookmarkStart w:id="516" w:name="_Toc228337107"/>
      <w:bookmarkStart w:id="517" w:name="_Toc228881170"/>
      <w:bookmarkStart w:id="518" w:name="_Toc9404"/>
      <w:bookmarkStart w:id="519" w:name="_Toc850"/>
      <w:bookmarkStart w:id="520" w:name="_Toc227492253"/>
      <w:bookmarkStart w:id="521" w:name="_Toc227657496"/>
      <w:bookmarkStart w:id="522" w:name="_Toc228589172"/>
      <w:bookmarkStart w:id="523" w:name="_Toc214433896"/>
      <w:bookmarkStart w:id="524" w:name="_Toc228591518"/>
      <w:bookmarkStart w:id="525" w:name="_Toc272772583"/>
      <w:bookmarkStart w:id="526" w:name="_Toc228591666"/>
      <w:r>
        <w:rPr>
          <w:rFonts w:hint="eastAsia" w:ascii="宋体" w:hAnsi="宋体" w:eastAsia="宋体" w:cs="宋体"/>
          <w:b/>
          <w:bCs/>
          <w:color w:val="auto"/>
          <w:sz w:val="21"/>
          <w:szCs w:val="21"/>
          <w:highlight w:val="none"/>
        </w:rPr>
        <w:t>7. 合同授予</w:t>
      </w:r>
      <w:bookmarkEnd w:id="516"/>
      <w:bookmarkEnd w:id="517"/>
      <w:bookmarkEnd w:id="518"/>
      <w:bookmarkEnd w:id="519"/>
      <w:bookmarkEnd w:id="520"/>
      <w:bookmarkEnd w:id="521"/>
      <w:bookmarkEnd w:id="522"/>
      <w:bookmarkEnd w:id="523"/>
      <w:bookmarkEnd w:id="524"/>
      <w:bookmarkEnd w:id="525"/>
      <w:bookmarkEnd w:id="526"/>
    </w:p>
    <w:p w14:paraId="08BA2C6A">
      <w:pPr>
        <w:pStyle w:val="87"/>
        <w:wordWrap w:val="0"/>
        <w:spacing w:line="360" w:lineRule="auto"/>
        <w:ind w:right="-34" w:rightChars="-16"/>
        <w:outlineLvl w:val="0"/>
        <w:rPr>
          <w:rFonts w:hint="eastAsia" w:ascii="宋体" w:hAnsi="宋体" w:eastAsia="宋体" w:cs="宋体"/>
          <w:b/>
          <w:bCs/>
          <w:color w:val="auto"/>
          <w:sz w:val="21"/>
          <w:szCs w:val="21"/>
          <w:highlight w:val="none"/>
        </w:rPr>
      </w:pPr>
      <w:bookmarkStart w:id="527" w:name="_Toc15970"/>
      <w:bookmarkStart w:id="528" w:name="_Toc32304"/>
      <w:r>
        <w:rPr>
          <w:rFonts w:hint="eastAsia" w:ascii="宋体" w:hAnsi="宋体" w:eastAsia="宋体" w:cs="宋体"/>
          <w:b/>
          <w:bCs/>
          <w:color w:val="auto"/>
          <w:sz w:val="21"/>
          <w:szCs w:val="21"/>
          <w:highlight w:val="none"/>
        </w:rPr>
        <w:t>7.1 推荐中标候选人</w:t>
      </w:r>
      <w:bookmarkEnd w:id="527"/>
      <w:bookmarkEnd w:id="528"/>
    </w:p>
    <w:p w14:paraId="75705CBE">
      <w:pPr>
        <w:tabs>
          <w:tab w:val="left" w:pos="540"/>
        </w:tabs>
        <w:wordWrap w:val="0"/>
        <w:autoSpaceDE w:val="0"/>
        <w:autoSpaceDN w:val="0"/>
        <w:adjustRightInd w:val="0"/>
        <w:spacing w:line="360" w:lineRule="auto"/>
        <w:ind w:right="-34" w:rightChars="-16" w:firstLine="303" w:firstLineChars="150"/>
        <w:jc w:val="left"/>
        <w:outlineLvl w:val="0"/>
        <w:rPr>
          <w:rFonts w:hint="eastAsia" w:ascii="宋体" w:hAnsi="宋体" w:eastAsia="宋体" w:cs="宋体"/>
          <w:color w:val="auto"/>
          <w:spacing w:val="-4"/>
          <w:kern w:val="0"/>
          <w:sz w:val="21"/>
          <w:szCs w:val="21"/>
          <w:highlight w:val="none"/>
        </w:rPr>
      </w:pPr>
      <w:bookmarkStart w:id="529" w:name="_Toc500865821"/>
      <w:bookmarkStart w:id="530" w:name="_Toc499892777"/>
      <w:bookmarkStart w:id="531" w:name="_Toc500577630"/>
      <w:bookmarkStart w:id="532" w:name="_Toc6536"/>
      <w:bookmarkStart w:id="533" w:name="_Toc499891581"/>
      <w:bookmarkStart w:id="534" w:name="_Toc24367"/>
      <w:r>
        <w:rPr>
          <w:rFonts w:hint="eastAsia" w:ascii="宋体" w:hAnsi="宋体" w:eastAsia="宋体" w:cs="宋体"/>
          <w:color w:val="auto"/>
          <w:spacing w:val="-4"/>
          <w:kern w:val="0"/>
          <w:sz w:val="21"/>
          <w:szCs w:val="21"/>
          <w:highlight w:val="none"/>
        </w:rPr>
        <w:t>按照本招标文件第三章评标办法要求推荐</w:t>
      </w:r>
      <w:r>
        <w:rPr>
          <w:rFonts w:hint="eastAsia" w:ascii="宋体" w:hAnsi="宋体" w:eastAsia="宋体" w:cs="宋体"/>
          <w:color w:val="auto"/>
          <w:spacing w:val="-4"/>
          <w:kern w:val="0"/>
          <w:sz w:val="21"/>
          <w:szCs w:val="21"/>
          <w:highlight w:val="none"/>
          <w:lang w:val="en-US" w:eastAsia="zh-CN"/>
        </w:rPr>
        <w:t>入围</w:t>
      </w:r>
      <w:r>
        <w:rPr>
          <w:rFonts w:hint="eastAsia" w:ascii="宋体" w:hAnsi="宋体" w:eastAsia="宋体" w:cs="宋体"/>
          <w:color w:val="auto"/>
          <w:spacing w:val="-4"/>
          <w:kern w:val="0"/>
          <w:sz w:val="21"/>
          <w:szCs w:val="21"/>
          <w:highlight w:val="none"/>
        </w:rPr>
        <w:t>中标候选人。</w:t>
      </w:r>
      <w:bookmarkEnd w:id="529"/>
      <w:bookmarkEnd w:id="530"/>
      <w:bookmarkEnd w:id="531"/>
      <w:bookmarkEnd w:id="532"/>
      <w:bookmarkEnd w:id="533"/>
      <w:bookmarkEnd w:id="534"/>
    </w:p>
    <w:p w14:paraId="171CF25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35" w:name="_Toc21125"/>
      <w:bookmarkStart w:id="536" w:name="_Toc24272"/>
      <w:bookmarkStart w:id="537" w:name="_Toc228337108"/>
      <w:bookmarkStart w:id="538" w:name="_Toc272772584"/>
      <w:bookmarkStart w:id="539" w:name="_Toc228589173"/>
      <w:bookmarkStart w:id="540" w:name="_Toc228881171"/>
      <w:bookmarkStart w:id="541" w:name="_Toc214433897"/>
      <w:bookmarkStart w:id="542" w:name="_Toc227657497"/>
      <w:bookmarkStart w:id="543" w:name="_Toc228591519"/>
      <w:bookmarkStart w:id="544" w:name="_Toc227492254"/>
      <w:bookmarkStart w:id="545" w:name="_Toc228591667"/>
      <w:r>
        <w:rPr>
          <w:rFonts w:hint="eastAsia" w:ascii="宋体" w:hAnsi="宋体" w:eastAsia="宋体" w:cs="宋体"/>
          <w:b/>
          <w:bCs/>
          <w:color w:val="auto"/>
          <w:kern w:val="0"/>
          <w:sz w:val="21"/>
          <w:szCs w:val="21"/>
          <w:highlight w:val="none"/>
        </w:rPr>
        <w:t>7.2 中标候选人公示</w:t>
      </w:r>
      <w:bookmarkEnd w:id="535"/>
      <w:bookmarkEnd w:id="536"/>
    </w:p>
    <w:p w14:paraId="4B940D6B">
      <w:pPr>
        <w:tabs>
          <w:tab w:val="left" w:pos="540"/>
        </w:tabs>
        <w:wordWrap w:val="0"/>
        <w:autoSpaceDE w:val="0"/>
        <w:autoSpaceDN w:val="0"/>
        <w:adjustRightInd w:val="0"/>
        <w:spacing w:line="360" w:lineRule="auto"/>
        <w:ind w:right="-34" w:rightChars="-16" w:firstLine="505" w:firstLineChars="250"/>
        <w:jc w:val="left"/>
        <w:outlineLvl w:val="0"/>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7.2.1 招标人应当自收到评标报告之日起3日内对中标候选人进行公示，公示期不少于3日。中标候选人公示应当载明所有投标人情况、推荐的中标候选人情况(包括项目投标信息、管理人员信息、业绩信息等)、否决投标情况及原因、异议方式、监督电话及投诉方式等内容。</w:t>
      </w:r>
    </w:p>
    <w:p w14:paraId="2C71C196">
      <w:pPr>
        <w:tabs>
          <w:tab w:val="left" w:pos="540"/>
        </w:tabs>
        <w:wordWrap w:val="0"/>
        <w:autoSpaceDE w:val="0"/>
        <w:autoSpaceDN w:val="0"/>
        <w:adjustRightInd w:val="0"/>
        <w:spacing w:line="360" w:lineRule="auto"/>
        <w:ind w:right="-34" w:rightChars="-16" w:firstLine="505" w:firstLineChars="250"/>
        <w:jc w:val="left"/>
        <w:outlineLvl w:val="0"/>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7.2.2 招标人应当在中标候选人公示前审查评标委员会提交的书面评标报告，发现异常情形的，依照法定程序复核，确认存在问题的，依照法定程序予以纠正。招标人不得擅自改变评标委员会评标结果。</w:t>
      </w:r>
    </w:p>
    <w:p w14:paraId="13811D6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46" w:name="_Toc30718"/>
      <w:bookmarkStart w:id="547" w:name="_Toc14829"/>
      <w:r>
        <w:rPr>
          <w:rFonts w:hint="eastAsia" w:ascii="宋体" w:hAnsi="宋体" w:eastAsia="宋体" w:cs="宋体"/>
          <w:b/>
          <w:bCs/>
          <w:color w:val="auto"/>
          <w:kern w:val="0"/>
          <w:sz w:val="21"/>
          <w:szCs w:val="21"/>
          <w:highlight w:val="none"/>
        </w:rPr>
        <w:t>7.3 评标结果异议</w:t>
      </w:r>
      <w:bookmarkEnd w:id="546"/>
      <w:bookmarkEnd w:id="547"/>
    </w:p>
    <w:p w14:paraId="0BCBA877">
      <w:pPr>
        <w:tabs>
          <w:tab w:val="left" w:pos="540"/>
        </w:tabs>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投标人或者其他利害关系人对评标结果有异议的，应当在中标候选人公示期间提出。招标人应当自收到异议之日起3日内作出答复。作出答复前，应当暂停招标投标活动。</w:t>
      </w:r>
    </w:p>
    <w:p w14:paraId="026A24E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48" w:name="_Toc13989"/>
      <w:bookmarkStart w:id="549" w:name="_Toc8799"/>
      <w:r>
        <w:rPr>
          <w:rFonts w:hint="eastAsia" w:ascii="宋体" w:hAnsi="宋体" w:eastAsia="宋体" w:cs="宋体"/>
          <w:b/>
          <w:bCs/>
          <w:color w:val="auto"/>
          <w:kern w:val="0"/>
          <w:sz w:val="21"/>
          <w:szCs w:val="21"/>
          <w:highlight w:val="none"/>
        </w:rPr>
        <w:t>7.4 中标候选人履约能力审查</w:t>
      </w:r>
      <w:bookmarkEnd w:id="548"/>
      <w:bookmarkEnd w:id="549"/>
    </w:p>
    <w:p w14:paraId="3732B95D">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7.4.1中标候选人的经营、财务状况发生较大变化或存在违法行为，招标人认为可能影响其履约能力的，可提请原评标委员会按照招标文件规定的标准和方法进行审查确认。</w:t>
      </w:r>
    </w:p>
    <w:p w14:paraId="5FC99F07">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4F024084">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7.4.3对中标人以非正当理由放弃中标或被依法依规取消中标资格的，招标人应当向有关行政监督部门报告。</w:t>
      </w:r>
    </w:p>
    <w:p w14:paraId="4453C48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7.5 </w:t>
      </w:r>
      <w:r>
        <w:rPr>
          <w:rFonts w:hint="eastAsia" w:ascii="宋体" w:hAnsi="宋体" w:eastAsia="宋体" w:cs="宋体"/>
          <w:color w:val="auto"/>
          <w:sz w:val="18"/>
          <w:szCs w:val="16"/>
          <w:highlight w:val="none"/>
        </w:rPr>
        <w:fldChar w:fldCharType="begin"/>
      </w:r>
      <w:r>
        <w:rPr>
          <w:rFonts w:hint="eastAsia" w:ascii="宋体" w:hAnsi="宋体" w:eastAsia="宋体" w:cs="宋体"/>
          <w:color w:val="auto"/>
          <w:sz w:val="18"/>
          <w:szCs w:val="16"/>
          <w:highlight w:val="none"/>
        </w:rPr>
        <w:instrText xml:space="preserve"> HYPERLINK \l "_Toc38738864" </w:instrText>
      </w:r>
      <w:r>
        <w:rPr>
          <w:rFonts w:hint="eastAsia" w:ascii="宋体" w:hAnsi="宋体" w:eastAsia="宋体" w:cs="宋体"/>
          <w:color w:val="auto"/>
          <w:sz w:val="18"/>
          <w:szCs w:val="16"/>
          <w:highlight w:val="none"/>
        </w:rPr>
        <w:fldChar w:fldCharType="separate"/>
      </w:r>
      <w:r>
        <w:rPr>
          <w:rFonts w:hint="eastAsia" w:ascii="宋体" w:hAnsi="宋体" w:eastAsia="宋体" w:cs="宋体"/>
          <w:b/>
          <w:bCs/>
          <w:color w:val="auto"/>
          <w:kern w:val="0"/>
          <w:sz w:val="21"/>
          <w:szCs w:val="21"/>
          <w:highlight w:val="none"/>
        </w:rPr>
        <w:t>定标方式</w:t>
      </w:r>
      <w:r>
        <w:rPr>
          <w:rFonts w:hint="eastAsia" w:ascii="宋体" w:hAnsi="宋体" w:eastAsia="宋体" w:cs="宋体"/>
          <w:b/>
          <w:bCs/>
          <w:color w:val="auto"/>
          <w:kern w:val="0"/>
          <w:sz w:val="21"/>
          <w:szCs w:val="21"/>
          <w:highlight w:val="none"/>
        </w:rPr>
        <w:fldChar w:fldCharType="end"/>
      </w:r>
    </w:p>
    <w:p w14:paraId="1970499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按照本招标文件第四章定标办法要求定标。</w:t>
      </w:r>
    </w:p>
    <w:bookmarkEnd w:id="537"/>
    <w:bookmarkEnd w:id="538"/>
    <w:bookmarkEnd w:id="539"/>
    <w:bookmarkEnd w:id="540"/>
    <w:bookmarkEnd w:id="541"/>
    <w:bookmarkEnd w:id="542"/>
    <w:bookmarkEnd w:id="543"/>
    <w:bookmarkEnd w:id="544"/>
    <w:bookmarkEnd w:id="545"/>
    <w:p w14:paraId="18C6556C">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50" w:name="_Toc227657498"/>
      <w:bookmarkStart w:id="551" w:name="_Toc228591668"/>
      <w:bookmarkStart w:id="552" w:name="_Toc228589174"/>
      <w:bookmarkStart w:id="553" w:name="_Toc228337109"/>
      <w:bookmarkStart w:id="554" w:name="_Toc214433898"/>
      <w:bookmarkStart w:id="555" w:name="_Toc227492255"/>
      <w:bookmarkStart w:id="556" w:name="_Toc272772585"/>
      <w:bookmarkStart w:id="557" w:name="_Toc9990"/>
      <w:bookmarkStart w:id="558" w:name="_Toc228881172"/>
      <w:bookmarkStart w:id="559" w:name="_Toc31519"/>
      <w:bookmarkStart w:id="560" w:name="_Toc228591520"/>
      <w:r>
        <w:rPr>
          <w:rFonts w:hint="eastAsia" w:ascii="宋体" w:hAnsi="宋体" w:eastAsia="宋体" w:cs="宋体"/>
          <w:b/>
          <w:bCs/>
          <w:color w:val="auto"/>
          <w:kern w:val="0"/>
          <w:sz w:val="21"/>
          <w:szCs w:val="21"/>
          <w:highlight w:val="none"/>
        </w:rPr>
        <w:t>7.6 中标通知</w:t>
      </w:r>
      <w:bookmarkEnd w:id="550"/>
      <w:bookmarkEnd w:id="551"/>
      <w:bookmarkEnd w:id="552"/>
      <w:bookmarkEnd w:id="553"/>
      <w:bookmarkEnd w:id="554"/>
      <w:bookmarkEnd w:id="555"/>
      <w:bookmarkEnd w:id="556"/>
      <w:bookmarkEnd w:id="557"/>
      <w:bookmarkEnd w:id="558"/>
      <w:bookmarkEnd w:id="559"/>
      <w:bookmarkEnd w:id="560"/>
    </w:p>
    <w:p w14:paraId="0A2748B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在本章第3.3.1款规定的投标有效期内，招标人以书面形式向中标人发出中标通知书，同时将中标结果通知未中标的投标人。</w:t>
      </w:r>
    </w:p>
    <w:p w14:paraId="77CE825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61" w:name="_Toc272772586"/>
      <w:bookmarkStart w:id="562" w:name="_Toc227492256"/>
      <w:bookmarkStart w:id="563" w:name="_Toc228591669"/>
      <w:bookmarkStart w:id="564" w:name="_Toc228589175"/>
      <w:bookmarkStart w:id="565" w:name="_Toc228881173"/>
      <w:bookmarkStart w:id="566" w:name="_Toc228591521"/>
      <w:bookmarkStart w:id="567" w:name="_Toc228337110"/>
      <w:bookmarkStart w:id="568" w:name="_Toc227657499"/>
      <w:bookmarkStart w:id="569" w:name="_Toc214433899"/>
      <w:bookmarkStart w:id="570" w:name="_Toc14140"/>
      <w:bookmarkStart w:id="571" w:name="_Toc23626"/>
      <w:r>
        <w:rPr>
          <w:rFonts w:hint="eastAsia" w:ascii="宋体" w:hAnsi="宋体" w:eastAsia="宋体" w:cs="宋体"/>
          <w:b/>
          <w:bCs/>
          <w:color w:val="auto"/>
          <w:kern w:val="0"/>
          <w:sz w:val="21"/>
          <w:szCs w:val="21"/>
          <w:highlight w:val="none"/>
        </w:rPr>
        <w:t>7.7履约</w:t>
      </w:r>
      <w:bookmarkEnd w:id="561"/>
      <w:bookmarkEnd w:id="562"/>
      <w:bookmarkEnd w:id="563"/>
      <w:bookmarkEnd w:id="564"/>
      <w:bookmarkEnd w:id="565"/>
      <w:bookmarkEnd w:id="566"/>
      <w:bookmarkEnd w:id="567"/>
      <w:bookmarkEnd w:id="568"/>
      <w:bookmarkEnd w:id="569"/>
      <w:r>
        <w:rPr>
          <w:rFonts w:hint="eastAsia" w:ascii="宋体" w:hAnsi="宋体" w:eastAsia="宋体" w:cs="宋体"/>
          <w:b/>
          <w:bCs/>
          <w:color w:val="auto"/>
          <w:kern w:val="0"/>
          <w:sz w:val="21"/>
          <w:szCs w:val="21"/>
          <w:highlight w:val="none"/>
        </w:rPr>
        <w:t>保证金</w:t>
      </w:r>
      <w:bookmarkEnd w:id="570"/>
      <w:bookmarkEnd w:id="571"/>
      <w:r>
        <w:rPr>
          <w:rFonts w:hint="eastAsia" w:ascii="宋体" w:hAnsi="宋体" w:eastAsia="宋体" w:cs="宋体"/>
          <w:b/>
          <w:bCs/>
          <w:color w:val="auto"/>
          <w:kern w:val="0"/>
          <w:sz w:val="21"/>
          <w:szCs w:val="21"/>
          <w:highlight w:val="none"/>
        </w:rPr>
        <w:t>（如要求）</w:t>
      </w:r>
    </w:p>
    <w:p w14:paraId="7CE2903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7.7.1在签订合同前，中标人应按投标人须知前附表规定的金额、担保形式和招标文件第五章“合同条款及格式”规定的履约担保格式向招标人提交履约担保。联合体中标的，其履约担保由牵头人递交，并应符合投标人须知前附表规定的金额、担保形式和招标文件第五章“合同条款及格式”规定的履约担保格式要求。</w:t>
      </w:r>
    </w:p>
    <w:p w14:paraId="24641C6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7.7.2 中标人不能按本章第7.</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.1 项要求提交履约保证金的，视为放弃中标，其投标保证金不予退还，给招标人造成的损失超过投标保证金数额的，中标人还应当对超过部分予以赔偿。</w:t>
      </w:r>
    </w:p>
    <w:p w14:paraId="6D82EFD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72" w:name="_Toc228589176"/>
      <w:bookmarkStart w:id="573" w:name="_Toc227492257"/>
      <w:bookmarkStart w:id="574" w:name="_Toc16195"/>
      <w:bookmarkStart w:id="575" w:name="_Toc13688"/>
      <w:bookmarkStart w:id="576" w:name="_Toc228591522"/>
      <w:bookmarkStart w:id="577" w:name="_Toc228337111"/>
      <w:bookmarkStart w:id="578" w:name="_Toc228591670"/>
      <w:bookmarkStart w:id="579" w:name="_Toc227657500"/>
      <w:bookmarkStart w:id="580" w:name="_Toc272772587"/>
      <w:bookmarkStart w:id="581" w:name="_Toc228881174"/>
      <w:bookmarkStart w:id="582" w:name="_Toc214433900"/>
      <w:r>
        <w:rPr>
          <w:rFonts w:hint="eastAsia" w:ascii="宋体" w:hAnsi="宋体" w:eastAsia="宋体" w:cs="宋体"/>
          <w:b/>
          <w:bCs/>
          <w:color w:val="auto"/>
          <w:kern w:val="0"/>
          <w:sz w:val="21"/>
          <w:szCs w:val="21"/>
          <w:highlight w:val="none"/>
        </w:rPr>
        <w:t>7.8 签订合同</w:t>
      </w:r>
      <w:bookmarkEnd w:id="572"/>
      <w:bookmarkEnd w:id="573"/>
      <w:bookmarkEnd w:id="574"/>
      <w:bookmarkEnd w:id="575"/>
      <w:bookmarkEnd w:id="576"/>
      <w:bookmarkEnd w:id="577"/>
      <w:bookmarkEnd w:id="578"/>
      <w:bookmarkEnd w:id="579"/>
      <w:bookmarkEnd w:id="580"/>
      <w:bookmarkEnd w:id="581"/>
      <w:bookmarkEnd w:id="582"/>
    </w:p>
    <w:p w14:paraId="45DC4B8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7.8.1 招标人和中标人应当自中标通知书发出之日起30天内，根据招标文件和中标人的投标文件订立书面合同。具体合同与招标人签订。中标人无正当理由拒签合同的，招标人取消其中标资格，其投标保证金不予退还；给招标人造成的损失超过投标保证金数额的，中标人还应当对超过部分予以赔偿。</w:t>
      </w:r>
      <w:bookmarkStart w:id="583" w:name="_Toc233775487"/>
      <w:bookmarkStart w:id="584" w:name="_Toc231031247"/>
      <w:bookmarkStart w:id="585" w:name="_Toc231783606"/>
      <w:r>
        <w:rPr>
          <w:rFonts w:hint="eastAsia" w:ascii="宋体" w:hAnsi="宋体" w:eastAsia="宋体" w:cs="宋体"/>
          <w:color w:val="auto"/>
          <w:kern w:val="0"/>
          <w:sz w:val="21"/>
          <w:szCs w:val="21"/>
          <w:highlight w:val="none"/>
        </w:rPr>
        <w:t>针对此项内容投标人</w:t>
      </w:r>
      <w:r>
        <w:rPr>
          <w:rFonts w:hint="eastAsia" w:ascii="宋体" w:hAnsi="宋体" w:cs="宋体"/>
          <w:color w:val="auto"/>
          <w:kern w:val="0"/>
          <w:sz w:val="21"/>
          <w:szCs w:val="21"/>
          <w:highlight w:val="none"/>
          <w:lang w:val="en-US" w:eastAsia="zh-CN"/>
        </w:rPr>
        <w:t>须</w:t>
      </w:r>
      <w:r>
        <w:rPr>
          <w:rFonts w:hint="eastAsia" w:ascii="宋体" w:hAnsi="宋体" w:eastAsia="宋体" w:cs="宋体"/>
          <w:color w:val="auto"/>
          <w:kern w:val="0"/>
          <w:sz w:val="21"/>
          <w:szCs w:val="21"/>
          <w:highlight w:val="none"/>
        </w:rPr>
        <w:t>在投标函中做出响</w:t>
      </w:r>
      <w:r>
        <w:rPr>
          <w:rFonts w:hint="eastAsia" w:ascii="宋体" w:hAnsi="宋体" w:cs="宋体"/>
          <w:color w:val="auto"/>
          <w:kern w:val="0"/>
          <w:sz w:val="2"/>
          <w:szCs w:val="2"/>
          <w:highlight w:val="none"/>
          <w:lang w:val="en-US" w:eastAsia="zh-CN"/>
        </w:rPr>
        <w:t xml:space="preserve"> </w:t>
      </w:r>
      <w:r>
        <w:rPr>
          <w:rFonts w:hint="eastAsia" w:ascii="宋体" w:hAnsi="宋体" w:eastAsia="宋体" w:cs="宋体"/>
          <w:color w:val="auto"/>
          <w:kern w:val="0"/>
          <w:sz w:val="21"/>
          <w:szCs w:val="21"/>
          <w:highlight w:val="none"/>
        </w:rPr>
        <w:t>应</w:t>
      </w:r>
      <w:r>
        <w:rPr>
          <w:rFonts w:hint="eastAsia" w:ascii="宋体" w:hAnsi="宋体" w:eastAsia="宋体" w:cs="宋体"/>
          <w:color w:val="auto"/>
          <w:sz w:val="21"/>
          <w:szCs w:val="16"/>
          <w:highlight w:val="none"/>
        </w:rPr>
        <w:t>承</w:t>
      </w:r>
      <w:r>
        <w:rPr>
          <w:rFonts w:hint="eastAsia" w:ascii="宋体" w:hAnsi="宋体" w:eastAsia="宋体" w:cs="宋体"/>
          <w:color w:val="auto"/>
          <w:w w:val="10"/>
          <w:kern w:val="0"/>
          <w:sz w:val="2"/>
          <w:szCs w:val="2"/>
          <w:highlight w:val="none"/>
          <w:lang w:val="en-US" w:eastAsia="zh-CN"/>
        </w:rPr>
        <w:t xml:space="preserve"> </w:t>
      </w:r>
      <w:r>
        <w:rPr>
          <w:rFonts w:hint="eastAsia" w:ascii="宋体" w:hAnsi="宋体" w:eastAsia="宋体" w:cs="宋体"/>
          <w:color w:val="auto"/>
          <w:sz w:val="21"/>
          <w:szCs w:val="16"/>
          <w:highlight w:val="none"/>
        </w:rPr>
        <w:t>诺</w:t>
      </w:r>
      <w:r>
        <w:rPr>
          <w:rFonts w:hint="eastAsia" w:ascii="宋体" w:hAnsi="宋体" w:cs="宋体"/>
          <w:color w:val="auto"/>
          <w:sz w:val="21"/>
          <w:szCs w:val="16"/>
          <w:highlight w:val="none"/>
          <w:lang w:eastAsia="zh-CN"/>
        </w:rPr>
        <w:t>，</w:t>
      </w:r>
      <w:r>
        <w:rPr>
          <w:rFonts w:hint="eastAsia" w:ascii="宋体" w:hAnsi="宋体" w:cs="宋体"/>
          <w:color w:val="auto"/>
          <w:sz w:val="21"/>
          <w:szCs w:val="16"/>
          <w:highlight w:val="none"/>
          <w:lang w:val="en-US" w:eastAsia="zh-CN"/>
        </w:rPr>
        <w:t>否则视为未响应招标文件</w:t>
      </w:r>
      <w:r>
        <w:rPr>
          <w:rFonts w:hint="eastAsia" w:ascii="宋体" w:hAnsi="宋体" w:eastAsia="宋体" w:cs="宋体"/>
          <w:color w:val="auto"/>
          <w:kern w:val="0"/>
          <w:sz w:val="21"/>
          <w:szCs w:val="21"/>
          <w:highlight w:val="none"/>
        </w:rPr>
        <w:t>。</w:t>
      </w:r>
    </w:p>
    <w:p w14:paraId="0AD0F33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7.8.2 发出中标通知书后，招标人无正当理由拒签合同的，招标人向中标人退还投标保证金；给中标人造成损失的，还应当赔偿损失。</w:t>
      </w:r>
      <w:bookmarkEnd w:id="583"/>
      <w:bookmarkEnd w:id="584"/>
      <w:bookmarkEnd w:id="585"/>
      <w:bookmarkStart w:id="586" w:name="_Toc228591671"/>
      <w:bookmarkStart w:id="587" w:name="_Toc272772588"/>
      <w:bookmarkStart w:id="588" w:name="_Toc227657501"/>
      <w:bookmarkStart w:id="589" w:name="_Toc228591523"/>
      <w:bookmarkStart w:id="590" w:name="_Toc214433901"/>
      <w:bookmarkStart w:id="591" w:name="_Toc227492258"/>
      <w:bookmarkStart w:id="592" w:name="_Toc228589177"/>
      <w:bookmarkStart w:id="593" w:name="_Toc228337112"/>
      <w:bookmarkStart w:id="594" w:name="_Toc228881175"/>
    </w:p>
    <w:p w14:paraId="49AADBA5">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95" w:name="_Toc4992"/>
      <w:bookmarkStart w:id="596" w:name="_Toc30077"/>
      <w:r>
        <w:rPr>
          <w:rFonts w:hint="eastAsia" w:ascii="宋体" w:hAnsi="宋体" w:eastAsia="宋体" w:cs="宋体"/>
          <w:b/>
          <w:bCs/>
          <w:color w:val="auto"/>
          <w:kern w:val="0"/>
          <w:sz w:val="21"/>
          <w:szCs w:val="21"/>
          <w:highlight w:val="none"/>
        </w:rPr>
        <w:t>8. 重新招标和不再招标</w:t>
      </w:r>
      <w:bookmarkEnd w:id="586"/>
      <w:bookmarkEnd w:id="587"/>
      <w:bookmarkEnd w:id="588"/>
      <w:bookmarkEnd w:id="589"/>
      <w:bookmarkEnd w:id="590"/>
      <w:bookmarkEnd w:id="591"/>
      <w:bookmarkEnd w:id="592"/>
      <w:bookmarkEnd w:id="593"/>
      <w:bookmarkEnd w:id="594"/>
      <w:bookmarkEnd w:id="595"/>
      <w:bookmarkEnd w:id="596"/>
    </w:p>
    <w:p w14:paraId="421EC45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97" w:name="_Toc227492259"/>
      <w:bookmarkStart w:id="598" w:name="_Toc228591524"/>
      <w:bookmarkStart w:id="599" w:name="_Toc20224"/>
      <w:bookmarkStart w:id="600" w:name="_Toc272772589"/>
      <w:bookmarkStart w:id="601" w:name="_Toc227657502"/>
      <w:bookmarkStart w:id="602" w:name="_Toc228881176"/>
      <w:bookmarkStart w:id="603" w:name="_Toc228589178"/>
      <w:bookmarkStart w:id="604" w:name="_Toc19952"/>
      <w:bookmarkStart w:id="605" w:name="_Toc228591672"/>
      <w:bookmarkStart w:id="606" w:name="_Toc214433902"/>
      <w:bookmarkStart w:id="607" w:name="_Toc228337113"/>
      <w:r>
        <w:rPr>
          <w:rFonts w:hint="eastAsia" w:ascii="宋体" w:hAnsi="宋体" w:eastAsia="宋体" w:cs="宋体"/>
          <w:b/>
          <w:bCs/>
          <w:color w:val="auto"/>
          <w:kern w:val="0"/>
          <w:sz w:val="21"/>
          <w:szCs w:val="21"/>
          <w:highlight w:val="none"/>
        </w:rPr>
        <w:t>8.1 重新招标</w:t>
      </w:r>
      <w:bookmarkEnd w:id="597"/>
      <w:bookmarkEnd w:id="598"/>
      <w:bookmarkEnd w:id="599"/>
      <w:bookmarkEnd w:id="600"/>
      <w:bookmarkEnd w:id="601"/>
      <w:bookmarkEnd w:id="602"/>
      <w:bookmarkEnd w:id="603"/>
      <w:bookmarkEnd w:id="604"/>
      <w:bookmarkEnd w:id="605"/>
      <w:bookmarkEnd w:id="606"/>
      <w:bookmarkEnd w:id="607"/>
    </w:p>
    <w:p w14:paraId="40BB759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有下列情形之一的，招标人将重新招标：</w:t>
      </w:r>
    </w:p>
    <w:p w14:paraId="441267E6">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（1）投标截止时间止，投标人少于3个的；</w:t>
      </w:r>
    </w:p>
    <w:p w14:paraId="7600B18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（2）经评标委员会评审后否决所有投标的。</w:t>
      </w:r>
    </w:p>
    <w:p w14:paraId="427AD16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08" w:name="_Toc214433903"/>
      <w:bookmarkStart w:id="609" w:name="_Toc228337114"/>
      <w:bookmarkStart w:id="610" w:name="_Toc227492260"/>
      <w:bookmarkStart w:id="611" w:name="_Toc227657503"/>
      <w:bookmarkStart w:id="612" w:name="_Toc228591673"/>
      <w:bookmarkStart w:id="613" w:name="_Toc228589179"/>
      <w:bookmarkStart w:id="614" w:name="_Toc272772590"/>
      <w:bookmarkStart w:id="615" w:name="_Toc228881177"/>
      <w:bookmarkStart w:id="616" w:name="_Toc228591525"/>
      <w:bookmarkStart w:id="617" w:name="_Toc24835"/>
      <w:bookmarkStart w:id="618" w:name="_Toc9418"/>
      <w:r>
        <w:rPr>
          <w:rFonts w:hint="eastAsia" w:ascii="宋体" w:hAnsi="宋体" w:eastAsia="宋体" w:cs="宋体"/>
          <w:b/>
          <w:bCs/>
          <w:color w:val="auto"/>
          <w:kern w:val="0"/>
          <w:sz w:val="21"/>
          <w:szCs w:val="21"/>
          <w:highlight w:val="none"/>
        </w:rPr>
        <w:t>8.2 不再招标</w:t>
      </w:r>
      <w:bookmarkEnd w:id="608"/>
      <w:bookmarkEnd w:id="609"/>
      <w:bookmarkEnd w:id="610"/>
      <w:bookmarkEnd w:id="611"/>
      <w:bookmarkEnd w:id="612"/>
      <w:bookmarkEnd w:id="613"/>
      <w:bookmarkEnd w:id="614"/>
      <w:bookmarkEnd w:id="615"/>
      <w:bookmarkEnd w:id="616"/>
      <w:bookmarkEnd w:id="617"/>
      <w:bookmarkEnd w:id="618"/>
    </w:p>
    <w:p w14:paraId="29213576">
      <w:pPr>
        <w:pStyle w:val="87"/>
        <w:wordWrap w:val="0"/>
        <w:spacing w:line="360" w:lineRule="auto"/>
        <w:ind w:right="-34" w:rightChars="-16" w:firstLine="420" w:firstLineChars="200"/>
        <w:outlineLvl w:val="0"/>
        <w:rPr>
          <w:rFonts w:hint="eastAsia" w:ascii="宋体" w:hAnsi="宋体" w:eastAsia="宋体" w:cs="宋体"/>
          <w:color w:val="auto"/>
          <w:sz w:val="21"/>
          <w:szCs w:val="21"/>
          <w:highlight w:val="none"/>
        </w:rPr>
      </w:pPr>
      <w:bookmarkStart w:id="619" w:name="_Toc24754"/>
      <w:bookmarkStart w:id="620" w:name="_Toc14269"/>
      <w:bookmarkStart w:id="621" w:name="_Toc227492261"/>
      <w:bookmarkStart w:id="622" w:name="_Toc214433904"/>
      <w:bookmarkStart w:id="623" w:name="_Toc228881178"/>
      <w:bookmarkStart w:id="624" w:name="_Toc272772591"/>
      <w:bookmarkStart w:id="625" w:name="_Toc228591674"/>
      <w:bookmarkStart w:id="626" w:name="_Toc228589180"/>
      <w:bookmarkStart w:id="627" w:name="_Toc228591526"/>
      <w:bookmarkStart w:id="628" w:name="_Toc228337115"/>
      <w:bookmarkStart w:id="629" w:name="_Toc227657504"/>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bookmarkEnd w:id="619"/>
      <w:bookmarkEnd w:id="620"/>
    </w:p>
    <w:p w14:paraId="2C2CFC5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30" w:name="_Toc19552"/>
      <w:bookmarkStart w:id="631" w:name="_Toc31323"/>
      <w:r>
        <w:rPr>
          <w:rFonts w:hint="eastAsia" w:ascii="宋体" w:hAnsi="宋体" w:eastAsia="宋体" w:cs="宋体"/>
          <w:b/>
          <w:bCs/>
          <w:color w:val="auto"/>
          <w:kern w:val="0"/>
          <w:sz w:val="21"/>
          <w:szCs w:val="21"/>
          <w:highlight w:val="none"/>
        </w:rPr>
        <w:t>9. 纪律和监督</w:t>
      </w:r>
      <w:bookmarkEnd w:id="621"/>
      <w:bookmarkEnd w:id="622"/>
      <w:bookmarkEnd w:id="623"/>
      <w:bookmarkEnd w:id="624"/>
      <w:bookmarkEnd w:id="625"/>
      <w:bookmarkEnd w:id="626"/>
      <w:bookmarkEnd w:id="627"/>
      <w:bookmarkEnd w:id="628"/>
      <w:bookmarkEnd w:id="629"/>
      <w:bookmarkEnd w:id="630"/>
      <w:bookmarkEnd w:id="631"/>
    </w:p>
    <w:p w14:paraId="716DCFF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32" w:name="_Toc272772592"/>
      <w:bookmarkStart w:id="633" w:name="_Toc214433905"/>
      <w:bookmarkStart w:id="634" w:name="_Toc228589181"/>
      <w:bookmarkStart w:id="635" w:name="_Toc227657505"/>
      <w:bookmarkStart w:id="636" w:name="_Toc228881179"/>
      <w:bookmarkStart w:id="637" w:name="_Toc227492262"/>
      <w:bookmarkStart w:id="638" w:name="_Toc228591675"/>
      <w:bookmarkStart w:id="639" w:name="_Toc18641"/>
      <w:bookmarkStart w:id="640" w:name="_Toc22224"/>
      <w:bookmarkStart w:id="641" w:name="_Toc228337116"/>
      <w:bookmarkStart w:id="642" w:name="_Toc228591527"/>
      <w:r>
        <w:rPr>
          <w:rFonts w:hint="eastAsia" w:ascii="宋体" w:hAnsi="宋体" w:eastAsia="宋体" w:cs="宋体"/>
          <w:b/>
          <w:bCs/>
          <w:color w:val="auto"/>
          <w:kern w:val="0"/>
          <w:sz w:val="21"/>
          <w:szCs w:val="21"/>
          <w:highlight w:val="none"/>
        </w:rPr>
        <w:t>9.1 对招标人的纪律要求</w:t>
      </w:r>
      <w:bookmarkEnd w:id="632"/>
      <w:bookmarkEnd w:id="633"/>
      <w:bookmarkEnd w:id="634"/>
      <w:bookmarkEnd w:id="635"/>
      <w:bookmarkEnd w:id="636"/>
      <w:bookmarkEnd w:id="637"/>
      <w:bookmarkEnd w:id="638"/>
      <w:bookmarkEnd w:id="639"/>
      <w:bookmarkEnd w:id="640"/>
      <w:bookmarkEnd w:id="641"/>
      <w:bookmarkEnd w:id="642"/>
    </w:p>
    <w:p w14:paraId="36815FE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招标人不得泄漏招标投标活动中应当保密的情况和资料，不得与投标人串通损害国家利益、社会公共利益或者他人合法权益。</w:t>
      </w:r>
    </w:p>
    <w:p w14:paraId="57D5914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43" w:name="_Toc227657506"/>
      <w:bookmarkStart w:id="644" w:name="_Toc20599"/>
      <w:bookmarkStart w:id="645" w:name="_Toc227492263"/>
      <w:bookmarkStart w:id="646" w:name="_Toc228589182"/>
      <w:bookmarkStart w:id="647" w:name="_Toc228337117"/>
      <w:bookmarkStart w:id="648" w:name="_Toc22013"/>
      <w:bookmarkStart w:id="649" w:name="_Toc272772593"/>
      <w:bookmarkStart w:id="650" w:name="_Toc228591676"/>
      <w:bookmarkStart w:id="651" w:name="_Toc228591528"/>
      <w:bookmarkStart w:id="652" w:name="_Toc214433906"/>
      <w:bookmarkStart w:id="653" w:name="_Toc228881180"/>
      <w:r>
        <w:rPr>
          <w:rFonts w:hint="eastAsia" w:ascii="宋体" w:hAnsi="宋体" w:eastAsia="宋体" w:cs="宋体"/>
          <w:b/>
          <w:bCs/>
          <w:color w:val="auto"/>
          <w:kern w:val="0"/>
          <w:sz w:val="21"/>
          <w:szCs w:val="21"/>
          <w:highlight w:val="none"/>
        </w:rPr>
        <w:t>9.2 对投标人的纪律要求</w:t>
      </w:r>
      <w:bookmarkEnd w:id="643"/>
      <w:bookmarkEnd w:id="644"/>
      <w:bookmarkEnd w:id="645"/>
      <w:bookmarkEnd w:id="646"/>
      <w:bookmarkEnd w:id="647"/>
      <w:bookmarkEnd w:id="648"/>
      <w:bookmarkEnd w:id="649"/>
      <w:bookmarkEnd w:id="650"/>
      <w:bookmarkEnd w:id="651"/>
      <w:bookmarkEnd w:id="652"/>
      <w:bookmarkEnd w:id="653"/>
    </w:p>
    <w:p w14:paraId="5BF79FA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投标人须对上述不得存在的情形做出</w:t>
      </w:r>
      <w:r>
        <w:rPr>
          <w:rFonts w:hint="eastAsia" w:ascii="宋体" w:hAnsi="宋体" w:eastAsia="宋体" w:cs="宋体"/>
          <w:color w:val="auto"/>
          <w:kern w:val="0"/>
          <w:sz w:val="21"/>
          <w:szCs w:val="21"/>
          <w:highlight w:val="none"/>
          <w:lang w:eastAsia="zh-CN"/>
        </w:rPr>
        <w:t>承</w:t>
      </w:r>
      <w:r>
        <w:rPr>
          <w:rFonts w:hint="eastAsia" w:ascii="宋体" w:hAnsi="宋体" w:cs="宋体"/>
          <w:color w:val="auto"/>
          <w:kern w:val="0"/>
          <w:sz w:val="2"/>
          <w:szCs w:val="2"/>
          <w:highlight w:val="none"/>
          <w:lang w:val="en-US" w:eastAsia="zh-CN"/>
        </w:rPr>
        <w:t xml:space="preserve"> </w:t>
      </w:r>
      <w:r>
        <w:rPr>
          <w:rFonts w:hint="eastAsia" w:ascii="宋体" w:hAnsi="宋体" w:eastAsia="宋体" w:cs="宋体"/>
          <w:color w:val="auto"/>
          <w:kern w:val="0"/>
          <w:sz w:val="21"/>
          <w:szCs w:val="21"/>
          <w:highlight w:val="none"/>
          <w:lang w:eastAsia="zh-CN"/>
        </w:rPr>
        <w:t>诺</w:t>
      </w:r>
      <w:r>
        <w:rPr>
          <w:rFonts w:hint="eastAsia" w:ascii="宋体" w:hAnsi="宋体" w:cs="宋体"/>
          <w:color w:val="auto"/>
          <w:kern w:val="0"/>
          <w:sz w:val="21"/>
          <w:szCs w:val="21"/>
          <w:highlight w:val="none"/>
          <w:lang w:eastAsia="zh-CN"/>
        </w:rPr>
        <w:t>，</w:t>
      </w:r>
      <w:r>
        <w:rPr>
          <w:rFonts w:hint="eastAsia" w:ascii="宋体" w:hAnsi="宋体" w:cs="宋体"/>
          <w:color w:val="auto"/>
          <w:sz w:val="21"/>
          <w:szCs w:val="16"/>
          <w:highlight w:val="none"/>
          <w:lang w:val="en-US" w:eastAsia="zh-CN"/>
        </w:rPr>
        <w:t>否则视为未响应招标文件</w:t>
      </w:r>
      <w:r>
        <w:rPr>
          <w:rFonts w:hint="eastAsia" w:ascii="宋体" w:hAnsi="宋体" w:eastAsia="宋体" w:cs="宋体"/>
          <w:color w:val="auto"/>
          <w:kern w:val="0"/>
          <w:sz w:val="21"/>
          <w:szCs w:val="21"/>
          <w:highlight w:val="none"/>
        </w:rPr>
        <w:t>。</w:t>
      </w:r>
    </w:p>
    <w:p w14:paraId="62AFB78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54" w:name="_Toc228337118"/>
      <w:bookmarkStart w:id="655" w:name="_Toc214433907"/>
      <w:bookmarkStart w:id="656" w:name="_Toc9265"/>
      <w:bookmarkStart w:id="657" w:name="_Toc228589183"/>
      <w:bookmarkStart w:id="658" w:name="_Toc228591677"/>
      <w:bookmarkStart w:id="659" w:name="_Toc272772594"/>
      <w:bookmarkStart w:id="660" w:name="_Toc227492264"/>
      <w:bookmarkStart w:id="661" w:name="_Toc228591529"/>
      <w:bookmarkStart w:id="662" w:name="_Toc672"/>
      <w:bookmarkStart w:id="663" w:name="_Toc227657507"/>
      <w:bookmarkStart w:id="664" w:name="_Toc228881181"/>
      <w:r>
        <w:rPr>
          <w:rFonts w:hint="eastAsia" w:ascii="宋体" w:hAnsi="宋体" w:eastAsia="宋体" w:cs="宋体"/>
          <w:b/>
          <w:bCs/>
          <w:color w:val="auto"/>
          <w:kern w:val="0"/>
          <w:sz w:val="21"/>
          <w:szCs w:val="21"/>
          <w:highlight w:val="none"/>
        </w:rPr>
        <w:t>9.3 对评标委员会成员的纪律要求</w:t>
      </w:r>
      <w:bookmarkEnd w:id="654"/>
      <w:bookmarkEnd w:id="655"/>
      <w:bookmarkEnd w:id="656"/>
      <w:bookmarkEnd w:id="657"/>
      <w:bookmarkEnd w:id="658"/>
      <w:bookmarkEnd w:id="659"/>
      <w:bookmarkEnd w:id="660"/>
      <w:bookmarkEnd w:id="661"/>
      <w:bookmarkEnd w:id="662"/>
      <w:bookmarkEnd w:id="663"/>
      <w:bookmarkEnd w:id="664"/>
    </w:p>
    <w:p w14:paraId="269FA37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1EE2130C">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65" w:name="_Toc228337119"/>
      <w:bookmarkStart w:id="666" w:name="_Toc228589184"/>
      <w:bookmarkStart w:id="667" w:name="_Toc227492265"/>
      <w:bookmarkStart w:id="668" w:name="_Toc8416"/>
      <w:bookmarkStart w:id="669" w:name="_Toc27189"/>
      <w:bookmarkStart w:id="670" w:name="_Toc228881182"/>
      <w:bookmarkStart w:id="671" w:name="_Toc228591530"/>
      <w:bookmarkStart w:id="672" w:name="_Toc227657508"/>
      <w:bookmarkStart w:id="673" w:name="_Toc228591678"/>
      <w:bookmarkStart w:id="674" w:name="_Toc214433908"/>
      <w:bookmarkStart w:id="675" w:name="_Toc272772595"/>
      <w:r>
        <w:rPr>
          <w:rFonts w:hint="eastAsia" w:ascii="宋体" w:hAnsi="宋体" w:eastAsia="宋体" w:cs="宋体"/>
          <w:b/>
          <w:bCs/>
          <w:color w:val="auto"/>
          <w:kern w:val="0"/>
          <w:sz w:val="21"/>
          <w:szCs w:val="21"/>
          <w:highlight w:val="none"/>
        </w:rPr>
        <w:t>9.4 对与评标活动有关的工作人员的纪律要求</w:t>
      </w:r>
      <w:bookmarkEnd w:id="665"/>
      <w:bookmarkEnd w:id="666"/>
      <w:bookmarkEnd w:id="667"/>
      <w:bookmarkEnd w:id="668"/>
      <w:bookmarkEnd w:id="669"/>
      <w:bookmarkEnd w:id="670"/>
      <w:bookmarkEnd w:id="671"/>
      <w:bookmarkEnd w:id="672"/>
      <w:bookmarkEnd w:id="673"/>
      <w:bookmarkEnd w:id="674"/>
      <w:bookmarkEnd w:id="675"/>
    </w:p>
    <w:p w14:paraId="010A8E4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6CCBDFBE">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76" w:name="_Toc227657509"/>
      <w:bookmarkStart w:id="677" w:name="_Toc228591531"/>
      <w:bookmarkStart w:id="678" w:name="_Toc228591679"/>
      <w:bookmarkStart w:id="679" w:name="_Toc272772596"/>
      <w:bookmarkStart w:id="680" w:name="_Toc214433909"/>
      <w:bookmarkStart w:id="681" w:name="_Toc26360"/>
      <w:bookmarkStart w:id="682" w:name="_Toc228337120"/>
      <w:bookmarkStart w:id="683" w:name="_Toc228881183"/>
      <w:bookmarkStart w:id="684" w:name="_Toc23460"/>
      <w:bookmarkStart w:id="685" w:name="_Toc228589185"/>
      <w:bookmarkStart w:id="686" w:name="_Toc227492266"/>
      <w:r>
        <w:rPr>
          <w:rFonts w:hint="eastAsia" w:ascii="宋体" w:hAnsi="宋体" w:eastAsia="宋体" w:cs="宋体"/>
          <w:b/>
          <w:bCs/>
          <w:color w:val="auto"/>
          <w:kern w:val="0"/>
          <w:sz w:val="21"/>
          <w:szCs w:val="21"/>
          <w:highlight w:val="none"/>
        </w:rPr>
        <w:t>9.5 投诉</w:t>
      </w:r>
      <w:bookmarkEnd w:id="676"/>
      <w:bookmarkEnd w:id="677"/>
      <w:bookmarkEnd w:id="678"/>
      <w:bookmarkEnd w:id="679"/>
      <w:bookmarkEnd w:id="680"/>
      <w:bookmarkEnd w:id="681"/>
      <w:bookmarkEnd w:id="682"/>
      <w:bookmarkEnd w:id="683"/>
      <w:bookmarkEnd w:id="684"/>
      <w:bookmarkEnd w:id="685"/>
      <w:bookmarkEnd w:id="686"/>
    </w:p>
    <w:p w14:paraId="79BF2B9C">
      <w:pPr>
        <w:wordWrap w:val="0"/>
        <w:autoSpaceDE w:val="0"/>
        <w:autoSpaceDN w:val="0"/>
        <w:adjustRightInd w:val="0"/>
        <w:spacing w:line="360" w:lineRule="auto"/>
        <w:ind w:right="-34" w:rightChars="-16" w:firstLine="404" w:firstLineChars="200"/>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投标人和其他利害关系人认为本次招标活动违反法律、法规和规章规定的，有权向有关行政监督部门投诉。</w:t>
      </w:r>
    </w:p>
    <w:p w14:paraId="2FF4088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87" w:name="_Toc227657510"/>
      <w:bookmarkStart w:id="688" w:name="_Toc228591680"/>
      <w:bookmarkStart w:id="689" w:name="_Toc228589186"/>
      <w:bookmarkStart w:id="690" w:name="_Toc227492267"/>
      <w:bookmarkStart w:id="691" w:name="_Toc228591532"/>
      <w:bookmarkStart w:id="692" w:name="_Toc9424"/>
      <w:bookmarkStart w:id="693" w:name="_Toc228337121"/>
      <w:bookmarkStart w:id="694" w:name="_Toc272772597"/>
      <w:bookmarkStart w:id="695" w:name="_Toc214433910"/>
      <w:bookmarkStart w:id="696" w:name="_Toc228881184"/>
      <w:bookmarkStart w:id="697" w:name="_Toc3355"/>
      <w:r>
        <w:rPr>
          <w:rFonts w:hint="eastAsia" w:ascii="宋体" w:hAnsi="宋体" w:eastAsia="宋体" w:cs="宋体"/>
          <w:b/>
          <w:bCs/>
          <w:color w:val="auto"/>
          <w:kern w:val="0"/>
          <w:sz w:val="21"/>
          <w:szCs w:val="21"/>
          <w:highlight w:val="none"/>
        </w:rPr>
        <w:t>10. 需要补充的其他内容</w:t>
      </w:r>
      <w:bookmarkEnd w:id="687"/>
      <w:bookmarkEnd w:id="688"/>
      <w:bookmarkEnd w:id="689"/>
      <w:bookmarkEnd w:id="690"/>
      <w:bookmarkEnd w:id="691"/>
      <w:bookmarkEnd w:id="692"/>
      <w:bookmarkEnd w:id="693"/>
      <w:bookmarkEnd w:id="694"/>
      <w:bookmarkEnd w:id="695"/>
      <w:bookmarkEnd w:id="696"/>
      <w:bookmarkEnd w:id="697"/>
    </w:p>
    <w:p w14:paraId="04D84ED3">
      <w:pPr>
        <w:wordWrap w:val="0"/>
        <w:spacing w:line="360" w:lineRule="auto"/>
        <w:ind w:firstLine="420" w:firstLineChars="200"/>
        <w:rPr>
          <w:rFonts w:hint="eastAsia" w:ascii="宋体" w:hAnsi="宋体" w:eastAsia="宋体" w:cs="宋体"/>
          <w:color w:val="auto"/>
          <w:sz w:val="21"/>
          <w:szCs w:val="21"/>
          <w:highlight w:val="none"/>
        </w:rPr>
      </w:pPr>
      <w:bookmarkStart w:id="698" w:name="_Toc436038196"/>
      <w:bookmarkStart w:id="699" w:name="_Toc227657519"/>
      <w:bookmarkStart w:id="700" w:name="_Toc228337130"/>
      <w:bookmarkStart w:id="701" w:name="_Toc228589231"/>
      <w:bookmarkStart w:id="702" w:name="_Toc214433919"/>
      <w:bookmarkStart w:id="703" w:name="_Toc299439351"/>
      <w:bookmarkStart w:id="704" w:name="_Toc272772615"/>
      <w:bookmarkStart w:id="705" w:name="_Toc227492276"/>
      <w:bookmarkStart w:id="706" w:name="_Toc228589195"/>
      <w:bookmarkStart w:id="707" w:name="_Toc228881229"/>
      <w:bookmarkStart w:id="708" w:name="_Toc228591577"/>
      <w:bookmarkStart w:id="709" w:name="_Toc184635092"/>
      <w:bookmarkStart w:id="710" w:name="_Toc228337166"/>
      <w:bookmarkStart w:id="711" w:name="_Toc227657555"/>
      <w:bookmarkStart w:id="712" w:name="_Toc272772606"/>
      <w:bookmarkStart w:id="713" w:name="_Toc186913852"/>
      <w:bookmarkStart w:id="714" w:name="_Toc214433955"/>
      <w:bookmarkStart w:id="715" w:name="_Toc352146050"/>
      <w:bookmarkStart w:id="716" w:name="_Toc228881193"/>
      <w:bookmarkStart w:id="717" w:name="_Toc227492312"/>
      <w:bookmarkStart w:id="718" w:name="_Toc228591541"/>
      <w:bookmarkStart w:id="719" w:name="_Toc228591725"/>
      <w:bookmarkStart w:id="720" w:name="_Toc228591689"/>
      <w:r>
        <w:rPr>
          <w:rFonts w:hint="eastAsia" w:ascii="宋体" w:hAnsi="宋体" w:eastAsia="宋体" w:cs="宋体"/>
          <w:color w:val="auto"/>
          <w:sz w:val="21"/>
          <w:szCs w:val="21"/>
          <w:highlight w:val="none"/>
        </w:rPr>
        <w:t>10.1需要补充的其他内容：见投标人须知前附表。</w:t>
      </w:r>
    </w:p>
    <w:p w14:paraId="446E2CCC">
      <w:pPr>
        <w:pStyle w:val="41"/>
        <w:wordWrap w:val="0"/>
        <w:spacing w:after="0" w:line="360" w:lineRule="auto"/>
        <w:ind w:firstLine="200"/>
        <w:rPr>
          <w:rFonts w:hint="eastAsia" w:ascii="宋体" w:hAnsi="宋体" w:eastAsia="宋体" w:cs="宋体"/>
          <w:color w:val="auto"/>
          <w:highlight w:val="none"/>
        </w:rPr>
      </w:pPr>
    </w:p>
    <w:p w14:paraId="272A4BD5">
      <w:pPr>
        <w:pStyle w:val="41"/>
        <w:wordWrap w:val="0"/>
        <w:spacing w:after="0" w:line="360" w:lineRule="auto"/>
        <w:ind w:firstLine="200"/>
        <w:rPr>
          <w:rFonts w:hint="eastAsia" w:ascii="宋体" w:hAnsi="宋体" w:eastAsia="宋体" w:cs="宋体"/>
          <w:color w:val="auto"/>
          <w:highlight w:val="none"/>
        </w:rPr>
      </w:pPr>
    </w:p>
    <w:bookmarkEnd w:id="698"/>
    <w:p w14:paraId="03D9046B">
      <w:pPr>
        <w:pStyle w:val="87"/>
        <w:wordWrap w:val="0"/>
        <w:spacing w:line="360" w:lineRule="auto"/>
        <w:ind w:right="-34" w:rightChars="-16"/>
        <w:outlineLvl w:val="0"/>
        <w:rPr>
          <w:rFonts w:hint="eastAsia" w:ascii="宋体" w:hAnsi="宋体" w:eastAsia="宋体" w:cs="宋体"/>
          <w:color w:val="auto"/>
          <w:sz w:val="32"/>
          <w:highlight w:val="none"/>
        </w:rPr>
        <w:sectPr>
          <w:headerReference r:id="rId10" w:type="first"/>
          <w:footerReference r:id="rId12" w:type="first"/>
          <w:headerReference r:id="rId9" w:type="default"/>
          <w:footerReference r:id="rId11" w:type="default"/>
          <w:pgSz w:w="11905" w:h="16838"/>
          <w:pgMar w:top="1440" w:right="1423" w:bottom="1440" w:left="1423" w:header="1304" w:footer="1077" w:gutter="0"/>
          <w:pgNumType w:fmt="decimal"/>
          <w:cols w:space="720" w:num="1"/>
          <w:titlePg/>
          <w:docGrid w:linePitch="287" w:charSpace="0"/>
        </w:sectPr>
      </w:pPr>
      <w:bookmarkStart w:id="721" w:name="_Toc18397"/>
      <w:bookmarkStart w:id="722" w:name="_Toc24730"/>
      <w:bookmarkStart w:id="723" w:name="_Toc32535"/>
    </w:p>
    <w:p w14:paraId="67E7F467">
      <w:pPr>
        <w:pStyle w:val="87"/>
        <w:wordWrap w:val="0"/>
        <w:spacing w:line="360" w:lineRule="auto"/>
        <w:ind w:right="-34" w:rightChars="-16"/>
        <w:outlineLvl w:val="0"/>
        <w:rPr>
          <w:rFonts w:hint="eastAsia" w:ascii="宋体" w:hAnsi="宋体" w:eastAsia="宋体" w:cs="宋体"/>
          <w:b/>
          <w:bCs/>
          <w:color w:val="auto"/>
          <w:szCs w:val="24"/>
          <w:highlight w:val="none"/>
        </w:rPr>
      </w:pPr>
      <w:bookmarkStart w:id="724" w:name="_Toc30993"/>
      <w:r>
        <w:rPr>
          <w:rFonts w:hint="eastAsia" w:ascii="宋体" w:hAnsi="宋体" w:eastAsia="宋体" w:cs="宋体"/>
          <w:b/>
          <w:bCs/>
          <w:color w:val="auto"/>
          <w:szCs w:val="24"/>
          <w:highlight w:val="none"/>
        </w:rPr>
        <w:t>附表一：开标记录表</w:t>
      </w:r>
      <w:bookmarkEnd w:id="721"/>
      <w:bookmarkEnd w:id="722"/>
      <w:bookmarkEnd w:id="723"/>
      <w:bookmarkEnd w:id="724"/>
    </w:p>
    <w:p w14:paraId="7B3D959E">
      <w:pPr>
        <w:wordWrap w:val="0"/>
        <w:spacing w:line="360" w:lineRule="auto"/>
        <w:ind w:right="-34" w:rightChars="-16" w:firstLine="482" w:firstLineChars="20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开标记录表</w:t>
      </w:r>
    </w:p>
    <w:p w14:paraId="3EF5D21C">
      <w:pPr>
        <w:wordWrap w:val="0"/>
        <w:spacing w:line="360" w:lineRule="auto"/>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标段编号：</w:t>
      </w:r>
    </w:p>
    <w:p w14:paraId="75DB52DE">
      <w:pPr>
        <w:wordWrap w:val="0"/>
        <w:spacing w:line="360" w:lineRule="auto"/>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标段名称：</w:t>
      </w:r>
    </w:p>
    <w:tbl>
      <w:tblPr>
        <w:tblStyle w:val="43"/>
        <w:tblW w:w="14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1061"/>
        <w:gridCol w:w="1061"/>
        <w:gridCol w:w="1341"/>
        <w:gridCol w:w="1173"/>
        <w:gridCol w:w="1134"/>
        <w:gridCol w:w="850"/>
        <w:gridCol w:w="1235"/>
        <w:gridCol w:w="1235"/>
        <w:gridCol w:w="1235"/>
        <w:gridCol w:w="1235"/>
        <w:gridCol w:w="816"/>
      </w:tblGrid>
      <w:tr w14:paraId="31C4E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648" w:type="dxa"/>
            <w:noWrap w:val="0"/>
            <w:vAlign w:val="center"/>
          </w:tcPr>
          <w:p w14:paraId="6E919EC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080" w:type="dxa"/>
            <w:noWrap w:val="0"/>
            <w:vAlign w:val="center"/>
          </w:tcPr>
          <w:p w14:paraId="4A996CF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投标单位名称</w:t>
            </w:r>
          </w:p>
        </w:tc>
        <w:tc>
          <w:tcPr>
            <w:tcW w:w="1061" w:type="dxa"/>
            <w:noWrap w:val="0"/>
            <w:vAlign w:val="center"/>
          </w:tcPr>
          <w:p w14:paraId="6738F3BA">
            <w:pPr>
              <w:keepNext w:val="0"/>
              <w:keepLines w:val="0"/>
              <w:pageBreakBefore w:val="0"/>
              <w:suppressLineNumbers w:val="0"/>
              <w:kinsoku/>
              <w:wordWrap w:val="0"/>
              <w:overflowPunct/>
              <w:topLinePunct w:val="0"/>
              <w:bidi w:val="0"/>
              <w:spacing w:before="0" w:beforeAutospacing="0" w:after="0" w:afterAutospacing="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投标总价（元）</w:t>
            </w:r>
          </w:p>
        </w:tc>
        <w:tc>
          <w:tcPr>
            <w:tcW w:w="1061" w:type="dxa"/>
            <w:noWrap w:val="0"/>
            <w:vAlign w:val="center"/>
          </w:tcPr>
          <w:p w14:paraId="262CDB8A">
            <w:pPr>
              <w:keepNext w:val="0"/>
              <w:keepLines w:val="0"/>
              <w:pageBreakBefore w:val="0"/>
              <w:suppressLineNumbers w:val="0"/>
              <w:kinsoku/>
              <w:wordWrap w:val="0"/>
              <w:overflowPunct/>
              <w:topLinePunct w:val="0"/>
              <w:bidi w:val="0"/>
              <w:spacing w:before="0" w:beforeAutospacing="0" w:after="0" w:afterAutospacing="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工期（日历天）</w:t>
            </w:r>
          </w:p>
        </w:tc>
        <w:tc>
          <w:tcPr>
            <w:tcW w:w="1341" w:type="dxa"/>
            <w:noWrap w:val="0"/>
            <w:vAlign w:val="center"/>
          </w:tcPr>
          <w:p w14:paraId="7395C96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w:t>
            </w:r>
          </w:p>
        </w:tc>
        <w:tc>
          <w:tcPr>
            <w:tcW w:w="1173" w:type="dxa"/>
            <w:noWrap w:val="0"/>
            <w:vAlign w:val="center"/>
          </w:tcPr>
          <w:p w14:paraId="6862985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1134" w:type="dxa"/>
            <w:noWrap w:val="0"/>
            <w:vAlign w:val="center"/>
          </w:tcPr>
          <w:p w14:paraId="14A5F7F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850" w:type="dxa"/>
            <w:noWrap w:val="0"/>
            <w:vAlign w:val="center"/>
          </w:tcPr>
          <w:p w14:paraId="3BA5D95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级别</w:t>
            </w:r>
          </w:p>
        </w:tc>
        <w:tc>
          <w:tcPr>
            <w:tcW w:w="1235" w:type="dxa"/>
            <w:noWrap w:val="0"/>
            <w:vAlign w:val="center"/>
          </w:tcPr>
          <w:p w14:paraId="18EC310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不可竞争费用（元）</w:t>
            </w:r>
          </w:p>
        </w:tc>
        <w:tc>
          <w:tcPr>
            <w:tcW w:w="1235" w:type="dxa"/>
            <w:noWrap w:val="0"/>
            <w:vAlign w:val="center"/>
          </w:tcPr>
          <w:p w14:paraId="600B4152">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措施项目费报价（元）</w:t>
            </w:r>
          </w:p>
        </w:tc>
        <w:tc>
          <w:tcPr>
            <w:tcW w:w="1235" w:type="dxa"/>
            <w:noWrap w:val="0"/>
            <w:vAlign w:val="center"/>
          </w:tcPr>
          <w:p w14:paraId="595311E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安全文明施工措施费（元）</w:t>
            </w:r>
          </w:p>
        </w:tc>
        <w:tc>
          <w:tcPr>
            <w:tcW w:w="1235" w:type="dxa"/>
            <w:noWrap w:val="0"/>
            <w:vAlign w:val="center"/>
          </w:tcPr>
          <w:p w14:paraId="4390A2A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w:t>
            </w:r>
          </w:p>
        </w:tc>
        <w:tc>
          <w:tcPr>
            <w:tcW w:w="816" w:type="dxa"/>
            <w:noWrap w:val="0"/>
            <w:vAlign w:val="center"/>
          </w:tcPr>
          <w:p w14:paraId="019B49E2">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开标备注</w:t>
            </w:r>
          </w:p>
        </w:tc>
      </w:tr>
      <w:tr w14:paraId="2214E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66DCA32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063B9D0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1F64EDA5">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47B5122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2579DDC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33D6309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65564EA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50" w:type="dxa"/>
            <w:noWrap w:val="0"/>
            <w:vAlign w:val="top"/>
          </w:tcPr>
          <w:p w14:paraId="15B043F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208A003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33DB61E5">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2782030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6194E1D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16" w:type="dxa"/>
            <w:noWrap w:val="0"/>
            <w:vAlign w:val="top"/>
          </w:tcPr>
          <w:p w14:paraId="528A0E3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55F07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4533F04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1480865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6299179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2E0885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5F17807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59B99A7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6645904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50" w:type="dxa"/>
            <w:noWrap w:val="0"/>
            <w:vAlign w:val="top"/>
          </w:tcPr>
          <w:p w14:paraId="52924B88">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4B2FB2E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5A7058C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510149E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1510034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16" w:type="dxa"/>
            <w:noWrap w:val="0"/>
            <w:vAlign w:val="top"/>
          </w:tcPr>
          <w:p w14:paraId="478E34D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7D80D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04B86F48">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3F891C0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7322E4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49B4127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060773C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00699A5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63B17EB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50" w:type="dxa"/>
            <w:noWrap w:val="0"/>
            <w:vAlign w:val="top"/>
          </w:tcPr>
          <w:p w14:paraId="6F48DC0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4C99A99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2B50292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2120BEA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11BD7EF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16" w:type="dxa"/>
            <w:noWrap w:val="0"/>
            <w:vAlign w:val="top"/>
          </w:tcPr>
          <w:p w14:paraId="021CD40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6679A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272B240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73BBBAA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56BA33A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7D64340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5135009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508213F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5A6BA66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50" w:type="dxa"/>
            <w:noWrap w:val="0"/>
            <w:vAlign w:val="top"/>
          </w:tcPr>
          <w:p w14:paraId="5433A0E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2668F99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74DA87E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7516D96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2A38EDE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16" w:type="dxa"/>
            <w:noWrap w:val="0"/>
            <w:vAlign w:val="top"/>
          </w:tcPr>
          <w:p w14:paraId="3533622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3AD4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1F5A21E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517FD50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2AC3B1D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F135D48">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18FCC8B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09B5263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5A5AD81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50" w:type="dxa"/>
            <w:noWrap w:val="0"/>
            <w:vAlign w:val="top"/>
          </w:tcPr>
          <w:p w14:paraId="368255B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0FA7B23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43CEF7B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39E9666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0F6F1A4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16" w:type="dxa"/>
            <w:noWrap w:val="0"/>
            <w:vAlign w:val="top"/>
          </w:tcPr>
          <w:p w14:paraId="2397417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7DB84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36400EE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06139D7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79C0DBF8">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06E4B7A8">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172FD03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323547E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4B6FCDD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50" w:type="dxa"/>
            <w:noWrap w:val="0"/>
            <w:vAlign w:val="top"/>
          </w:tcPr>
          <w:p w14:paraId="214B808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6996D97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136D536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3CD8090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235" w:type="dxa"/>
            <w:noWrap w:val="0"/>
            <w:vAlign w:val="top"/>
          </w:tcPr>
          <w:p w14:paraId="6ADF14E2">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816" w:type="dxa"/>
            <w:noWrap w:val="0"/>
            <w:vAlign w:val="top"/>
          </w:tcPr>
          <w:p w14:paraId="17E7180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2419C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50" w:type="dxa"/>
            <w:gridSpan w:val="4"/>
            <w:noWrap w:val="0"/>
            <w:vAlign w:val="center"/>
          </w:tcPr>
          <w:p w14:paraId="2372981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招标人编制的招标控制价</w:t>
            </w:r>
          </w:p>
        </w:tc>
        <w:tc>
          <w:tcPr>
            <w:tcW w:w="10254" w:type="dxa"/>
            <w:gridSpan w:val="9"/>
            <w:noWrap w:val="0"/>
            <w:vAlign w:val="top"/>
          </w:tcPr>
          <w:p w14:paraId="29F4C1E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bl>
    <w:p w14:paraId="4F6264A4">
      <w:pPr>
        <w:wordWrap w:val="0"/>
        <w:spacing w:line="360" w:lineRule="auto"/>
        <w:ind w:right="-34" w:rightChars="-16"/>
        <w:jc w:val="center"/>
        <w:rPr>
          <w:rFonts w:hint="eastAsia" w:ascii="宋体" w:hAnsi="宋体" w:eastAsia="宋体" w:cs="宋体"/>
          <w:color w:val="auto"/>
          <w:highlight w:val="none"/>
        </w:rPr>
      </w:pPr>
    </w:p>
    <w:p w14:paraId="2BE3CDB0">
      <w:pPr>
        <w:wordWrap w:val="0"/>
        <w:spacing w:line="360" w:lineRule="auto"/>
        <w:ind w:right="-34" w:rightChars="-16" w:firstLine="1155" w:firstLineChars="55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招标人代表：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监督部门：</w:t>
      </w:r>
      <w:r>
        <w:rPr>
          <w:rFonts w:hint="eastAsia" w:ascii="宋体" w:hAnsi="宋体" w:eastAsia="宋体" w:cs="宋体"/>
          <w:color w:val="auto"/>
          <w:szCs w:val="21"/>
          <w:highlight w:val="none"/>
          <w:u w:val="single"/>
        </w:rPr>
        <w:t xml:space="preserve">                                    </w:t>
      </w:r>
    </w:p>
    <w:p w14:paraId="3A125F14">
      <w:pPr>
        <w:pStyle w:val="41"/>
        <w:ind w:firstLine="200"/>
        <w:rPr>
          <w:rFonts w:hint="eastAsia" w:ascii="宋体" w:hAnsi="宋体" w:eastAsia="宋体" w:cs="宋体"/>
          <w:color w:val="auto"/>
          <w:highlight w:val="none"/>
        </w:rPr>
      </w:pPr>
    </w:p>
    <w:p w14:paraId="0B648BE1">
      <w:pPr>
        <w:wordWrap w:val="0"/>
        <w:spacing w:line="360" w:lineRule="auto"/>
        <w:ind w:right="-34" w:rightChars="-16"/>
        <w:jc w:val="center"/>
        <w:rPr>
          <w:rFonts w:hint="eastAsia" w:ascii="宋体" w:hAnsi="宋体" w:eastAsia="宋体" w:cs="宋体"/>
          <w:b/>
          <w:color w:val="auto"/>
          <w:highlight w:val="none"/>
        </w:rPr>
        <w:sectPr>
          <w:footerReference r:id="rId13" w:type="default"/>
          <w:pgSz w:w="16838" w:h="11905" w:orient="landscape"/>
          <w:pgMar w:top="1587" w:right="1531" w:bottom="1587" w:left="1531" w:header="1304" w:footer="1191" w:gutter="0"/>
          <w:pgNumType w:fmt="decimal"/>
          <w:cols w:space="720" w:num="1"/>
          <w:titlePg/>
          <w:docGrid w:linePitch="312" w:charSpace="0"/>
        </w:sect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开标时间：</w:t>
      </w:r>
      <w:r>
        <w:rPr>
          <w:rFonts w:hint="eastAsia" w:ascii="宋体" w:hAnsi="宋体" w:eastAsia="宋体" w:cs="宋体"/>
          <w:color w:val="auto"/>
          <w:highlight w:val="none"/>
          <w:u w:val="single"/>
        </w:rPr>
        <w:t>年     月     日  时    分</w:t>
      </w:r>
      <w:bookmarkStart w:id="725" w:name="_Toc723"/>
      <w:bookmarkStart w:id="726" w:name="_Toc436038197"/>
    </w:p>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5"/>
    <w:bookmarkEnd w:id="726"/>
    <w:p w14:paraId="58A2EAD6">
      <w:pPr>
        <w:pStyle w:val="87"/>
        <w:wordWrap w:val="0"/>
        <w:spacing w:line="360" w:lineRule="auto"/>
        <w:ind w:right="-34" w:rightChars="-16"/>
        <w:outlineLvl w:val="1"/>
        <w:rPr>
          <w:rFonts w:hint="eastAsia" w:ascii="宋体" w:hAnsi="宋体" w:eastAsia="宋体" w:cs="宋体"/>
          <w:color w:val="auto"/>
          <w:sz w:val="21"/>
          <w:szCs w:val="21"/>
          <w:highlight w:val="none"/>
        </w:rPr>
      </w:pPr>
      <w:bookmarkStart w:id="727" w:name="_Toc22641"/>
      <w:bookmarkStart w:id="728" w:name="_Toc25141725"/>
      <w:bookmarkStart w:id="729" w:name="_Toc32603"/>
      <w:bookmarkStart w:id="730" w:name="_Toc26447421"/>
      <w:bookmarkStart w:id="731" w:name="_Toc26101"/>
      <w:bookmarkStart w:id="732" w:name="_Toc26520"/>
      <w:bookmarkStart w:id="733" w:name="_Toc27378021"/>
      <w:bookmarkStart w:id="734" w:name="_Toc228337131"/>
      <w:bookmarkStart w:id="735" w:name="_Toc227657520"/>
      <w:bookmarkStart w:id="736" w:name="_Toc228589196"/>
      <w:bookmarkStart w:id="737" w:name="_Toc299439352"/>
      <w:bookmarkStart w:id="738" w:name="_Toc272772607"/>
      <w:bookmarkStart w:id="739" w:name="_Toc272772610"/>
      <w:bookmarkStart w:id="740" w:name="_Toc227492280"/>
      <w:bookmarkStart w:id="741" w:name="_Toc228591542"/>
      <w:bookmarkStart w:id="742" w:name="_Toc228881197"/>
      <w:bookmarkStart w:id="743" w:name="_Toc228591545"/>
      <w:bookmarkStart w:id="744" w:name="_Toc299439355"/>
      <w:bookmarkStart w:id="745" w:name="_Toc227657523"/>
      <w:bookmarkStart w:id="746" w:name="_Toc228591693"/>
      <w:bookmarkStart w:id="747" w:name="_Toc214433920"/>
      <w:bookmarkStart w:id="748" w:name="_Toc228881194"/>
      <w:bookmarkStart w:id="749" w:name="_Toc214433923"/>
      <w:bookmarkStart w:id="750" w:name="_Toc228337134"/>
      <w:bookmarkStart w:id="751" w:name="_Toc228591690"/>
      <w:bookmarkStart w:id="752" w:name="_Toc228589199"/>
      <w:bookmarkStart w:id="753" w:name="_Toc227492277"/>
      <w:r>
        <w:rPr>
          <w:rFonts w:hint="eastAsia" w:ascii="宋体" w:hAnsi="宋体" w:eastAsia="宋体" w:cs="宋体"/>
          <w:b/>
          <w:bCs/>
          <w:color w:val="auto"/>
          <w:sz w:val="21"/>
          <w:szCs w:val="21"/>
          <w:highlight w:val="none"/>
        </w:rPr>
        <w:t>附表二：问题澄清通知</w:t>
      </w:r>
      <w:bookmarkEnd w:id="727"/>
      <w:bookmarkEnd w:id="728"/>
      <w:bookmarkEnd w:id="729"/>
      <w:bookmarkEnd w:id="730"/>
    </w:p>
    <w:p w14:paraId="2A8208DF">
      <w:pPr>
        <w:pStyle w:val="87"/>
        <w:wordWrap w:val="0"/>
        <w:spacing w:line="360" w:lineRule="auto"/>
        <w:ind w:right="-34" w:rightChars="-16"/>
        <w:jc w:val="center"/>
        <w:rPr>
          <w:rFonts w:hint="eastAsia" w:ascii="宋体" w:hAnsi="宋体" w:eastAsia="宋体" w:cs="宋体"/>
          <w:color w:val="auto"/>
          <w:sz w:val="21"/>
          <w:szCs w:val="21"/>
          <w:highlight w:val="none"/>
        </w:rPr>
      </w:pPr>
    </w:p>
    <w:p w14:paraId="3E50D0A9">
      <w:pPr>
        <w:pStyle w:val="87"/>
        <w:wordWrap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问题澄清通知</w:t>
      </w:r>
    </w:p>
    <w:p w14:paraId="1CC544F2">
      <w:pPr>
        <w:wordWrap w:val="0"/>
        <w:autoSpaceDE w:val="0"/>
        <w:autoSpaceDN w:val="0"/>
        <w:adjustRightInd w:val="0"/>
        <w:spacing w:line="360" w:lineRule="auto"/>
        <w:ind w:right="-34" w:rightChars="-16" w:firstLine="3795" w:firstLineChars="180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编号：</w:t>
      </w:r>
    </w:p>
    <w:p w14:paraId="5F3B3443">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（投标人名称）：</w:t>
      </w:r>
    </w:p>
    <w:p w14:paraId="721523D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（项目名称）施工招标的评标委员会，对你方的投标文件进行了仔细的审查，现需你方对下列问题以书面形式予以澄清：</w:t>
      </w:r>
    </w:p>
    <w:p w14:paraId="0B8F3FD8">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p w14:paraId="571CC676">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p w14:paraId="7349183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请将上述问题的澄清于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时前递交至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（详细地址）或传真至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（传真号码）。采用传真方式的，应在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时前将原件递交至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（详细地址）。</w:t>
      </w:r>
    </w:p>
    <w:p w14:paraId="6D60A53F">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评标工作组负责人：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（签字）</w:t>
      </w:r>
    </w:p>
    <w:p w14:paraId="7D97E48A">
      <w:pPr>
        <w:wordWrap w:val="0"/>
        <w:autoSpaceDE w:val="0"/>
        <w:autoSpaceDN w:val="0"/>
        <w:adjustRightInd w:val="0"/>
        <w:spacing w:line="360" w:lineRule="auto"/>
        <w:ind w:right="-34" w:rightChars="-16" w:firstLine="3360" w:firstLineChars="1600"/>
        <w:jc w:val="left"/>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270CEEBC">
      <w:pPr>
        <w:pStyle w:val="87"/>
        <w:wordWrap w:val="0"/>
        <w:spacing w:line="360" w:lineRule="auto"/>
        <w:ind w:right="-34" w:rightChars="-16"/>
        <w:outlineLvl w:val="0"/>
        <w:rPr>
          <w:rFonts w:hint="eastAsia" w:ascii="宋体" w:hAnsi="宋体" w:eastAsia="宋体" w:cs="宋体"/>
          <w:color w:val="auto"/>
          <w:sz w:val="32"/>
          <w:highlight w:val="none"/>
        </w:rPr>
      </w:pPr>
      <w:bookmarkStart w:id="754" w:name="_Toc228337124"/>
      <w:bookmarkStart w:id="755" w:name="_Toc227492270"/>
      <w:bookmarkStart w:id="756" w:name="_Toc272772600"/>
      <w:bookmarkStart w:id="757" w:name="_Toc228591535"/>
      <w:bookmarkStart w:id="758" w:name="_Toc228591683"/>
      <w:bookmarkStart w:id="759" w:name="_Toc436038198"/>
      <w:bookmarkStart w:id="760" w:name="_Toc227657513"/>
      <w:bookmarkStart w:id="761" w:name="_Toc214433913"/>
      <w:bookmarkStart w:id="762" w:name="_Toc228881187"/>
      <w:bookmarkStart w:id="763" w:name="_Toc228589189"/>
    </w:p>
    <w:p w14:paraId="2D5085AD">
      <w:pPr>
        <w:pStyle w:val="87"/>
        <w:wordWrap w:val="0"/>
        <w:spacing w:line="360" w:lineRule="auto"/>
        <w:ind w:right="-34" w:rightChars="-16"/>
        <w:outlineLvl w:val="1"/>
        <w:rPr>
          <w:rFonts w:hint="eastAsia" w:ascii="宋体" w:hAnsi="宋体" w:eastAsia="宋体" w:cs="宋体"/>
          <w:color w:val="auto"/>
          <w:sz w:val="21"/>
          <w:szCs w:val="21"/>
          <w:highlight w:val="none"/>
        </w:rPr>
      </w:pPr>
      <w:bookmarkStart w:id="764" w:name="_Toc25141726"/>
      <w:bookmarkStart w:id="765" w:name="_Toc9112"/>
      <w:bookmarkStart w:id="766" w:name="_Toc27009"/>
      <w:bookmarkStart w:id="767" w:name="_Toc26447422"/>
      <w:r>
        <w:rPr>
          <w:rFonts w:hint="eastAsia" w:ascii="宋体" w:hAnsi="宋体" w:eastAsia="宋体" w:cs="宋体"/>
          <w:b/>
          <w:bCs/>
          <w:color w:val="auto"/>
          <w:sz w:val="21"/>
          <w:szCs w:val="21"/>
          <w:highlight w:val="none"/>
        </w:rPr>
        <w:t>附表三：问题的澄清</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48EB3A82">
      <w:pPr>
        <w:pStyle w:val="87"/>
        <w:wordWrap w:val="0"/>
        <w:spacing w:line="360" w:lineRule="auto"/>
        <w:ind w:right="-34" w:rightChars="-16"/>
        <w:jc w:val="center"/>
        <w:rPr>
          <w:rFonts w:hint="eastAsia" w:ascii="宋体" w:hAnsi="宋体" w:eastAsia="宋体" w:cs="宋体"/>
          <w:color w:val="auto"/>
          <w:sz w:val="21"/>
          <w:szCs w:val="21"/>
          <w:highlight w:val="none"/>
        </w:rPr>
      </w:pPr>
    </w:p>
    <w:p w14:paraId="5B0C14CA">
      <w:pPr>
        <w:pStyle w:val="87"/>
        <w:wordWrap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问题的澄清</w:t>
      </w:r>
    </w:p>
    <w:p w14:paraId="077A8F08">
      <w:pPr>
        <w:wordWrap w:val="0"/>
        <w:autoSpaceDE w:val="0"/>
        <w:autoSpaceDN w:val="0"/>
        <w:adjustRightInd w:val="0"/>
        <w:spacing w:line="360" w:lineRule="auto"/>
        <w:ind w:right="-34" w:rightChars="-16" w:firstLine="4006" w:firstLineChars="19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编号：</w:t>
      </w:r>
    </w:p>
    <w:p w14:paraId="3FF2010B">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（项目名称）施工招标评标委员会：</w:t>
      </w:r>
    </w:p>
    <w:p w14:paraId="2E65C02F">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p>
    <w:p w14:paraId="41720EB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问题澄清通知（编号：</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）已收悉，现澄清如下：</w:t>
      </w:r>
    </w:p>
    <w:p w14:paraId="0F81B638">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p w14:paraId="2580806D">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p w14:paraId="2BCC0C01">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（盖单位章）</w:t>
      </w:r>
    </w:p>
    <w:p w14:paraId="6AD5BADF">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法定代表人或其委托代理人：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（签字）</w:t>
      </w:r>
    </w:p>
    <w:p w14:paraId="5B888B05">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p>
    <w:p w14:paraId="087987CC">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年     月    日</w:t>
      </w:r>
      <w:bookmarkStart w:id="768" w:name="_Toc272772601"/>
      <w:bookmarkStart w:id="769" w:name="_Toc228881188"/>
      <w:bookmarkStart w:id="770" w:name="_Toc228591684"/>
      <w:bookmarkStart w:id="771" w:name="_Toc228589190"/>
      <w:bookmarkStart w:id="772" w:name="_Toc227492271"/>
      <w:bookmarkStart w:id="773" w:name="_Toc214433914"/>
      <w:bookmarkStart w:id="774" w:name="_Toc228337125"/>
      <w:bookmarkStart w:id="775" w:name="_Toc228591536"/>
      <w:bookmarkStart w:id="776" w:name="_Toc436038199"/>
      <w:bookmarkStart w:id="777" w:name="_Toc227657514"/>
    </w:p>
    <w:p w14:paraId="532DE68D">
      <w:pPr>
        <w:rPr>
          <w:rFonts w:hint="eastAsia" w:ascii="宋体" w:hAnsi="宋体" w:eastAsia="宋体" w:cs="宋体"/>
          <w:b/>
          <w:bCs/>
          <w:color w:val="auto"/>
          <w:sz w:val="21"/>
          <w:szCs w:val="21"/>
          <w:highlight w:val="none"/>
        </w:rPr>
      </w:pPr>
      <w:bookmarkStart w:id="778" w:name="_Toc26447423"/>
      <w:bookmarkStart w:id="779" w:name="_Toc25141727"/>
      <w:bookmarkStart w:id="780" w:name="_Toc19779"/>
      <w:bookmarkStart w:id="781" w:name="_Toc6828"/>
      <w:r>
        <w:rPr>
          <w:rFonts w:hint="eastAsia" w:ascii="宋体" w:hAnsi="宋体" w:eastAsia="宋体" w:cs="宋体"/>
          <w:b/>
          <w:bCs/>
          <w:color w:val="auto"/>
          <w:sz w:val="21"/>
          <w:szCs w:val="21"/>
          <w:highlight w:val="none"/>
        </w:rPr>
        <w:br w:type="page"/>
      </w:r>
    </w:p>
    <w:p w14:paraId="602D5471">
      <w:pPr>
        <w:pStyle w:val="87"/>
        <w:wordWrap w:val="0"/>
        <w:spacing w:line="360" w:lineRule="auto"/>
        <w:ind w:right="-34" w:rightChars="-16"/>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附表四：中标通知书</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14:paraId="2BCE5C41">
      <w:pPr>
        <w:pStyle w:val="87"/>
        <w:wordWrap w:val="0"/>
        <w:spacing w:line="360" w:lineRule="auto"/>
        <w:ind w:right="-34" w:rightChars="-16"/>
        <w:outlineLvl w:val="1"/>
        <w:rPr>
          <w:rFonts w:hint="eastAsia" w:ascii="宋体" w:hAnsi="宋体" w:eastAsia="宋体" w:cs="宋体"/>
          <w:b/>
          <w:bCs/>
          <w:color w:val="auto"/>
          <w:sz w:val="21"/>
          <w:szCs w:val="21"/>
          <w:highlight w:val="none"/>
        </w:rPr>
      </w:pPr>
    </w:p>
    <w:p w14:paraId="364B8A6F">
      <w:pPr>
        <w:wordWrap w:val="0"/>
        <w:autoSpaceDE w:val="0"/>
        <w:autoSpaceDN w:val="0"/>
        <w:adjustRightInd w:val="0"/>
        <w:spacing w:line="360" w:lineRule="auto"/>
        <w:ind w:right="-34" w:rightChars="-16"/>
        <w:jc w:val="center"/>
        <w:rPr>
          <w:rFonts w:hint="eastAsia" w:ascii="宋体" w:hAnsi="宋体" w:eastAsia="宋体" w:cs="宋体"/>
          <w:color w:val="auto"/>
          <w:kern w:val="0"/>
          <w:sz w:val="28"/>
          <w:szCs w:val="22"/>
          <w:highlight w:val="none"/>
        </w:rPr>
      </w:pPr>
      <w:r>
        <w:rPr>
          <w:rFonts w:hint="eastAsia" w:ascii="宋体" w:hAnsi="宋体" w:eastAsia="宋体" w:cs="宋体"/>
          <w:color w:val="auto"/>
          <w:kern w:val="0"/>
          <w:sz w:val="28"/>
          <w:szCs w:val="22"/>
          <w:highlight w:val="none"/>
        </w:rPr>
        <w:t>中 标 通 知 书</w:t>
      </w:r>
    </w:p>
    <w:p w14:paraId="62FCA63B">
      <w:pPr>
        <w:wordWrap w:val="0"/>
        <w:spacing w:line="360" w:lineRule="auto"/>
        <w:ind w:firstLine="2080" w:firstLineChars="400"/>
        <w:rPr>
          <w:rFonts w:hint="eastAsia" w:ascii="宋体" w:hAnsi="宋体" w:eastAsia="宋体" w:cs="宋体"/>
          <w:color w:val="auto"/>
          <w:sz w:val="30"/>
          <w:szCs w:val="30"/>
          <w:highlight w:val="none"/>
        </w:rPr>
      </w:pPr>
      <w:r>
        <w:rPr>
          <w:rFonts w:hint="eastAsia" w:ascii="宋体" w:hAnsi="宋体" w:eastAsia="宋体" w:cs="宋体"/>
          <w:color w:val="auto"/>
          <w:sz w:val="52"/>
          <w:szCs w:val="52"/>
          <w:highlight w:val="none"/>
        </w:rPr>
        <w:t xml:space="preserve">                  </w:t>
      </w:r>
      <w:r>
        <w:rPr>
          <w:rFonts w:hint="eastAsia" w:ascii="宋体" w:hAnsi="宋体" w:eastAsia="宋体" w:cs="宋体"/>
          <w:color w:val="auto"/>
          <w:sz w:val="24"/>
          <w:highlight w:val="none"/>
        </w:rPr>
        <w:t>编号</w:t>
      </w:r>
      <w:r>
        <w:rPr>
          <w:rFonts w:hint="eastAsia" w:ascii="宋体" w:hAnsi="宋体" w:eastAsia="宋体" w:cs="宋体"/>
          <w:color w:val="auto"/>
          <w:sz w:val="30"/>
          <w:szCs w:val="30"/>
          <w:highlight w:val="none"/>
        </w:rPr>
        <w:t>：</w:t>
      </w:r>
    </w:p>
    <w:p w14:paraId="5724ECD5">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4F52147">
      <w:pPr>
        <w:wordWrap w:val="0"/>
        <w:spacing w:line="360" w:lineRule="auto"/>
        <w:rPr>
          <w:rFonts w:hint="eastAsia" w:ascii="宋体" w:hAnsi="宋体" w:eastAsia="宋体" w:cs="宋体"/>
          <w:color w:val="auto"/>
          <w:szCs w:val="21"/>
          <w:highlight w:val="none"/>
        </w:rPr>
      </w:pPr>
    </w:p>
    <w:p w14:paraId="51A214C5">
      <w:pPr>
        <w:wordWrap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招标文件和你公司于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日递交的投标文件，经评标委员会按照《中华人民共和国招标投标法》及招标文件确定的评标标准和方法，已完成评审、中标候选人公示等工作，确定你公司中标，中标内容及条件如下：</w:t>
      </w:r>
    </w:p>
    <w:p w14:paraId="32A921AD">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元。其中，安全文明施工措施费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    </w:t>
      </w:r>
    </w:p>
    <w:p w14:paraId="2D089B00">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社会保障费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4DD918ED">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w:t>
      </w:r>
    </w:p>
    <w:p w14:paraId="11EE8E67">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质量目标：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546CBB0">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，注册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师。</w:t>
      </w:r>
    </w:p>
    <w:p w14:paraId="19C6D72A">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，职称：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9CFEC72">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请收到本通知书后，及时到我单位签订建设工程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合同。</w:t>
      </w:r>
    </w:p>
    <w:p w14:paraId="3A3EF3D6">
      <w:pPr>
        <w:wordWrap w:val="0"/>
        <w:spacing w:line="360" w:lineRule="auto"/>
        <w:rPr>
          <w:rFonts w:hint="eastAsia" w:ascii="宋体" w:hAnsi="宋体" w:eastAsia="宋体" w:cs="宋体"/>
          <w:color w:val="auto"/>
          <w:szCs w:val="21"/>
          <w:highlight w:val="none"/>
          <w:u w:val="single"/>
        </w:rPr>
      </w:pPr>
    </w:p>
    <w:p w14:paraId="2D01DA6F">
      <w:pPr>
        <w:wordWrap w:val="0"/>
        <w:spacing w:line="360" w:lineRule="auto"/>
        <w:ind w:firstLine="3189" w:firstLineChars="151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  标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544FD64D">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793C44F1">
      <w:pPr>
        <w:wordWrap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招标代理机构：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4FB9B0CB">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1FAD177E">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       年     月    日</w:t>
      </w:r>
    </w:p>
    <w:p w14:paraId="402B031E">
      <w:pPr>
        <w:rPr>
          <w:rFonts w:hint="eastAsia" w:ascii="宋体" w:hAnsi="宋体" w:eastAsia="宋体" w:cs="宋体"/>
          <w:b/>
          <w:bCs/>
          <w:color w:val="auto"/>
          <w:sz w:val="21"/>
          <w:szCs w:val="21"/>
          <w:highlight w:val="none"/>
        </w:rPr>
      </w:pPr>
      <w:bookmarkStart w:id="782" w:name="_Toc227492272"/>
      <w:bookmarkStart w:id="783" w:name="_Toc228589191"/>
      <w:bookmarkStart w:id="784" w:name="_Toc26374"/>
      <w:bookmarkStart w:id="785" w:name="_Toc227657515"/>
      <w:bookmarkStart w:id="786" w:name="_Toc228337126"/>
      <w:bookmarkStart w:id="787" w:name="_Toc26447424"/>
      <w:bookmarkStart w:id="788" w:name="_Toc228881189"/>
      <w:bookmarkStart w:id="789" w:name="_Toc272772602"/>
      <w:bookmarkStart w:id="790" w:name="_Toc228591685"/>
      <w:bookmarkStart w:id="791" w:name="_Toc228591537"/>
      <w:bookmarkStart w:id="792" w:name="_Toc6671"/>
      <w:bookmarkStart w:id="793" w:name="_Toc436038200"/>
      <w:bookmarkStart w:id="794" w:name="_Toc25141728"/>
      <w:bookmarkStart w:id="795" w:name="_Toc214433915"/>
      <w:r>
        <w:rPr>
          <w:rFonts w:hint="eastAsia" w:ascii="宋体" w:hAnsi="宋体" w:eastAsia="宋体" w:cs="宋体"/>
          <w:b/>
          <w:bCs/>
          <w:color w:val="auto"/>
          <w:sz w:val="21"/>
          <w:szCs w:val="21"/>
          <w:highlight w:val="none"/>
        </w:rPr>
        <w:br w:type="page"/>
      </w:r>
    </w:p>
    <w:p w14:paraId="484D72A9">
      <w:pPr>
        <w:pStyle w:val="87"/>
        <w:wordWrap w:val="0"/>
        <w:spacing w:line="360" w:lineRule="auto"/>
        <w:ind w:right="-34" w:rightChars="-16"/>
        <w:outlineLvl w:val="1"/>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附表五：中标结果通知书</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6C7A4318">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p>
    <w:p w14:paraId="0BB7D65C">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t>中标结果通知书</w:t>
      </w:r>
    </w:p>
    <w:p w14:paraId="1F5DA248">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（未中标人名称）：</w:t>
      </w:r>
    </w:p>
    <w:p w14:paraId="69109B8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我方已接受</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（中标人名称）于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（投标日期）所递交的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（项目名称）施工投标文件，确定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（中标人名称）为中标人。</w:t>
      </w:r>
    </w:p>
    <w:p w14:paraId="18A27D7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感谢你单位对我们工作的大力支持！</w:t>
      </w:r>
    </w:p>
    <w:p w14:paraId="3E1D6D84">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5396A0E6">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（签字）</w:t>
      </w:r>
    </w:p>
    <w:p w14:paraId="458B7E6C">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451B3714">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highlight w:val="none"/>
        </w:rPr>
      </w:pPr>
    </w:p>
    <w:p w14:paraId="784DD840">
      <w:pPr>
        <w:pStyle w:val="87"/>
        <w:wordWrap w:val="0"/>
        <w:spacing w:line="360" w:lineRule="auto"/>
        <w:rPr>
          <w:rFonts w:hint="eastAsia" w:ascii="宋体" w:hAnsi="宋体" w:eastAsia="宋体" w:cs="宋体"/>
          <w:color w:val="auto"/>
          <w:highlight w:val="none"/>
        </w:rPr>
      </w:pPr>
    </w:p>
    <w:p w14:paraId="0F3A8B08">
      <w:pPr>
        <w:pStyle w:val="87"/>
        <w:wordWrap w:val="0"/>
        <w:spacing w:line="360" w:lineRule="auto"/>
        <w:ind w:right="-34" w:rightChars="-16"/>
        <w:outlineLvl w:val="1"/>
        <w:rPr>
          <w:rFonts w:hint="eastAsia" w:ascii="宋体" w:hAnsi="宋体" w:eastAsia="宋体" w:cs="宋体"/>
          <w:color w:val="auto"/>
          <w:sz w:val="32"/>
          <w:highlight w:val="none"/>
        </w:rPr>
      </w:pPr>
      <w:bookmarkStart w:id="796" w:name="_Toc227492273"/>
      <w:bookmarkStart w:id="797" w:name="_Toc228589192"/>
      <w:bookmarkStart w:id="798" w:name="_Toc228881190"/>
      <w:bookmarkStart w:id="799" w:name="_Toc227657516"/>
      <w:bookmarkStart w:id="800" w:name="_Toc214433916"/>
      <w:bookmarkStart w:id="801" w:name="_Toc21684"/>
      <w:bookmarkStart w:id="802" w:name="_Toc436038201"/>
      <w:bookmarkStart w:id="803" w:name="_Toc228591686"/>
      <w:bookmarkStart w:id="804" w:name="_Toc272772603"/>
      <w:bookmarkStart w:id="805" w:name="_Toc25141729"/>
      <w:bookmarkStart w:id="806" w:name="_Toc5716"/>
      <w:bookmarkStart w:id="807" w:name="_Toc228337127"/>
      <w:bookmarkStart w:id="808" w:name="_Toc228591538"/>
      <w:bookmarkStart w:id="809" w:name="_Toc26447425"/>
      <w:r>
        <w:rPr>
          <w:rFonts w:hint="eastAsia" w:ascii="宋体" w:hAnsi="宋体" w:eastAsia="宋体" w:cs="宋体"/>
          <w:b/>
          <w:bCs/>
          <w:color w:val="auto"/>
          <w:sz w:val="21"/>
          <w:szCs w:val="21"/>
          <w:highlight w:val="none"/>
        </w:rPr>
        <w:t>附表六：确认通知</w:t>
      </w:r>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p>
    <w:p w14:paraId="392131CA">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1FEF5891">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398272A4">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t>确认通知</w:t>
      </w:r>
    </w:p>
    <w:p w14:paraId="0FB8923C">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6F80F098">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772E4B18">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p>
    <w:p w14:paraId="2EA52B5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我方已接到你方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日发出的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（项目名称）施工招标关于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的通知，我方已于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日收到。</w:t>
      </w:r>
    </w:p>
    <w:p w14:paraId="55A267B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64B136E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特此确认。</w:t>
      </w:r>
    </w:p>
    <w:p w14:paraId="5E68856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623288F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059D4E3A">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（盖单位章）</w:t>
      </w:r>
    </w:p>
    <w:p w14:paraId="4A301420">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20D1184A">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highlight w:val="none"/>
        </w:rPr>
      </w:pPr>
    </w:p>
    <w:p w14:paraId="0866D499">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highlight w:val="none"/>
        </w:rPr>
      </w:pPr>
    </w:p>
    <w:p w14:paraId="102E0E97">
      <w:pPr>
        <w:pStyle w:val="87"/>
        <w:wordWrap w:val="0"/>
        <w:spacing w:line="360" w:lineRule="auto"/>
        <w:rPr>
          <w:rFonts w:hint="eastAsia" w:ascii="宋体" w:hAnsi="宋体" w:eastAsia="宋体" w:cs="宋体"/>
          <w:color w:val="auto"/>
          <w:highlight w:val="none"/>
        </w:rPr>
      </w:pPr>
    </w:p>
    <w:p w14:paraId="4DF6C935">
      <w:pPr>
        <w:pStyle w:val="87"/>
        <w:wordWrap w:val="0"/>
        <w:spacing w:line="360" w:lineRule="auto"/>
        <w:ind w:right="-34" w:rightChars="-16"/>
        <w:outlineLvl w:val="1"/>
        <w:rPr>
          <w:rFonts w:hint="eastAsia" w:ascii="宋体" w:hAnsi="宋体" w:eastAsia="宋体" w:cs="宋体"/>
          <w:b/>
          <w:bCs/>
          <w:color w:val="auto"/>
          <w:sz w:val="21"/>
          <w:szCs w:val="21"/>
          <w:highlight w:val="none"/>
        </w:rPr>
      </w:pPr>
      <w:bookmarkStart w:id="810" w:name="_Toc271554746"/>
      <w:bookmarkStart w:id="811" w:name="_Toc26447426"/>
      <w:bookmarkStart w:id="812" w:name="_Toc1624"/>
      <w:bookmarkStart w:id="813" w:name="_Toc28553"/>
      <w:bookmarkStart w:id="814" w:name="_Toc25141730"/>
      <w:r>
        <w:rPr>
          <w:rFonts w:hint="eastAsia" w:ascii="宋体" w:hAnsi="宋体" w:eastAsia="宋体" w:cs="宋体"/>
          <w:b/>
          <w:bCs/>
          <w:color w:val="auto"/>
          <w:sz w:val="21"/>
          <w:szCs w:val="21"/>
          <w:highlight w:val="none"/>
        </w:rPr>
        <w:t>附表七：备选投标方案编制要求</w:t>
      </w:r>
      <w:bookmarkEnd w:id="810"/>
      <w:bookmarkEnd w:id="811"/>
      <w:bookmarkEnd w:id="812"/>
      <w:bookmarkEnd w:id="813"/>
      <w:bookmarkEnd w:id="814"/>
    </w:p>
    <w:p w14:paraId="3EDB3EA7">
      <w:pPr>
        <w:pStyle w:val="87"/>
        <w:wordWrap w:val="0"/>
        <w:spacing w:line="360" w:lineRule="auto"/>
        <w:ind w:right="-34" w:rightChars="-16"/>
        <w:outlineLvl w:val="1"/>
        <w:rPr>
          <w:rFonts w:hint="eastAsia" w:ascii="宋体" w:hAnsi="宋体" w:eastAsia="宋体" w:cs="宋体"/>
          <w:b/>
          <w:bCs/>
          <w:color w:val="auto"/>
          <w:sz w:val="21"/>
          <w:szCs w:val="21"/>
          <w:highlight w:val="none"/>
        </w:rPr>
      </w:pPr>
    </w:p>
    <w:p w14:paraId="5A6C66F7">
      <w:pPr>
        <w:wordWrap w:val="0"/>
        <w:autoSpaceDE w:val="0"/>
        <w:autoSpaceDN w:val="0"/>
        <w:adjustRightInd w:val="0"/>
        <w:spacing w:line="360" w:lineRule="auto"/>
        <w:ind w:right="-34" w:rightChars="-16"/>
        <w:jc w:val="center"/>
        <w:rPr>
          <w:rFonts w:hint="eastAsia" w:ascii="宋体" w:hAnsi="宋体" w:eastAsia="宋体" w:cs="宋体"/>
          <w:color w:val="auto"/>
          <w:kern w:val="0"/>
          <w:sz w:val="28"/>
          <w:szCs w:val="22"/>
          <w:highlight w:val="none"/>
        </w:rPr>
      </w:pPr>
      <w:r>
        <w:rPr>
          <w:rFonts w:hint="eastAsia" w:ascii="宋体" w:hAnsi="宋体" w:eastAsia="宋体" w:cs="宋体"/>
          <w:color w:val="auto"/>
          <w:kern w:val="0"/>
          <w:sz w:val="28"/>
          <w:szCs w:val="22"/>
          <w:highlight w:val="none"/>
        </w:rPr>
        <w:t>备选投标方案编制要求</w:t>
      </w:r>
    </w:p>
    <w:p w14:paraId="017D8B14">
      <w:pPr>
        <w:wordWrap w:val="0"/>
        <w:spacing w:line="360" w:lineRule="auto"/>
        <w:ind w:firstLine="539" w:firstLineChars="257"/>
        <w:rPr>
          <w:rFonts w:hint="eastAsia" w:ascii="宋体" w:hAnsi="宋体" w:eastAsia="宋体" w:cs="宋体"/>
          <w:color w:val="auto"/>
          <w:sz w:val="24"/>
          <w:highlight w:val="none"/>
        </w:rPr>
      </w:pPr>
      <w:r>
        <w:rPr>
          <w:rFonts w:hint="eastAsia" w:ascii="宋体" w:hAnsi="宋体" w:eastAsia="宋体" w:cs="宋体"/>
          <w:color w:val="auto"/>
          <w:szCs w:val="21"/>
          <w:highlight w:val="none"/>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7490B690">
      <w:pPr>
        <w:pStyle w:val="87"/>
        <w:wordWrap w:val="0"/>
        <w:spacing w:line="360" w:lineRule="auto"/>
        <w:ind w:right="-34" w:rightChars="-16"/>
        <w:jc w:val="center"/>
        <w:outlineLvl w:val="0"/>
        <w:rPr>
          <w:rFonts w:hint="eastAsia" w:ascii="宋体" w:hAnsi="宋体" w:eastAsia="宋体" w:cs="宋体"/>
          <w:b/>
          <w:color w:val="auto"/>
          <w:sz w:val="36"/>
          <w:highlight w:val="none"/>
        </w:rPr>
      </w:pPr>
      <w:r>
        <w:rPr>
          <w:rFonts w:hint="eastAsia" w:ascii="宋体" w:hAnsi="宋体" w:eastAsia="宋体" w:cs="宋体"/>
          <w:color w:val="auto"/>
          <w:highlight w:val="none"/>
        </w:rPr>
        <w:br w:type="page"/>
      </w:r>
      <w:bookmarkEnd w:id="731"/>
      <w:bookmarkEnd w:id="732"/>
      <w:bookmarkEnd w:id="733"/>
    </w:p>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14:paraId="0F358B06">
      <w:pPr>
        <w:pStyle w:val="2"/>
        <w:bidi w:val="0"/>
        <w:spacing w:line="240" w:lineRule="auto"/>
        <w:jc w:val="center"/>
        <w:rPr>
          <w:rFonts w:hint="eastAsia" w:ascii="宋体" w:hAnsi="宋体" w:eastAsia="宋体" w:cs="宋体"/>
          <w:color w:val="auto"/>
          <w:sz w:val="40"/>
          <w:szCs w:val="40"/>
          <w:highlight w:val="none"/>
        </w:rPr>
      </w:pPr>
      <w:bookmarkStart w:id="815" w:name="_Toc12920"/>
      <w:bookmarkStart w:id="816" w:name="_Toc27461"/>
      <w:bookmarkStart w:id="817" w:name="_Toc25567"/>
      <w:bookmarkStart w:id="818" w:name="_Toc458759012"/>
      <w:bookmarkStart w:id="819" w:name="_Toc19634"/>
      <w:bookmarkStart w:id="820" w:name="_Toc500864470"/>
      <w:bookmarkStart w:id="821" w:name="_Toc10870"/>
      <w:bookmarkStart w:id="822" w:name="_Toc22246"/>
      <w:bookmarkStart w:id="823" w:name="_Toc16449"/>
      <w:bookmarkStart w:id="824" w:name="_Toc272772653"/>
      <w:bookmarkStart w:id="825" w:name="_Toc20085"/>
      <w:r>
        <w:rPr>
          <w:rFonts w:hint="eastAsia" w:ascii="宋体" w:hAnsi="宋体" w:eastAsia="宋体" w:cs="宋体"/>
          <w:color w:val="auto"/>
          <w:sz w:val="40"/>
          <w:szCs w:val="40"/>
          <w:highlight w:val="none"/>
        </w:rPr>
        <w:t>第三章</w:t>
      </w:r>
      <w:r>
        <w:rPr>
          <w:rFonts w:hint="eastAsia" w:ascii="宋体" w:hAnsi="宋体" w:eastAsia="宋体" w:cs="宋体"/>
          <w:color w:val="auto"/>
          <w:sz w:val="40"/>
          <w:szCs w:val="40"/>
          <w:highlight w:val="none"/>
          <w:lang w:val="en-US" w:eastAsia="zh-CN"/>
        </w:rPr>
        <w:t xml:space="preserve"> </w:t>
      </w:r>
      <w:r>
        <w:rPr>
          <w:rFonts w:hint="eastAsia" w:ascii="宋体" w:hAnsi="宋体" w:eastAsia="宋体" w:cs="宋体"/>
          <w:color w:val="auto"/>
          <w:sz w:val="40"/>
          <w:szCs w:val="40"/>
          <w:highlight w:val="none"/>
        </w:rPr>
        <w:t>评标办法</w:t>
      </w:r>
      <w:bookmarkEnd w:id="815"/>
      <w:r>
        <w:rPr>
          <w:rFonts w:hint="eastAsia" w:ascii="宋体" w:hAnsi="宋体" w:eastAsia="宋体" w:cs="宋体"/>
          <w:color w:val="auto"/>
          <w:sz w:val="40"/>
          <w:szCs w:val="40"/>
          <w:highlight w:val="none"/>
        </w:rPr>
        <w:t>（综合评估法）</w:t>
      </w:r>
      <w:bookmarkEnd w:id="816"/>
    </w:p>
    <w:p w14:paraId="1659B334">
      <w:pPr>
        <w:autoSpaceDE w:val="0"/>
        <w:autoSpaceDN w:val="0"/>
        <w:adjustRightInd w:val="0"/>
        <w:spacing w:before="156" w:beforeLines="50" w:after="156" w:afterLines="50" w:line="400" w:lineRule="exact"/>
        <w:ind w:right="-34" w:rightChars="-16"/>
        <w:jc w:val="center"/>
        <w:outlineLvl w:val="0"/>
        <w:rPr>
          <w:rFonts w:hint="eastAsia" w:ascii="宋体" w:hAnsi="宋体" w:eastAsia="宋体" w:cs="宋体"/>
          <w:b/>
          <w:color w:val="auto"/>
          <w:kern w:val="0"/>
          <w:sz w:val="32"/>
          <w:szCs w:val="32"/>
          <w:highlight w:val="none"/>
        </w:rPr>
      </w:pPr>
      <w:bookmarkStart w:id="826" w:name="_Toc7396"/>
      <w:bookmarkStart w:id="827" w:name="_Toc15694"/>
      <w:bookmarkStart w:id="828" w:name="_Toc30530"/>
      <w:r>
        <w:rPr>
          <w:rFonts w:hint="eastAsia" w:ascii="宋体" w:hAnsi="宋体" w:eastAsia="宋体" w:cs="宋体"/>
          <w:b/>
          <w:color w:val="auto"/>
          <w:kern w:val="0"/>
          <w:sz w:val="24"/>
          <w:highlight w:val="none"/>
        </w:rPr>
        <w:t>执行“河南省建设工程工程量清单招标评标办法”豫建行规〔2023〕3号文。</w:t>
      </w:r>
      <w:bookmarkEnd w:id="826"/>
    </w:p>
    <w:p w14:paraId="5CABFD05">
      <w:pPr>
        <w:spacing w:after="156" w:afterLines="50"/>
        <w:jc w:val="center"/>
        <w:outlineLvl w:val="1"/>
        <w:rPr>
          <w:rFonts w:hint="eastAsia" w:ascii="宋体" w:hAnsi="宋体" w:eastAsia="宋体" w:cs="宋体"/>
          <w:color w:val="auto"/>
          <w:sz w:val="24"/>
          <w:szCs w:val="32"/>
          <w:highlight w:val="none"/>
        </w:rPr>
      </w:pPr>
      <w:bookmarkStart w:id="829" w:name="_Toc9645"/>
      <w:r>
        <w:rPr>
          <w:rFonts w:hint="eastAsia" w:ascii="宋体" w:hAnsi="宋体" w:eastAsia="宋体" w:cs="宋体"/>
          <w:color w:val="auto"/>
          <w:sz w:val="24"/>
          <w:szCs w:val="24"/>
          <w:highlight w:val="none"/>
        </w:rPr>
        <w:t>评标办法前附表</w:t>
      </w:r>
      <w:bookmarkEnd w:id="827"/>
      <w:bookmarkEnd w:id="828"/>
      <w:bookmarkEnd w:id="829"/>
    </w:p>
    <w:tbl>
      <w:tblPr>
        <w:tblStyle w:val="43"/>
        <w:tblW w:w="91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230"/>
        <w:gridCol w:w="472"/>
        <w:gridCol w:w="804"/>
        <w:gridCol w:w="1359"/>
        <w:gridCol w:w="127"/>
        <w:gridCol w:w="695"/>
        <w:gridCol w:w="1320"/>
        <w:gridCol w:w="2317"/>
        <w:gridCol w:w="1184"/>
      </w:tblGrid>
      <w:tr w14:paraId="19FB1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380" w:type="dxa"/>
            <w:gridSpan w:val="3"/>
            <w:noWrap w:val="0"/>
            <w:tcMar>
              <w:left w:w="57" w:type="dxa"/>
              <w:right w:w="57" w:type="dxa"/>
            </w:tcMar>
            <w:vAlign w:val="center"/>
          </w:tcPr>
          <w:p w14:paraId="58B4117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163" w:type="dxa"/>
            <w:gridSpan w:val="2"/>
            <w:noWrap w:val="0"/>
            <w:tcMar>
              <w:left w:w="57" w:type="dxa"/>
              <w:right w:w="57" w:type="dxa"/>
            </w:tcMar>
            <w:vAlign w:val="center"/>
          </w:tcPr>
          <w:p w14:paraId="75EF7509">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tc>
        <w:tc>
          <w:tcPr>
            <w:tcW w:w="5643" w:type="dxa"/>
            <w:gridSpan w:val="5"/>
            <w:noWrap w:val="0"/>
            <w:tcMar>
              <w:left w:w="57" w:type="dxa"/>
              <w:right w:w="57" w:type="dxa"/>
            </w:tcMar>
            <w:vAlign w:val="center"/>
          </w:tcPr>
          <w:p w14:paraId="0FDDCDA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评审标准</w:t>
            </w:r>
          </w:p>
        </w:tc>
      </w:tr>
      <w:tr w14:paraId="0DB95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noWrap w:val="0"/>
            <w:tcMar>
              <w:left w:w="57" w:type="dxa"/>
              <w:right w:w="57" w:type="dxa"/>
            </w:tcMar>
            <w:vAlign w:val="center"/>
          </w:tcPr>
          <w:p w14:paraId="5089B9E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2.1.1</w:t>
            </w:r>
          </w:p>
        </w:tc>
        <w:tc>
          <w:tcPr>
            <w:tcW w:w="702" w:type="dxa"/>
            <w:gridSpan w:val="2"/>
            <w:vMerge w:val="restart"/>
            <w:noWrap w:val="0"/>
            <w:tcMar>
              <w:left w:w="57" w:type="dxa"/>
              <w:right w:w="57" w:type="dxa"/>
            </w:tcMar>
            <w:vAlign w:val="center"/>
          </w:tcPr>
          <w:p w14:paraId="5CE3741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w:t>
            </w:r>
          </w:p>
          <w:p w14:paraId="6EF71B0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7C05EBB8">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2163" w:type="dxa"/>
            <w:gridSpan w:val="2"/>
            <w:noWrap w:val="0"/>
            <w:tcMar>
              <w:left w:w="57" w:type="dxa"/>
              <w:right w:w="57" w:type="dxa"/>
            </w:tcMar>
            <w:vAlign w:val="center"/>
          </w:tcPr>
          <w:p w14:paraId="15922FF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5643" w:type="dxa"/>
            <w:gridSpan w:val="5"/>
            <w:noWrap w:val="0"/>
            <w:tcMar>
              <w:left w:w="57" w:type="dxa"/>
              <w:right w:w="57" w:type="dxa"/>
            </w:tcMar>
            <w:vAlign w:val="center"/>
          </w:tcPr>
          <w:p w14:paraId="18283D23">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20C97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139365E6">
            <w:pPr>
              <w:widowControl/>
              <w:wordWrap w:val="0"/>
              <w:jc w:val="center"/>
              <w:rPr>
                <w:rFonts w:hint="eastAsia" w:ascii="宋体" w:hAnsi="宋体" w:eastAsia="宋体" w:cs="宋体"/>
                <w:color w:val="auto"/>
                <w:kern w:val="0"/>
                <w:sz w:val="21"/>
                <w:szCs w:val="21"/>
                <w:highlight w:val="none"/>
              </w:rPr>
            </w:pPr>
          </w:p>
        </w:tc>
        <w:tc>
          <w:tcPr>
            <w:tcW w:w="702" w:type="dxa"/>
            <w:gridSpan w:val="2"/>
            <w:vMerge w:val="continue"/>
            <w:noWrap w:val="0"/>
            <w:tcMar>
              <w:left w:w="57" w:type="dxa"/>
              <w:right w:w="57" w:type="dxa"/>
            </w:tcMar>
            <w:vAlign w:val="center"/>
          </w:tcPr>
          <w:p w14:paraId="3BE89538">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0B1E2783">
            <w:pPr>
              <w:pStyle w:val="87"/>
              <w:pageBreakBefore w:val="0"/>
              <w:wordWrap w:val="0"/>
              <w:bidi w:val="0"/>
              <w:spacing w:line="320" w:lineRule="exact"/>
              <w:ind w:left="0" w:leftChars="0"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投标函及投标函附录</w:t>
            </w:r>
          </w:p>
        </w:tc>
        <w:tc>
          <w:tcPr>
            <w:tcW w:w="5643" w:type="dxa"/>
            <w:gridSpan w:val="5"/>
            <w:noWrap w:val="0"/>
            <w:tcMar>
              <w:left w:w="57" w:type="dxa"/>
              <w:right w:w="57" w:type="dxa"/>
            </w:tcMar>
            <w:vAlign w:val="center"/>
          </w:tcPr>
          <w:p w14:paraId="11CCA782">
            <w:pPr>
              <w:pStyle w:val="87"/>
              <w:pageBreakBefore w:val="0"/>
              <w:wordWrap w:val="0"/>
              <w:bidi w:val="0"/>
              <w:spacing w:line="320" w:lineRule="exact"/>
              <w:jc w:val="both"/>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按招标文件格式要求</w:t>
            </w:r>
          </w:p>
        </w:tc>
      </w:tr>
      <w:tr w14:paraId="61BDE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3B18BD80">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07554EB9">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2DDB6B6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投标文件签字盖章</w:t>
            </w:r>
          </w:p>
        </w:tc>
        <w:tc>
          <w:tcPr>
            <w:tcW w:w="5643" w:type="dxa"/>
            <w:gridSpan w:val="5"/>
            <w:noWrap w:val="0"/>
            <w:tcMar>
              <w:left w:w="57" w:type="dxa"/>
              <w:right w:w="57" w:type="dxa"/>
            </w:tcMar>
            <w:vAlign w:val="center"/>
          </w:tcPr>
          <w:p w14:paraId="1EF984F6">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符合招标文件格式要求，并按要求加盖投标单位章、法定代表人（或委托代理人）</w:t>
            </w:r>
            <w:r>
              <w:rPr>
                <w:rFonts w:hint="eastAsia" w:ascii="宋体" w:hAnsi="宋体" w:eastAsia="宋体" w:cs="宋体"/>
                <w:bCs/>
                <w:color w:val="auto"/>
                <w:kern w:val="0"/>
                <w:sz w:val="21"/>
                <w:szCs w:val="21"/>
                <w:highlight w:val="none"/>
              </w:rPr>
              <w:t>签字或电子章</w:t>
            </w:r>
          </w:p>
        </w:tc>
      </w:tr>
      <w:tr w14:paraId="2E9AC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79F39D8B">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4078F78C">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4B15565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5643" w:type="dxa"/>
            <w:gridSpan w:val="5"/>
            <w:noWrap w:val="0"/>
            <w:tcMar>
              <w:left w:w="57" w:type="dxa"/>
              <w:right w:w="57" w:type="dxa"/>
            </w:tcMar>
            <w:vAlign w:val="center"/>
          </w:tcPr>
          <w:p w14:paraId="15AE9BCA">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章“投标文件格式”的规定</w:t>
            </w:r>
          </w:p>
        </w:tc>
      </w:tr>
      <w:tr w14:paraId="4F6C3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11509E67">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663E7B17">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2B00CA5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w:t>
            </w:r>
          </w:p>
        </w:tc>
        <w:tc>
          <w:tcPr>
            <w:tcW w:w="5643" w:type="dxa"/>
            <w:gridSpan w:val="5"/>
            <w:noWrap w:val="0"/>
            <w:tcMar>
              <w:left w:w="57" w:type="dxa"/>
              <w:right w:w="57" w:type="dxa"/>
            </w:tcMar>
            <w:vAlign w:val="center"/>
          </w:tcPr>
          <w:p w14:paraId="290F86B6">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只能有一个有效报价，且不可竞争费用、安全文明施工措施费足额计取</w:t>
            </w:r>
          </w:p>
        </w:tc>
      </w:tr>
      <w:tr w14:paraId="569F3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noWrap w:val="0"/>
            <w:tcMar>
              <w:left w:w="57" w:type="dxa"/>
              <w:right w:w="57" w:type="dxa"/>
            </w:tcMar>
            <w:vAlign w:val="center"/>
          </w:tcPr>
          <w:p w14:paraId="3F7CCD2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p w14:paraId="3854B161">
            <w:pPr>
              <w:wordWrap w:val="0"/>
              <w:jc w:val="center"/>
              <w:rPr>
                <w:rFonts w:hint="eastAsia" w:ascii="宋体" w:hAnsi="宋体" w:eastAsia="宋体" w:cs="宋体"/>
                <w:color w:val="auto"/>
                <w:sz w:val="21"/>
                <w:szCs w:val="21"/>
                <w:highlight w:val="none"/>
              </w:rPr>
            </w:pPr>
          </w:p>
        </w:tc>
        <w:tc>
          <w:tcPr>
            <w:tcW w:w="702" w:type="dxa"/>
            <w:gridSpan w:val="2"/>
            <w:vMerge w:val="restart"/>
            <w:noWrap w:val="0"/>
            <w:tcMar>
              <w:left w:w="57" w:type="dxa"/>
              <w:right w:w="57" w:type="dxa"/>
            </w:tcMar>
            <w:vAlign w:val="center"/>
          </w:tcPr>
          <w:p w14:paraId="5877B598">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w:t>
            </w:r>
          </w:p>
          <w:p w14:paraId="21C9D40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7033394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2163" w:type="dxa"/>
            <w:gridSpan w:val="2"/>
            <w:noWrap w:val="0"/>
            <w:tcMar>
              <w:left w:w="57" w:type="dxa"/>
              <w:right w:w="57" w:type="dxa"/>
            </w:tcMar>
            <w:vAlign w:val="center"/>
          </w:tcPr>
          <w:p w14:paraId="0B4304B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5643" w:type="dxa"/>
            <w:gridSpan w:val="5"/>
            <w:noWrap w:val="0"/>
            <w:vAlign w:val="center"/>
          </w:tcPr>
          <w:p w14:paraId="743F820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具备有效的营业执照</w:t>
            </w:r>
          </w:p>
        </w:tc>
      </w:tr>
      <w:tr w14:paraId="4239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23EF19EA">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344C67D9">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0C787DE0">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安全生产许可证</w:t>
            </w:r>
          </w:p>
        </w:tc>
        <w:tc>
          <w:tcPr>
            <w:tcW w:w="5643" w:type="dxa"/>
            <w:gridSpan w:val="5"/>
            <w:noWrap w:val="0"/>
            <w:vAlign w:val="center"/>
          </w:tcPr>
          <w:p w14:paraId="3462350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具备有效的安全生产许可证</w:t>
            </w:r>
          </w:p>
        </w:tc>
      </w:tr>
      <w:tr w14:paraId="1AB8A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727CB889">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096DBD57">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7B76996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资质等级</w:t>
            </w:r>
          </w:p>
        </w:tc>
        <w:tc>
          <w:tcPr>
            <w:tcW w:w="5643" w:type="dxa"/>
            <w:gridSpan w:val="5"/>
            <w:noWrap w:val="0"/>
            <w:vAlign w:val="center"/>
          </w:tcPr>
          <w:p w14:paraId="06871C4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795B9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475D435B">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20AA48F0">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6F2E3888">
            <w:pPr>
              <w:pStyle w:val="87"/>
              <w:spacing w:line="3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项目经理要求</w:t>
            </w:r>
          </w:p>
        </w:tc>
        <w:tc>
          <w:tcPr>
            <w:tcW w:w="5643" w:type="dxa"/>
            <w:gridSpan w:val="5"/>
            <w:noWrap w:val="0"/>
            <w:vAlign w:val="center"/>
          </w:tcPr>
          <w:p w14:paraId="2A539EE3">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6E0B8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61257FF6">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14BE6595">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5FED1FFF">
            <w:pPr>
              <w:pStyle w:val="87"/>
              <w:spacing w:line="3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技术负责人要求</w:t>
            </w:r>
          </w:p>
        </w:tc>
        <w:tc>
          <w:tcPr>
            <w:tcW w:w="5643" w:type="dxa"/>
            <w:gridSpan w:val="5"/>
            <w:noWrap w:val="0"/>
            <w:vAlign w:val="center"/>
          </w:tcPr>
          <w:p w14:paraId="6E413837">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4932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64DDDB57">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5EE03095">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33695E49">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财务要求</w:t>
            </w:r>
          </w:p>
        </w:tc>
        <w:tc>
          <w:tcPr>
            <w:tcW w:w="5643" w:type="dxa"/>
            <w:gridSpan w:val="5"/>
            <w:noWrap w:val="0"/>
            <w:vAlign w:val="center"/>
          </w:tcPr>
          <w:p w14:paraId="75CCA45E">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67C9E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790EE018">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2D9F80B3">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7E8AF496">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信誉要求</w:t>
            </w:r>
          </w:p>
        </w:tc>
        <w:tc>
          <w:tcPr>
            <w:tcW w:w="5643" w:type="dxa"/>
            <w:gridSpan w:val="5"/>
            <w:noWrap w:val="0"/>
            <w:vAlign w:val="center"/>
          </w:tcPr>
          <w:p w14:paraId="5A937D8A">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2980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65E72534">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6A42E07E">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6AFD6599">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其他要求</w:t>
            </w:r>
          </w:p>
        </w:tc>
        <w:tc>
          <w:tcPr>
            <w:tcW w:w="5643" w:type="dxa"/>
            <w:gridSpan w:val="5"/>
            <w:noWrap w:val="0"/>
            <w:vAlign w:val="center"/>
          </w:tcPr>
          <w:p w14:paraId="058CA0AD">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2613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78" w:type="dxa"/>
            <w:vMerge w:val="continue"/>
            <w:noWrap w:val="0"/>
            <w:tcMar>
              <w:left w:w="57" w:type="dxa"/>
              <w:right w:w="57" w:type="dxa"/>
            </w:tcMar>
            <w:vAlign w:val="center"/>
          </w:tcPr>
          <w:p w14:paraId="40958D79">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2017F710">
            <w:pPr>
              <w:wordWrap w:val="0"/>
              <w:jc w:val="center"/>
              <w:rPr>
                <w:rFonts w:hint="eastAsia" w:ascii="宋体" w:hAnsi="宋体" w:eastAsia="宋体" w:cs="宋体"/>
                <w:color w:val="auto"/>
                <w:sz w:val="21"/>
                <w:szCs w:val="21"/>
                <w:highlight w:val="none"/>
              </w:rPr>
            </w:pPr>
          </w:p>
        </w:tc>
        <w:tc>
          <w:tcPr>
            <w:tcW w:w="7806" w:type="dxa"/>
            <w:gridSpan w:val="7"/>
            <w:noWrap w:val="0"/>
            <w:tcMar>
              <w:left w:w="57" w:type="dxa"/>
              <w:right w:w="57" w:type="dxa"/>
            </w:tcMar>
            <w:vAlign w:val="center"/>
          </w:tcPr>
          <w:p w14:paraId="2FD7FA1B">
            <w:pPr>
              <w:wordWrap w:val="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备注：招标文件中所要求证件、证明等，投标文件中应附相应资料清晰的扫描件或复印件，由于模糊不清导致评委无法辨别的，后果由投标人自行承担。</w:t>
            </w:r>
          </w:p>
        </w:tc>
      </w:tr>
      <w:tr w14:paraId="3B62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tcBorders>
              <w:left w:val="single" w:color="auto" w:sz="4" w:space="0"/>
            </w:tcBorders>
            <w:noWrap w:val="0"/>
            <w:tcMar>
              <w:left w:w="57" w:type="dxa"/>
              <w:right w:w="57" w:type="dxa"/>
            </w:tcMar>
            <w:vAlign w:val="center"/>
          </w:tcPr>
          <w:p w14:paraId="4D39B91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tc>
        <w:tc>
          <w:tcPr>
            <w:tcW w:w="702" w:type="dxa"/>
            <w:gridSpan w:val="2"/>
            <w:vMerge w:val="restart"/>
            <w:noWrap w:val="0"/>
            <w:tcMar>
              <w:left w:w="57" w:type="dxa"/>
              <w:right w:w="57" w:type="dxa"/>
            </w:tcMar>
            <w:vAlign w:val="center"/>
          </w:tcPr>
          <w:p w14:paraId="582F809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响应性</w:t>
            </w:r>
          </w:p>
          <w:p w14:paraId="481ED7D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55374D1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2163" w:type="dxa"/>
            <w:gridSpan w:val="2"/>
            <w:noWrap w:val="0"/>
            <w:tcMar>
              <w:left w:w="57" w:type="dxa"/>
              <w:right w:w="57" w:type="dxa"/>
            </w:tcMar>
            <w:vAlign w:val="center"/>
          </w:tcPr>
          <w:p w14:paraId="5E7BE9F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投标内容</w:t>
            </w:r>
          </w:p>
        </w:tc>
        <w:tc>
          <w:tcPr>
            <w:tcW w:w="5643" w:type="dxa"/>
            <w:gridSpan w:val="5"/>
            <w:noWrap w:val="0"/>
            <w:vAlign w:val="center"/>
          </w:tcPr>
          <w:p w14:paraId="2D3E02C1">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符合第二章“投标人须知”第1.3.1项规定</w:t>
            </w:r>
          </w:p>
        </w:tc>
      </w:tr>
      <w:tr w14:paraId="2C2E4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4317E272">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221C547B">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0225B6D7">
            <w:pPr>
              <w:wordWrap w:val="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计划</w:t>
            </w:r>
            <w:r>
              <w:rPr>
                <w:rFonts w:hint="eastAsia" w:ascii="宋体" w:hAnsi="宋体" w:eastAsia="宋体" w:cs="宋体"/>
                <w:color w:val="auto"/>
                <w:sz w:val="21"/>
                <w:szCs w:val="21"/>
                <w:highlight w:val="none"/>
              </w:rPr>
              <w:t>工期</w:t>
            </w:r>
          </w:p>
        </w:tc>
        <w:tc>
          <w:tcPr>
            <w:tcW w:w="5643" w:type="dxa"/>
            <w:gridSpan w:val="5"/>
            <w:noWrap w:val="0"/>
            <w:vAlign w:val="center"/>
          </w:tcPr>
          <w:p w14:paraId="79C7EB35">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符合第二章“投标人须知”第1.3.2项规定</w:t>
            </w:r>
          </w:p>
        </w:tc>
      </w:tr>
      <w:tr w14:paraId="6FBAD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7EAEAE94">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1A6F5672">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0EA5725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5643" w:type="dxa"/>
            <w:gridSpan w:val="5"/>
            <w:noWrap w:val="0"/>
            <w:vAlign w:val="center"/>
          </w:tcPr>
          <w:p w14:paraId="28C5FDD2">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符合第二章“投标人须知”第1.3.3项规定</w:t>
            </w:r>
          </w:p>
        </w:tc>
      </w:tr>
      <w:tr w14:paraId="7B096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12537E21">
            <w:pPr>
              <w:wordWrap w:val="0"/>
              <w:jc w:val="center"/>
              <w:rPr>
                <w:rFonts w:hint="eastAsia" w:ascii="宋体" w:hAnsi="宋体" w:eastAsia="宋体" w:cs="宋体"/>
                <w:color w:val="auto"/>
                <w:sz w:val="21"/>
                <w:szCs w:val="21"/>
                <w:highlight w:val="none"/>
              </w:rPr>
            </w:pPr>
          </w:p>
        </w:tc>
        <w:tc>
          <w:tcPr>
            <w:tcW w:w="702" w:type="dxa"/>
            <w:gridSpan w:val="2"/>
            <w:vMerge w:val="continue"/>
            <w:noWrap w:val="0"/>
            <w:tcMar>
              <w:left w:w="57" w:type="dxa"/>
              <w:right w:w="57" w:type="dxa"/>
            </w:tcMar>
            <w:vAlign w:val="center"/>
          </w:tcPr>
          <w:p w14:paraId="0A220D21">
            <w:pPr>
              <w:wordWrap w:val="0"/>
              <w:jc w:val="center"/>
              <w:rPr>
                <w:rFonts w:hint="eastAsia" w:ascii="宋体" w:hAnsi="宋体" w:eastAsia="宋体" w:cs="宋体"/>
                <w:color w:val="auto"/>
                <w:sz w:val="21"/>
                <w:szCs w:val="21"/>
                <w:highlight w:val="none"/>
              </w:rPr>
            </w:pPr>
          </w:p>
        </w:tc>
        <w:tc>
          <w:tcPr>
            <w:tcW w:w="2163" w:type="dxa"/>
            <w:gridSpan w:val="2"/>
            <w:noWrap w:val="0"/>
            <w:tcMar>
              <w:left w:w="57" w:type="dxa"/>
              <w:right w:w="57" w:type="dxa"/>
            </w:tcMar>
            <w:vAlign w:val="center"/>
          </w:tcPr>
          <w:p w14:paraId="2E34485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5643" w:type="dxa"/>
            <w:gridSpan w:val="5"/>
            <w:noWrap w:val="0"/>
            <w:vAlign w:val="center"/>
          </w:tcPr>
          <w:p w14:paraId="793EFD59">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符合第二章“投标人须知”第3.3.1项规定</w:t>
            </w:r>
          </w:p>
        </w:tc>
      </w:tr>
      <w:tr w14:paraId="3299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bottom w:val="single" w:color="auto" w:sz="4" w:space="0"/>
            </w:tcBorders>
            <w:noWrap w:val="0"/>
            <w:tcMar>
              <w:left w:w="57" w:type="dxa"/>
              <w:right w:w="57" w:type="dxa"/>
            </w:tcMar>
            <w:vAlign w:val="center"/>
          </w:tcPr>
          <w:p w14:paraId="651C3F58">
            <w:pPr>
              <w:wordWrap w:val="0"/>
              <w:jc w:val="center"/>
              <w:rPr>
                <w:rFonts w:hint="eastAsia" w:ascii="宋体" w:hAnsi="宋体" w:eastAsia="宋体" w:cs="宋体"/>
                <w:color w:val="auto"/>
                <w:sz w:val="21"/>
                <w:szCs w:val="21"/>
                <w:highlight w:val="none"/>
              </w:rPr>
            </w:pPr>
          </w:p>
        </w:tc>
        <w:tc>
          <w:tcPr>
            <w:tcW w:w="702" w:type="dxa"/>
            <w:gridSpan w:val="2"/>
            <w:vMerge w:val="continue"/>
            <w:tcBorders>
              <w:bottom w:val="single" w:color="auto" w:sz="4" w:space="0"/>
            </w:tcBorders>
            <w:noWrap w:val="0"/>
            <w:tcMar>
              <w:left w:w="57" w:type="dxa"/>
              <w:right w:w="57" w:type="dxa"/>
            </w:tcMar>
            <w:vAlign w:val="center"/>
          </w:tcPr>
          <w:p w14:paraId="0FDFC2DC">
            <w:pPr>
              <w:wordWrap w:val="0"/>
              <w:jc w:val="center"/>
              <w:rPr>
                <w:rFonts w:hint="eastAsia" w:ascii="宋体" w:hAnsi="宋体" w:eastAsia="宋体" w:cs="宋体"/>
                <w:color w:val="auto"/>
                <w:sz w:val="21"/>
                <w:szCs w:val="21"/>
                <w:highlight w:val="none"/>
              </w:rPr>
            </w:pPr>
          </w:p>
        </w:tc>
        <w:tc>
          <w:tcPr>
            <w:tcW w:w="2163" w:type="dxa"/>
            <w:gridSpan w:val="2"/>
            <w:tcBorders>
              <w:bottom w:val="single" w:color="auto" w:sz="4" w:space="0"/>
            </w:tcBorders>
            <w:noWrap w:val="0"/>
            <w:tcMar>
              <w:left w:w="57" w:type="dxa"/>
              <w:right w:w="57" w:type="dxa"/>
            </w:tcMar>
            <w:vAlign w:val="center"/>
          </w:tcPr>
          <w:p w14:paraId="47F4775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5643" w:type="dxa"/>
            <w:gridSpan w:val="5"/>
            <w:tcBorders>
              <w:bottom w:val="single" w:color="auto" w:sz="4" w:space="0"/>
            </w:tcBorders>
            <w:noWrap w:val="0"/>
            <w:vAlign w:val="center"/>
          </w:tcPr>
          <w:p w14:paraId="606EF991">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符合第二章“投标人须知”第3.4.1项规定</w:t>
            </w:r>
          </w:p>
        </w:tc>
      </w:tr>
      <w:tr w14:paraId="4503B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3E8CAF30">
            <w:pPr>
              <w:wordWrap w:val="0"/>
              <w:jc w:val="center"/>
              <w:rPr>
                <w:rFonts w:hint="eastAsia" w:ascii="宋体" w:hAnsi="宋体" w:eastAsia="宋体" w:cs="宋体"/>
                <w:color w:val="auto"/>
                <w:sz w:val="21"/>
                <w:szCs w:val="21"/>
                <w:highlight w:val="none"/>
              </w:rPr>
            </w:pPr>
          </w:p>
        </w:tc>
        <w:tc>
          <w:tcPr>
            <w:tcW w:w="702" w:type="dxa"/>
            <w:gridSpan w:val="2"/>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32BD04EF">
            <w:pPr>
              <w:wordWrap w:val="0"/>
              <w:jc w:val="center"/>
              <w:rPr>
                <w:rFonts w:hint="eastAsia" w:ascii="宋体" w:hAnsi="宋体" w:eastAsia="宋体" w:cs="宋体"/>
                <w:color w:val="auto"/>
                <w:sz w:val="21"/>
                <w:szCs w:val="21"/>
                <w:highlight w:val="none"/>
              </w:rPr>
            </w:pPr>
          </w:p>
        </w:tc>
        <w:tc>
          <w:tcPr>
            <w:tcW w:w="2163"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4C9593D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技术标准和要求</w:t>
            </w:r>
          </w:p>
        </w:tc>
        <w:tc>
          <w:tcPr>
            <w:tcW w:w="5643" w:type="dxa"/>
            <w:gridSpan w:val="5"/>
            <w:tcBorders>
              <w:top w:val="single" w:color="auto" w:sz="4" w:space="0"/>
              <w:left w:val="single" w:color="auto" w:sz="4" w:space="0"/>
              <w:bottom w:val="single" w:color="auto" w:sz="4" w:space="0"/>
              <w:right w:val="single" w:color="auto" w:sz="4" w:space="0"/>
            </w:tcBorders>
            <w:noWrap w:val="0"/>
            <w:vAlign w:val="center"/>
          </w:tcPr>
          <w:p w14:paraId="7761669C">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cs="宋体"/>
                <w:color w:val="auto"/>
                <w:sz w:val="21"/>
                <w:szCs w:val="21"/>
                <w:highlight w:val="none"/>
                <w:lang w:val="en-US" w:eastAsia="zh-CN"/>
              </w:rPr>
              <w:t>八</w:t>
            </w:r>
            <w:r>
              <w:rPr>
                <w:rFonts w:hint="eastAsia" w:ascii="宋体" w:hAnsi="宋体" w:eastAsia="宋体" w:cs="宋体"/>
                <w:color w:val="auto"/>
                <w:sz w:val="21"/>
                <w:szCs w:val="21"/>
                <w:highlight w:val="none"/>
              </w:rPr>
              <w:t>章“技术标准和要求”规定</w:t>
            </w:r>
          </w:p>
        </w:tc>
      </w:tr>
      <w:tr w14:paraId="2DC2B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622378D5">
            <w:pPr>
              <w:wordWrap w:val="0"/>
              <w:jc w:val="center"/>
              <w:rPr>
                <w:rFonts w:hint="eastAsia" w:ascii="宋体" w:hAnsi="宋体" w:eastAsia="宋体" w:cs="宋体"/>
                <w:color w:val="auto"/>
                <w:sz w:val="21"/>
                <w:szCs w:val="21"/>
                <w:highlight w:val="none"/>
              </w:rPr>
            </w:pPr>
          </w:p>
        </w:tc>
        <w:tc>
          <w:tcPr>
            <w:tcW w:w="702" w:type="dxa"/>
            <w:gridSpan w:val="2"/>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457D49BB">
            <w:pPr>
              <w:wordWrap w:val="0"/>
              <w:jc w:val="center"/>
              <w:rPr>
                <w:rFonts w:hint="eastAsia" w:ascii="宋体" w:hAnsi="宋体" w:eastAsia="宋体" w:cs="宋体"/>
                <w:color w:val="auto"/>
                <w:sz w:val="21"/>
                <w:szCs w:val="21"/>
                <w:highlight w:val="none"/>
              </w:rPr>
            </w:pPr>
          </w:p>
        </w:tc>
        <w:tc>
          <w:tcPr>
            <w:tcW w:w="2163"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64F416E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w:t>
            </w:r>
          </w:p>
        </w:tc>
        <w:tc>
          <w:tcPr>
            <w:tcW w:w="5643" w:type="dxa"/>
            <w:gridSpan w:val="5"/>
            <w:tcBorders>
              <w:top w:val="single" w:color="auto" w:sz="4" w:space="0"/>
              <w:left w:val="single" w:color="auto" w:sz="4" w:space="0"/>
              <w:bottom w:val="single" w:color="auto" w:sz="4" w:space="0"/>
              <w:right w:val="single" w:color="auto" w:sz="4" w:space="0"/>
            </w:tcBorders>
            <w:noWrap w:val="0"/>
            <w:vAlign w:val="center"/>
          </w:tcPr>
          <w:p w14:paraId="596EA540">
            <w:pPr>
              <w:widowControl/>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低于（含等于）招标控制价</w:t>
            </w:r>
          </w:p>
        </w:tc>
      </w:tr>
      <w:tr w14:paraId="2140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0D17E6CC">
            <w:pPr>
              <w:wordWrap w:val="0"/>
              <w:jc w:val="center"/>
              <w:rPr>
                <w:rFonts w:hint="eastAsia" w:ascii="宋体" w:hAnsi="宋体" w:eastAsia="宋体" w:cs="宋体"/>
                <w:color w:val="auto"/>
                <w:sz w:val="21"/>
                <w:szCs w:val="21"/>
                <w:highlight w:val="none"/>
              </w:rPr>
            </w:pPr>
          </w:p>
        </w:tc>
        <w:tc>
          <w:tcPr>
            <w:tcW w:w="702" w:type="dxa"/>
            <w:gridSpan w:val="2"/>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0740BAED">
            <w:pPr>
              <w:wordWrap w:val="0"/>
              <w:jc w:val="center"/>
              <w:rPr>
                <w:rFonts w:hint="eastAsia" w:ascii="宋体" w:hAnsi="宋体" w:eastAsia="宋体" w:cs="宋体"/>
                <w:color w:val="auto"/>
                <w:sz w:val="21"/>
                <w:szCs w:val="21"/>
                <w:highlight w:val="none"/>
              </w:rPr>
            </w:pPr>
          </w:p>
        </w:tc>
        <w:tc>
          <w:tcPr>
            <w:tcW w:w="2163"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01B76C83">
            <w:pPr>
              <w:wordWrap w:val="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其他要求</w:t>
            </w:r>
          </w:p>
        </w:tc>
        <w:tc>
          <w:tcPr>
            <w:tcW w:w="5643" w:type="dxa"/>
            <w:gridSpan w:val="5"/>
            <w:tcBorders>
              <w:top w:val="single" w:color="auto" w:sz="4" w:space="0"/>
              <w:left w:val="single" w:color="auto" w:sz="4" w:space="0"/>
              <w:bottom w:val="single" w:color="auto" w:sz="4" w:space="0"/>
              <w:right w:val="single" w:color="auto" w:sz="4" w:space="0"/>
            </w:tcBorders>
            <w:noWrap w:val="0"/>
            <w:vAlign w:val="center"/>
          </w:tcPr>
          <w:p w14:paraId="4D40965D">
            <w:pPr>
              <w:widowControl/>
              <w:wordWrap w:val="0"/>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符合招标文件的其他实质性内容</w:t>
            </w:r>
          </w:p>
        </w:tc>
      </w:tr>
      <w:tr w14:paraId="4EF0E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gridSpan w:val="2"/>
            <w:noWrap w:val="0"/>
            <w:tcMar>
              <w:left w:w="57" w:type="dxa"/>
              <w:right w:w="57" w:type="dxa"/>
            </w:tcMar>
            <w:vAlign w:val="center"/>
          </w:tcPr>
          <w:p w14:paraId="1A127D86">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条款号</w:t>
            </w:r>
          </w:p>
        </w:tc>
        <w:tc>
          <w:tcPr>
            <w:tcW w:w="2762" w:type="dxa"/>
            <w:gridSpan w:val="4"/>
            <w:noWrap w:val="0"/>
            <w:tcMar>
              <w:left w:w="57" w:type="dxa"/>
              <w:right w:w="57" w:type="dxa"/>
            </w:tcMar>
            <w:vAlign w:val="center"/>
          </w:tcPr>
          <w:p w14:paraId="4B5E604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条款内容</w:t>
            </w:r>
          </w:p>
        </w:tc>
        <w:tc>
          <w:tcPr>
            <w:tcW w:w="5516" w:type="dxa"/>
            <w:gridSpan w:val="4"/>
            <w:noWrap w:val="0"/>
            <w:tcMar>
              <w:left w:w="57" w:type="dxa"/>
              <w:right w:w="57" w:type="dxa"/>
            </w:tcMar>
            <w:vAlign w:val="center"/>
          </w:tcPr>
          <w:p w14:paraId="4D745762">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编列内容</w:t>
            </w:r>
          </w:p>
        </w:tc>
      </w:tr>
      <w:tr w14:paraId="5D44C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gridSpan w:val="2"/>
            <w:vMerge w:val="restart"/>
            <w:noWrap w:val="0"/>
            <w:tcMar>
              <w:left w:w="57" w:type="dxa"/>
              <w:right w:w="57" w:type="dxa"/>
            </w:tcMar>
            <w:vAlign w:val="center"/>
          </w:tcPr>
          <w:p w14:paraId="4B559651">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2.2.1</w:t>
            </w:r>
          </w:p>
        </w:tc>
        <w:tc>
          <w:tcPr>
            <w:tcW w:w="2762" w:type="dxa"/>
            <w:gridSpan w:val="4"/>
            <w:vMerge w:val="restart"/>
            <w:noWrap w:val="0"/>
            <w:tcMar>
              <w:left w:w="57" w:type="dxa"/>
              <w:right w:w="57" w:type="dxa"/>
            </w:tcMar>
            <w:vAlign w:val="center"/>
          </w:tcPr>
          <w:p w14:paraId="419E95DD">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分值构成</w:t>
            </w:r>
          </w:p>
          <w:p w14:paraId="1E576E96">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（总分100分）</w:t>
            </w:r>
          </w:p>
        </w:tc>
        <w:tc>
          <w:tcPr>
            <w:tcW w:w="5516" w:type="dxa"/>
            <w:gridSpan w:val="4"/>
            <w:noWrap w:val="0"/>
            <w:tcMar>
              <w:left w:w="57" w:type="dxa"/>
              <w:right w:w="57" w:type="dxa"/>
            </w:tcMar>
            <w:vAlign w:val="center"/>
          </w:tcPr>
          <w:p w14:paraId="54EB271C">
            <w:pPr>
              <w:wordWrap w:val="0"/>
              <w:adjustRightInd w:val="0"/>
              <w:snapToGri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施工组织设计：20分</w:t>
            </w:r>
          </w:p>
        </w:tc>
      </w:tr>
      <w:tr w14:paraId="1E19F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gridSpan w:val="2"/>
            <w:vMerge w:val="continue"/>
            <w:noWrap w:val="0"/>
            <w:tcMar>
              <w:left w:w="57" w:type="dxa"/>
              <w:right w:w="57" w:type="dxa"/>
            </w:tcMar>
            <w:vAlign w:val="center"/>
          </w:tcPr>
          <w:p w14:paraId="0A0391B1">
            <w:pPr>
              <w:widowControl/>
              <w:wordWrap w:val="0"/>
              <w:jc w:val="center"/>
              <w:rPr>
                <w:rFonts w:hint="eastAsia" w:ascii="宋体" w:hAnsi="宋体" w:eastAsia="宋体" w:cs="宋体"/>
                <w:color w:val="auto"/>
                <w:kern w:val="0"/>
                <w:szCs w:val="21"/>
                <w:highlight w:val="none"/>
              </w:rPr>
            </w:pPr>
          </w:p>
        </w:tc>
        <w:tc>
          <w:tcPr>
            <w:tcW w:w="2762" w:type="dxa"/>
            <w:gridSpan w:val="4"/>
            <w:vMerge w:val="continue"/>
            <w:noWrap w:val="0"/>
            <w:tcMar>
              <w:left w:w="57" w:type="dxa"/>
              <w:right w:w="57" w:type="dxa"/>
            </w:tcMar>
            <w:vAlign w:val="center"/>
          </w:tcPr>
          <w:p w14:paraId="1150A49C">
            <w:pPr>
              <w:widowControl/>
              <w:wordWrap w:val="0"/>
              <w:jc w:val="center"/>
              <w:rPr>
                <w:rFonts w:hint="eastAsia" w:ascii="宋体" w:hAnsi="宋体" w:eastAsia="宋体" w:cs="宋体"/>
                <w:color w:val="auto"/>
                <w:kern w:val="0"/>
                <w:szCs w:val="21"/>
                <w:highlight w:val="none"/>
              </w:rPr>
            </w:pPr>
          </w:p>
        </w:tc>
        <w:tc>
          <w:tcPr>
            <w:tcW w:w="5516" w:type="dxa"/>
            <w:gridSpan w:val="4"/>
            <w:noWrap w:val="0"/>
            <w:tcMar>
              <w:left w:w="57" w:type="dxa"/>
              <w:right w:w="57" w:type="dxa"/>
            </w:tcMar>
            <w:vAlign w:val="center"/>
          </w:tcPr>
          <w:p w14:paraId="74CAB80C">
            <w:pPr>
              <w:wordWrap w:val="0"/>
              <w:adjustRightInd w:val="0"/>
              <w:snapToGrid w:val="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投标报价：50分</w:t>
            </w:r>
          </w:p>
        </w:tc>
      </w:tr>
      <w:tr w14:paraId="671C1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08" w:type="dxa"/>
            <w:gridSpan w:val="2"/>
            <w:vMerge w:val="continue"/>
            <w:noWrap w:val="0"/>
            <w:tcMar>
              <w:left w:w="57" w:type="dxa"/>
              <w:right w:w="57" w:type="dxa"/>
            </w:tcMar>
            <w:vAlign w:val="center"/>
          </w:tcPr>
          <w:p w14:paraId="050F06F7">
            <w:pPr>
              <w:wordWrap w:val="0"/>
              <w:jc w:val="center"/>
              <w:rPr>
                <w:rFonts w:hint="eastAsia" w:ascii="宋体" w:hAnsi="宋体" w:eastAsia="宋体" w:cs="宋体"/>
                <w:color w:val="auto"/>
                <w:szCs w:val="21"/>
                <w:highlight w:val="none"/>
              </w:rPr>
            </w:pPr>
          </w:p>
        </w:tc>
        <w:tc>
          <w:tcPr>
            <w:tcW w:w="2762" w:type="dxa"/>
            <w:gridSpan w:val="4"/>
            <w:vMerge w:val="continue"/>
            <w:noWrap w:val="0"/>
            <w:tcMar>
              <w:left w:w="57" w:type="dxa"/>
              <w:right w:w="57" w:type="dxa"/>
            </w:tcMar>
            <w:vAlign w:val="center"/>
          </w:tcPr>
          <w:p w14:paraId="7399B5DE">
            <w:pPr>
              <w:wordWrap w:val="0"/>
              <w:jc w:val="center"/>
              <w:rPr>
                <w:rFonts w:hint="eastAsia" w:ascii="宋体" w:hAnsi="宋体" w:eastAsia="宋体" w:cs="宋体"/>
                <w:color w:val="auto"/>
                <w:szCs w:val="21"/>
                <w:highlight w:val="none"/>
              </w:rPr>
            </w:pPr>
          </w:p>
        </w:tc>
        <w:tc>
          <w:tcPr>
            <w:tcW w:w="5516" w:type="dxa"/>
            <w:gridSpan w:val="4"/>
            <w:noWrap w:val="0"/>
            <w:tcMar>
              <w:left w:w="57" w:type="dxa"/>
              <w:right w:w="57" w:type="dxa"/>
            </w:tcMar>
            <w:vAlign w:val="center"/>
          </w:tcPr>
          <w:p w14:paraId="6234396F">
            <w:pPr>
              <w:wordWrap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综合标：30分</w:t>
            </w:r>
          </w:p>
        </w:tc>
      </w:tr>
      <w:tr w14:paraId="0974E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exact"/>
          <w:jc w:val="center"/>
        </w:trPr>
        <w:tc>
          <w:tcPr>
            <w:tcW w:w="908" w:type="dxa"/>
            <w:gridSpan w:val="2"/>
            <w:vMerge w:val="restart"/>
            <w:noWrap w:val="0"/>
            <w:tcMar>
              <w:left w:w="57" w:type="dxa"/>
              <w:right w:w="57" w:type="dxa"/>
            </w:tcMar>
            <w:vAlign w:val="center"/>
          </w:tcPr>
          <w:p w14:paraId="2F9DFF68">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2.2.2</w:t>
            </w:r>
          </w:p>
        </w:tc>
        <w:tc>
          <w:tcPr>
            <w:tcW w:w="2762" w:type="dxa"/>
            <w:gridSpan w:val="4"/>
            <w:vMerge w:val="restart"/>
            <w:noWrap w:val="0"/>
            <w:tcMar>
              <w:left w:w="57" w:type="dxa"/>
              <w:right w:w="57" w:type="dxa"/>
            </w:tcMar>
            <w:vAlign w:val="center"/>
          </w:tcPr>
          <w:p w14:paraId="056398AC">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评标基准价计算方法</w:t>
            </w:r>
          </w:p>
        </w:tc>
        <w:tc>
          <w:tcPr>
            <w:tcW w:w="5516" w:type="dxa"/>
            <w:gridSpan w:val="4"/>
            <w:noWrap w:val="0"/>
            <w:tcMar>
              <w:left w:w="57" w:type="dxa"/>
              <w:right w:w="57" w:type="dxa"/>
            </w:tcMar>
            <w:vAlign w:val="center"/>
          </w:tcPr>
          <w:p w14:paraId="0B84018D">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招标控制价、投标报价在参与评标基准价计算时，均不含：规费、安全文明施工措施费、暂列金额、专业工程暂估价和税金。</w:t>
            </w:r>
          </w:p>
          <w:p w14:paraId="2D765390">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1.投标报价基准价计算方法：详见附件。</w:t>
            </w:r>
          </w:p>
        </w:tc>
      </w:tr>
      <w:tr w14:paraId="1DEE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exact"/>
          <w:jc w:val="center"/>
        </w:trPr>
        <w:tc>
          <w:tcPr>
            <w:tcW w:w="908" w:type="dxa"/>
            <w:gridSpan w:val="2"/>
            <w:vMerge w:val="continue"/>
            <w:noWrap w:val="0"/>
            <w:tcMar>
              <w:left w:w="57" w:type="dxa"/>
              <w:right w:w="57" w:type="dxa"/>
            </w:tcMar>
            <w:vAlign w:val="center"/>
          </w:tcPr>
          <w:p w14:paraId="7FA6D141">
            <w:pPr>
              <w:widowControl/>
              <w:wordWrap w:val="0"/>
              <w:jc w:val="center"/>
              <w:rPr>
                <w:rFonts w:hint="eastAsia" w:ascii="宋体" w:hAnsi="宋体" w:eastAsia="宋体" w:cs="宋体"/>
                <w:color w:val="auto"/>
                <w:kern w:val="0"/>
                <w:szCs w:val="21"/>
                <w:highlight w:val="none"/>
              </w:rPr>
            </w:pPr>
          </w:p>
        </w:tc>
        <w:tc>
          <w:tcPr>
            <w:tcW w:w="2762" w:type="dxa"/>
            <w:gridSpan w:val="4"/>
            <w:vMerge w:val="continue"/>
            <w:noWrap w:val="0"/>
            <w:tcMar>
              <w:left w:w="57" w:type="dxa"/>
              <w:right w:w="57" w:type="dxa"/>
            </w:tcMar>
            <w:vAlign w:val="center"/>
          </w:tcPr>
          <w:p w14:paraId="2F8A6255">
            <w:pPr>
              <w:wordWrap w:val="0"/>
              <w:jc w:val="center"/>
              <w:rPr>
                <w:rFonts w:hint="eastAsia" w:ascii="宋体" w:hAnsi="宋体" w:eastAsia="宋体" w:cs="宋体"/>
                <w:color w:val="auto"/>
                <w:szCs w:val="21"/>
                <w:highlight w:val="none"/>
              </w:rPr>
            </w:pPr>
          </w:p>
        </w:tc>
        <w:tc>
          <w:tcPr>
            <w:tcW w:w="5516" w:type="dxa"/>
            <w:gridSpan w:val="4"/>
            <w:noWrap w:val="0"/>
            <w:tcMar>
              <w:left w:w="57" w:type="dxa"/>
              <w:right w:w="57" w:type="dxa"/>
            </w:tcMar>
            <w:vAlign w:val="center"/>
          </w:tcPr>
          <w:p w14:paraId="1AA51F8D">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2.措施费（不包含安全文明施工费）、分部分项清单单价、材料费基准价计算方法均采用如下：详见附件。</w:t>
            </w:r>
          </w:p>
        </w:tc>
      </w:tr>
      <w:tr w14:paraId="22E7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908" w:type="dxa"/>
            <w:gridSpan w:val="2"/>
            <w:noWrap w:val="0"/>
            <w:tcMar>
              <w:left w:w="57" w:type="dxa"/>
              <w:right w:w="57" w:type="dxa"/>
            </w:tcMar>
            <w:vAlign w:val="center"/>
          </w:tcPr>
          <w:p w14:paraId="71640912">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2.2.3</w:t>
            </w:r>
          </w:p>
        </w:tc>
        <w:tc>
          <w:tcPr>
            <w:tcW w:w="2762" w:type="dxa"/>
            <w:gridSpan w:val="4"/>
            <w:noWrap w:val="0"/>
            <w:tcMar>
              <w:left w:w="57" w:type="dxa"/>
              <w:right w:w="57" w:type="dxa"/>
            </w:tcMar>
            <w:vAlign w:val="center"/>
          </w:tcPr>
          <w:p w14:paraId="48136A9A">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投标报价的偏差率计算公式</w:t>
            </w:r>
          </w:p>
        </w:tc>
        <w:tc>
          <w:tcPr>
            <w:tcW w:w="5516" w:type="dxa"/>
            <w:gridSpan w:val="4"/>
            <w:noWrap w:val="0"/>
            <w:tcMar>
              <w:left w:w="57" w:type="dxa"/>
              <w:right w:w="57" w:type="dxa"/>
            </w:tcMar>
            <w:vAlign w:val="center"/>
          </w:tcPr>
          <w:p w14:paraId="59BA63E5">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偏差率=100%×（投标人有效投标报价－评标基准价）/评标基准价</w:t>
            </w:r>
          </w:p>
        </w:tc>
      </w:tr>
      <w:tr w14:paraId="573AD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908" w:type="dxa"/>
            <w:gridSpan w:val="2"/>
            <w:vMerge w:val="restart"/>
            <w:noWrap w:val="0"/>
            <w:tcMar>
              <w:left w:w="57" w:type="dxa"/>
              <w:right w:w="57" w:type="dxa"/>
            </w:tcMar>
            <w:vAlign w:val="center"/>
          </w:tcPr>
          <w:p w14:paraId="72977E66">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2.2.4</w:t>
            </w:r>
          </w:p>
          <w:p w14:paraId="08D2B076">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276" w:type="dxa"/>
            <w:gridSpan w:val="2"/>
            <w:vMerge w:val="restart"/>
            <w:noWrap w:val="0"/>
            <w:tcMar>
              <w:left w:w="57" w:type="dxa"/>
              <w:right w:w="57" w:type="dxa"/>
            </w:tcMar>
            <w:vAlign w:val="center"/>
          </w:tcPr>
          <w:p w14:paraId="0E3D8966">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施工组织设计</w:t>
            </w:r>
          </w:p>
          <w:p w14:paraId="7BDDF246">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（总分20分）</w:t>
            </w:r>
          </w:p>
        </w:tc>
        <w:tc>
          <w:tcPr>
            <w:tcW w:w="1486" w:type="dxa"/>
            <w:gridSpan w:val="2"/>
            <w:noWrap w:val="0"/>
            <w:tcMar>
              <w:left w:w="57" w:type="dxa"/>
              <w:right w:w="57" w:type="dxa"/>
            </w:tcMar>
            <w:vAlign w:val="center"/>
          </w:tcPr>
          <w:p w14:paraId="0812C4EC">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评分因素</w:t>
            </w:r>
          </w:p>
        </w:tc>
        <w:tc>
          <w:tcPr>
            <w:tcW w:w="5516" w:type="dxa"/>
            <w:gridSpan w:val="4"/>
            <w:noWrap w:val="0"/>
            <w:tcMar>
              <w:left w:w="57" w:type="dxa"/>
              <w:right w:w="57" w:type="dxa"/>
            </w:tcMar>
            <w:vAlign w:val="center"/>
          </w:tcPr>
          <w:p w14:paraId="0002E3C9">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参考评分标准</w:t>
            </w:r>
          </w:p>
        </w:tc>
      </w:tr>
      <w:tr w14:paraId="111D0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gridSpan w:val="2"/>
            <w:vMerge w:val="continue"/>
            <w:noWrap w:val="0"/>
            <w:tcMar>
              <w:left w:w="57" w:type="dxa"/>
              <w:right w:w="57" w:type="dxa"/>
            </w:tcMar>
            <w:vAlign w:val="center"/>
          </w:tcPr>
          <w:p w14:paraId="15C585E6">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5ADEF1F7">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0641E45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主要施工方案与技术措施</w:t>
            </w:r>
          </w:p>
        </w:tc>
        <w:tc>
          <w:tcPr>
            <w:tcW w:w="695" w:type="dxa"/>
            <w:noWrap w:val="0"/>
            <w:tcMar>
              <w:left w:w="57" w:type="dxa"/>
              <w:right w:w="57" w:type="dxa"/>
            </w:tcMar>
            <w:vAlign w:val="center"/>
          </w:tcPr>
          <w:p w14:paraId="7BD53799">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821" w:type="dxa"/>
            <w:gridSpan w:val="3"/>
            <w:noWrap w:val="0"/>
            <w:tcMar>
              <w:left w:w="57" w:type="dxa"/>
              <w:right w:w="57" w:type="dxa"/>
            </w:tcMar>
            <w:vAlign w:val="center"/>
          </w:tcPr>
          <w:p w14:paraId="2391B6C1">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施工方案（含工程特点、施工重点与难点及绿色施工）总体安排合理，合理运用先进的施工工艺、施工机械；对施工难点有科学合理的建议。(0-2)</w:t>
            </w:r>
          </w:p>
        </w:tc>
      </w:tr>
      <w:tr w14:paraId="45C40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gridSpan w:val="2"/>
            <w:vMerge w:val="continue"/>
            <w:noWrap w:val="0"/>
            <w:tcMar>
              <w:left w:w="57" w:type="dxa"/>
              <w:right w:w="57" w:type="dxa"/>
            </w:tcMar>
            <w:vAlign w:val="center"/>
          </w:tcPr>
          <w:p w14:paraId="23FDAF8C">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7B91ED59">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6BBDB16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质量管理体系与措施</w:t>
            </w:r>
          </w:p>
        </w:tc>
        <w:tc>
          <w:tcPr>
            <w:tcW w:w="695" w:type="dxa"/>
            <w:noWrap w:val="0"/>
            <w:tcMar>
              <w:left w:w="57" w:type="dxa"/>
              <w:right w:w="57" w:type="dxa"/>
            </w:tcMar>
            <w:vAlign w:val="center"/>
          </w:tcPr>
          <w:p w14:paraId="2E609094">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4821" w:type="dxa"/>
            <w:gridSpan w:val="3"/>
            <w:noWrap w:val="0"/>
            <w:tcMar>
              <w:left w:w="57" w:type="dxa"/>
              <w:right w:w="57" w:type="dxa"/>
            </w:tcMar>
            <w:vAlign w:val="center"/>
          </w:tcPr>
          <w:p w14:paraId="68C35C49">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形式合理，有完善的指挥系统、质量监控系统、联络协调系统，有健全的质量管理体系、相应的施工技术标准、施工质量检验制度和综合施工质量水平评定考核制度。施工措施符合国家及我省现行工程建设标准，满足通用规范、项目规范及质量验收规范的要求，质量保证措施内容完整、经济安全、合理先进、切实可行。(0-1.5)</w:t>
            </w:r>
          </w:p>
        </w:tc>
      </w:tr>
      <w:tr w14:paraId="37AAC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gridSpan w:val="2"/>
            <w:vMerge w:val="continue"/>
            <w:noWrap w:val="0"/>
            <w:tcMar>
              <w:left w:w="57" w:type="dxa"/>
              <w:right w:w="57" w:type="dxa"/>
            </w:tcMar>
            <w:vAlign w:val="center"/>
          </w:tcPr>
          <w:p w14:paraId="45E21F55">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24590796">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07DC2802">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安全管理体系与措施</w:t>
            </w:r>
          </w:p>
        </w:tc>
        <w:tc>
          <w:tcPr>
            <w:tcW w:w="695" w:type="dxa"/>
            <w:noWrap w:val="0"/>
            <w:tcMar>
              <w:left w:w="57" w:type="dxa"/>
              <w:right w:w="57" w:type="dxa"/>
            </w:tcMar>
            <w:vAlign w:val="center"/>
          </w:tcPr>
          <w:p w14:paraId="320EA39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4821" w:type="dxa"/>
            <w:gridSpan w:val="3"/>
            <w:noWrap w:val="0"/>
            <w:tcMar>
              <w:left w:w="57" w:type="dxa"/>
              <w:right w:w="57" w:type="dxa"/>
            </w:tcMar>
            <w:vAlign w:val="center"/>
          </w:tcPr>
          <w:p w14:paraId="34356DCC">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1.施工安全生产保障体系健全，安全管理制度完善，安全管理目标具体，全员安全责任制明确，现场安全管理组织机构、人员配备满足国家规定要求。（0-0.5）</w:t>
            </w:r>
          </w:p>
          <w:p w14:paraId="4E92E9E8">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2.安全技术方案根据工程特点、周边环境和施工工艺，制定措施科学合理、可行。（0-0.5）</w:t>
            </w:r>
          </w:p>
          <w:p w14:paraId="57FFE6F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3.现场重大危险源辨识全面，有项目危险性较大的分部分项工程清单并明确有相应的安全管理措施。（0-0.5）</w:t>
            </w:r>
          </w:p>
        </w:tc>
      </w:tr>
      <w:tr w14:paraId="10CE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08" w:type="dxa"/>
            <w:gridSpan w:val="2"/>
            <w:vMerge w:val="continue"/>
            <w:noWrap w:val="0"/>
            <w:tcMar>
              <w:left w:w="57" w:type="dxa"/>
              <w:right w:w="57" w:type="dxa"/>
            </w:tcMar>
            <w:vAlign w:val="center"/>
          </w:tcPr>
          <w:p w14:paraId="514AB603">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7E3D5009">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0CE967D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文明施工、环境保护管理体系及施工现场扬尘治理措施</w:t>
            </w:r>
          </w:p>
        </w:tc>
        <w:tc>
          <w:tcPr>
            <w:tcW w:w="695" w:type="dxa"/>
            <w:noWrap w:val="0"/>
            <w:tcMar>
              <w:left w:w="57" w:type="dxa"/>
              <w:right w:w="57" w:type="dxa"/>
            </w:tcMar>
            <w:vAlign w:val="center"/>
          </w:tcPr>
          <w:p w14:paraId="3B232E8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821" w:type="dxa"/>
            <w:gridSpan w:val="3"/>
            <w:noWrap w:val="0"/>
            <w:tcMar>
              <w:left w:w="57" w:type="dxa"/>
              <w:right w:w="57" w:type="dxa"/>
            </w:tcMar>
            <w:vAlign w:val="center"/>
          </w:tcPr>
          <w:p w14:paraId="0DD2CAF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创建安全文明标准化工地目标明确，有针对项目实际情况，科学可行的创建计划和符合相关标准、规范、规程的创建保证措施和安全文明施工措施费投入使用计划，现场施工区、生活区、办公区等设置科学规范，符合有关文明施工、健康卫生的规定。有防治施工现场扬尘治理方案，措施符合河南省《城市房屋建筑和市政基础设施工程及道路扬尘污染防治标准》（DBJ41/174）的规定。（0-1）</w:t>
            </w:r>
          </w:p>
        </w:tc>
      </w:tr>
      <w:tr w14:paraId="32C7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gridSpan w:val="2"/>
            <w:vMerge w:val="continue"/>
            <w:noWrap w:val="0"/>
            <w:tcMar>
              <w:left w:w="57" w:type="dxa"/>
              <w:right w:w="57" w:type="dxa"/>
            </w:tcMar>
            <w:vAlign w:val="center"/>
          </w:tcPr>
          <w:p w14:paraId="6C32F8E8">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36749F5F">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6BF8FF31">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工期保证措施</w:t>
            </w:r>
          </w:p>
        </w:tc>
        <w:tc>
          <w:tcPr>
            <w:tcW w:w="695" w:type="dxa"/>
            <w:noWrap w:val="0"/>
            <w:tcMar>
              <w:left w:w="57" w:type="dxa"/>
              <w:right w:w="57" w:type="dxa"/>
            </w:tcMar>
            <w:vAlign w:val="center"/>
          </w:tcPr>
          <w:p w14:paraId="1D1F0266">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821" w:type="dxa"/>
            <w:gridSpan w:val="3"/>
            <w:noWrap w:val="0"/>
            <w:tcMar>
              <w:left w:w="57" w:type="dxa"/>
              <w:right w:w="57" w:type="dxa"/>
            </w:tcMar>
            <w:vAlign w:val="center"/>
          </w:tcPr>
          <w:p w14:paraId="04973B7C">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工期承诺满足招标文件要求，工期保证措施合理且有针对性，有具体的违约责任承诺。（0-1）</w:t>
            </w:r>
          </w:p>
        </w:tc>
      </w:tr>
      <w:tr w14:paraId="3293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gridSpan w:val="2"/>
            <w:vMerge w:val="continue"/>
            <w:noWrap w:val="0"/>
            <w:tcMar>
              <w:left w:w="57" w:type="dxa"/>
              <w:right w:w="57" w:type="dxa"/>
            </w:tcMar>
            <w:vAlign w:val="center"/>
          </w:tcPr>
          <w:p w14:paraId="26804E1B">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5EEFEB77">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41C8E53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拟投入资源配备计划</w:t>
            </w:r>
          </w:p>
        </w:tc>
        <w:tc>
          <w:tcPr>
            <w:tcW w:w="695" w:type="dxa"/>
            <w:noWrap w:val="0"/>
            <w:tcMar>
              <w:left w:w="57" w:type="dxa"/>
              <w:right w:w="57" w:type="dxa"/>
            </w:tcMar>
            <w:vAlign w:val="center"/>
          </w:tcPr>
          <w:p w14:paraId="589A86D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c>
          <w:tcPr>
            <w:tcW w:w="4821" w:type="dxa"/>
            <w:gridSpan w:val="3"/>
            <w:noWrap w:val="0"/>
            <w:tcMar>
              <w:left w:w="57" w:type="dxa"/>
              <w:right w:w="57" w:type="dxa"/>
            </w:tcMar>
            <w:vAlign w:val="center"/>
          </w:tcPr>
          <w:p w14:paraId="57B609A0">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1.机械：投入计划与进度计划呼应，采用先进机械设备且配置合理，满足安全技术规范和施工进度需要；PC构件运输、安装设备满足施工要求；（0-0.5）</w:t>
            </w:r>
          </w:p>
          <w:p w14:paraId="6B045D6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2.劳动力：投入计划与进度计划呼应，满足施工需要，调配投入计划合理、准确；（0-0.5）</w:t>
            </w:r>
          </w:p>
          <w:p w14:paraId="4DC89EBC">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3.主要物资计划：主要物资（含PC构件的供应需求）投入计划与进度计划呼应，满足施工需要，调配投入计划合理、准确。（0-0.5）</w:t>
            </w:r>
          </w:p>
        </w:tc>
      </w:tr>
      <w:tr w14:paraId="3BAFF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8" w:type="dxa"/>
            <w:gridSpan w:val="2"/>
            <w:vMerge w:val="continue"/>
            <w:noWrap w:val="0"/>
            <w:tcMar>
              <w:left w:w="57" w:type="dxa"/>
              <w:right w:w="57" w:type="dxa"/>
            </w:tcMar>
            <w:vAlign w:val="center"/>
          </w:tcPr>
          <w:p w14:paraId="537E88C9">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2FAA9BF7">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78F7FD8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施工进度表与网络计划图</w:t>
            </w:r>
          </w:p>
        </w:tc>
        <w:tc>
          <w:tcPr>
            <w:tcW w:w="695" w:type="dxa"/>
            <w:noWrap w:val="0"/>
            <w:tcMar>
              <w:left w:w="57" w:type="dxa"/>
              <w:right w:w="57" w:type="dxa"/>
            </w:tcMar>
            <w:vAlign w:val="center"/>
          </w:tcPr>
          <w:p w14:paraId="1E6C233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821" w:type="dxa"/>
            <w:gridSpan w:val="3"/>
            <w:noWrap w:val="0"/>
            <w:tcMar>
              <w:left w:w="57" w:type="dxa"/>
              <w:right w:w="57" w:type="dxa"/>
            </w:tcMar>
            <w:vAlign w:val="center"/>
          </w:tcPr>
          <w:p w14:paraId="00E0FA2A">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关键线路清晰、准确、完整，计划编制合理、可行，满足招标文件对工期的要求。（0-1）</w:t>
            </w:r>
          </w:p>
        </w:tc>
      </w:tr>
      <w:tr w14:paraId="73904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908" w:type="dxa"/>
            <w:gridSpan w:val="2"/>
            <w:vMerge w:val="continue"/>
            <w:noWrap w:val="0"/>
            <w:tcMar>
              <w:left w:w="57" w:type="dxa"/>
              <w:right w:w="57" w:type="dxa"/>
            </w:tcMar>
            <w:vAlign w:val="center"/>
          </w:tcPr>
          <w:p w14:paraId="0771C775">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56C9FBBE">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75251E83">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施工总平面图布置</w:t>
            </w:r>
          </w:p>
        </w:tc>
        <w:tc>
          <w:tcPr>
            <w:tcW w:w="695" w:type="dxa"/>
            <w:noWrap w:val="0"/>
            <w:tcMar>
              <w:left w:w="57" w:type="dxa"/>
              <w:right w:w="57" w:type="dxa"/>
            </w:tcMar>
            <w:vAlign w:val="center"/>
          </w:tcPr>
          <w:p w14:paraId="087DAF69">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821" w:type="dxa"/>
            <w:gridSpan w:val="3"/>
            <w:noWrap w:val="0"/>
            <w:tcMar>
              <w:left w:w="57" w:type="dxa"/>
              <w:right w:w="57" w:type="dxa"/>
            </w:tcMar>
            <w:vAlign w:val="center"/>
          </w:tcPr>
          <w:p w14:paraId="6464E1C7">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总体布置有针对性、合理，能满足施工需要，符合安全、文明施工要求，材料堆放有序。（0-1）</w:t>
            </w:r>
          </w:p>
        </w:tc>
      </w:tr>
      <w:tr w14:paraId="46B7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08" w:type="dxa"/>
            <w:gridSpan w:val="2"/>
            <w:vMerge w:val="continue"/>
            <w:noWrap w:val="0"/>
            <w:tcMar>
              <w:left w:w="57" w:type="dxa"/>
              <w:right w:w="57" w:type="dxa"/>
            </w:tcMar>
            <w:vAlign w:val="center"/>
          </w:tcPr>
          <w:p w14:paraId="45D772E9">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754D9682">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5A929C5C">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建造方式的创新应用实施方案</w:t>
            </w:r>
          </w:p>
        </w:tc>
        <w:tc>
          <w:tcPr>
            <w:tcW w:w="695" w:type="dxa"/>
            <w:noWrap w:val="0"/>
            <w:tcMar>
              <w:left w:w="57" w:type="dxa"/>
              <w:right w:w="57" w:type="dxa"/>
            </w:tcMar>
            <w:vAlign w:val="center"/>
          </w:tcPr>
          <w:p w14:paraId="7B9CF9E4">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821" w:type="dxa"/>
            <w:gridSpan w:val="3"/>
            <w:noWrap w:val="0"/>
            <w:tcMar>
              <w:left w:w="57" w:type="dxa"/>
              <w:right w:w="57" w:type="dxa"/>
            </w:tcMar>
            <w:vAlign w:val="center"/>
          </w:tcPr>
          <w:p w14:paraId="7865E80C">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1.智能建造、2.节能减排、3.绿色施工、4.装配式建筑等建造方式的创新应用实施方案符合工程情况，具有针对性、可行性、经济适用性；（每一项0-1）。</w:t>
            </w:r>
          </w:p>
        </w:tc>
      </w:tr>
      <w:tr w14:paraId="5CEAE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gridSpan w:val="2"/>
            <w:vMerge w:val="continue"/>
            <w:noWrap w:val="0"/>
            <w:tcMar>
              <w:left w:w="57" w:type="dxa"/>
              <w:right w:w="57" w:type="dxa"/>
            </w:tcMar>
            <w:vAlign w:val="center"/>
          </w:tcPr>
          <w:p w14:paraId="3E082957">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792F5F3E">
            <w:pPr>
              <w:widowControl/>
              <w:wordWrap w:val="0"/>
              <w:jc w:val="center"/>
              <w:rPr>
                <w:rFonts w:hint="eastAsia" w:ascii="宋体" w:hAnsi="宋体" w:eastAsia="宋体" w:cs="宋体"/>
                <w:color w:val="auto"/>
                <w:kern w:val="0"/>
                <w:szCs w:val="21"/>
                <w:highlight w:val="none"/>
              </w:rPr>
            </w:pPr>
          </w:p>
        </w:tc>
        <w:tc>
          <w:tcPr>
            <w:tcW w:w="1486" w:type="dxa"/>
            <w:gridSpan w:val="2"/>
            <w:vMerge w:val="restart"/>
            <w:noWrap w:val="0"/>
            <w:tcMar>
              <w:left w:w="57" w:type="dxa"/>
              <w:right w:w="57" w:type="dxa"/>
            </w:tcMar>
            <w:vAlign w:val="center"/>
          </w:tcPr>
          <w:p w14:paraId="350AF2C3">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采用新工艺、新技术、新设备、新材料、BIM等的程度</w:t>
            </w:r>
          </w:p>
        </w:tc>
        <w:tc>
          <w:tcPr>
            <w:tcW w:w="695" w:type="dxa"/>
            <w:vMerge w:val="restart"/>
            <w:noWrap w:val="0"/>
            <w:tcMar>
              <w:left w:w="57" w:type="dxa"/>
              <w:right w:w="57" w:type="dxa"/>
            </w:tcMar>
            <w:vAlign w:val="center"/>
          </w:tcPr>
          <w:p w14:paraId="4F613C27">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3.5</w:t>
            </w:r>
          </w:p>
        </w:tc>
        <w:tc>
          <w:tcPr>
            <w:tcW w:w="4821" w:type="dxa"/>
            <w:gridSpan w:val="3"/>
            <w:noWrap w:val="0"/>
            <w:tcMar>
              <w:left w:w="57" w:type="dxa"/>
              <w:right w:w="57" w:type="dxa"/>
            </w:tcMar>
            <w:vAlign w:val="center"/>
          </w:tcPr>
          <w:p w14:paraId="531696A9">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采用1.新工艺、2.新技术、3.新设备（含工器具、智能设备等）、4.新材料等满足实现设计要求，符合施工需要和相应技术标准等规定，经济适用；（每一项0-0.5）。</w:t>
            </w:r>
          </w:p>
        </w:tc>
      </w:tr>
      <w:tr w14:paraId="10D64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gridSpan w:val="2"/>
            <w:vMerge w:val="continue"/>
            <w:noWrap w:val="0"/>
            <w:tcMar>
              <w:left w:w="57" w:type="dxa"/>
              <w:right w:w="57" w:type="dxa"/>
            </w:tcMar>
            <w:vAlign w:val="center"/>
          </w:tcPr>
          <w:p w14:paraId="39A0DEB9">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2BB20522">
            <w:pPr>
              <w:widowControl/>
              <w:wordWrap w:val="0"/>
              <w:jc w:val="center"/>
              <w:rPr>
                <w:rFonts w:hint="eastAsia" w:ascii="宋体" w:hAnsi="宋体" w:eastAsia="宋体" w:cs="宋体"/>
                <w:color w:val="auto"/>
                <w:kern w:val="0"/>
                <w:szCs w:val="21"/>
                <w:highlight w:val="none"/>
              </w:rPr>
            </w:pPr>
          </w:p>
        </w:tc>
        <w:tc>
          <w:tcPr>
            <w:tcW w:w="1486" w:type="dxa"/>
            <w:gridSpan w:val="2"/>
            <w:vMerge w:val="continue"/>
            <w:noWrap w:val="0"/>
            <w:tcMar>
              <w:left w:w="57" w:type="dxa"/>
              <w:right w:w="57" w:type="dxa"/>
            </w:tcMar>
            <w:vAlign w:val="center"/>
          </w:tcPr>
          <w:p w14:paraId="2F45576A">
            <w:pPr>
              <w:wordWrap w:val="0"/>
              <w:jc w:val="center"/>
              <w:rPr>
                <w:rFonts w:hint="eastAsia" w:ascii="宋体" w:hAnsi="宋体" w:eastAsia="宋体" w:cs="宋体"/>
                <w:color w:val="auto"/>
                <w:szCs w:val="21"/>
                <w:highlight w:val="none"/>
              </w:rPr>
            </w:pPr>
          </w:p>
        </w:tc>
        <w:tc>
          <w:tcPr>
            <w:tcW w:w="695" w:type="dxa"/>
            <w:vMerge w:val="continue"/>
            <w:noWrap w:val="0"/>
            <w:tcMar>
              <w:left w:w="57" w:type="dxa"/>
              <w:right w:w="57" w:type="dxa"/>
            </w:tcMar>
            <w:vAlign w:val="center"/>
          </w:tcPr>
          <w:p w14:paraId="23672E48">
            <w:pPr>
              <w:wordWrap w:val="0"/>
              <w:jc w:val="center"/>
              <w:rPr>
                <w:rFonts w:hint="eastAsia" w:ascii="宋体" w:hAnsi="宋体" w:eastAsia="宋体" w:cs="宋体"/>
                <w:color w:val="auto"/>
                <w:szCs w:val="21"/>
                <w:highlight w:val="none"/>
              </w:rPr>
            </w:pPr>
          </w:p>
        </w:tc>
        <w:tc>
          <w:tcPr>
            <w:tcW w:w="4821" w:type="dxa"/>
            <w:gridSpan w:val="3"/>
            <w:noWrap w:val="0"/>
            <w:tcMar>
              <w:left w:w="57" w:type="dxa"/>
              <w:right w:w="57" w:type="dxa"/>
            </w:tcMar>
            <w:vAlign w:val="center"/>
          </w:tcPr>
          <w:p w14:paraId="472FDF83">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应用BIM技术优化施工工序、资源配置及数字化管理，措施得当，有效提高施工效率。（0-1.5）</w:t>
            </w:r>
          </w:p>
        </w:tc>
      </w:tr>
      <w:tr w14:paraId="2AC94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gridSpan w:val="2"/>
            <w:vMerge w:val="continue"/>
            <w:noWrap w:val="0"/>
            <w:tcMar>
              <w:left w:w="57" w:type="dxa"/>
              <w:right w:w="57" w:type="dxa"/>
            </w:tcMar>
            <w:vAlign w:val="center"/>
          </w:tcPr>
          <w:p w14:paraId="48712B3C">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400757B0">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5E8377F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施工现场实施信息化监控和数据处理</w:t>
            </w:r>
          </w:p>
        </w:tc>
        <w:tc>
          <w:tcPr>
            <w:tcW w:w="695" w:type="dxa"/>
            <w:noWrap w:val="0"/>
            <w:tcMar>
              <w:left w:w="57" w:type="dxa"/>
              <w:right w:w="57" w:type="dxa"/>
            </w:tcMar>
            <w:vAlign w:val="center"/>
          </w:tcPr>
          <w:p w14:paraId="095BD73D">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821" w:type="dxa"/>
            <w:gridSpan w:val="3"/>
            <w:noWrap w:val="0"/>
            <w:tcMar>
              <w:left w:w="57" w:type="dxa"/>
              <w:right w:w="57" w:type="dxa"/>
            </w:tcMar>
            <w:vAlign w:val="center"/>
          </w:tcPr>
          <w:p w14:paraId="35EBA46D">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施工现场实施信息化监控和数据处理系统布置合理，满足管理需要。（0-1）</w:t>
            </w:r>
          </w:p>
        </w:tc>
      </w:tr>
      <w:tr w14:paraId="3E22C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08" w:type="dxa"/>
            <w:gridSpan w:val="2"/>
            <w:vMerge w:val="continue"/>
            <w:noWrap w:val="0"/>
            <w:tcMar>
              <w:left w:w="57" w:type="dxa"/>
              <w:right w:w="57" w:type="dxa"/>
            </w:tcMar>
            <w:vAlign w:val="center"/>
          </w:tcPr>
          <w:p w14:paraId="491038C2">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1E85E1D1">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054B73CD">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风险管理措施</w:t>
            </w:r>
          </w:p>
        </w:tc>
        <w:tc>
          <w:tcPr>
            <w:tcW w:w="695" w:type="dxa"/>
            <w:noWrap w:val="0"/>
            <w:tcMar>
              <w:left w:w="57" w:type="dxa"/>
              <w:right w:w="57" w:type="dxa"/>
            </w:tcMar>
            <w:vAlign w:val="center"/>
          </w:tcPr>
          <w:p w14:paraId="4994B5E6">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821" w:type="dxa"/>
            <w:gridSpan w:val="3"/>
            <w:noWrap w:val="0"/>
            <w:tcMar>
              <w:left w:w="57" w:type="dxa"/>
              <w:right w:w="57" w:type="dxa"/>
            </w:tcMar>
            <w:vAlign w:val="center"/>
          </w:tcPr>
          <w:p w14:paraId="21357E25">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风险防控管理措施齐全，风险预控符合规范要求，风险控制要点定位准确，各阶段风险控制及应急措施得力。（0-1）</w:t>
            </w:r>
          </w:p>
        </w:tc>
      </w:tr>
      <w:tr w14:paraId="36F26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08" w:type="dxa"/>
            <w:gridSpan w:val="2"/>
            <w:vMerge w:val="continue"/>
            <w:noWrap w:val="0"/>
            <w:tcMar>
              <w:left w:w="57" w:type="dxa"/>
              <w:right w:w="57" w:type="dxa"/>
            </w:tcMar>
            <w:vAlign w:val="center"/>
          </w:tcPr>
          <w:p w14:paraId="0929AED1">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4FF62272">
            <w:pPr>
              <w:widowControl/>
              <w:wordWrap w:val="0"/>
              <w:jc w:val="center"/>
              <w:rPr>
                <w:rFonts w:hint="eastAsia" w:ascii="宋体" w:hAnsi="宋体" w:eastAsia="宋体" w:cs="宋体"/>
                <w:color w:val="auto"/>
                <w:kern w:val="0"/>
                <w:szCs w:val="21"/>
                <w:highlight w:val="none"/>
              </w:rPr>
            </w:pPr>
          </w:p>
        </w:tc>
        <w:tc>
          <w:tcPr>
            <w:tcW w:w="7002" w:type="dxa"/>
            <w:gridSpan w:val="6"/>
            <w:noWrap w:val="0"/>
            <w:tcMar>
              <w:left w:w="57" w:type="dxa"/>
              <w:right w:w="57" w:type="dxa"/>
            </w:tcMar>
            <w:vAlign w:val="center"/>
          </w:tcPr>
          <w:p w14:paraId="56694271">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1.各档次的标准设定如下：</w:t>
            </w:r>
          </w:p>
          <w:p w14:paraId="202E8382">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优：内容详实，方案科学、合理、安全，考虑周全，措施到位，针对性强，完全能够满足招标工程的施工需要。</w:t>
            </w:r>
          </w:p>
          <w:p w14:paraId="0E61FEA7">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良：内容完整，方案基本科学、合理、安全，基本考虑周全，措施基本到位，针对性较强，可以满足招标工程的施工需要，但有个别细节需要进一步完善或提高。</w:t>
            </w:r>
          </w:p>
          <w:p w14:paraId="3DBE8F0C">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一般：内容基本完整，方案在科学、合理、安全性方面一般，基本考虑不周，措施不够到位，针对性不强，虽然能够基本满足招标工程的施工需要，但有很多方面需要进一步完善甚至重新考虑。</w:t>
            </w:r>
          </w:p>
          <w:p w14:paraId="45482F6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差：内容不完整，方案在科学、合理、安全性方面差，考虑非常不周，措施基本不到位，没有针对性，不能满足招标工程的施工需要。</w:t>
            </w:r>
          </w:p>
          <w:p w14:paraId="67A68B39">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2.各分项内容如缺项，相应项目得分为0。</w:t>
            </w:r>
          </w:p>
        </w:tc>
      </w:tr>
      <w:tr w14:paraId="39D98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4" w:hRule="atLeast"/>
          <w:jc w:val="center"/>
        </w:trPr>
        <w:tc>
          <w:tcPr>
            <w:tcW w:w="908" w:type="dxa"/>
            <w:gridSpan w:val="2"/>
            <w:vMerge w:val="restart"/>
            <w:noWrap w:val="0"/>
            <w:tcMar>
              <w:left w:w="57" w:type="dxa"/>
              <w:right w:w="57" w:type="dxa"/>
            </w:tcMar>
            <w:vAlign w:val="center"/>
          </w:tcPr>
          <w:p w14:paraId="56FC87A2">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2.2.4</w:t>
            </w:r>
          </w:p>
          <w:p w14:paraId="267247EE">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276" w:type="dxa"/>
            <w:gridSpan w:val="2"/>
            <w:vMerge w:val="restart"/>
            <w:noWrap w:val="0"/>
            <w:tcMar>
              <w:left w:w="57" w:type="dxa"/>
              <w:right w:w="57" w:type="dxa"/>
            </w:tcMar>
            <w:vAlign w:val="center"/>
          </w:tcPr>
          <w:p w14:paraId="7E612B67">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w:t>
            </w:r>
          </w:p>
          <w:p w14:paraId="4F89CC19">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w:t>
            </w:r>
          </w:p>
          <w:p w14:paraId="67EFA746">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（总分50分）</w:t>
            </w:r>
          </w:p>
        </w:tc>
        <w:tc>
          <w:tcPr>
            <w:tcW w:w="1486" w:type="dxa"/>
            <w:gridSpan w:val="2"/>
            <w:noWrap w:val="0"/>
            <w:tcMar>
              <w:left w:w="57" w:type="dxa"/>
              <w:right w:w="57" w:type="dxa"/>
            </w:tcMar>
            <w:vAlign w:val="center"/>
          </w:tcPr>
          <w:p w14:paraId="2CEE5411">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（1）投标报价</w:t>
            </w:r>
          </w:p>
          <w:p w14:paraId="7B9A619C">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（满分</w:t>
            </w:r>
            <w:r>
              <w:rPr>
                <w:rFonts w:hint="eastAsia" w:ascii="宋体" w:hAnsi="宋体" w:eastAsia="宋体" w:cs="宋体"/>
                <w:color w:val="auto"/>
                <w:kern w:val="0"/>
                <w:szCs w:val="21"/>
                <w:highlight w:val="none"/>
                <w:u w:val="single"/>
              </w:rPr>
              <w:t>30</w:t>
            </w:r>
            <w:r>
              <w:rPr>
                <w:rFonts w:hint="eastAsia" w:ascii="宋体" w:hAnsi="宋体" w:eastAsia="宋体" w:cs="宋体"/>
                <w:color w:val="auto"/>
                <w:kern w:val="0"/>
                <w:szCs w:val="21"/>
                <w:highlight w:val="none"/>
              </w:rPr>
              <w:t>分）</w:t>
            </w:r>
          </w:p>
        </w:tc>
        <w:tc>
          <w:tcPr>
            <w:tcW w:w="5516" w:type="dxa"/>
            <w:gridSpan w:val="4"/>
            <w:noWrap w:val="0"/>
            <w:tcMar>
              <w:left w:w="57" w:type="dxa"/>
              <w:right w:w="57" w:type="dxa"/>
            </w:tcMar>
            <w:vAlign w:val="center"/>
          </w:tcPr>
          <w:p w14:paraId="715E2527">
            <w:pPr>
              <w:pStyle w:val="158"/>
              <w:wordWrap w:val="0"/>
              <w:adjustRightInd w:val="0"/>
              <w:snapToGrid w:val="0"/>
              <w:ind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①基准价的计算方法见附件。</w:t>
            </w:r>
          </w:p>
          <w:p w14:paraId="39EFB3DC">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②投标人的投标</w:t>
            </w:r>
            <w:r>
              <w:rPr>
                <w:rFonts w:hint="eastAsia" w:ascii="宋体" w:hAnsi="宋体" w:eastAsia="宋体" w:cs="宋体"/>
                <w:color w:val="auto"/>
                <w:szCs w:val="21"/>
                <w:highlight w:val="none"/>
              </w:rPr>
              <w:t>报</w:t>
            </w:r>
            <w:r>
              <w:rPr>
                <w:rFonts w:hint="eastAsia" w:ascii="宋体" w:hAnsi="宋体" w:eastAsia="宋体" w:cs="宋体"/>
                <w:color w:val="auto"/>
                <w:kern w:val="0"/>
                <w:szCs w:val="21"/>
                <w:highlight w:val="none"/>
              </w:rPr>
              <w:t>价与基准价相等的得满分（</w:t>
            </w:r>
            <w:r>
              <w:rPr>
                <w:rFonts w:hint="eastAsia" w:ascii="宋体" w:hAnsi="宋体" w:eastAsia="宋体" w:cs="宋体"/>
                <w:color w:val="auto"/>
                <w:kern w:val="0"/>
                <w:szCs w:val="21"/>
                <w:highlight w:val="none"/>
                <w:u w:val="single"/>
              </w:rPr>
              <w:t>30</w:t>
            </w:r>
            <w:r>
              <w:rPr>
                <w:rFonts w:hint="eastAsia" w:ascii="宋体" w:hAnsi="宋体" w:eastAsia="宋体" w:cs="宋体"/>
                <w:color w:val="auto"/>
                <w:kern w:val="0"/>
                <w:szCs w:val="21"/>
                <w:highlight w:val="none"/>
              </w:rPr>
              <w:t>分）；</w:t>
            </w:r>
          </w:p>
          <w:p w14:paraId="4B2CFB7F">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w:t>
            </w:r>
            <w:r>
              <w:rPr>
                <w:rFonts w:hint="eastAsia" w:ascii="宋体" w:hAnsi="宋体" w:eastAsia="宋体" w:cs="宋体"/>
                <w:color w:val="auto"/>
                <w:szCs w:val="21"/>
                <w:highlight w:val="none"/>
              </w:rPr>
              <w:t>报</w:t>
            </w:r>
            <w:r>
              <w:rPr>
                <w:rFonts w:hint="eastAsia" w:ascii="宋体" w:hAnsi="宋体" w:eastAsia="宋体" w:cs="宋体"/>
                <w:color w:val="auto"/>
                <w:kern w:val="0"/>
                <w:szCs w:val="21"/>
                <w:highlight w:val="none"/>
              </w:rPr>
              <w:t>价低于评标基准价的，按每低于评标基准价</w:t>
            </w:r>
            <w:r>
              <w:rPr>
                <w:rFonts w:hint="eastAsia" w:ascii="宋体" w:hAnsi="宋体" w:eastAsia="宋体" w:cs="宋体"/>
                <w:color w:val="auto"/>
                <w:kern w:val="0"/>
                <w:szCs w:val="21"/>
                <w:highlight w:val="none"/>
                <w:u w:val="single"/>
              </w:rPr>
              <w:t>1%</w:t>
            </w:r>
            <w:r>
              <w:rPr>
                <w:rFonts w:hint="eastAsia" w:ascii="宋体" w:hAnsi="宋体" w:eastAsia="宋体" w:cs="宋体"/>
                <w:color w:val="auto"/>
                <w:kern w:val="0"/>
                <w:szCs w:val="21"/>
                <w:highlight w:val="none"/>
              </w:rPr>
              <w:t>扣</w:t>
            </w:r>
            <w:r>
              <w:rPr>
                <w:rFonts w:hint="eastAsia" w:ascii="宋体" w:hAnsi="宋体" w:cs="宋体"/>
                <w:color w:val="auto"/>
                <w:kern w:val="0"/>
                <w:szCs w:val="21"/>
                <w:highlight w:val="none"/>
                <w:u w:val="single"/>
                <w:lang w:val="en-US" w:eastAsia="zh-CN"/>
              </w:rPr>
              <w:t>1</w:t>
            </w:r>
            <w:r>
              <w:rPr>
                <w:rFonts w:hint="eastAsia" w:ascii="宋体" w:hAnsi="宋体" w:eastAsia="宋体" w:cs="宋体"/>
                <w:color w:val="auto"/>
                <w:kern w:val="0"/>
                <w:szCs w:val="21"/>
                <w:highlight w:val="none"/>
              </w:rPr>
              <w:t>分的比例从满分（</w:t>
            </w:r>
            <w:r>
              <w:rPr>
                <w:rFonts w:hint="eastAsia" w:ascii="宋体" w:hAnsi="宋体" w:eastAsia="宋体" w:cs="宋体"/>
                <w:color w:val="auto"/>
                <w:kern w:val="0"/>
                <w:szCs w:val="21"/>
                <w:highlight w:val="none"/>
                <w:u w:val="single"/>
              </w:rPr>
              <w:t xml:space="preserve"> 30 </w:t>
            </w:r>
            <w:r>
              <w:rPr>
                <w:rFonts w:hint="eastAsia" w:ascii="宋体" w:hAnsi="宋体" w:eastAsia="宋体" w:cs="宋体"/>
                <w:color w:val="auto"/>
                <w:kern w:val="0"/>
                <w:szCs w:val="21"/>
                <w:highlight w:val="none"/>
              </w:rPr>
              <w:t>分）中进行扣分，扣完为止；</w:t>
            </w:r>
          </w:p>
          <w:p w14:paraId="1B18D455">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w:t>
            </w:r>
            <w:r>
              <w:rPr>
                <w:rFonts w:hint="eastAsia" w:ascii="宋体" w:hAnsi="宋体" w:eastAsia="宋体" w:cs="宋体"/>
                <w:color w:val="auto"/>
                <w:szCs w:val="21"/>
                <w:highlight w:val="none"/>
              </w:rPr>
              <w:t>报</w:t>
            </w:r>
            <w:r>
              <w:rPr>
                <w:rFonts w:hint="eastAsia" w:ascii="宋体" w:hAnsi="宋体" w:eastAsia="宋体" w:cs="宋体"/>
                <w:color w:val="auto"/>
                <w:kern w:val="0"/>
                <w:szCs w:val="21"/>
                <w:highlight w:val="none"/>
              </w:rPr>
              <w:t>价高于评标基准价的，按每高于评标基准价</w:t>
            </w:r>
            <w:r>
              <w:rPr>
                <w:rFonts w:hint="eastAsia" w:ascii="宋体" w:hAnsi="宋体" w:eastAsia="宋体" w:cs="宋体"/>
                <w:color w:val="auto"/>
                <w:kern w:val="0"/>
                <w:szCs w:val="21"/>
                <w:highlight w:val="none"/>
                <w:u w:val="single"/>
              </w:rPr>
              <w:t>1%</w:t>
            </w:r>
            <w:r>
              <w:rPr>
                <w:rFonts w:hint="eastAsia" w:ascii="宋体" w:hAnsi="宋体" w:eastAsia="宋体" w:cs="宋体"/>
                <w:color w:val="auto"/>
                <w:kern w:val="0"/>
                <w:szCs w:val="21"/>
                <w:highlight w:val="none"/>
              </w:rPr>
              <w:t>扣</w:t>
            </w:r>
            <w:r>
              <w:rPr>
                <w:rFonts w:hint="eastAsia" w:ascii="宋体" w:hAnsi="宋体" w:cs="宋体"/>
                <w:color w:val="auto"/>
                <w:kern w:val="0"/>
                <w:szCs w:val="21"/>
                <w:highlight w:val="none"/>
                <w:u w:val="single"/>
                <w:lang w:val="en-US" w:eastAsia="zh-CN"/>
              </w:rPr>
              <w:t>2</w:t>
            </w:r>
            <w:r>
              <w:rPr>
                <w:rFonts w:hint="eastAsia" w:ascii="宋体" w:hAnsi="宋体" w:eastAsia="宋体" w:cs="宋体"/>
                <w:color w:val="auto"/>
                <w:kern w:val="0"/>
                <w:szCs w:val="21"/>
                <w:highlight w:val="none"/>
              </w:rPr>
              <w:t>分的比例从满分（</w:t>
            </w:r>
            <w:r>
              <w:rPr>
                <w:rFonts w:hint="eastAsia" w:ascii="宋体" w:hAnsi="宋体" w:eastAsia="宋体" w:cs="宋体"/>
                <w:color w:val="auto"/>
                <w:kern w:val="0"/>
                <w:szCs w:val="21"/>
                <w:highlight w:val="none"/>
                <w:u w:val="single"/>
              </w:rPr>
              <w:t xml:space="preserve"> 30 </w:t>
            </w:r>
            <w:r>
              <w:rPr>
                <w:rFonts w:hint="eastAsia" w:ascii="宋体" w:hAnsi="宋体" w:eastAsia="宋体" w:cs="宋体"/>
                <w:color w:val="auto"/>
                <w:kern w:val="0"/>
                <w:szCs w:val="21"/>
                <w:highlight w:val="none"/>
              </w:rPr>
              <w:t>分）中进行扣分，扣完为止。</w:t>
            </w:r>
          </w:p>
          <w:p w14:paraId="7B7F6C1F">
            <w:pPr>
              <w:wordWrap w:val="0"/>
              <w:adjustRightInd w:val="0"/>
              <w:snapToGrid w:val="0"/>
              <w:jc w:val="left"/>
              <w:rPr>
                <w:rFonts w:hint="eastAsia" w:ascii="宋体" w:hAnsi="宋体" w:eastAsia="宋体" w:cs="宋体"/>
                <w:color w:val="auto"/>
                <w:szCs w:val="21"/>
                <w:highlight w:val="none"/>
              </w:rPr>
            </w:pPr>
            <w:r>
              <w:rPr>
                <w:rFonts w:hint="eastAsia" w:ascii="宋体" w:hAnsi="宋体" w:eastAsia="宋体" w:cs="宋体"/>
                <w:b/>
                <w:bCs/>
                <w:color w:val="auto"/>
                <w:kern w:val="0"/>
                <w:szCs w:val="21"/>
                <w:highlight w:val="none"/>
              </w:rPr>
              <w:t>注：不足</w:t>
            </w:r>
            <w:r>
              <w:rPr>
                <w:rFonts w:hint="eastAsia" w:ascii="宋体" w:hAnsi="宋体" w:eastAsia="宋体" w:cs="宋体"/>
                <w:b/>
                <w:bCs/>
                <w:color w:val="auto"/>
                <w:kern w:val="0"/>
                <w:szCs w:val="21"/>
                <w:highlight w:val="none"/>
                <w:u w:val="single"/>
              </w:rPr>
              <w:t>1%</w:t>
            </w:r>
            <w:r>
              <w:rPr>
                <w:rFonts w:hint="eastAsia" w:ascii="宋体" w:hAnsi="宋体" w:eastAsia="宋体" w:cs="宋体"/>
                <w:b/>
                <w:bCs/>
                <w:color w:val="auto"/>
                <w:kern w:val="0"/>
                <w:szCs w:val="21"/>
                <w:highlight w:val="none"/>
              </w:rPr>
              <w:t>的按比例扣分。</w:t>
            </w:r>
          </w:p>
        </w:tc>
      </w:tr>
      <w:tr w14:paraId="69D5D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3" w:hRule="atLeast"/>
          <w:jc w:val="center"/>
        </w:trPr>
        <w:tc>
          <w:tcPr>
            <w:tcW w:w="908" w:type="dxa"/>
            <w:gridSpan w:val="2"/>
            <w:vMerge w:val="continue"/>
            <w:noWrap w:val="0"/>
            <w:tcMar>
              <w:left w:w="57" w:type="dxa"/>
              <w:right w:w="57" w:type="dxa"/>
            </w:tcMar>
            <w:vAlign w:val="center"/>
          </w:tcPr>
          <w:p w14:paraId="569BEF93">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7F294410">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3F3BB522">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（2）分部分项工程量清单项目综合单价</w:t>
            </w:r>
          </w:p>
          <w:p w14:paraId="37BEB0BB">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（满分</w:t>
            </w:r>
            <w:r>
              <w:rPr>
                <w:rFonts w:hint="eastAsia" w:ascii="宋体" w:hAnsi="宋体" w:eastAsia="宋体" w:cs="宋体"/>
                <w:color w:val="auto"/>
                <w:kern w:val="0"/>
                <w:szCs w:val="21"/>
                <w:highlight w:val="none"/>
                <w:u w:val="single"/>
              </w:rPr>
              <w:t>10</w:t>
            </w:r>
            <w:r>
              <w:rPr>
                <w:rFonts w:hint="eastAsia" w:ascii="宋体" w:hAnsi="宋体" w:eastAsia="宋体" w:cs="宋体"/>
                <w:color w:val="auto"/>
                <w:kern w:val="0"/>
                <w:szCs w:val="21"/>
                <w:highlight w:val="none"/>
              </w:rPr>
              <w:t>分）</w:t>
            </w:r>
          </w:p>
        </w:tc>
        <w:tc>
          <w:tcPr>
            <w:tcW w:w="5516" w:type="dxa"/>
            <w:gridSpan w:val="4"/>
            <w:noWrap w:val="0"/>
            <w:tcMar>
              <w:left w:w="57" w:type="dxa"/>
              <w:right w:w="57" w:type="dxa"/>
            </w:tcMar>
            <w:vAlign w:val="center"/>
          </w:tcPr>
          <w:p w14:paraId="10761E58">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①基准价的计算方法见附件。</w:t>
            </w:r>
          </w:p>
          <w:p w14:paraId="0D4FFB73">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②各项清单偏差率在</w:t>
            </w:r>
            <w:r>
              <w:rPr>
                <w:rFonts w:hint="eastAsia" w:ascii="宋体" w:hAnsi="宋体" w:eastAsia="宋体" w:cs="宋体"/>
                <w:color w:val="auto"/>
                <w:szCs w:val="21"/>
                <w:highlight w:val="none"/>
                <w:u w:val="single"/>
              </w:rPr>
              <w:t>95%</w:t>
            </w:r>
            <w:r>
              <w:rPr>
                <w:rFonts w:hint="eastAsia" w:ascii="宋体" w:hAnsi="宋体" w:eastAsia="宋体" w:cs="宋体"/>
                <w:color w:val="auto"/>
                <w:kern w:val="0"/>
                <w:szCs w:val="21"/>
                <w:highlight w:val="none"/>
              </w:rPr>
              <w:t>（不含</w:t>
            </w:r>
            <w:r>
              <w:rPr>
                <w:rFonts w:hint="eastAsia" w:ascii="宋体" w:hAnsi="宋体" w:eastAsia="宋体" w:cs="宋体"/>
                <w:color w:val="auto"/>
                <w:kern w:val="0"/>
                <w:szCs w:val="21"/>
                <w:highlight w:val="none"/>
                <w:u w:val="single"/>
              </w:rPr>
              <w:t>9</w:t>
            </w:r>
            <w:r>
              <w:rPr>
                <w:rFonts w:hint="eastAsia" w:ascii="宋体" w:hAnsi="宋体" w:eastAsia="宋体" w:cs="宋体"/>
                <w:color w:val="auto"/>
                <w:szCs w:val="21"/>
                <w:highlight w:val="none"/>
                <w:u w:val="single"/>
              </w:rPr>
              <w:t>5</w:t>
            </w:r>
            <w:r>
              <w:rPr>
                <w:rFonts w:hint="eastAsia" w:ascii="宋体" w:hAnsi="宋体" w:eastAsia="宋体" w:cs="宋体"/>
                <w:color w:val="auto"/>
                <w:kern w:val="0"/>
                <w:szCs w:val="21"/>
                <w:highlight w:val="none"/>
                <w:u w:val="single"/>
              </w:rPr>
              <w:t>%</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u w:val="single"/>
              </w:rPr>
              <w:t xml:space="preserve"> 103</w:t>
            </w:r>
            <w:r>
              <w:rPr>
                <w:rFonts w:hint="eastAsia" w:ascii="宋体" w:hAnsi="宋体" w:eastAsia="宋体" w:cs="宋体"/>
                <w:color w:val="auto"/>
                <w:kern w:val="0"/>
                <w:szCs w:val="21"/>
                <w:highlight w:val="none"/>
                <w:u w:val="single"/>
              </w:rPr>
              <w:t>%</w:t>
            </w:r>
            <w:r>
              <w:rPr>
                <w:rFonts w:hint="eastAsia" w:ascii="宋体" w:hAnsi="宋体" w:eastAsia="宋体" w:cs="宋体"/>
                <w:color w:val="auto"/>
                <w:kern w:val="0"/>
                <w:szCs w:val="21"/>
                <w:highlight w:val="none"/>
              </w:rPr>
              <w:t>（含</w:t>
            </w:r>
            <w:r>
              <w:rPr>
                <w:rFonts w:hint="eastAsia" w:ascii="宋体" w:hAnsi="宋体" w:eastAsia="宋体" w:cs="宋体"/>
                <w:color w:val="auto"/>
                <w:kern w:val="0"/>
                <w:szCs w:val="21"/>
                <w:highlight w:val="none"/>
                <w:u w:val="single"/>
              </w:rPr>
              <w:t>103%</w:t>
            </w:r>
            <w:r>
              <w:rPr>
                <w:rFonts w:hint="eastAsia" w:ascii="宋体" w:hAnsi="宋体" w:eastAsia="宋体" w:cs="宋体"/>
                <w:color w:val="auto"/>
                <w:kern w:val="0"/>
                <w:szCs w:val="21"/>
                <w:highlight w:val="none"/>
              </w:rPr>
              <w:t>）范围内的，该项计分系数为1；清单偏差率在</w:t>
            </w:r>
            <w:r>
              <w:rPr>
                <w:rFonts w:hint="eastAsia" w:ascii="宋体" w:hAnsi="宋体" w:eastAsia="宋体" w:cs="宋体"/>
                <w:color w:val="auto"/>
                <w:szCs w:val="21"/>
                <w:highlight w:val="none"/>
                <w:u w:val="single"/>
              </w:rPr>
              <w:t>93%</w:t>
            </w:r>
            <w:r>
              <w:rPr>
                <w:rFonts w:hint="eastAsia" w:ascii="宋体" w:hAnsi="宋体" w:eastAsia="宋体" w:cs="宋体"/>
                <w:color w:val="auto"/>
                <w:kern w:val="0"/>
                <w:szCs w:val="21"/>
                <w:highlight w:val="none"/>
              </w:rPr>
              <w:t>（含</w:t>
            </w:r>
            <w:r>
              <w:rPr>
                <w:rFonts w:hint="eastAsia" w:ascii="宋体" w:hAnsi="宋体" w:eastAsia="宋体" w:cs="宋体"/>
                <w:color w:val="auto"/>
                <w:kern w:val="0"/>
                <w:szCs w:val="21"/>
                <w:highlight w:val="none"/>
                <w:u w:val="single"/>
              </w:rPr>
              <w:t>9</w:t>
            </w:r>
            <w:r>
              <w:rPr>
                <w:rFonts w:hint="eastAsia" w:ascii="宋体" w:hAnsi="宋体" w:eastAsia="宋体" w:cs="宋体"/>
                <w:color w:val="auto"/>
                <w:szCs w:val="21"/>
                <w:highlight w:val="none"/>
                <w:u w:val="single"/>
              </w:rPr>
              <w:t>3</w:t>
            </w:r>
            <w:r>
              <w:rPr>
                <w:rFonts w:hint="eastAsia" w:ascii="宋体" w:hAnsi="宋体" w:eastAsia="宋体" w:cs="宋体"/>
                <w:color w:val="auto"/>
                <w:kern w:val="0"/>
                <w:szCs w:val="21"/>
                <w:highlight w:val="none"/>
                <w:u w:val="single"/>
              </w:rPr>
              <w:t>%</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u w:val="single"/>
              </w:rPr>
              <w:t>95%</w:t>
            </w:r>
            <w:r>
              <w:rPr>
                <w:rFonts w:hint="eastAsia" w:ascii="宋体" w:hAnsi="宋体" w:eastAsia="宋体" w:cs="宋体"/>
                <w:color w:val="auto"/>
                <w:kern w:val="0"/>
                <w:szCs w:val="21"/>
                <w:highlight w:val="none"/>
              </w:rPr>
              <w:t>（含</w:t>
            </w:r>
            <w:r>
              <w:rPr>
                <w:rFonts w:hint="eastAsia" w:ascii="宋体" w:hAnsi="宋体" w:eastAsia="宋体" w:cs="宋体"/>
                <w:color w:val="auto"/>
                <w:kern w:val="0"/>
                <w:szCs w:val="21"/>
                <w:highlight w:val="none"/>
                <w:u w:val="single"/>
              </w:rPr>
              <w:t>9</w:t>
            </w:r>
            <w:r>
              <w:rPr>
                <w:rFonts w:hint="eastAsia" w:ascii="宋体" w:hAnsi="宋体" w:eastAsia="宋体" w:cs="宋体"/>
                <w:color w:val="auto"/>
                <w:szCs w:val="21"/>
                <w:highlight w:val="none"/>
                <w:u w:val="single"/>
              </w:rPr>
              <w:t>5</w:t>
            </w:r>
            <w:r>
              <w:rPr>
                <w:rFonts w:hint="eastAsia" w:ascii="宋体" w:hAnsi="宋体" w:eastAsia="宋体" w:cs="宋体"/>
                <w:color w:val="auto"/>
                <w:kern w:val="0"/>
                <w:szCs w:val="21"/>
                <w:highlight w:val="none"/>
                <w:u w:val="single"/>
              </w:rPr>
              <w:t>%</w:t>
            </w:r>
            <w:r>
              <w:rPr>
                <w:rFonts w:hint="eastAsia" w:ascii="宋体" w:hAnsi="宋体" w:eastAsia="宋体" w:cs="宋体"/>
                <w:color w:val="auto"/>
                <w:kern w:val="0"/>
                <w:szCs w:val="21"/>
                <w:highlight w:val="none"/>
              </w:rPr>
              <w:t>）范围内的，该项计分系数为</w:t>
            </w:r>
            <w:r>
              <w:rPr>
                <w:rFonts w:hint="eastAsia" w:ascii="宋体" w:hAnsi="宋体" w:eastAsia="宋体" w:cs="宋体"/>
                <w:color w:val="auto"/>
                <w:kern w:val="0"/>
                <w:szCs w:val="21"/>
                <w:highlight w:val="none"/>
                <w:u w:val="single"/>
              </w:rPr>
              <w:t>0.5</w:t>
            </w:r>
            <w:r>
              <w:rPr>
                <w:rFonts w:hint="eastAsia" w:ascii="宋体" w:hAnsi="宋体" w:eastAsia="宋体" w:cs="宋体"/>
                <w:color w:val="auto"/>
                <w:kern w:val="0"/>
                <w:szCs w:val="21"/>
                <w:highlight w:val="none"/>
              </w:rPr>
              <w:t>；超出该范围的，不得分。</w:t>
            </w:r>
          </w:p>
          <w:p w14:paraId="25EC8953">
            <w:pPr>
              <w:wordWrap w:val="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③汇总所有分部分项清单的得分。</w:t>
            </w:r>
          </w:p>
        </w:tc>
      </w:tr>
      <w:tr w14:paraId="5987B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8" w:type="dxa"/>
            <w:gridSpan w:val="2"/>
            <w:vMerge w:val="continue"/>
            <w:noWrap w:val="0"/>
            <w:tcMar>
              <w:left w:w="57" w:type="dxa"/>
              <w:right w:w="57" w:type="dxa"/>
            </w:tcMar>
            <w:vAlign w:val="center"/>
          </w:tcPr>
          <w:p w14:paraId="133BB100">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4679DBAF">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180B727B">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（3）投标报价材料单价（满分</w:t>
            </w:r>
            <w:r>
              <w:rPr>
                <w:rFonts w:hint="eastAsia" w:ascii="宋体" w:hAnsi="宋体" w:eastAsia="宋体" w:cs="宋体"/>
                <w:color w:val="auto"/>
                <w:kern w:val="0"/>
                <w:szCs w:val="21"/>
                <w:highlight w:val="none"/>
                <w:u w:val="single"/>
              </w:rPr>
              <w:t>5</w:t>
            </w:r>
            <w:r>
              <w:rPr>
                <w:rFonts w:hint="eastAsia" w:ascii="宋体" w:hAnsi="宋体" w:eastAsia="宋体" w:cs="宋体"/>
                <w:color w:val="auto"/>
                <w:kern w:val="0"/>
                <w:szCs w:val="21"/>
                <w:highlight w:val="none"/>
              </w:rPr>
              <w:t>分）</w:t>
            </w:r>
          </w:p>
        </w:tc>
        <w:tc>
          <w:tcPr>
            <w:tcW w:w="5516" w:type="dxa"/>
            <w:gridSpan w:val="4"/>
            <w:noWrap w:val="0"/>
            <w:tcMar>
              <w:left w:w="57" w:type="dxa"/>
              <w:right w:w="57" w:type="dxa"/>
            </w:tcMar>
            <w:vAlign w:val="center"/>
          </w:tcPr>
          <w:p w14:paraId="4FBD4FB0">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①基准价的计算方法见附件。</w:t>
            </w:r>
          </w:p>
          <w:p w14:paraId="44F31997">
            <w:pPr>
              <w:widowControl/>
              <w:wordWrap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②各项材料偏差率在</w:t>
            </w:r>
            <w:r>
              <w:rPr>
                <w:rFonts w:hint="eastAsia" w:ascii="宋体" w:hAnsi="宋体" w:eastAsia="宋体" w:cs="宋体"/>
                <w:color w:val="auto"/>
                <w:kern w:val="0"/>
                <w:szCs w:val="21"/>
                <w:highlight w:val="none"/>
                <w:u w:val="single"/>
              </w:rPr>
              <w:t>95%</w:t>
            </w:r>
            <w:r>
              <w:rPr>
                <w:rFonts w:hint="eastAsia" w:ascii="宋体" w:hAnsi="宋体" w:eastAsia="宋体" w:cs="宋体"/>
                <w:color w:val="auto"/>
                <w:kern w:val="0"/>
                <w:szCs w:val="21"/>
                <w:highlight w:val="none"/>
              </w:rPr>
              <w:t>（不含</w:t>
            </w:r>
            <w:r>
              <w:rPr>
                <w:rFonts w:hint="eastAsia" w:ascii="宋体" w:hAnsi="宋体" w:eastAsia="宋体" w:cs="宋体"/>
                <w:color w:val="auto"/>
                <w:kern w:val="0"/>
                <w:szCs w:val="21"/>
                <w:highlight w:val="none"/>
                <w:u w:val="single"/>
              </w:rPr>
              <w:t>95%</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 xml:space="preserve"> 103%</w:t>
            </w:r>
            <w:r>
              <w:rPr>
                <w:rFonts w:hint="eastAsia" w:ascii="宋体" w:hAnsi="宋体" w:eastAsia="宋体" w:cs="宋体"/>
                <w:color w:val="auto"/>
                <w:kern w:val="0"/>
                <w:szCs w:val="21"/>
                <w:highlight w:val="none"/>
              </w:rPr>
              <w:t>（含</w:t>
            </w:r>
            <w:r>
              <w:rPr>
                <w:rFonts w:hint="eastAsia" w:ascii="宋体" w:hAnsi="宋体" w:eastAsia="宋体" w:cs="宋体"/>
                <w:color w:val="auto"/>
                <w:kern w:val="0"/>
                <w:szCs w:val="21"/>
                <w:highlight w:val="none"/>
                <w:u w:val="single"/>
              </w:rPr>
              <w:t>103%</w:t>
            </w:r>
            <w:r>
              <w:rPr>
                <w:rFonts w:hint="eastAsia" w:ascii="宋体" w:hAnsi="宋体" w:eastAsia="宋体" w:cs="宋体"/>
                <w:color w:val="auto"/>
                <w:kern w:val="0"/>
                <w:szCs w:val="21"/>
                <w:highlight w:val="none"/>
              </w:rPr>
              <w:t>）范围内的，该项计分系数为1；清单偏差率在</w:t>
            </w:r>
            <w:r>
              <w:rPr>
                <w:rFonts w:hint="eastAsia" w:ascii="宋体" w:hAnsi="宋体" w:eastAsia="宋体" w:cs="宋体"/>
                <w:color w:val="auto"/>
                <w:kern w:val="0"/>
                <w:szCs w:val="21"/>
                <w:highlight w:val="none"/>
                <w:u w:val="single"/>
              </w:rPr>
              <w:t>93%</w:t>
            </w:r>
            <w:r>
              <w:rPr>
                <w:rFonts w:hint="eastAsia" w:ascii="宋体" w:hAnsi="宋体" w:eastAsia="宋体" w:cs="宋体"/>
                <w:color w:val="auto"/>
                <w:kern w:val="0"/>
                <w:szCs w:val="21"/>
                <w:highlight w:val="none"/>
              </w:rPr>
              <w:t>（含</w:t>
            </w:r>
            <w:r>
              <w:rPr>
                <w:rFonts w:hint="eastAsia" w:ascii="宋体" w:hAnsi="宋体" w:eastAsia="宋体" w:cs="宋体"/>
                <w:color w:val="auto"/>
                <w:kern w:val="0"/>
                <w:szCs w:val="21"/>
                <w:highlight w:val="none"/>
                <w:u w:val="single"/>
              </w:rPr>
              <w:t>93%</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u w:val="single"/>
              </w:rPr>
              <w:t>95%</w:t>
            </w:r>
            <w:r>
              <w:rPr>
                <w:rFonts w:hint="eastAsia" w:ascii="宋体" w:hAnsi="宋体" w:eastAsia="宋体" w:cs="宋体"/>
                <w:color w:val="auto"/>
                <w:kern w:val="0"/>
                <w:szCs w:val="21"/>
                <w:highlight w:val="none"/>
              </w:rPr>
              <w:t>（含</w:t>
            </w:r>
            <w:r>
              <w:rPr>
                <w:rFonts w:hint="eastAsia" w:ascii="宋体" w:hAnsi="宋体" w:eastAsia="宋体" w:cs="宋体"/>
                <w:color w:val="auto"/>
                <w:kern w:val="0"/>
                <w:szCs w:val="21"/>
                <w:highlight w:val="none"/>
                <w:u w:val="single"/>
              </w:rPr>
              <w:t>95%</w:t>
            </w:r>
            <w:r>
              <w:rPr>
                <w:rFonts w:hint="eastAsia" w:ascii="宋体" w:hAnsi="宋体" w:eastAsia="宋体" w:cs="宋体"/>
                <w:color w:val="auto"/>
                <w:kern w:val="0"/>
                <w:szCs w:val="21"/>
                <w:highlight w:val="none"/>
              </w:rPr>
              <w:t>）范围内的，该项计分系数为</w:t>
            </w:r>
            <w:r>
              <w:rPr>
                <w:rFonts w:hint="eastAsia" w:ascii="宋体" w:hAnsi="宋体" w:eastAsia="宋体" w:cs="宋体"/>
                <w:color w:val="auto"/>
                <w:kern w:val="0"/>
                <w:szCs w:val="21"/>
                <w:highlight w:val="none"/>
                <w:u w:val="single"/>
              </w:rPr>
              <w:t>0.5</w:t>
            </w:r>
            <w:r>
              <w:rPr>
                <w:rFonts w:hint="eastAsia" w:ascii="宋体" w:hAnsi="宋体" w:eastAsia="宋体" w:cs="宋体"/>
                <w:color w:val="auto"/>
                <w:kern w:val="0"/>
                <w:szCs w:val="21"/>
                <w:highlight w:val="none"/>
              </w:rPr>
              <w:t>；超出该范围的，不得分。</w:t>
            </w:r>
          </w:p>
          <w:p w14:paraId="37A0C67F">
            <w:pPr>
              <w:widowControl/>
              <w:wordWrap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③汇总所有材料的得分。</w:t>
            </w:r>
          </w:p>
          <w:p w14:paraId="75D2BBE0">
            <w:pPr>
              <w:widowControl/>
              <w:wordWrap w:val="0"/>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注：招标文件应提供工程量清单材料表。投标人漏报材料单价的，该投标人漏报项不参与材料单价基准价计算。</w:t>
            </w:r>
          </w:p>
        </w:tc>
      </w:tr>
      <w:tr w14:paraId="4963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908" w:type="dxa"/>
            <w:gridSpan w:val="2"/>
            <w:vMerge w:val="continue"/>
            <w:noWrap w:val="0"/>
            <w:tcMar>
              <w:left w:w="57" w:type="dxa"/>
              <w:right w:w="57" w:type="dxa"/>
            </w:tcMar>
            <w:vAlign w:val="center"/>
          </w:tcPr>
          <w:p w14:paraId="1D0497CB">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66647271">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569789A9">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（4）措施项目费（不含安全文明施工措施费）</w:t>
            </w:r>
          </w:p>
          <w:p w14:paraId="4913BA4C">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（满分</w:t>
            </w:r>
            <w:r>
              <w:rPr>
                <w:rFonts w:hint="eastAsia" w:ascii="宋体" w:hAnsi="宋体" w:eastAsia="宋体" w:cs="宋体"/>
                <w:color w:val="auto"/>
                <w:kern w:val="0"/>
                <w:szCs w:val="21"/>
                <w:highlight w:val="none"/>
                <w:u w:val="single"/>
              </w:rPr>
              <w:t>5</w:t>
            </w:r>
            <w:r>
              <w:rPr>
                <w:rFonts w:hint="eastAsia" w:ascii="宋体" w:hAnsi="宋体" w:eastAsia="宋体" w:cs="宋体"/>
                <w:color w:val="auto"/>
                <w:kern w:val="0"/>
                <w:szCs w:val="21"/>
                <w:highlight w:val="none"/>
              </w:rPr>
              <w:t>分）</w:t>
            </w:r>
          </w:p>
        </w:tc>
        <w:tc>
          <w:tcPr>
            <w:tcW w:w="5516" w:type="dxa"/>
            <w:gridSpan w:val="4"/>
            <w:noWrap w:val="0"/>
            <w:tcMar>
              <w:left w:w="57" w:type="dxa"/>
              <w:right w:w="57" w:type="dxa"/>
            </w:tcMar>
            <w:vAlign w:val="center"/>
          </w:tcPr>
          <w:p w14:paraId="70B9F109">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①基准价的计算方法见附件。</w:t>
            </w:r>
          </w:p>
          <w:p w14:paraId="64EF9FE5">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②投标人的措施项目费（不含安全文明施工措施费）报价与基准价相等的得基础分（</w:t>
            </w:r>
            <w:r>
              <w:rPr>
                <w:rFonts w:hint="eastAsia" w:ascii="宋体" w:hAnsi="宋体" w:eastAsia="宋体" w:cs="宋体"/>
                <w:color w:val="auto"/>
                <w:kern w:val="0"/>
                <w:szCs w:val="21"/>
                <w:highlight w:val="none"/>
                <w:u w:val="single"/>
              </w:rPr>
              <w:t>3</w:t>
            </w:r>
            <w:r>
              <w:rPr>
                <w:rFonts w:hint="eastAsia" w:ascii="宋体" w:hAnsi="宋体" w:eastAsia="宋体" w:cs="宋体"/>
                <w:color w:val="auto"/>
                <w:kern w:val="0"/>
                <w:szCs w:val="21"/>
                <w:highlight w:val="none"/>
              </w:rPr>
              <w:t>分）；</w:t>
            </w:r>
          </w:p>
          <w:p w14:paraId="1B14FEC5">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低于基准价的，按每低于基准价</w:t>
            </w:r>
            <w:r>
              <w:rPr>
                <w:rFonts w:hint="eastAsia" w:ascii="宋体" w:hAnsi="宋体" w:eastAsia="宋体" w:cs="宋体"/>
                <w:color w:val="auto"/>
                <w:kern w:val="0"/>
                <w:szCs w:val="21"/>
                <w:highlight w:val="none"/>
                <w:u w:val="single"/>
              </w:rPr>
              <w:t>1%</w:t>
            </w:r>
            <w:r>
              <w:rPr>
                <w:rFonts w:hint="eastAsia" w:ascii="宋体" w:hAnsi="宋体" w:eastAsia="宋体" w:cs="宋体"/>
                <w:color w:val="auto"/>
                <w:kern w:val="0"/>
                <w:szCs w:val="21"/>
                <w:highlight w:val="none"/>
              </w:rPr>
              <w:t>加</w:t>
            </w:r>
            <w:r>
              <w:rPr>
                <w:rFonts w:hint="eastAsia" w:ascii="宋体" w:hAnsi="宋体" w:eastAsia="宋体" w:cs="宋体"/>
                <w:color w:val="auto"/>
                <w:kern w:val="0"/>
                <w:szCs w:val="21"/>
                <w:highlight w:val="none"/>
                <w:u w:val="single"/>
              </w:rPr>
              <w:t>0.1</w:t>
            </w:r>
            <w:r>
              <w:rPr>
                <w:rFonts w:hint="eastAsia" w:ascii="宋体" w:hAnsi="宋体" w:eastAsia="宋体" w:cs="宋体"/>
                <w:color w:val="auto"/>
                <w:kern w:val="0"/>
                <w:szCs w:val="21"/>
                <w:highlight w:val="none"/>
              </w:rPr>
              <w:t>分的比例从基础分（</w:t>
            </w:r>
            <w:r>
              <w:rPr>
                <w:rFonts w:hint="eastAsia" w:ascii="宋体" w:hAnsi="宋体" w:eastAsia="宋体" w:cs="宋体"/>
                <w:color w:val="auto"/>
                <w:kern w:val="0"/>
                <w:szCs w:val="21"/>
                <w:highlight w:val="none"/>
                <w:u w:val="single"/>
              </w:rPr>
              <w:t xml:space="preserve"> 3</w:t>
            </w:r>
            <w:r>
              <w:rPr>
                <w:rFonts w:hint="eastAsia" w:ascii="宋体" w:hAnsi="宋体" w:eastAsia="宋体" w:cs="宋体"/>
                <w:color w:val="auto"/>
                <w:kern w:val="0"/>
                <w:szCs w:val="21"/>
                <w:highlight w:val="none"/>
              </w:rPr>
              <w:t>分）的基础上加分，最高加至5分为止；</w:t>
            </w:r>
          </w:p>
          <w:p w14:paraId="6DB77836">
            <w:pPr>
              <w:wordWrap w:val="0"/>
              <w:adjustRightInd w:val="0"/>
              <w:snapToGrid w:val="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高于基准价的，按每高于基准价</w:t>
            </w:r>
            <w:r>
              <w:rPr>
                <w:rFonts w:hint="eastAsia" w:ascii="宋体" w:hAnsi="宋体" w:eastAsia="宋体" w:cs="宋体"/>
                <w:color w:val="auto"/>
                <w:kern w:val="0"/>
                <w:szCs w:val="21"/>
                <w:highlight w:val="none"/>
                <w:u w:val="single"/>
              </w:rPr>
              <w:t>1%</w:t>
            </w:r>
            <w:r>
              <w:rPr>
                <w:rFonts w:hint="eastAsia" w:ascii="宋体" w:hAnsi="宋体" w:eastAsia="宋体" w:cs="宋体"/>
                <w:color w:val="auto"/>
                <w:kern w:val="0"/>
                <w:szCs w:val="21"/>
                <w:highlight w:val="none"/>
              </w:rPr>
              <w:t>扣</w:t>
            </w:r>
            <w:r>
              <w:rPr>
                <w:rFonts w:hint="eastAsia" w:ascii="宋体" w:hAnsi="宋体" w:eastAsia="宋体" w:cs="宋体"/>
                <w:color w:val="auto"/>
                <w:kern w:val="0"/>
                <w:szCs w:val="21"/>
                <w:highlight w:val="none"/>
                <w:u w:val="single"/>
              </w:rPr>
              <w:t>0.1</w:t>
            </w:r>
            <w:r>
              <w:rPr>
                <w:rFonts w:hint="eastAsia" w:ascii="宋体" w:hAnsi="宋体" w:eastAsia="宋体" w:cs="宋体"/>
                <w:color w:val="auto"/>
                <w:kern w:val="0"/>
                <w:szCs w:val="21"/>
                <w:highlight w:val="none"/>
              </w:rPr>
              <w:t>分的比例从基础分（</w:t>
            </w:r>
            <w:r>
              <w:rPr>
                <w:rFonts w:hint="eastAsia" w:ascii="宋体" w:hAnsi="宋体" w:eastAsia="宋体" w:cs="宋体"/>
                <w:color w:val="auto"/>
                <w:kern w:val="0"/>
                <w:szCs w:val="21"/>
                <w:highlight w:val="none"/>
                <w:u w:val="single"/>
              </w:rPr>
              <w:t xml:space="preserve"> 3</w:t>
            </w:r>
            <w:r>
              <w:rPr>
                <w:rFonts w:hint="eastAsia" w:ascii="宋体" w:hAnsi="宋体" w:eastAsia="宋体" w:cs="宋体"/>
                <w:color w:val="auto"/>
                <w:kern w:val="0"/>
                <w:szCs w:val="21"/>
                <w:highlight w:val="none"/>
              </w:rPr>
              <w:t>分）的基础上进行扣分，扣完为止。</w:t>
            </w:r>
          </w:p>
          <w:p w14:paraId="0CBA6B33">
            <w:pPr>
              <w:wordWrap w:val="0"/>
              <w:rPr>
                <w:rFonts w:hint="eastAsia" w:ascii="宋体" w:hAnsi="宋体" w:eastAsia="宋体" w:cs="宋体"/>
                <w:color w:val="auto"/>
                <w:szCs w:val="21"/>
                <w:highlight w:val="none"/>
              </w:rPr>
            </w:pPr>
            <w:r>
              <w:rPr>
                <w:rFonts w:hint="eastAsia" w:ascii="宋体" w:hAnsi="宋体" w:eastAsia="宋体" w:cs="宋体"/>
                <w:b/>
                <w:bCs/>
                <w:color w:val="auto"/>
                <w:kern w:val="0"/>
                <w:szCs w:val="21"/>
                <w:highlight w:val="none"/>
              </w:rPr>
              <w:t>注：不足</w:t>
            </w:r>
            <w:r>
              <w:rPr>
                <w:rFonts w:hint="eastAsia" w:ascii="宋体" w:hAnsi="宋体" w:eastAsia="宋体" w:cs="宋体"/>
                <w:b/>
                <w:bCs/>
                <w:color w:val="auto"/>
                <w:kern w:val="0"/>
                <w:szCs w:val="21"/>
                <w:highlight w:val="none"/>
                <w:u w:val="single"/>
              </w:rPr>
              <w:t>1%</w:t>
            </w:r>
            <w:r>
              <w:rPr>
                <w:rFonts w:hint="eastAsia" w:ascii="宋体" w:hAnsi="宋体" w:eastAsia="宋体" w:cs="宋体"/>
                <w:b/>
                <w:bCs/>
                <w:color w:val="auto"/>
                <w:kern w:val="0"/>
                <w:szCs w:val="21"/>
                <w:highlight w:val="none"/>
              </w:rPr>
              <w:t>的按比例扣分。</w:t>
            </w:r>
          </w:p>
        </w:tc>
      </w:tr>
      <w:tr w14:paraId="71CAF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gridSpan w:val="2"/>
            <w:vMerge w:val="restart"/>
            <w:noWrap w:val="0"/>
            <w:tcMar>
              <w:left w:w="57" w:type="dxa"/>
              <w:right w:w="57" w:type="dxa"/>
            </w:tcMar>
            <w:vAlign w:val="center"/>
          </w:tcPr>
          <w:p w14:paraId="19BA8E94">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2.2.4</w:t>
            </w:r>
          </w:p>
          <w:p w14:paraId="0317D2B7">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276" w:type="dxa"/>
            <w:gridSpan w:val="2"/>
            <w:vMerge w:val="restart"/>
            <w:noWrap w:val="0"/>
            <w:tcMar>
              <w:left w:w="57" w:type="dxa"/>
              <w:right w:w="57" w:type="dxa"/>
            </w:tcMar>
            <w:vAlign w:val="center"/>
          </w:tcPr>
          <w:p w14:paraId="4AEE9D7B">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综合标</w:t>
            </w:r>
          </w:p>
          <w:p w14:paraId="1933D5C6">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（总分30分）</w:t>
            </w:r>
          </w:p>
        </w:tc>
        <w:tc>
          <w:tcPr>
            <w:tcW w:w="1486" w:type="dxa"/>
            <w:gridSpan w:val="2"/>
            <w:noWrap w:val="0"/>
            <w:tcMar>
              <w:left w:w="57" w:type="dxa"/>
              <w:right w:w="57" w:type="dxa"/>
            </w:tcMar>
            <w:vAlign w:val="center"/>
          </w:tcPr>
          <w:p w14:paraId="4F559DF5">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w:t>
            </w:r>
          </w:p>
        </w:tc>
        <w:tc>
          <w:tcPr>
            <w:tcW w:w="4332" w:type="dxa"/>
            <w:gridSpan w:val="3"/>
            <w:noWrap w:val="0"/>
            <w:tcMar>
              <w:left w:w="57" w:type="dxa"/>
              <w:right w:w="57" w:type="dxa"/>
            </w:tcMar>
            <w:vAlign w:val="center"/>
          </w:tcPr>
          <w:p w14:paraId="0D6E8D4D">
            <w:pPr>
              <w:wordWrap w:val="0"/>
              <w:jc w:val="center"/>
              <w:rPr>
                <w:rFonts w:hint="eastAsia" w:ascii="宋体" w:hAnsi="宋体" w:eastAsia="宋体" w:cs="宋体"/>
                <w:b/>
                <w:bCs/>
                <w:color w:val="auto"/>
                <w:kern w:val="0"/>
                <w:szCs w:val="21"/>
                <w:highlight w:val="none"/>
              </w:rPr>
            </w:pPr>
            <w:r>
              <w:rPr>
                <w:rFonts w:hint="eastAsia" w:ascii="宋体" w:hAnsi="宋体" w:eastAsia="宋体" w:cs="宋体"/>
                <w:color w:val="auto"/>
                <w:szCs w:val="21"/>
                <w:highlight w:val="none"/>
              </w:rPr>
              <w:t>评审标准</w:t>
            </w:r>
          </w:p>
        </w:tc>
        <w:tc>
          <w:tcPr>
            <w:tcW w:w="1184" w:type="dxa"/>
            <w:noWrap w:val="0"/>
            <w:tcMar>
              <w:left w:w="57" w:type="dxa"/>
              <w:right w:w="57" w:type="dxa"/>
            </w:tcMar>
            <w:vAlign w:val="center"/>
          </w:tcPr>
          <w:p w14:paraId="5729E425">
            <w:pPr>
              <w:wordWrap w:val="0"/>
              <w:jc w:val="center"/>
              <w:rPr>
                <w:rFonts w:hint="eastAsia" w:ascii="宋体" w:hAnsi="宋体" w:eastAsia="宋体" w:cs="宋体"/>
                <w:b/>
                <w:bCs/>
                <w:color w:val="auto"/>
                <w:kern w:val="0"/>
                <w:szCs w:val="21"/>
                <w:highlight w:val="none"/>
              </w:rPr>
            </w:pPr>
            <w:r>
              <w:rPr>
                <w:rFonts w:hint="eastAsia" w:ascii="宋体" w:hAnsi="宋体" w:eastAsia="宋体" w:cs="宋体"/>
                <w:color w:val="auto"/>
                <w:szCs w:val="21"/>
                <w:highlight w:val="none"/>
              </w:rPr>
              <w:t>评审计分</w:t>
            </w:r>
          </w:p>
        </w:tc>
      </w:tr>
      <w:tr w14:paraId="29E6D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08" w:type="dxa"/>
            <w:gridSpan w:val="2"/>
            <w:vMerge w:val="continue"/>
            <w:noWrap w:val="0"/>
            <w:tcMar>
              <w:left w:w="57" w:type="dxa"/>
              <w:right w:w="57" w:type="dxa"/>
            </w:tcMar>
            <w:vAlign w:val="center"/>
          </w:tcPr>
          <w:p w14:paraId="2C77C4BE">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708CC542">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63B221D4">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企业</w:t>
            </w:r>
            <w:r>
              <w:rPr>
                <w:rFonts w:hint="eastAsia" w:ascii="宋体" w:hAnsi="宋体" w:eastAsia="宋体" w:cs="宋体"/>
                <w:color w:val="auto"/>
                <w:kern w:val="0"/>
                <w:szCs w:val="21"/>
                <w:highlight w:val="none"/>
              </w:rPr>
              <w:t>业绩</w:t>
            </w:r>
          </w:p>
        </w:tc>
        <w:tc>
          <w:tcPr>
            <w:tcW w:w="4332" w:type="dxa"/>
            <w:gridSpan w:val="3"/>
            <w:noWrap w:val="0"/>
            <w:tcMar>
              <w:left w:w="57" w:type="dxa"/>
              <w:right w:w="57" w:type="dxa"/>
            </w:tcMar>
            <w:vAlign w:val="center"/>
          </w:tcPr>
          <w:p w14:paraId="376D9055">
            <w:pPr>
              <w:wordWrap w:val="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w:t>
            </w:r>
            <w:r>
              <w:rPr>
                <w:rFonts w:hint="eastAsia" w:ascii="宋体" w:hAnsi="宋体" w:cs="宋体"/>
                <w:color w:val="auto"/>
                <w:szCs w:val="21"/>
                <w:highlight w:val="none"/>
                <w:lang w:val="en-US" w:eastAsia="zh-CN"/>
              </w:rPr>
              <w:t>人</w:t>
            </w:r>
            <w:r>
              <w:rPr>
                <w:rFonts w:hint="eastAsia" w:ascii="宋体" w:hAnsi="宋体" w:eastAsia="宋体" w:cs="宋体"/>
                <w:color w:val="auto"/>
                <w:szCs w:val="21"/>
                <w:highlight w:val="none"/>
                <w:lang w:val="en-US" w:eastAsia="zh-CN"/>
              </w:rPr>
              <w:t>自</w:t>
            </w:r>
            <w:r>
              <w:rPr>
                <w:rFonts w:hint="eastAsia" w:ascii="宋体" w:hAnsi="宋体" w:eastAsia="宋体" w:cs="宋体"/>
                <w:color w:val="auto"/>
                <w:szCs w:val="21"/>
                <w:highlight w:val="none"/>
              </w:rPr>
              <w:t>202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年1月1日以来承担过类似工程施工</w:t>
            </w:r>
            <w:r>
              <w:rPr>
                <w:rFonts w:hint="eastAsia" w:ascii="宋体" w:hAnsi="宋体" w:eastAsia="宋体" w:cs="宋体"/>
                <w:color w:val="auto"/>
                <w:szCs w:val="21"/>
                <w:highlight w:val="none"/>
                <w:lang w:val="en-US" w:eastAsia="zh-CN"/>
              </w:rPr>
              <w:t>业绩的</w:t>
            </w:r>
            <w:r>
              <w:rPr>
                <w:rFonts w:hint="eastAsia" w:ascii="宋体" w:hAnsi="宋体" w:eastAsia="宋体" w:cs="宋体"/>
                <w:color w:val="auto"/>
                <w:szCs w:val="21"/>
                <w:highlight w:val="none"/>
              </w:rPr>
              <w:t>，每提供一</w:t>
            </w:r>
            <w:r>
              <w:rPr>
                <w:rFonts w:hint="eastAsia" w:ascii="宋体" w:hAnsi="宋体" w:eastAsia="宋体" w:cs="宋体"/>
                <w:color w:val="auto"/>
                <w:szCs w:val="21"/>
                <w:highlight w:val="none"/>
                <w:lang w:val="en-US" w:eastAsia="zh-CN"/>
              </w:rPr>
              <w:t>项</w:t>
            </w:r>
            <w:r>
              <w:rPr>
                <w:rFonts w:hint="eastAsia" w:ascii="宋体" w:hAnsi="宋体" w:eastAsia="宋体" w:cs="宋体"/>
                <w:color w:val="auto"/>
                <w:szCs w:val="21"/>
                <w:highlight w:val="none"/>
              </w:rPr>
              <w:t>得1分，最多2分，没有提供得0分。</w:t>
            </w:r>
          </w:p>
          <w:p w14:paraId="5DF27ED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（提供施工合同及中标通知书</w:t>
            </w:r>
            <w:r>
              <w:rPr>
                <w:rFonts w:hint="eastAsia" w:ascii="宋体" w:hAnsi="宋体" w:eastAsia="宋体" w:cs="宋体"/>
                <w:color w:val="auto"/>
                <w:szCs w:val="21"/>
                <w:highlight w:val="none"/>
                <w:lang w:val="en-US" w:eastAsia="zh-CN"/>
              </w:rPr>
              <w:t>扫描件</w:t>
            </w:r>
            <w:r>
              <w:rPr>
                <w:rFonts w:hint="eastAsia" w:ascii="宋体" w:hAnsi="宋体" w:eastAsia="宋体" w:cs="宋体"/>
                <w:color w:val="auto"/>
                <w:szCs w:val="21"/>
                <w:highlight w:val="none"/>
              </w:rPr>
              <w:t>，日期以</w:t>
            </w:r>
            <w:r>
              <w:rPr>
                <w:rFonts w:hint="eastAsia" w:ascii="宋体" w:hAnsi="宋体" w:eastAsia="宋体" w:cs="宋体"/>
                <w:color w:val="auto"/>
                <w:szCs w:val="21"/>
                <w:highlight w:val="none"/>
                <w:lang w:val="en-US" w:eastAsia="zh-CN"/>
              </w:rPr>
              <w:t>合同签订日期</w:t>
            </w:r>
            <w:r>
              <w:rPr>
                <w:rFonts w:hint="eastAsia" w:ascii="宋体" w:hAnsi="宋体" w:eastAsia="宋体" w:cs="宋体"/>
                <w:color w:val="auto"/>
                <w:szCs w:val="21"/>
                <w:highlight w:val="none"/>
              </w:rPr>
              <w:t>为准，施工合同上传能反映项目信息的合同协议书部分即可）</w:t>
            </w:r>
          </w:p>
        </w:tc>
        <w:tc>
          <w:tcPr>
            <w:tcW w:w="1184" w:type="dxa"/>
            <w:noWrap w:val="0"/>
            <w:tcMar>
              <w:left w:w="57" w:type="dxa"/>
              <w:right w:w="57" w:type="dxa"/>
            </w:tcMar>
            <w:vAlign w:val="center"/>
          </w:tcPr>
          <w:p w14:paraId="10F3076A">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0-2分</w:t>
            </w:r>
          </w:p>
        </w:tc>
      </w:tr>
      <w:tr w14:paraId="718C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gridSpan w:val="2"/>
            <w:vMerge w:val="continue"/>
            <w:noWrap w:val="0"/>
            <w:tcMar>
              <w:left w:w="57" w:type="dxa"/>
              <w:right w:w="57" w:type="dxa"/>
            </w:tcMar>
            <w:vAlign w:val="center"/>
          </w:tcPr>
          <w:p w14:paraId="412C2093">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23D49BF9">
            <w:pPr>
              <w:widowControl/>
              <w:wordWrap w:val="0"/>
              <w:jc w:val="center"/>
              <w:rPr>
                <w:rFonts w:hint="eastAsia" w:ascii="宋体" w:hAnsi="宋体" w:eastAsia="宋体" w:cs="宋体"/>
                <w:color w:val="auto"/>
                <w:kern w:val="0"/>
                <w:szCs w:val="21"/>
                <w:highlight w:val="none"/>
              </w:rPr>
            </w:pPr>
          </w:p>
        </w:tc>
        <w:tc>
          <w:tcPr>
            <w:tcW w:w="1486" w:type="dxa"/>
            <w:gridSpan w:val="2"/>
            <w:vMerge w:val="restart"/>
            <w:noWrap w:val="0"/>
            <w:tcMar>
              <w:left w:w="57" w:type="dxa"/>
              <w:right w:w="57" w:type="dxa"/>
            </w:tcMar>
            <w:vAlign w:val="center"/>
          </w:tcPr>
          <w:p w14:paraId="19DD7FBA">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企业既往项目</w:t>
            </w:r>
          </w:p>
          <w:p w14:paraId="25ACBF6C">
            <w:pPr>
              <w:widowControl/>
              <w:wordWrap w:val="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人员在岗情况</w:t>
            </w:r>
          </w:p>
        </w:tc>
        <w:tc>
          <w:tcPr>
            <w:tcW w:w="2015" w:type="dxa"/>
            <w:gridSpan w:val="2"/>
            <w:vMerge w:val="restart"/>
            <w:noWrap w:val="0"/>
            <w:tcMar>
              <w:left w:w="57" w:type="dxa"/>
              <w:right w:w="57" w:type="dxa"/>
            </w:tcMar>
            <w:vAlign w:val="center"/>
          </w:tcPr>
          <w:p w14:paraId="64F11EB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企业项目经理实名制平均考勤率</w:t>
            </w:r>
          </w:p>
        </w:tc>
        <w:tc>
          <w:tcPr>
            <w:tcW w:w="2317" w:type="dxa"/>
            <w:noWrap w:val="0"/>
            <w:tcMar>
              <w:left w:w="57" w:type="dxa"/>
              <w:right w:w="57" w:type="dxa"/>
            </w:tcMar>
            <w:vAlign w:val="center"/>
          </w:tcPr>
          <w:p w14:paraId="3827AF1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平均考勤率≥80%</w:t>
            </w:r>
          </w:p>
        </w:tc>
        <w:tc>
          <w:tcPr>
            <w:tcW w:w="1184" w:type="dxa"/>
            <w:noWrap w:val="0"/>
            <w:tcMar>
              <w:left w:w="57" w:type="dxa"/>
              <w:right w:w="57" w:type="dxa"/>
            </w:tcMar>
            <w:vAlign w:val="center"/>
          </w:tcPr>
          <w:p w14:paraId="24369B63">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4分</w:t>
            </w:r>
          </w:p>
        </w:tc>
      </w:tr>
      <w:tr w14:paraId="1092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gridSpan w:val="2"/>
            <w:vMerge w:val="continue"/>
            <w:noWrap w:val="0"/>
            <w:tcMar>
              <w:left w:w="57" w:type="dxa"/>
              <w:right w:w="57" w:type="dxa"/>
            </w:tcMar>
            <w:vAlign w:val="center"/>
          </w:tcPr>
          <w:p w14:paraId="4712EA88">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47761BBD">
            <w:pPr>
              <w:widowControl/>
              <w:wordWrap w:val="0"/>
              <w:jc w:val="center"/>
              <w:rPr>
                <w:rFonts w:hint="eastAsia" w:ascii="宋体" w:hAnsi="宋体" w:eastAsia="宋体" w:cs="宋体"/>
                <w:color w:val="auto"/>
                <w:kern w:val="0"/>
                <w:szCs w:val="21"/>
                <w:highlight w:val="none"/>
              </w:rPr>
            </w:pPr>
          </w:p>
        </w:tc>
        <w:tc>
          <w:tcPr>
            <w:tcW w:w="1486" w:type="dxa"/>
            <w:gridSpan w:val="2"/>
            <w:vMerge w:val="continue"/>
            <w:noWrap w:val="0"/>
            <w:tcMar>
              <w:left w:w="57" w:type="dxa"/>
              <w:right w:w="57" w:type="dxa"/>
            </w:tcMar>
            <w:vAlign w:val="center"/>
          </w:tcPr>
          <w:p w14:paraId="5B732273">
            <w:pPr>
              <w:widowControl/>
              <w:wordWrap w:val="0"/>
              <w:jc w:val="center"/>
              <w:rPr>
                <w:rFonts w:hint="eastAsia" w:ascii="宋体" w:hAnsi="宋体" w:eastAsia="宋体" w:cs="宋体"/>
                <w:color w:val="auto"/>
                <w:kern w:val="0"/>
                <w:szCs w:val="21"/>
                <w:highlight w:val="none"/>
              </w:rPr>
            </w:pPr>
          </w:p>
        </w:tc>
        <w:tc>
          <w:tcPr>
            <w:tcW w:w="2015" w:type="dxa"/>
            <w:gridSpan w:val="2"/>
            <w:vMerge w:val="continue"/>
            <w:noWrap w:val="0"/>
            <w:tcMar>
              <w:left w:w="57" w:type="dxa"/>
              <w:right w:w="57" w:type="dxa"/>
            </w:tcMar>
            <w:vAlign w:val="center"/>
          </w:tcPr>
          <w:p w14:paraId="3691905D">
            <w:pPr>
              <w:wordWrap w:val="0"/>
              <w:jc w:val="center"/>
              <w:rPr>
                <w:rFonts w:hint="eastAsia" w:ascii="宋体" w:hAnsi="宋体" w:eastAsia="宋体" w:cs="宋体"/>
                <w:color w:val="auto"/>
                <w:szCs w:val="21"/>
                <w:highlight w:val="none"/>
              </w:rPr>
            </w:pPr>
          </w:p>
        </w:tc>
        <w:tc>
          <w:tcPr>
            <w:tcW w:w="2317" w:type="dxa"/>
            <w:noWrap w:val="0"/>
            <w:tcMar>
              <w:left w:w="57" w:type="dxa"/>
              <w:right w:w="57" w:type="dxa"/>
            </w:tcMar>
            <w:vAlign w:val="center"/>
          </w:tcPr>
          <w:p w14:paraId="57376142">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80%＞平均考勤率≥30%</w:t>
            </w:r>
          </w:p>
        </w:tc>
        <w:tc>
          <w:tcPr>
            <w:tcW w:w="1184" w:type="dxa"/>
            <w:noWrap w:val="0"/>
            <w:tcMar>
              <w:left w:w="57" w:type="dxa"/>
              <w:right w:w="57" w:type="dxa"/>
            </w:tcMar>
            <w:vAlign w:val="center"/>
          </w:tcPr>
          <w:p w14:paraId="3CAF60A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8×（平均考勤率-30%）</w:t>
            </w:r>
          </w:p>
        </w:tc>
      </w:tr>
      <w:tr w14:paraId="32701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gridSpan w:val="2"/>
            <w:vMerge w:val="continue"/>
            <w:noWrap w:val="0"/>
            <w:tcMar>
              <w:left w:w="57" w:type="dxa"/>
              <w:right w:w="57" w:type="dxa"/>
            </w:tcMar>
            <w:vAlign w:val="center"/>
          </w:tcPr>
          <w:p w14:paraId="0DF5A3DB">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4A399291">
            <w:pPr>
              <w:widowControl/>
              <w:wordWrap w:val="0"/>
              <w:jc w:val="center"/>
              <w:rPr>
                <w:rFonts w:hint="eastAsia" w:ascii="宋体" w:hAnsi="宋体" w:eastAsia="宋体" w:cs="宋体"/>
                <w:color w:val="auto"/>
                <w:kern w:val="0"/>
                <w:szCs w:val="21"/>
                <w:highlight w:val="none"/>
              </w:rPr>
            </w:pPr>
          </w:p>
        </w:tc>
        <w:tc>
          <w:tcPr>
            <w:tcW w:w="1486" w:type="dxa"/>
            <w:gridSpan w:val="2"/>
            <w:vMerge w:val="continue"/>
            <w:noWrap w:val="0"/>
            <w:tcMar>
              <w:left w:w="57" w:type="dxa"/>
              <w:right w:w="57" w:type="dxa"/>
            </w:tcMar>
            <w:vAlign w:val="center"/>
          </w:tcPr>
          <w:p w14:paraId="3AE42B4A">
            <w:pPr>
              <w:widowControl/>
              <w:wordWrap w:val="0"/>
              <w:jc w:val="center"/>
              <w:rPr>
                <w:rFonts w:hint="eastAsia" w:ascii="宋体" w:hAnsi="宋体" w:eastAsia="宋体" w:cs="宋体"/>
                <w:color w:val="auto"/>
                <w:kern w:val="0"/>
                <w:szCs w:val="21"/>
                <w:highlight w:val="none"/>
              </w:rPr>
            </w:pPr>
          </w:p>
        </w:tc>
        <w:tc>
          <w:tcPr>
            <w:tcW w:w="2015" w:type="dxa"/>
            <w:gridSpan w:val="2"/>
            <w:vMerge w:val="continue"/>
            <w:noWrap w:val="0"/>
            <w:tcMar>
              <w:left w:w="57" w:type="dxa"/>
              <w:right w:w="57" w:type="dxa"/>
            </w:tcMar>
            <w:vAlign w:val="center"/>
          </w:tcPr>
          <w:p w14:paraId="21B298ED">
            <w:pPr>
              <w:wordWrap w:val="0"/>
              <w:jc w:val="center"/>
              <w:rPr>
                <w:rFonts w:hint="eastAsia" w:ascii="宋体" w:hAnsi="宋体" w:eastAsia="宋体" w:cs="宋体"/>
                <w:color w:val="auto"/>
                <w:szCs w:val="21"/>
                <w:highlight w:val="none"/>
              </w:rPr>
            </w:pPr>
          </w:p>
        </w:tc>
        <w:tc>
          <w:tcPr>
            <w:tcW w:w="2317" w:type="dxa"/>
            <w:noWrap w:val="0"/>
            <w:tcMar>
              <w:left w:w="57" w:type="dxa"/>
              <w:right w:w="57" w:type="dxa"/>
            </w:tcMar>
            <w:vAlign w:val="center"/>
          </w:tcPr>
          <w:p w14:paraId="71B057E0">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平均考勤率＜30%</w:t>
            </w:r>
          </w:p>
        </w:tc>
        <w:tc>
          <w:tcPr>
            <w:tcW w:w="1184" w:type="dxa"/>
            <w:noWrap w:val="0"/>
            <w:tcMar>
              <w:left w:w="57" w:type="dxa"/>
              <w:right w:w="57" w:type="dxa"/>
            </w:tcMar>
            <w:vAlign w:val="center"/>
          </w:tcPr>
          <w:p w14:paraId="65E8CEE4">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w:t>
            </w:r>
          </w:p>
        </w:tc>
      </w:tr>
      <w:tr w14:paraId="49C2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gridSpan w:val="2"/>
            <w:vMerge w:val="continue"/>
            <w:noWrap w:val="0"/>
            <w:tcMar>
              <w:left w:w="57" w:type="dxa"/>
              <w:right w:w="57" w:type="dxa"/>
            </w:tcMar>
            <w:vAlign w:val="center"/>
          </w:tcPr>
          <w:p w14:paraId="435E9FBD">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10935D7D">
            <w:pPr>
              <w:widowControl/>
              <w:wordWrap w:val="0"/>
              <w:jc w:val="center"/>
              <w:rPr>
                <w:rFonts w:hint="eastAsia" w:ascii="宋体" w:hAnsi="宋体" w:eastAsia="宋体" w:cs="宋体"/>
                <w:color w:val="auto"/>
                <w:kern w:val="0"/>
                <w:szCs w:val="21"/>
                <w:highlight w:val="none"/>
              </w:rPr>
            </w:pPr>
          </w:p>
        </w:tc>
        <w:tc>
          <w:tcPr>
            <w:tcW w:w="1486" w:type="dxa"/>
            <w:gridSpan w:val="2"/>
            <w:vMerge w:val="continue"/>
            <w:noWrap w:val="0"/>
            <w:tcMar>
              <w:left w:w="57" w:type="dxa"/>
              <w:right w:w="57" w:type="dxa"/>
            </w:tcMar>
            <w:vAlign w:val="center"/>
          </w:tcPr>
          <w:p w14:paraId="0670F15F">
            <w:pPr>
              <w:widowControl/>
              <w:wordWrap w:val="0"/>
              <w:jc w:val="center"/>
              <w:rPr>
                <w:rFonts w:hint="eastAsia" w:ascii="宋体" w:hAnsi="宋体" w:eastAsia="宋体" w:cs="宋体"/>
                <w:color w:val="auto"/>
                <w:kern w:val="0"/>
                <w:szCs w:val="21"/>
                <w:highlight w:val="none"/>
              </w:rPr>
            </w:pPr>
          </w:p>
        </w:tc>
        <w:tc>
          <w:tcPr>
            <w:tcW w:w="2015" w:type="dxa"/>
            <w:gridSpan w:val="2"/>
            <w:vMerge w:val="restart"/>
            <w:noWrap w:val="0"/>
            <w:tcMar>
              <w:left w:w="57" w:type="dxa"/>
              <w:right w:w="57" w:type="dxa"/>
            </w:tcMar>
            <w:vAlign w:val="center"/>
          </w:tcPr>
          <w:p w14:paraId="31683BBC">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企业项目建筑工人实名制平均考勤率</w:t>
            </w:r>
          </w:p>
        </w:tc>
        <w:tc>
          <w:tcPr>
            <w:tcW w:w="2317" w:type="dxa"/>
            <w:noWrap w:val="0"/>
            <w:tcMar>
              <w:left w:w="57" w:type="dxa"/>
              <w:right w:w="57" w:type="dxa"/>
            </w:tcMar>
            <w:vAlign w:val="center"/>
          </w:tcPr>
          <w:p w14:paraId="0AC04CF8">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平均考勤率≥80%</w:t>
            </w:r>
          </w:p>
        </w:tc>
        <w:tc>
          <w:tcPr>
            <w:tcW w:w="1184" w:type="dxa"/>
            <w:noWrap w:val="0"/>
            <w:tcMar>
              <w:left w:w="57" w:type="dxa"/>
              <w:right w:w="57" w:type="dxa"/>
            </w:tcMar>
            <w:vAlign w:val="center"/>
          </w:tcPr>
          <w:p w14:paraId="4D23933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4分</w:t>
            </w:r>
          </w:p>
        </w:tc>
      </w:tr>
      <w:tr w14:paraId="12C4B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gridSpan w:val="2"/>
            <w:vMerge w:val="continue"/>
            <w:noWrap w:val="0"/>
            <w:tcMar>
              <w:left w:w="57" w:type="dxa"/>
              <w:right w:w="57" w:type="dxa"/>
            </w:tcMar>
            <w:vAlign w:val="center"/>
          </w:tcPr>
          <w:p w14:paraId="17878F00">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399C33EC">
            <w:pPr>
              <w:widowControl/>
              <w:wordWrap w:val="0"/>
              <w:jc w:val="center"/>
              <w:rPr>
                <w:rFonts w:hint="eastAsia" w:ascii="宋体" w:hAnsi="宋体" w:eastAsia="宋体" w:cs="宋体"/>
                <w:color w:val="auto"/>
                <w:kern w:val="0"/>
                <w:szCs w:val="21"/>
                <w:highlight w:val="none"/>
              </w:rPr>
            </w:pPr>
          </w:p>
        </w:tc>
        <w:tc>
          <w:tcPr>
            <w:tcW w:w="1486" w:type="dxa"/>
            <w:gridSpan w:val="2"/>
            <w:vMerge w:val="continue"/>
            <w:noWrap w:val="0"/>
            <w:tcMar>
              <w:left w:w="57" w:type="dxa"/>
              <w:right w:w="57" w:type="dxa"/>
            </w:tcMar>
            <w:vAlign w:val="center"/>
          </w:tcPr>
          <w:p w14:paraId="7788DD74">
            <w:pPr>
              <w:widowControl/>
              <w:wordWrap w:val="0"/>
              <w:jc w:val="center"/>
              <w:rPr>
                <w:rFonts w:hint="eastAsia" w:ascii="宋体" w:hAnsi="宋体" w:eastAsia="宋体" w:cs="宋体"/>
                <w:color w:val="auto"/>
                <w:kern w:val="0"/>
                <w:szCs w:val="21"/>
                <w:highlight w:val="none"/>
              </w:rPr>
            </w:pPr>
          </w:p>
        </w:tc>
        <w:tc>
          <w:tcPr>
            <w:tcW w:w="2015" w:type="dxa"/>
            <w:gridSpan w:val="2"/>
            <w:vMerge w:val="continue"/>
            <w:noWrap w:val="0"/>
            <w:tcMar>
              <w:left w:w="57" w:type="dxa"/>
              <w:right w:w="57" w:type="dxa"/>
            </w:tcMar>
            <w:vAlign w:val="center"/>
          </w:tcPr>
          <w:p w14:paraId="1C5F8618">
            <w:pPr>
              <w:wordWrap w:val="0"/>
              <w:rPr>
                <w:rFonts w:hint="eastAsia" w:ascii="宋体" w:hAnsi="宋体" w:eastAsia="宋体" w:cs="宋体"/>
                <w:color w:val="auto"/>
                <w:szCs w:val="21"/>
                <w:highlight w:val="none"/>
              </w:rPr>
            </w:pPr>
          </w:p>
        </w:tc>
        <w:tc>
          <w:tcPr>
            <w:tcW w:w="2317" w:type="dxa"/>
            <w:noWrap w:val="0"/>
            <w:tcMar>
              <w:left w:w="57" w:type="dxa"/>
              <w:right w:w="57" w:type="dxa"/>
            </w:tcMar>
            <w:vAlign w:val="center"/>
          </w:tcPr>
          <w:p w14:paraId="6A78143D">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80%＞平均考勤率≥30%</w:t>
            </w:r>
          </w:p>
        </w:tc>
        <w:tc>
          <w:tcPr>
            <w:tcW w:w="1184" w:type="dxa"/>
            <w:noWrap w:val="0"/>
            <w:tcMar>
              <w:left w:w="57" w:type="dxa"/>
              <w:right w:w="57" w:type="dxa"/>
            </w:tcMar>
            <w:vAlign w:val="center"/>
          </w:tcPr>
          <w:p w14:paraId="5A5E52B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8×（平均考勤率-30%）</w:t>
            </w:r>
          </w:p>
        </w:tc>
      </w:tr>
      <w:tr w14:paraId="10030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8" w:type="dxa"/>
            <w:gridSpan w:val="2"/>
            <w:vMerge w:val="continue"/>
            <w:noWrap w:val="0"/>
            <w:tcMar>
              <w:left w:w="57" w:type="dxa"/>
              <w:right w:w="57" w:type="dxa"/>
            </w:tcMar>
            <w:vAlign w:val="center"/>
          </w:tcPr>
          <w:p w14:paraId="734CF7F3">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1AED0623">
            <w:pPr>
              <w:widowControl/>
              <w:wordWrap w:val="0"/>
              <w:jc w:val="center"/>
              <w:rPr>
                <w:rFonts w:hint="eastAsia" w:ascii="宋体" w:hAnsi="宋体" w:eastAsia="宋体" w:cs="宋体"/>
                <w:color w:val="auto"/>
                <w:kern w:val="0"/>
                <w:szCs w:val="21"/>
                <w:highlight w:val="none"/>
              </w:rPr>
            </w:pPr>
          </w:p>
        </w:tc>
        <w:tc>
          <w:tcPr>
            <w:tcW w:w="1486" w:type="dxa"/>
            <w:gridSpan w:val="2"/>
            <w:vMerge w:val="continue"/>
            <w:noWrap w:val="0"/>
            <w:tcMar>
              <w:left w:w="57" w:type="dxa"/>
              <w:right w:w="57" w:type="dxa"/>
            </w:tcMar>
            <w:vAlign w:val="center"/>
          </w:tcPr>
          <w:p w14:paraId="79D26D66">
            <w:pPr>
              <w:widowControl/>
              <w:wordWrap w:val="0"/>
              <w:jc w:val="center"/>
              <w:rPr>
                <w:rFonts w:hint="eastAsia" w:ascii="宋体" w:hAnsi="宋体" w:eastAsia="宋体" w:cs="宋体"/>
                <w:color w:val="auto"/>
                <w:kern w:val="0"/>
                <w:szCs w:val="21"/>
                <w:highlight w:val="none"/>
              </w:rPr>
            </w:pPr>
          </w:p>
        </w:tc>
        <w:tc>
          <w:tcPr>
            <w:tcW w:w="2015" w:type="dxa"/>
            <w:gridSpan w:val="2"/>
            <w:vMerge w:val="continue"/>
            <w:noWrap w:val="0"/>
            <w:tcMar>
              <w:left w:w="57" w:type="dxa"/>
              <w:right w:w="57" w:type="dxa"/>
            </w:tcMar>
            <w:vAlign w:val="center"/>
          </w:tcPr>
          <w:p w14:paraId="349BF760">
            <w:pPr>
              <w:wordWrap w:val="0"/>
              <w:rPr>
                <w:rFonts w:hint="eastAsia" w:ascii="宋体" w:hAnsi="宋体" w:eastAsia="宋体" w:cs="宋体"/>
                <w:color w:val="auto"/>
                <w:szCs w:val="21"/>
                <w:highlight w:val="none"/>
              </w:rPr>
            </w:pPr>
          </w:p>
        </w:tc>
        <w:tc>
          <w:tcPr>
            <w:tcW w:w="2317" w:type="dxa"/>
            <w:noWrap w:val="0"/>
            <w:tcMar>
              <w:left w:w="57" w:type="dxa"/>
              <w:right w:w="57" w:type="dxa"/>
            </w:tcMar>
            <w:vAlign w:val="center"/>
          </w:tcPr>
          <w:p w14:paraId="4FECB2B4">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平均考勤率＜30%</w:t>
            </w:r>
          </w:p>
        </w:tc>
        <w:tc>
          <w:tcPr>
            <w:tcW w:w="1184" w:type="dxa"/>
            <w:noWrap w:val="0"/>
            <w:tcMar>
              <w:left w:w="57" w:type="dxa"/>
              <w:right w:w="57" w:type="dxa"/>
            </w:tcMar>
            <w:vAlign w:val="center"/>
          </w:tcPr>
          <w:p w14:paraId="27AB7F99">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0</w:t>
            </w:r>
          </w:p>
        </w:tc>
      </w:tr>
      <w:tr w14:paraId="0D900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08" w:type="dxa"/>
            <w:gridSpan w:val="2"/>
            <w:vMerge w:val="continue"/>
            <w:noWrap w:val="0"/>
            <w:tcMar>
              <w:left w:w="57" w:type="dxa"/>
              <w:right w:w="57" w:type="dxa"/>
            </w:tcMar>
            <w:vAlign w:val="center"/>
          </w:tcPr>
          <w:p w14:paraId="5967D00D">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4ABB2660">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5DE5F92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企业信用</w:t>
            </w:r>
          </w:p>
        </w:tc>
        <w:tc>
          <w:tcPr>
            <w:tcW w:w="4332" w:type="dxa"/>
            <w:gridSpan w:val="3"/>
            <w:noWrap w:val="0"/>
            <w:tcMar>
              <w:left w:w="57" w:type="dxa"/>
              <w:right w:w="57" w:type="dxa"/>
            </w:tcMar>
            <w:vAlign w:val="center"/>
          </w:tcPr>
          <w:p w14:paraId="410261D4">
            <w:pP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按满分计算</w:t>
            </w:r>
          </w:p>
        </w:tc>
        <w:tc>
          <w:tcPr>
            <w:tcW w:w="1184" w:type="dxa"/>
            <w:noWrap w:val="0"/>
            <w:tcMar>
              <w:left w:w="57" w:type="dxa"/>
              <w:right w:w="57" w:type="dxa"/>
            </w:tcMar>
            <w:vAlign w:val="center"/>
          </w:tcPr>
          <w:p w14:paraId="78E101E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15</w:t>
            </w:r>
          </w:p>
        </w:tc>
      </w:tr>
      <w:tr w14:paraId="1CB4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08" w:type="dxa"/>
            <w:gridSpan w:val="2"/>
            <w:vMerge w:val="continue"/>
            <w:noWrap w:val="0"/>
            <w:tcMar>
              <w:left w:w="57" w:type="dxa"/>
              <w:right w:w="57" w:type="dxa"/>
            </w:tcMar>
            <w:vAlign w:val="center"/>
          </w:tcPr>
          <w:p w14:paraId="542E8BEB">
            <w:pPr>
              <w:widowControl/>
              <w:wordWrap w:val="0"/>
              <w:jc w:val="center"/>
              <w:rPr>
                <w:rFonts w:hint="eastAsia" w:ascii="宋体" w:hAnsi="宋体" w:eastAsia="宋体" w:cs="宋体"/>
                <w:color w:val="auto"/>
                <w:kern w:val="0"/>
                <w:szCs w:val="21"/>
                <w:highlight w:val="none"/>
              </w:rPr>
            </w:pPr>
          </w:p>
        </w:tc>
        <w:tc>
          <w:tcPr>
            <w:tcW w:w="1276" w:type="dxa"/>
            <w:gridSpan w:val="2"/>
            <w:vMerge w:val="continue"/>
            <w:noWrap w:val="0"/>
            <w:tcMar>
              <w:left w:w="57" w:type="dxa"/>
              <w:right w:w="57" w:type="dxa"/>
            </w:tcMar>
            <w:vAlign w:val="center"/>
          </w:tcPr>
          <w:p w14:paraId="58F1DD24">
            <w:pPr>
              <w:widowControl/>
              <w:wordWrap w:val="0"/>
              <w:jc w:val="center"/>
              <w:rPr>
                <w:rFonts w:hint="eastAsia" w:ascii="宋体" w:hAnsi="宋体" w:eastAsia="宋体" w:cs="宋体"/>
                <w:color w:val="auto"/>
                <w:kern w:val="0"/>
                <w:szCs w:val="21"/>
                <w:highlight w:val="none"/>
              </w:rPr>
            </w:pPr>
          </w:p>
        </w:tc>
        <w:tc>
          <w:tcPr>
            <w:tcW w:w="1486" w:type="dxa"/>
            <w:gridSpan w:val="2"/>
            <w:noWrap w:val="0"/>
            <w:tcMar>
              <w:left w:w="57" w:type="dxa"/>
              <w:right w:w="57" w:type="dxa"/>
            </w:tcMar>
            <w:vAlign w:val="center"/>
          </w:tcPr>
          <w:p w14:paraId="6568E6ED">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拟派项目经理</w:t>
            </w:r>
          </w:p>
          <w:p w14:paraId="2A252DD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信用</w:t>
            </w:r>
          </w:p>
        </w:tc>
        <w:tc>
          <w:tcPr>
            <w:tcW w:w="4332" w:type="dxa"/>
            <w:gridSpan w:val="3"/>
            <w:noWrap w:val="0"/>
            <w:tcMar>
              <w:left w:w="57" w:type="dxa"/>
              <w:right w:w="57" w:type="dxa"/>
            </w:tcMar>
            <w:vAlign w:val="center"/>
          </w:tcPr>
          <w:p w14:paraId="00B471EF">
            <w:pPr>
              <w:wordWrap w:val="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按满分计算</w:t>
            </w:r>
          </w:p>
        </w:tc>
        <w:tc>
          <w:tcPr>
            <w:tcW w:w="1184" w:type="dxa"/>
            <w:noWrap w:val="0"/>
            <w:tcMar>
              <w:left w:w="57" w:type="dxa"/>
              <w:right w:w="57" w:type="dxa"/>
            </w:tcMar>
            <w:vAlign w:val="center"/>
          </w:tcPr>
          <w:p w14:paraId="0BB43C0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p>
        </w:tc>
      </w:tr>
    </w:tbl>
    <w:p w14:paraId="61E71225">
      <w:pPr>
        <w:ind w:firstLine="420" w:firstLineChars="200"/>
        <w:rPr>
          <w:rFonts w:hint="eastAsia" w:ascii="宋体" w:hAnsi="宋体" w:cs="宋体"/>
          <w:color w:val="auto"/>
          <w:szCs w:val="21"/>
          <w:highlight w:val="none"/>
          <w:lang w:val="en-US" w:eastAsia="zh-CN" w:bidi="ar"/>
        </w:rPr>
      </w:pPr>
      <w:r>
        <w:rPr>
          <w:rFonts w:hint="eastAsia" w:ascii="宋体" w:hAnsi="宋体" w:eastAsia="宋体" w:cs="宋体"/>
          <w:color w:val="auto"/>
          <w:szCs w:val="21"/>
          <w:highlight w:val="none"/>
          <w:lang w:bidi="ar"/>
        </w:rPr>
        <w:t>注：</w:t>
      </w:r>
      <w:r>
        <w:rPr>
          <w:rFonts w:hint="eastAsia" w:ascii="宋体" w:hAnsi="宋体" w:cs="宋体"/>
          <w:color w:val="auto"/>
          <w:szCs w:val="21"/>
          <w:highlight w:val="none"/>
          <w:lang w:val="en-US" w:eastAsia="zh-CN" w:bidi="ar"/>
        </w:rPr>
        <w:t>1.上表中“企业既往项目人员在岗情况”涉及的“平均考勤率”,由招标人在开标现场从河南省建筑市场监管公共服务平台上提取。提取数据为投标人开标当天平台显示的平均考勒率。</w:t>
      </w:r>
    </w:p>
    <w:p w14:paraId="53B96653">
      <w:pPr>
        <w:ind w:firstLine="420" w:firstLineChars="200"/>
        <w:rPr>
          <w:rFonts w:hint="eastAsia" w:ascii="宋体" w:hAnsi="宋体" w:eastAsia="宋体" w:cs="宋体"/>
          <w:color w:val="auto"/>
          <w:szCs w:val="21"/>
          <w:highlight w:val="none"/>
          <w:lang w:bidi="ar"/>
        </w:rPr>
      </w:pPr>
      <w:r>
        <w:rPr>
          <w:rFonts w:hint="eastAsia" w:ascii="宋体" w:hAnsi="宋体" w:cs="宋体"/>
          <w:color w:val="auto"/>
          <w:szCs w:val="21"/>
          <w:highlight w:val="none"/>
          <w:lang w:val="en-US" w:eastAsia="zh-CN" w:bidi="ar"/>
        </w:rPr>
        <w:t>2.</w:t>
      </w:r>
      <w:r>
        <w:rPr>
          <w:rFonts w:hint="eastAsia" w:ascii="宋体" w:hAnsi="宋体" w:eastAsia="宋体" w:cs="宋体"/>
          <w:color w:val="auto"/>
          <w:szCs w:val="21"/>
          <w:highlight w:val="none"/>
          <w:lang w:bidi="ar"/>
        </w:rPr>
        <w:t>依据河南省住房和城乡建设厅关于废止《河南省建筑市场信用管理实施办法暂行)》《河南省建筑市场主体信用评价办法(暂行)》的通知(豫建市【2025】137号)，鉴于《河南省建筑市场信用管理实施办法(暂行)》《河南省建筑市场主体信用评价办法(暂行)》(豫建行规(2021)2号)已废止，依法必须招投标的房屋建筑和市政基础设施工程，采用工程量清单计价方式进行施工招标时，企业信用、拟派项目经理信用分值，暂按满分计算。</w:t>
      </w:r>
    </w:p>
    <w:p w14:paraId="5CDD5391">
      <w:pPr>
        <w:rPr>
          <w:rFonts w:hint="eastAsia" w:ascii="宋体" w:hAnsi="宋体" w:eastAsia="宋体" w:cs="宋体"/>
          <w:b/>
          <w:bCs/>
          <w:color w:val="auto"/>
          <w:sz w:val="28"/>
          <w:szCs w:val="28"/>
          <w:highlight w:val="none"/>
        </w:rPr>
      </w:pPr>
      <w:r>
        <w:rPr>
          <w:rFonts w:hint="eastAsia" w:ascii="宋体" w:hAnsi="宋体" w:eastAsia="宋体" w:cs="宋体"/>
          <w:color w:val="auto"/>
          <w:sz w:val="24"/>
          <w:highlight w:val="none"/>
          <w:shd w:val="clear" w:color="auto" w:fill="FFFFFF"/>
        </w:rPr>
        <w:br w:type="page"/>
      </w:r>
      <w:r>
        <w:rPr>
          <w:rFonts w:hint="eastAsia" w:ascii="宋体" w:hAnsi="宋体" w:eastAsia="宋体" w:cs="宋体"/>
          <w:b/>
          <w:bCs/>
          <w:color w:val="auto"/>
          <w:sz w:val="28"/>
          <w:szCs w:val="28"/>
          <w:highlight w:val="none"/>
        </w:rPr>
        <w:t>附件</w:t>
      </w:r>
    </w:p>
    <w:p w14:paraId="7D5F16EF">
      <w:pPr>
        <w:pStyle w:val="38"/>
        <w:widowControl/>
        <w:wordWrap w:val="0"/>
        <w:spacing w:before="0" w:beforeAutospacing="0" w:after="0" w:afterAutospacing="0" w:line="360" w:lineRule="auto"/>
        <w:jc w:val="both"/>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（一）评标基准价的计算</w:t>
      </w:r>
    </w:p>
    <w:p w14:paraId="104800F8">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1.有关定义：</w:t>
      </w:r>
    </w:p>
    <w:tbl>
      <w:tblPr>
        <w:tblStyle w:val="43"/>
        <w:tblW w:w="9111" w:type="dxa"/>
        <w:jc w:val="center"/>
        <w:tblLayout w:type="autofit"/>
        <w:tblCellMar>
          <w:top w:w="0" w:type="dxa"/>
          <w:left w:w="108" w:type="dxa"/>
          <w:bottom w:w="0" w:type="dxa"/>
          <w:right w:w="108" w:type="dxa"/>
        </w:tblCellMar>
      </w:tblPr>
      <w:tblGrid>
        <w:gridCol w:w="6264"/>
        <w:gridCol w:w="2847"/>
      </w:tblGrid>
      <w:tr w14:paraId="2E114787">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21E2217C">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有效投标报价</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1F09D25F">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X</w:t>
            </w:r>
            <w:r>
              <w:rPr>
                <w:rFonts w:hint="eastAsia" w:ascii="宋体" w:hAnsi="宋体" w:eastAsia="宋体" w:cs="宋体"/>
                <w:color w:val="auto"/>
                <w:kern w:val="0"/>
                <w:szCs w:val="21"/>
                <w:highlight w:val="none"/>
                <w:vertAlign w:val="subscript"/>
                <w:lang w:bidi="ar"/>
              </w:rPr>
              <w:t>i</w:t>
            </w:r>
            <w:r>
              <w:rPr>
                <w:rFonts w:hint="eastAsia" w:ascii="宋体" w:hAnsi="宋体" w:eastAsia="宋体" w:cs="宋体"/>
                <w:color w:val="auto"/>
                <w:kern w:val="0"/>
                <w:szCs w:val="21"/>
                <w:highlight w:val="none"/>
                <w:lang w:bidi="ar"/>
              </w:rPr>
              <w:t>， i为1到N的整数值</w:t>
            </w:r>
          </w:p>
        </w:tc>
      </w:tr>
      <w:tr w14:paraId="3E8AF775">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1FA43E5E">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有效投标报价的数量</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1F972EDF">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N</w:t>
            </w:r>
          </w:p>
        </w:tc>
      </w:tr>
      <w:tr w14:paraId="0C7B9E06">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5567A360">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有效投标报价的算术平均值</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0B41896D">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µ</w:t>
            </w:r>
          </w:p>
        </w:tc>
      </w:tr>
      <w:tr w14:paraId="553F83FF">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34C98CB8">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求和</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75827BA6">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w:t>
            </w:r>
          </w:p>
        </w:tc>
      </w:tr>
      <w:tr w14:paraId="012E2769">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755680DB">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有效投标报价的标准差</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78A3A082">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σ</w:t>
            </w:r>
          </w:p>
        </w:tc>
      </w:tr>
      <w:tr w14:paraId="7B334086">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4BCC51A5">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变异系数</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2D34B9DD">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Z</w:t>
            </w:r>
          </w:p>
        </w:tc>
      </w:tr>
      <w:tr w14:paraId="40FB03C3">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23C3E309">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参与评标基准价计算的有效投标报价范围的最大值（上限）</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6E333B77">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MAX</w:t>
            </w:r>
          </w:p>
        </w:tc>
      </w:tr>
      <w:tr w14:paraId="6EBADFC8">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18D0165E">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参与评标基准价计算的有效投标报价范围的最小值（下限）</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328E41A4">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MIN</w:t>
            </w:r>
          </w:p>
        </w:tc>
      </w:tr>
      <w:tr w14:paraId="517B40B8">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5F979C78">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确定参与评标基准价计算的有效投标报价范围的调整系数</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35EEB6A9">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K</w:t>
            </w:r>
          </w:p>
        </w:tc>
      </w:tr>
      <w:tr w14:paraId="09362582">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3D580CF9">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参与投标报价基准价计算去掉最高最低值的数量</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693BA3BE">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M</w:t>
            </w:r>
          </w:p>
        </w:tc>
      </w:tr>
      <w:tr w14:paraId="312D3B96">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4B4D71E7">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投标报价基准价</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6FAB94F4">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J</w:t>
            </w:r>
          </w:p>
        </w:tc>
      </w:tr>
      <w:tr w14:paraId="255B0903">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2C163A09">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分部分项工程项目清单综合单价的基准价</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4FF394D0">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Jf</w:t>
            </w:r>
          </w:p>
        </w:tc>
      </w:tr>
      <w:tr w14:paraId="4B458FDC">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4045FC02">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措施项目费（不含安全文明施工措施费）的基准价</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094B80A0">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Js</w:t>
            </w:r>
          </w:p>
        </w:tc>
      </w:tr>
      <w:tr w14:paraId="314C6A56">
        <w:tblPrEx>
          <w:tblCellMar>
            <w:top w:w="0" w:type="dxa"/>
            <w:left w:w="108" w:type="dxa"/>
            <w:bottom w:w="0" w:type="dxa"/>
            <w:right w:w="108" w:type="dxa"/>
          </w:tblCellMar>
        </w:tblPrEx>
        <w:trPr>
          <w:trHeight w:val="567" w:hRule="atLeast"/>
          <w:jc w:val="center"/>
        </w:trPr>
        <w:tc>
          <w:tcPr>
            <w:tcW w:w="6264" w:type="dxa"/>
            <w:tcBorders>
              <w:top w:val="single" w:color="000000" w:sz="4" w:space="0"/>
              <w:left w:val="single" w:color="000000" w:sz="4" w:space="0"/>
              <w:bottom w:val="single" w:color="000000" w:sz="4" w:space="0"/>
              <w:right w:val="single" w:color="000000" w:sz="4" w:space="0"/>
            </w:tcBorders>
            <w:noWrap w:val="0"/>
            <w:vAlign w:val="center"/>
          </w:tcPr>
          <w:p w14:paraId="2653AD9E">
            <w:pPr>
              <w:widowControl/>
              <w:spacing w:line="360" w:lineRule="auto"/>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材料单价的基准价</w:t>
            </w:r>
          </w:p>
        </w:tc>
        <w:tc>
          <w:tcPr>
            <w:tcW w:w="2847" w:type="dxa"/>
            <w:tcBorders>
              <w:top w:val="single" w:color="000000" w:sz="4" w:space="0"/>
              <w:left w:val="single" w:color="000000" w:sz="4" w:space="0"/>
              <w:bottom w:val="single" w:color="000000" w:sz="4" w:space="0"/>
              <w:right w:val="single" w:color="000000" w:sz="4" w:space="0"/>
            </w:tcBorders>
            <w:noWrap w:val="0"/>
            <w:vAlign w:val="center"/>
          </w:tcPr>
          <w:p w14:paraId="39244643">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Jc</w:t>
            </w:r>
          </w:p>
        </w:tc>
      </w:tr>
    </w:tbl>
    <w:p w14:paraId="108951B3">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2.投标报价基准价计算</w:t>
      </w:r>
    </w:p>
    <w:p w14:paraId="6F7B2C64">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有效投标报价数据（</w:t>
      </w:r>
      <w:r>
        <w:rPr>
          <w:rFonts w:hint="eastAsia" w:ascii="宋体" w:hAnsi="宋体" w:eastAsia="宋体" w:cs="宋体"/>
          <w:color w:val="auto"/>
          <w:sz w:val="21"/>
          <w:szCs w:val="21"/>
          <w:highlight w:val="none"/>
          <w:lang w:bidi="ar"/>
        </w:rPr>
        <w:t>X</w:t>
      </w:r>
      <w:r>
        <w:rPr>
          <w:rFonts w:hint="eastAsia" w:ascii="宋体" w:hAnsi="宋体" w:eastAsia="宋体" w:cs="宋体"/>
          <w:color w:val="auto"/>
          <w:sz w:val="21"/>
          <w:szCs w:val="21"/>
          <w:highlight w:val="none"/>
          <w:vertAlign w:val="subscript"/>
          <w:lang w:bidi="ar"/>
        </w:rPr>
        <w:t>1</w:t>
      </w:r>
      <w:r>
        <w:rPr>
          <w:rFonts w:hint="eastAsia" w:ascii="宋体" w:hAnsi="宋体" w:eastAsia="宋体" w:cs="宋体"/>
          <w:color w:val="auto"/>
          <w:sz w:val="21"/>
          <w:szCs w:val="21"/>
          <w:highlight w:val="none"/>
          <w:lang w:bidi="ar"/>
        </w:rPr>
        <w:t>，X</w:t>
      </w:r>
      <w:r>
        <w:rPr>
          <w:rFonts w:hint="eastAsia" w:ascii="宋体" w:hAnsi="宋体" w:eastAsia="宋体" w:cs="宋体"/>
          <w:color w:val="auto"/>
          <w:sz w:val="21"/>
          <w:szCs w:val="21"/>
          <w:highlight w:val="none"/>
          <w:vertAlign w:val="subscript"/>
          <w:lang w:bidi="ar"/>
        </w:rPr>
        <w:t>2</w:t>
      </w:r>
      <w:r>
        <w:rPr>
          <w:rFonts w:hint="eastAsia" w:ascii="宋体" w:hAnsi="宋体" w:eastAsia="宋体" w:cs="宋体"/>
          <w:color w:val="auto"/>
          <w:sz w:val="21"/>
          <w:szCs w:val="21"/>
          <w:highlight w:val="none"/>
          <w:lang w:bidi="ar"/>
        </w:rPr>
        <w:t>， X</w:t>
      </w:r>
      <w:r>
        <w:rPr>
          <w:rFonts w:hint="eastAsia" w:ascii="宋体" w:hAnsi="宋体" w:eastAsia="宋体" w:cs="宋体"/>
          <w:color w:val="auto"/>
          <w:sz w:val="21"/>
          <w:szCs w:val="21"/>
          <w:highlight w:val="none"/>
          <w:vertAlign w:val="subscript"/>
          <w:lang w:bidi="ar"/>
        </w:rPr>
        <w:t>3</w:t>
      </w:r>
      <w:r>
        <w:rPr>
          <w:rFonts w:hint="eastAsia" w:ascii="宋体" w:hAnsi="宋体" w:eastAsia="宋体" w:cs="宋体"/>
          <w:color w:val="auto"/>
          <w:sz w:val="21"/>
          <w:szCs w:val="21"/>
          <w:highlight w:val="none"/>
          <w:lang w:bidi="ar"/>
        </w:rPr>
        <w:t xml:space="preserve"> ……X</w:t>
      </w:r>
      <w:r>
        <w:rPr>
          <w:rFonts w:hint="eastAsia" w:ascii="宋体" w:hAnsi="宋体" w:eastAsia="宋体" w:cs="宋体"/>
          <w:color w:val="auto"/>
          <w:sz w:val="21"/>
          <w:szCs w:val="21"/>
          <w:highlight w:val="none"/>
          <w:vertAlign w:val="subscript"/>
          <w:lang w:bidi="ar"/>
        </w:rPr>
        <w:t>n</w:t>
      </w:r>
      <w:r>
        <w:rPr>
          <w:rFonts w:hint="eastAsia" w:ascii="宋体" w:hAnsi="宋体" w:eastAsia="宋体" w:cs="宋体"/>
          <w:color w:val="auto"/>
          <w:sz w:val="21"/>
          <w:szCs w:val="21"/>
          <w:highlight w:val="none"/>
        </w:rPr>
        <w:t>），其平均值为µ，</w:t>
      </w:r>
    </w:p>
    <w:p w14:paraId="0CA56E5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drawing>
          <wp:inline distT="0" distB="0" distL="114300" distR="114300">
            <wp:extent cx="1036955" cy="454025"/>
            <wp:effectExtent l="0" t="0" r="1079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4"/>
                    <a:srcRect r="2740"/>
                    <a:stretch>
                      <a:fillRect/>
                    </a:stretch>
                  </pic:blipFill>
                  <pic:spPr>
                    <a:xfrm>
                      <a:off x="0" y="0"/>
                      <a:ext cx="1036955" cy="454025"/>
                    </a:xfrm>
                    <a:prstGeom prst="rect">
                      <a:avLst/>
                    </a:prstGeom>
                    <a:noFill/>
                    <a:ln>
                      <a:noFill/>
                    </a:ln>
                  </pic:spPr>
                </pic:pic>
              </a:graphicData>
            </a:graphic>
          </wp:inline>
        </w:drawing>
      </w:r>
      <w:r>
        <w:rPr>
          <w:rFonts w:hint="eastAsia" w:ascii="宋体" w:hAnsi="宋体" w:eastAsia="宋体" w:cs="宋体"/>
          <w:color w:val="auto"/>
          <w:szCs w:val="21"/>
          <w:highlight w:val="none"/>
        </w:rPr>
        <w:t>；其标准差为</w:t>
      </w:r>
      <w:r>
        <w:rPr>
          <w:rFonts w:hint="eastAsia" w:ascii="宋体" w:hAnsi="宋体" w:eastAsia="宋体" w:cs="宋体"/>
          <w:color w:val="auto"/>
          <w:kern w:val="0"/>
          <w:szCs w:val="21"/>
          <w:highlight w:val="none"/>
          <w:lang w:bidi="ar"/>
        </w:rPr>
        <w:t>σ</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rPr>
        <w:drawing>
          <wp:inline distT="0" distB="0" distL="114300" distR="114300">
            <wp:extent cx="1343025" cy="492125"/>
            <wp:effectExtent l="0" t="0" r="952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5"/>
                    <a:stretch>
                      <a:fillRect/>
                    </a:stretch>
                  </pic:blipFill>
                  <pic:spPr>
                    <a:xfrm>
                      <a:off x="0" y="0"/>
                      <a:ext cx="1343025" cy="492125"/>
                    </a:xfrm>
                    <a:prstGeom prst="rect">
                      <a:avLst/>
                    </a:prstGeom>
                    <a:noFill/>
                    <a:ln>
                      <a:noFill/>
                    </a:ln>
                  </pic:spPr>
                </pic:pic>
              </a:graphicData>
            </a:graphic>
          </wp:inline>
        </w:drawing>
      </w:r>
      <w:r>
        <w:rPr>
          <w:rFonts w:hint="eastAsia" w:ascii="宋体" w:hAnsi="宋体" w:eastAsia="宋体" w:cs="宋体"/>
          <w:color w:val="auto"/>
          <w:szCs w:val="21"/>
          <w:highlight w:val="none"/>
        </w:rPr>
        <w:t>；标准差与平均数的比值为变异系数，记为</w:t>
      </w:r>
      <w:r>
        <w:rPr>
          <w:rFonts w:hint="eastAsia" w:ascii="宋体" w:hAnsi="宋体" w:eastAsia="宋体" w:cs="宋体"/>
          <w:color w:val="auto"/>
          <w:kern w:val="0"/>
          <w:szCs w:val="21"/>
          <w:highlight w:val="none"/>
          <w:lang w:bidi="ar"/>
        </w:rPr>
        <w:t>Z，Z=（σ/µ）×100%</w:t>
      </w:r>
      <w:r>
        <w:rPr>
          <w:rFonts w:hint="eastAsia" w:ascii="宋体" w:hAnsi="宋体" w:eastAsia="宋体" w:cs="宋体"/>
          <w:color w:val="auto"/>
          <w:szCs w:val="21"/>
          <w:highlight w:val="none"/>
        </w:rPr>
        <w:t>；参与评标基准价计算的有效投标报价范围的最大值（上限）确定为：</w:t>
      </w:r>
      <w:r>
        <w:rPr>
          <w:rFonts w:hint="eastAsia" w:ascii="宋体" w:hAnsi="宋体" w:eastAsia="宋体" w:cs="宋体"/>
          <w:color w:val="auto"/>
          <w:kern w:val="0"/>
          <w:szCs w:val="21"/>
          <w:highlight w:val="none"/>
          <w:lang w:bidi="ar"/>
        </w:rPr>
        <w:t>MAX=µ+3×K×σ</w:t>
      </w:r>
      <w:r>
        <w:rPr>
          <w:rFonts w:hint="eastAsia" w:ascii="宋体" w:hAnsi="宋体" w:eastAsia="宋体" w:cs="宋体"/>
          <w:color w:val="auto"/>
          <w:szCs w:val="21"/>
          <w:highlight w:val="none"/>
        </w:rPr>
        <w:t>，最小值（下限）为：</w:t>
      </w:r>
      <w:r>
        <w:rPr>
          <w:rFonts w:hint="eastAsia" w:ascii="宋体" w:hAnsi="宋体" w:eastAsia="宋体" w:cs="宋体"/>
          <w:color w:val="auto"/>
          <w:kern w:val="0"/>
          <w:szCs w:val="21"/>
          <w:highlight w:val="none"/>
          <w:lang w:bidi="ar"/>
        </w:rPr>
        <w:t>MIN=µ-2×K×σ</w:t>
      </w:r>
      <w:r>
        <w:rPr>
          <w:rFonts w:hint="eastAsia" w:ascii="宋体" w:hAnsi="宋体" w:eastAsia="宋体" w:cs="宋体"/>
          <w:color w:val="auto"/>
          <w:szCs w:val="21"/>
          <w:highlight w:val="none"/>
        </w:rPr>
        <w:t>；在此范围内的有效投标报价参与评标基准价的计算。</w:t>
      </w:r>
    </w:p>
    <w:p w14:paraId="7AF5BEA5">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K值的取值为：</w:t>
      </w:r>
    </w:p>
    <w:tbl>
      <w:tblPr>
        <w:tblStyle w:val="43"/>
        <w:tblW w:w="9060" w:type="dxa"/>
        <w:jc w:val="center"/>
        <w:tblLayout w:type="autofit"/>
        <w:tblCellMar>
          <w:top w:w="0" w:type="dxa"/>
          <w:left w:w="108" w:type="dxa"/>
          <w:bottom w:w="0" w:type="dxa"/>
          <w:right w:w="108" w:type="dxa"/>
        </w:tblCellMar>
      </w:tblPr>
      <w:tblGrid>
        <w:gridCol w:w="1092"/>
        <w:gridCol w:w="2331"/>
        <w:gridCol w:w="1107"/>
        <w:gridCol w:w="1085"/>
        <w:gridCol w:w="1935"/>
        <w:gridCol w:w="1510"/>
      </w:tblGrid>
      <w:tr w14:paraId="5231E7F4">
        <w:tblPrEx>
          <w:tblCellMar>
            <w:top w:w="0" w:type="dxa"/>
            <w:left w:w="108" w:type="dxa"/>
            <w:bottom w:w="0" w:type="dxa"/>
            <w:right w:w="108" w:type="dxa"/>
          </w:tblCellMar>
        </w:tblPrEx>
        <w:trPr>
          <w:trHeight w:val="593" w:hRule="atLeast"/>
          <w:jc w:val="center"/>
        </w:trPr>
        <w:tc>
          <w:tcPr>
            <w:tcW w:w="1092" w:type="dxa"/>
            <w:tcBorders>
              <w:top w:val="single" w:color="000000" w:sz="4" w:space="0"/>
              <w:left w:val="single" w:color="000000" w:sz="4" w:space="0"/>
              <w:bottom w:val="single" w:color="000000" w:sz="4" w:space="0"/>
              <w:right w:val="single" w:color="000000" w:sz="4" w:space="0"/>
            </w:tcBorders>
            <w:noWrap w:val="0"/>
            <w:vAlign w:val="center"/>
          </w:tcPr>
          <w:p w14:paraId="5EFDD572">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序号</w:t>
            </w:r>
          </w:p>
        </w:tc>
        <w:tc>
          <w:tcPr>
            <w:tcW w:w="2331" w:type="dxa"/>
            <w:tcBorders>
              <w:top w:val="single" w:color="000000" w:sz="4" w:space="0"/>
              <w:left w:val="single" w:color="000000" w:sz="4" w:space="0"/>
              <w:bottom w:val="single" w:color="000000" w:sz="4" w:space="0"/>
              <w:right w:val="single" w:color="000000" w:sz="4" w:space="0"/>
            </w:tcBorders>
            <w:noWrap w:val="0"/>
            <w:vAlign w:val="center"/>
          </w:tcPr>
          <w:p w14:paraId="2533D7A7">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Z范围</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14:paraId="51C33505">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K值</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78011C3A">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序号</w:t>
            </w:r>
          </w:p>
        </w:tc>
        <w:tc>
          <w:tcPr>
            <w:tcW w:w="1935" w:type="dxa"/>
            <w:tcBorders>
              <w:top w:val="single" w:color="000000" w:sz="4" w:space="0"/>
              <w:left w:val="single" w:color="000000" w:sz="4" w:space="0"/>
              <w:bottom w:val="single" w:color="000000" w:sz="4" w:space="0"/>
              <w:right w:val="single" w:color="000000" w:sz="4" w:space="0"/>
            </w:tcBorders>
            <w:noWrap w:val="0"/>
            <w:vAlign w:val="center"/>
          </w:tcPr>
          <w:p w14:paraId="6B6C5EFF">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Z范围</w:t>
            </w:r>
          </w:p>
        </w:tc>
        <w:tc>
          <w:tcPr>
            <w:tcW w:w="1510" w:type="dxa"/>
            <w:tcBorders>
              <w:top w:val="single" w:color="000000" w:sz="4" w:space="0"/>
              <w:left w:val="single" w:color="000000" w:sz="4" w:space="0"/>
              <w:bottom w:val="single" w:color="000000" w:sz="4" w:space="0"/>
              <w:right w:val="single" w:color="000000" w:sz="4" w:space="0"/>
            </w:tcBorders>
            <w:noWrap w:val="0"/>
            <w:vAlign w:val="center"/>
          </w:tcPr>
          <w:p w14:paraId="3F5AD4F6">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K值</w:t>
            </w:r>
          </w:p>
        </w:tc>
      </w:tr>
      <w:tr w14:paraId="3D2CB6ED">
        <w:tblPrEx>
          <w:tblCellMar>
            <w:top w:w="0" w:type="dxa"/>
            <w:left w:w="108" w:type="dxa"/>
            <w:bottom w:w="0" w:type="dxa"/>
            <w:right w:w="108" w:type="dxa"/>
          </w:tblCellMar>
        </w:tblPrEx>
        <w:trPr>
          <w:trHeight w:val="593" w:hRule="atLeast"/>
          <w:jc w:val="center"/>
        </w:trPr>
        <w:tc>
          <w:tcPr>
            <w:tcW w:w="1092" w:type="dxa"/>
            <w:tcBorders>
              <w:top w:val="single" w:color="000000" w:sz="4" w:space="0"/>
              <w:left w:val="single" w:color="000000" w:sz="4" w:space="0"/>
              <w:bottom w:val="single" w:color="000000" w:sz="4" w:space="0"/>
              <w:right w:val="single" w:color="000000" w:sz="4" w:space="0"/>
            </w:tcBorders>
            <w:noWrap w:val="0"/>
            <w:vAlign w:val="center"/>
          </w:tcPr>
          <w:p w14:paraId="36496B2D">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2331" w:type="dxa"/>
            <w:tcBorders>
              <w:top w:val="single" w:color="000000" w:sz="4" w:space="0"/>
              <w:left w:val="single" w:color="000000" w:sz="4" w:space="0"/>
              <w:bottom w:val="single" w:color="000000" w:sz="4" w:space="0"/>
              <w:right w:val="single" w:color="000000" w:sz="4" w:space="0"/>
            </w:tcBorders>
            <w:noWrap w:val="0"/>
            <w:vAlign w:val="center"/>
          </w:tcPr>
          <w:p w14:paraId="30B8B4B4">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Z＞10%</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14:paraId="7F85E012">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0.1</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1F68B85E">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4</w:t>
            </w:r>
          </w:p>
        </w:tc>
        <w:tc>
          <w:tcPr>
            <w:tcW w:w="1935" w:type="dxa"/>
            <w:tcBorders>
              <w:top w:val="single" w:color="000000" w:sz="4" w:space="0"/>
              <w:left w:val="single" w:color="000000" w:sz="4" w:space="0"/>
              <w:bottom w:val="single" w:color="000000" w:sz="4" w:space="0"/>
              <w:right w:val="single" w:color="000000" w:sz="4" w:space="0"/>
            </w:tcBorders>
            <w:noWrap w:val="0"/>
            <w:vAlign w:val="center"/>
          </w:tcPr>
          <w:p w14:paraId="513E7ED8">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6%≥Z＞4%</w:t>
            </w:r>
          </w:p>
        </w:tc>
        <w:tc>
          <w:tcPr>
            <w:tcW w:w="1510" w:type="dxa"/>
            <w:tcBorders>
              <w:top w:val="single" w:color="000000" w:sz="4" w:space="0"/>
              <w:left w:val="single" w:color="000000" w:sz="4" w:space="0"/>
              <w:bottom w:val="single" w:color="000000" w:sz="4" w:space="0"/>
              <w:right w:val="single" w:color="000000" w:sz="4" w:space="0"/>
            </w:tcBorders>
            <w:noWrap w:val="0"/>
            <w:vAlign w:val="center"/>
          </w:tcPr>
          <w:p w14:paraId="35D99AB1">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0.25</w:t>
            </w:r>
          </w:p>
        </w:tc>
      </w:tr>
      <w:tr w14:paraId="7DF40CD2">
        <w:tblPrEx>
          <w:tblCellMar>
            <w:top w:w="0" w:type="dxa"/>
            <w:left w:w="108" w:type="dxa"/>
            <w:bottom w:w="0" w:type="dxa"/>
            <w:right w:w="108" w:type="dxa"/>
          </w:tblCellMar>
        </w:tblPrEx>
        <w:trPr>
          <w:trHeight w:val="593" w:hRule="atLeast"/>
          <w:jc w:val="center"/>
        </w:trPr>
        <w:tc>
          <w:tcPr>
            <w:tcW w:w="1092" w:type="dxa"/>
            <w:tcBorders>
              <w:top w:val="single" w:color="000000" w:sz="4" w:space="0"/>
              <w:left w:val="single" w:color="000000" w:sz="4" w:space="0"/>
              <w:bottom w:val="single" w:color="000000" w:sz="4" w:space="0"/>
              <w:right w:val="single" w:color="000000" w:sz="4" w:space="0"/>
            </w:tcBorders>
            <w:noWrap w:val="0"/>
            <w:vAlign w:val="center"/>
          </w:tcPr>
          <w:p w14:paraId="6485ADDF">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2331" w:type="dxa"/>
            <w:tcBorders>
              <w:top w:val="single" w:color="000000" w:sz="4" w:space="0"/>
              <w:left w:val="single" w:color="000000" w:sz="4" w:space="0"/>
              <w:bottom w:val="single" w:color="000000" w:sz="4" w:space="0"/>
              <w:right w:val="single" w:color="000000" w:sz="4" w:space="0"/>
            </w:tcBorders>
            <w:noWrap w:val="0"/>
            <w:vAlign w:val="center"/>
          </w:tcPr>
          <w:p w14:paraId="5E00D25F">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10%≥Z＞8%</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14:paraId="281CC376">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0.15</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5E1B8B85">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w:t>
            </w:r>
          </w:p>
        </w:tc>
        <w:tc>
          <w:tcPr>
            <w:tcW w:w="1935" w:type="dxa"/>
            <w:tcBorders>
              <w:top w:val="single" w:color="000000" w:sz="4" w:space="0"/>
              <w:left w:val="single" w:color="000000" w:sz="4" w:space="0"/>
              <w:bottom w:val="single" w:color="000000" w:sz="4" w:space="0"/>
              <w:right w:val="single" w:color="000000" w:sz="4" w:space="0"/>
            </w:tcBorders>
            <w:noWrap w:val="0"/>
            <w:vAlign w:val="center"/>
          </w:tcPr>
          <w:p w14:paraId="2890DC22">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4%≥Z＞2%</w:t>
            </w:r>
          </w:p>
        </w:tc>
        <w:tc>
          <w:tcPr>
            <w:tcW w:w="1510" w:type="dxa"/>
            <w:tcBorders>
              <w:top w:val="single" w:color="000000" w:sz="4" w:space="0"/>
              <w:left w:val="single" w:color="000000" w:sz="4" w:space="0"/>
              <w:bottom w:val="single" w:color="000000" w:sz="4" w:space="0"/>
              <w:right w:val="single" w:color="000000" w:sz="4" w:space="0"/>
            </w:tcBorders>
            <w:noWrap w:val="0"/>
            <w:vAlign w:val="center"/>
          </w:tcPr>
          <w:p w14:paraId="43BE4E6B">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0.3</w:t>
            </w:r>
          </w:p>
        </w:tc>
      </w:tr>
      <w:tr w14:paraId="6B2AA49A">
        <w:tblPrEx>
          <w:tblCellMar>
            <w:top w:w="0" w:type="dxa"/>
            <w:left w:w="108" w:type="dxa"/>
            <w:bottom w:w="0" w:type="dxa"/>
            <w:right w:w="108" w:type="dxa"/>
          </w:tblCellMar>
        </w:tblPrEx>
        <w:trPr>
          <w:trHeight w:val="602" w:hRule="atLeast"/>
          <w:jc w:val="center"/>
        </w:trPr>
        <w:tc>
          <w:tcPr>
            <w:tcW w:w="1092" w:type="dxa"/>
            <w:tcBorders>
              <w:top w:val="single" w:color="000000" w:sz="4" w:space="0"/>
              <w:left w:val="single" w:color="000000" w:sz="4" w:space="0"/>
              <w:bottom w:val="single" w:color="000000" w:sz="4" w:space="0"/>
              <w:right w:val="single" w:color="000000" w:sz="4" w:space="0"/>
            </w:tcBorders>
            <w:noWrap w:val="0"/>
            <w:vAlign w:val="center"/>
          </w:tcPr>
          <w:p w14:paraId="0CB7753A">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2331" w:type="dxa"/>
            <w:tcBorders>
              <w:top w:val="single" w:color="000000" w:sz="4" w:space="0"/>
              <w:left w:val="single" w:color="000000" w:sz="4" w:space="0"/>
              <w:bottom w:val="single" w:color="000000" w:sz="4" w:space="0"/>
              <w:right w:val="single" w:color="000000" w:sz="4" w:space="0"/>
            </w:tcBorders>
            <w:noWrap w:val="0"/>
            <w:vAlign w:val="center"/>
          </w:tcPr>
          <w:p w14:paraId="45BFA4FE">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8%≥Z＞6%</w:t>
            </w:r>
          </w:p>
        </w:tc>
        <w:tc>
          <w:tcPr>
            <w:tcW w:w="1107" w:type="dxa"/>
            <w:tcBorders>
              <w:top w:val="single" w:color="000000" w:sz="4" w:space="0"/>
              <w:left w:val="single" w:color="000000" w:sz="4" w:space="0"/>
              <w:bottom w:val="single" w:color="000000" w:sz="4" w:space="0"/>
              <w:right w:val="single" w:color="000000" w:sz="4" w:space="0"/>
            </w:tcBorders>
            <w:noWrap w:val="0"/>
            <w:vAlign w:val="center"/>
          </w:tcPr>
          <w:p w14:paraId="5EBAE28E">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0.2</w:t>
            </w:r>
          </w:p>
        </w:tc>
        <w:tc>
          <w:tcPr>
            <w:tcW w:w="1085" w:type="dxa"/>
            <w:tcBorders>
              <w:top w:val="single" w:color="000000" w:sz="4" w:space="0"/>
              <w:left w:val="single" w:color="000000" w:sz="4" w:space="0"/>
              <w:bottom w:val="single" w:color="000000" w:sz="4" w:space="0"/>
              <w:right w:val="single" w:color="000000" w:sz="4" w:space="0"/>
            </w:tcBorders>
            <w:noWrap w:val="0"/>
            <w:vAlign w:val="center"/>
          </w:tcPr>
          <w:p w14:paraId="08C7D5F3">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6</w:t>
            </w:r>
          </w:p>
        </w:tc>
        <w:tc>
          <w:tcPr>
            <w:tcW w:w="1935" w:type="dxa"/>
            <w:tcBorders>
              <w:top w:val="single" w:color="000000" w:sz="4" w:space="0"/>
              <w:left w:val="single" w:color="000000" w:sz="4" w:space="0"/>
              <w:bottom w:val="single" w:color="000000" w:sz="4" w:space="0"/>
              <w:right w:val="single" w:color="000000" w:sz="4" w:space="0"/>
            </w:tcBorders>
            <w:noWrap w:val="0"/>
            <w:vAlign w:val="center"/>
          </w:tcPr>
          <w:p w14:paraId="47429FF4">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2%≥Z＞0%</w:t>
            </w:r>
          </w:p>
        </w:tc>
        <w:tc>
          <w:tcPr>
            <w:tcW w:w="1510" w:type="dxa"/>
            <w:tcBorders>
              <w:top w:val="single" w:color="000000" w:sz="4" w:space="0"/>
              <w:left w:val="single" w:color="000000" w:sz="4" w:space="0"/>
              <w:bottom w:val="single" w:color="000000" w:sz="4" w:space="0"/>
              <w:right w:val="single" w:color="000000" w:sz="4" w:space="0"/>
            </w:tcBorders>
            <w:noWrap w:val="0"/>
            <w:vAlign w:val="center"/>
          </w:tcPr>
          <w:p w14:paraId="33E064C3">
            <w:pPr>
              <w:widowControl/>
              <w:spacing w:line="36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0.35</w:t>
            </w:r>
          </w:p>
        </w:tc>
      </w:tr>
    </w:tbl>
    <w:p w14:paraId="063550C7">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投标报价基准价计算规则见下表。</w:t>
      </w:r>
    </w:p>
    <w:tbl>
      <w:tblPr>
        <w:tblStyle w:val="43"/>
        <w:tblW w:w="9096" w:type="dxa"/>
        <w:jc w:val="center"/>
        <w:tblLayout w:type="autofit"/>
        <w:tblCellMar>
          <w:top w:w="0" w:type="dxa"/>
          <w:left w:w="108" w:type="dxa"/>
          <w:bottom w:w="0" w:type="dxa"/>
          <w:right w:w="108" w:type="dxa"/>
        </w:tblCellMar>
      </w:tblPr>
      <w:tblGrid>
        <w:gridCol w:w="3810"/>
        <w:gridCol w:w="5286"/>
      </w:tblGrid>
      <w:tr w14:paraId="6BE4CC25">
        <w:tblPrEx>
          <w:tblCellMar>
            <w:top w:w="0" w:type="dxa"/>
            <w:left w:w="108" w:type="dxa"/>
            <w:bottom w:w="0" w:type="dxa"/>
            <w:right w:w="108" w:type="dxa"/>
          </w:tblCellMar>
        </w:tblPrEx>
        <w:trPr>
          <w:trHeight w:val="958" w:hRule="atLeast"/>
          <w:jc w:val="center"/>
        </w:trPr>
        <w:tc>
          <w:tcPr>
            <w:tcW w:w="3810" w:type="dxa"/>
            <w:tcBorders>
              <w:top w:val="single" w:color="000000" w:sz="4" w:space="0"/>
              <w:left w:val="single" w:color="000000" w:sz="4" w:space="0"/>
              <w:bottom w:val="single" w:color="000000" w:sz="4" w:space="0"/>
              <w:right w:val="single" w:color="000000" w:sz="4" w:space="0"/>
            </w:tcBorders>
            <w:noWrap w:val="0"/>
            <w:vAlign w:val="center"/>
          </w:tcPr>
          <w:p w14:paraId="5B8E8C4C">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有效投标报价在MAX、MIN范围内（含MAX、MIN值）的个数</w:t>
            </w:r>
          </w:p>
        </w:tc>
        <w:tc>
          <w:tcPr>
            <w:tcW w:w="5286" w:type="dxa"/>
            <w:tcBorders>
              <w:top w:val="single" w:color="000000" w:sz="4" w:space="0"/>
              <w:left w:val="single" w:color="000000" w:sz="4" w:space="0"/>
              <w:bottom w:val="single" w:color="000000" w:sz="4" w:space="0"/>
              <w:right w:val="single" w:color="000000" w:sz="4" w:space="0"/>
            </w:tcBorders>
            <w:noWrap w:val="0"/>
            <w:vAlign w:val="center"/>
          </w:tcPr>
          <w:p w14:paraId="16F025C1">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投标报价基准价J的计算方法</w:t>
            </w:r>
          </w:p>
        </w:tc>
      </w:tr>
      <w:tr w14:paraId="6E005F6E">
        <w:tblPrEx>
          <w:tblCellMar>
            <w:top w:w="0" w:type="dxa"/>
            <w:left w:w="108" w:type="dxa"/>
            <w:bottom w:w="0" w:type="dxa"/>
            <w:right w:w="108" w:type="dxa"/>
          </w:tblCellMar>
        </w:tblPrEx>
        <w:trPr>
          <w:trHeight w:val="958" w:hRule="atLeast"/>
          <w:jc w:val="center"/>
        </w:trPr>
        <w:tc>
          <w:tcPr>
            <w:tcW w:w="3810" w:type="dxa"/>
            <w:tcBorders>
              <w:top w:val="single" w:color="000000" w:sz="4" w:space="0"/>
              <w:left w:val="single" w:color="000000" w:sz="4" w:space="0"/>
              <w:bottom w:val="single" w:color="000000" w:sz="4" w:space="0"/>
              <w:right w:val="single" w:color="000000" w:sz="4" w:space="0"/>
            </w:tcBorders>
            <w:noWrap w:val="0"/>
            <w:vAlign w:val="center"/>
          </w:tcPr>
          <w:p w14:paraId="5CC64F7B">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个数＜3</w:t>
            </w:r>
          </w:p>
        </w:tc>
        <w:tc>
          <w:tcPr>
            <w:tcW w:w="5286" w:type="dxa"/>
            <w:tcBorders>
              <w:top w:val="single" w:color="000000" w:sz="4" w:space="0"/>
              <w:left w:val="single" w:color="000000" w:sz="4" w:space="0"/>
              <w:bottom w:val="single" w:color="000000" w:sz="4" w:space="0"/>
              <w:right w:val="single" w:color="000000" w:sz="4" w:space="0"/>
            </w:tcBorders>
            <w:noWrap w:val="0"/>
            <w:vAlign w:val="center"/>
          </w:tcPr>
          <w:p w14:paraId="45AB44FB">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所有有效投标报价（不受MAX、MIN范围的限制）的算术平均值</w:t>
            </w:r>
          </w:p>
        </w:tc>
      </w:tr>
      <w:tr w14:paraId="3ADE818A">
        <w:tblPrEx>
          <w:tblCellMar>
            <w:top w:w="0" w:type="dxa"/>
            <w:left w:w="108" w:type="dxa"/>
            <w:bottom w:w="0" w:type="dxa"/>
            <w:right w:w="108" w:type="dxa"/>
          </w:tblCellMar>
        </w:tblPrEx>
        <w:trPr>
          <w:trHeight w:val="958" w:hRule="atLeast"/>
          <w:jc w:val="center"/>
        </w:trPr>
        <w:tc>
          <w:tcPr>
            <w:tcW w:w="3810" w:type="dxa"/>
            <w:tcBorders>
              <w:top w:val="single" w:color="000000" w:sz="4" w:space="0"/>
              <w:left w:val="single" w:color="000000" w:sz="4" w:space="0"/>
              <w:bottom w:val="single" w:color="000000" w:sz="4" w:space="0"/>
              <w:right w:val="single" w:color="000000" w:sz="4" w:space="0"/>
            </w:tcBorders>
            <w:noWrap w:val="0"/>
            <w:vAlign w:val="center"/>
          </w:tcPr>
          <w:p w14:paraId="56355A4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3≤个数≤6</w:t>
            </w:r>
          </w:p>
        </w:tc>
        <w:tc>
          <w:tcPr>
            <w:tcW w:w="5286" w:type="dxa"/>
            <w:tcBorders>
              <w:top w:val="single" w:color="000000" w:sz="4" w:space="0"/>
              <w:left w:val="single" w:color="000000" w:sz="4" w:space="0"/>
              <w:bottom w:val="single" w:color="000000" w:sz="4" w:space="0"/>
              <w:right w:val="single" w:color="000000" w:sz="4" w:space="0"/>
            </w:tcBorders>
            <w:noWrap w:val="0"/>
            <w:vAlign w:val="center"/>
          </w:tcPr>
          <w:p w14:paraId="23975EBF">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在MAX、MIN范围内的所有有效投标报价的算术平均值</w:t>
            </w:r>
          </w:p>
        </w:tc>
      </w:tr>
      <w:tr w14:paraId="1DC5183D">
        <w:tblPrEx>
          <w:tblCellMar>
            <w:top w:w="0" w:type="dxa"/>
            <w:left w:w="108" w:type="dxa"/>
            <w:bottom w:w="0" w:type="dxa"/>
            <w:right w:w="108" w:type="dxa"/>
          </w:tblCellMar>
        </w:tblPrEx>
        <w:trPr>
          <w:trHeight w:val="1528" w:hRule="atLeast"/>
          <w:jc w:val="center"/>
        </w:trPr>
        <w:tc>
          <w:tcPr>
            <w:tcW w:w="3810" w:type="dxa"/>
            <w:tcBorders>
              <w:top w:val="single" w:color="000000" w:sz="4" w:space="0"/>
              <w:left w:val="single" w:color="000000" w:sz="4" w:space="0"/>
              <w:bottom w:val="single" w:color="000000" w:sz="4" w:space="0"/>
              <w:right w:val="single" w:color="000000" w:sz="4" w:space="0"/>
            </w:tcBorders>
            <w:noWrap w:val="0"/>
            <w:vAlign w:val="center"/>
          </w:tcPr>
          <w:p w14:paraId="7430F45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个数＞6</w:t>
            </w:r>
          </w:p>
        </w:tc>
        <w:tc>
          <w:tcPr>
            <w:tcW w:w="5286" w:type="dxa"/>
            <w:tcBorders>
              <w:top w:val="single" w:color="000000" w:sz="4" w:space="0"/>
              <w:left w:val="single" w:color="000000" w:sz="4" w:space="0"/>
              <w:bottom w:val="single" w:color="000000" w:sz="4" w:space="0"/>
              <w:right w:val="single" w:color="000000" w:sz="4" w:space="0"/>
            </w:tcBorders>
            <w:noWrap w:val="0"/>
            <w:vAlign w:val="center"/>
          </w:tcPr>
          <w:p w14:paraId="1D618583">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在MAX、MIN范围内的所有有效投标报价去掉M个最高报价和M个最低报价后的算术平均值，M为有效投标报价在MAX、MIN范围内的个数÷4后向下取整的整数值</w:t>
            </w:r>
          </w:p>
        </w:tc>
      </w:tr>
    </w:tbl>
    <w:p w14:paraId="078130FE">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上述参与评标基准价计算的有效投标报价，均不含规费、安全文明施工措施费、暂列金额、专业工程暂估价和税金。</w:t>
      </w:r>
    </w:p>
    <w:p w14:paraId="47826A5A">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3.分部分项工程项目清单综合单价基准价、措施项目费（不含安全文明施工措施费）基准价、材料单价基准价是所有有效投标报价中相应项目的算术平均值。</w:t>
      </w:r>
    </w:p>
    <w:tbl>
      <w:tblPr>
        <w:tblStyle w:val="43"/>
        <w:tblW w:w="9106" w:type="dxa"/>
        <w:jc w:val="center"/>
        <w:tblLayout w:type="autofit"/>
        <w:tblCellMar>
          <w:top w:w="0" w:type="dxa"/>
          <w:left w:w="108" w:type="dxa"/>
          <w:bottom w:w="0" w:type="dxa"/>
          <w:right w:w="108" w:type="dxa"/>
        </w:tblCellMar>
      </w:tblPr>
      <w:tblGrid>
        <w:gridCol w:w="3602"/>
        <w:gridCol w:w="5504"/>
      </w:tblGrid>
      <w:tr w14:paraId="1525769A">
        <w:trPr>
          <w:trHeight w:val="852" w:hRule="atLeast"/>
          <w:jc w:val="center"/>
        </w:trPr>
        <w:tc>
          <w:tcPr>
            <w:tcW w:w="3602" w:type="dxa"/>
            <w:tcBorders>
              <w:top w:val="single" w:color="000000" w:sz="4" w:space="0"/>
              <w:left w:val="single" w:color="000000" w:sz="4" w:space="0"/>
              <w:bottom w:val="single" w:color="000000" w:sz="4" w:space="0"/>
              <w:right w:val="single" w:color="000000" w:sz="4" w:space="0"/>
            </w:tcBorders>
            <w:noWrap w:val="0"/>
            <w:vAlign w:val="center"/>
          </w:tcPr>
          <w:p w14:paraId="5983751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基准价分类</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38662917">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基准价计算方法</w:t>
            </w:r>
          </w:p>
        </w:tc>
      </w:tr>
      <w:tr w14:paraId="158E71CB">
        <w:tblPrEx>
          <w:tblCellMar>
            <w:top w:w="0" w:type="dxa"/>
            <w:left w:w="108" w:type="dxa"/>
            <w:bottom w:w="0" w:type="dxa"/>
            <w:right w:w="108" w:type="dxa"/>
          </w:tblCellMar>
        </w:tblPrEx>
        <w:trPr>
          <w:trHeight w:val="852" w:hRule="atLeast"/>
          <w:jc w:val="center"/>
        </w:trPr>
        <w:tc>
          <w:tcPr>
            <w:tcW w:w="3602" w:type="dxa"/>
            <w:tcBorders>
              <w:top w:val="single" w:color="000000" w:sz="4" w:space="0"/>
              <w:left w:val="single" w:color="000000" w:sz="4" w:space="0"/>
              <w:bottom w:val="single" w:color="000000" w:sz="4" w:space="0"/>
              <w:right w:val="single" w:color="000000" w:sz="4" w:space="0"/>
            </w:tcBorders>
            <w:noWrap w:val="0"/>
            <w:vAlign w:val="center"/>
          </w:tcPr>
          <w:p w14:paraId="34C37DE7">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分部分项工程项目清单综合单价基准价Jf</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12A6B436">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有效投标报价中的分部分项工程项目清单综合单价的算术平均值</w:t>
            </w:r>
          </w:p>
        </w:tc>
      </w:tr>
      <w:tr w14:paraId="5DD9C61C">
        <w:tblPrEx>
          <w:tblCellMar>
            <w:top w:w="0" w:type="dxa"/>
            <w:left w:w="108" w:type="dxa"/>
            <w:bottom w:w="0" w:type="dxa"/>
            <w:right w:w="108" w:type="dxa"/>
          </w:tblCellMar>
        </w:tblPrEx>
        <w:trPr>
          <w:trHeight w:val="852" w:hRule="atLeast"/>
          <w:jc w:val="center"/>
        </w:trPr>
        <w:tc>
          <w:tcPr>
            <w:tcW w:w="3602" w:type="dxa"/>
            <w:tcBorders>
              <w:top w:val="single" w:color="000000" w:sz="4" w:space="0"/>
              <w:left w:val="single" w:color="000000" w:sz="4" w:space="0"/>
              <w:bottom w:val="single" w:color="000000" w:sz="4" w:space="0"/>
              <w:right w:val="single" w:color="000000" w:sz="4" w:space="0"/>
            </w:tcBorders>
            <w:noWrap w:val="0"/>
            <w:vAlign w:val="center"/>
          </w:tcPr>
          <w:p w14:paraId="24F1525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措施项目费（不含安全文明施工措施费）基准价Js</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3EDEC52B">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有效投标报价中的措施项目费的算术平均值</w:t>
            </w:r>
          </w:p>
        </w:tc>
      </w:tr>
      <w:tr w14:paraId="76FBD6F4">
        <w:tblPrEx>
          <w:tblCellMar>
            <w:top w:w="0" w:type="dxa"/>
            <w:left w:w="108" w:type="dxa"/>
            <w:bottom w:w="0" w:type="dxa"/>
            <w:right w:w="108" w:type="dxa"/>
          </w:tblCellMar>
        </w:tblPrEx>
        <w:trPr>
          <w:trHeight w:val="863" w:hRule="atLeast"/>
          <w:jc w:val="center"/>
        </w:trPr>
        <w:tc>
          <w:tcPr>
            <w:tcW w:w="3602" w:type="dxa"/>
            <w:tcBorders>
              <w:top w:val="single" w:color="000000" w:sz="4" w:space="0"/>
              <w:left w:val="single" w:color="000000" w:sz="4" w:space="0"/>
              <w:bottom w:val="single" w:color="000000" w:sz="4" w:space="0"/>
              <w:right w:val="single" w:color="000000" w:sz="4" w:space="0"/>
            </w:tcBorders>
            <w:noWrap w:val="0"/>
            <w:vAlign w:val="center"/>
          </w:tcPr>
          <w:p w14:paraId="117A8277">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材料单价基准价Jc</w:t>
            </w:r>
          </w:p>
        </w:tc>
        <w:tc>
          <w:tcPr>
            <w:tcW w:w="5504" w:type="dxa"/>
            <w:tcBorders>
              <w:top w:val="single" w:color="000000" w:sz="4" w:space="0"/>
              <w:left w:val="single" w:color="000000" w:sz="4" w:space="0"/>
              <w:bottom w:val="single" w:color="000000" w:sz="4" w:space="0"/>
              <w:right w:val="single" w:color="000000" w:sz="4" w:space="0"/>
            </w:tcBorders>
            <w:noWrap w:val="0"/>
            <w:vAlign w:val="center"/>
          </w:tcPr>
          <w:p w14:paraId="1A6D520F">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有效投标报价中的材料单价的算术平均值</w:t>
            </w:r>
          </w:p>
        </w:tc>
      </w:tr>
    </w:tbl>
    <w:p w14:paraId="06E77381">
      <w:pPr>
        <w:pStyle w:val="38"/>
        <w:widowControl/>
        <w:wordWrap w:val="0"/>
        <w:spacing w:before="0" w:beforeAutospacing="0" w:after="0" w:afterAutospacing="0" w:line="360" w:lineRule="auto"/>
        <w:jc w:val="both"/>
        <w:outlineLvl w:val="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（二）评审计分</w:t>
      </w:r>
    </w:p>
    <w:p w14:paraId="20FE9D5D">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1.有关定义：</w:t>
      </w:r>
    </w:p>
    <w:tbl>
      <w:tblPr>
        <w:tblStyle w:val="43"/>
        <w:tblW w:w="9059" w:type="dxa"/>
        <w:jc w:val="center"/>
        <w:tblLayout w:type="autofit"/>
        <w:tblCellMar>
          <w:top w:w="0" w:type="dxa"/>
          <w:left w:w="108" w:type="dxa"/>
          <w:bottom w:w="0" w:type="dxa"/>
          <w:right w:w="108" w:type="dxa"/>
        </w:tblCellMar>
      </w:tblPr>
      <w:tblGrid>
        <w:gridCol w:w="7022"/>
        <w:gridCol w:w="2037"/>
      </w:tblGrid>
      <w:tr w14:paraId="016D1FFE">
        <w:tblPrEx>
          <w:tblCellMar>
            <w:top w:w="0" w:type="dxa"/>
            <w:left w:w="108" w:type="dxa"/>
            <w:bottom w:w="0" w:type="dxa"/>
            <w:right w:w="108" w:type="dxa"/>
          </w:tblCellMar>
        </w:tblPrEx>
        <w:trPr>
          <w:trHeight w:val="567" w:hRule="atLeast"/>
          <w:jc w:val="center"/>
        </w:trPr>
        <w:tc>
          <w:tcPr>
            <w:tcW w:w="7022" w:type="dxa"/>
            <w:tcBorders>
              <w:top w:val="single" w:color="000000" w:sz="4" w:space="0"/>
              <w:left w:val="single" w:color="000000" w:sz="4" w:space="0"/>
              <w:bottom w:val="single" w:color="000000" w:sz="4" w:space="0"/>
              <w:right w:val="single" w:color="000000" w:sz="4" w:space="0"/>
            </w:tcBorders>
            <w:noWrap w:val="0"/>
            <w:vAlign w:val="center"/>
          </w:tcPr>
          <w:p w14:paraId="0A5954BA">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商务标总得分</w:t>
            </w:r>
          </w:p>
        </w:tc>
        <w:tc>
          <w:tcPr>
            <w:tcW w:w="2037" w:type="dxa"/>
            <w:tcBorders>
              <w:top w:val="single" w:color="000000" w:sz="4" w:space="0"/>
              <w:left w:val="single" w:color="000000" w:sz="4" w:space="0"/>
              <w:bottom w:val="single" w:color="000000" w:sz="4" w:space="0"/>
              <w:right w:val="single" w:color="000000" w:sz="4" w:space="0"/>
            </w:tcBorders>
            <w:noWrap w:val="0"/>
            <w:vAlign w:val="center"/>
          </w:tcPr>
          <w:p w14:paraId="776B1D25">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w:t>
            </w:r>
          </w:p>
        </w:tc>
      </w:tr>
      <w:tr w14:paraId="27E772D0">
        <w:tblPrEx>
          <w:tblCellMar>
            <w:top w:w="0" w:type="dxa"/>
            <w:left w:w="108" w:type="dxa"/>
            <w:bottom w:w="0" w:type="dxa"/>
            <w:right w:w="108" w:type="dxa"/>
          </w:tblCellMar>
        </w:tblPrEx>
        <w:trPr>
          <w:trHeight w:val="567" w:hRule="atLeast"/>
          <w:jc w:val="center"/>
        </w:trPr>
        <w:tc>
          <w:tcPr>
            <w:tcW w:w="7022" w:type="dxa"/>
            <w:tcBorders>
              <w:top w:val="single" w:color="000000" w:sz="4" w:space="0"/>
              <w:left w:val="single" w:color="000000" w:sz="4" w:space="0"/>
              <w:bottom w:val="single" w:color="000000" w:sz="4" w:space="0"/>
              <w:right w:val="single" w:color="000000" w:sz="4" w:space="0"/>
            </w:tcBorders>
            <w:noWrap w:val="0"/>
            <w:vAlign w:val="center"/>
          </w:tcPr>
          <w:p w14:paraId="26C12068">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投标报价评审得分</w:t>
            </w:r>
          </w:p>
        </w:tc>
        <w:tc>
          <w:tcPr>
            <w:tcW w:w="2037" w:type="dxa"/>
            <w:tcBorders>
              <w:top w:val="single" w:color="000000" w:sz="4" w:space="0"/>
              <w:left w:val="single" w:color="000000" w:sz="4" w:space="0"/>
              <w:bottom w:val="single" w:color="000000" w:sz="4" w:space="0"/>
              <w:right w:val="single" w:color="000000" w:sz="4" w:space="0"/>
            </w:tcBorders>
            <w:noWrap w:val="0"/>
            <w:vAlign w:val="center"/>
          </w:tcPr>
          <w:p w14:paraId="2A07C5E6">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FA</w:t>
            </w:r>
          </w:p>
        </w:tc>
      </w:tr>
      <w:tr w14:paraId="139D34CB">
        <w:tblPrEx>
          <w:tblCellMar>
            <w:top w:w="0" w:type="dxa"/>
            <w:left w:w="108" w:type="dxa"/>
            <w:bottom w:w="0" w:type="dxa"/>
            <w:right w:w="108" w:type="dxa"/>
          </w:tblCellMar>
        </w:tblPrEx>
        <w:trPr>
          <w:trHeight w:val="567" w:hRule="atLeast"/>
          <w:jc w:val="center"/>
        </w:trPr>
        <w:tc>
          <w:tcPr>
            <w:tcW w:w="7022" w:type="dxa"/>
            <w:tcBorders>
              <w:top w:val="single" w:color="000000" w:sz="4" w:space="0"/>
              <w:left w:val="single" w:color="000000" w:sz="4" w:space="0"/>
              <w:bottom w:val="single" w:color="000000" w:sz="4" w:space="0"/>
              <w:right w:val="single" w:color="000000" w:sz="4" w:space="0"/>
            </w:tcBorders>
            <w:noWrap w:val="0"/>
            <w:vAlign w:val="center"/>
          </w:tcPr>
          <w:p w14:paraId="36547F2C">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分部分项工程项目清单综合单价评审得分</w:t>
            </w:r>
          </w:p>
        </w:tc>
        <w:tc>
          <w:tcPr>
            <w:tcW w:w="2037" w:type="dxa"/>
            <w:tcBorders>
              <w:top w:val="single" w:color="000000" w:sz="4" w:space="0"/>
              <w:left w:val="single" w:color="000000" w:sz="4" w:space="0"/>
              <w:bottom w:val="single" w:color="000000" w:sz="4" w:space="0"/>
              <w:right w:val="single" w:color="000000" w:sz="4" w:space="0"/>
            </w:tcBorders>
            <w:noWrap w:val="0"/>
            <w:vAlign w:val="center"/>
          </w:tcPr>
          <w:p w14:paraId="44C676EC">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FB</w:t>
            </w:r>
          </w:p>
        </w:tc>
      </w:tr>
      <w:tr w14:paraId="2A9A9329">
        <w:tblPrEx>
          <w:tblCellMar>
            <w:top w:w="0" w:type="dxa"/>
            <w:left w:w="108" w:type="dxa"/>
            <w:bottom w:w="0" w:type="dxa"/>
            <w:right w:w="108" w:type="dxa"/>
          </w:tblCellMar>
        </w:tblPrEx>
        <w:trPr>
          <w:trHeight w:val="567" w:hRule="atLeast"/>
          <w:jc w:val="center"/>
        </w:trPr>
        <w:tc>
          <w:tcPr>
            <w:tcW w:w="7022" w:type="dxa"/>
            <w:tcBorders>
              <w:top w:val="single" w:color="000000" w:sz="4" w:space="0"/>
              <w:left w:val="single" w:color="000000" w:sz="4" w:space="0"/>
              <w:bottom w:val="single" w:color="000000" w:sz="4" w:space="0"/>
              <w:right w:val="single" w:color="000000" w:sz="4" w:space="0"/>
            </w:tcBorders>
            <w:noWrap w:val="0"/>
            <w:vAlign w:val="center"/>
          </w:tcPr>
          <w:p w14:paraId="72BA6105">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措施项目费（不含安全文明施工措施费）评审得分</w:t>
            </w:r>
          </w:p>
        </w:tc>
        <w:tc>
          <w:tcPr>
            <w:tcW w:w="2037" w:type="dxa"/>
            <w:tcBorders>
              <w:top w:val="single" w:color="000000" w:sz="4" w:space="0"/>
              <w:left w:val="single" w:color="000000" w:sz="4" w:space="0"/>
              <w:bottom w:val="single" w:color="000000" w:sz="4" w:space="0"/>
              <w:right w:val="single" w:color="000000" w:sz="4" w:space="0"/>
            </w:tcBorders>
            <w:noWrap w:val="0"/>
            <w:vAlign w:val="center"/>
          </w:tcPr>
          <w:p w14:paraId="6778A1C7">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FC</w:t>
            </w:r>
          </w:p>
        </w:tc>
      </w:tr>
      <w:tr w14:paraId="23AD9E10">
        <w:tblPrEx>
          <w:tblCellMar>
            <w:top w:w="0" w:type="dxa"/>
            <w:left w:w="108" w:type="dxa"/>
            <w:bottom w:w="0" w:type="dxa"/>
            <w:right w:w="108" w:type="dxa"/>
          </w:tblCellMar>
        </w:tblPrEx>
        <w:trPr>
          <w:trHeight w:val="567" w:hRule="atLeast"/>
          <w:jc w:val="center"/>
        </w:trPr>
        <w:tc>
          <w:tcPr>
            <w:tcW w:w="7022" w:type="dxa"/>
            <w:tcBorders>
              <w:top w:val="single" w:color="000000" w:sz="4" w:space="0"/>
              <w:left w:val="single" w:color="000000" w:sz="4" w:space="0"/>
              <w:bottom w:val="single" w:color="000000" w:sz="4" w:space="0"/>
              <w:right w:val="single" w:color="000000" w:sz="4" w:space="0"/>
            </w:tcBorders>
            <w:noWrap w:val="0"/>
            <w:vAlign w:val="center"/>
          </w:tcPr>
          <w:p w14:paraId="234F916D">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材料单价评审得分</w:t>
            </w:r>
          </w:p>
        </w:tc>
        <w:tc>
          <w:tcPr>
            <w:tcW w:w="2037" w:type="dxa"/>
            <w:tcBorders>
              <w:top w:val="single" w:color="000000" w:sz="4" w:space="0"/>
              <w:left w:val="single" w:color="000000" w:sz="4" w:space="0"/>
              <w:bottom w:val="single" w:color="000000" w:sz="4" w:space="0"/>
              <w:right w:val="single" w:color="000000" w:sz="4" w:space="0"/>
            </w:tcBorders>
            <w:noWrap w:val="0"/>
            <w:vAlign w:val="center"/>
          </w:tcPr>
          <w:p w14:paraId="7FFAD8F9">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FD</w:t>
            </w:r>
          </w:p>
        </w:tc>
      </w:tr>
      <w:tr w14:paraId="23EB3C68">
        <w:tblPrEx>
          <w:tblCellMar>
            <w:top w:w="0" w:type="dxa"/>
            <w:left w:w="108" w:type="dxa"/>
            <w:bottom w:w="0" w:type="dxa"/>
            <w:right w:w="108" w:type="dxa"/>
          </w:tblCellMar>
        </w:tblPrEx>
        <w:trPr>
          <w:trHeight w:val="567" w:hRule="atLeast"/>
          <w:jc w:val="center"/>
        </w:trPr>
        <w:tc>
          <w:tcPr>
            <w:tcW w:w="7022" w:type="dxa"/>
            <w:tcBorders>
              <w:top w:val="single" w:color="000000" w:sz="4" w:space="0"/>
              <w:left w:val="single" w:color="000000" w:sz="4" w:space="0"/>
              <w:bottom w:val="single" w:color="000000" w:sz="4" w:space="0"/>
              <w:right w:val="single" w:color="000000" w:sz="4" w:space="0"/>
            </w:tcBorders>
            <w:noWrap w:val="0"/>
            <w:vAlign w:val="center"/>
          </w:tcPr>
          <w:p w14:paraId="66CE3531">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偏差率</w:t>
            </w:r>
          </w:p>
        </w:tc>
        <w:tc>
          <w:tcPr>
            <w:tcW w:w="2037" w:type="dxa"/>
            <w:tcBorders>
              <w:top w:val="single" w:color="000000" w:sz="4" w:space="0"/>
              <w:left w:val="single" w:color="000000" w:sz="4" w:space="0"/>
              <w:bottom w:val="single" w:color="000000" w:sz="4" w:space="0"/>
              <w:right w:val="single" w:color="000000" w:sz="4" w:space="0"/>
            </w:tcBorders>
            <w:noWrap w:val="0"/>
            <w:vAlign w:val="center"/>
          </w:tcPr>
          <w:p w14:paraId="152671B1">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α</w:t>
            </w:r>
            <w:r>
              <w:rPr>
                <w:rFonts w:hint="eastAsia" w:ascii="宋体" w:hAnsi="宋体" w:eastAsia="宋体" w:cs="宋体"/>
                <w:color w:val="auto"/>
                <w:szCs w:val="21"/>
                <w:highlight w:val="none"/>
                <w:vertAlign w:val="subscript"/>
              </w:rPr>
              <w:t>FA</w:t>
            </w:r>
          </w:p>
        </w:tc>
      </w:tr>
      <w:tr w14:paraId="20A997A5">
        <w:tblPrEx>
          <w:tblCellMar>
            <w:top w:w="0" w:type="dxa"/>
            <w:left w:w="108" w:type="dxa"/>
            <w:bottom w:w="0" w:type="dxa"/>
            <w:right w:w="108" w:type="dxa"/>
          </w:tblCellMar>
        </w:tblPrEx>
        <w:trPr>
          <w:trHeight w:val="567" w:hRule="atLeast"/>
          <w:jc w:val="center"/>
        </w:trPr>
        <w:tc>
          <w:tcPr>
            <w:tcW w:w="7022" w:type="dxa"/>
            <w:tcBorders>
              <w:top w:val="single" w:color="000000" w:sz="4" w:space="0"/>
              <w:left w:val="single" w:color="000000" w:sz="4" w:space="0"/>
              <w:bottom w:val="single" w:color="000000" w:sz="4" w:space="0"/>
              <w:right w:val="single" w:color="000000" w:sz="4" w:space="0"/>
            </w:tcBorders>
            <w:noWrap w:val="0"/>
            <w:vAlign w:val="center"/>
          </w:tcPr>
          <w:p w14:paraId="71142717">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最低价偏差率</w:t>
            </w:r>
          </w:p>
        </w:tc>
        <w:tc>
          <w:tcPr>
            <w:tcW w:w="2037" w:type="dxa"/>
            <w:tcBorders>
              <w:top w:val="single" w:color="000000" w:sz="4" w:space="0"/>
              <w:left w:val="single" w:color="000000" w:sz="4" w:space="0"/>
              <w:bottom w:val="single" w:color="000000" w:sz="4" w:space="0"/>
              <w:right w:val="single" w:color="000000" w:sz="4" w:space="0"/>
            </w:tcBorders>
            <w:noWrap w:val="0"/>
            <w:vAlign w:val="center"/>
          </w:tcPr>
          <w:p w14:paraId="31B762D7">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β</w:t>
            </w:r>
            <w:r>
              <w:rPr>
                <w:rFonts w:hint="eastAsia" w:ascii="宋体" w:hAnsi="宋体" w:eastAsia="宋体" w:cs="宋体"/>
                <w:color w:val="auto"/>
                <w:szCs w:val="21"/>
                <w:highlight w:val="none"/>
                <w:vertAlign w:val="subscript"/>
              </w:rPr>
              <w:t>FA</w:t>
            </w:r>
          </w:p>
        </w:tc>
      </w:tr>
    </w:tbl>
    <w:p w14:paraId="2F8373E5">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2.商务标得分等于下列4项得分之和。</w:t>
      </w:r>
    </w:p>
    <w:tbl>
      <w:tblPr>
        <w:tblStyle w:val="43"/>
        <w:tblW w:w="9072" w:type="dxa"/>
        <w:jc w:val="center"/>
        <w:tblLayout w:type="autofit"/>
        <w:tblCellMar>
          <w:top w:w="0" w:type="dxa"/>
          <w:left w:w="108" w:type="dxa"/>
          <w:bottom w:w="0" w:type="dxa"/>
          <w:right w:w="108" w:type="dxa"/>
        </w:tblCellMar>
      </w:tblPr>
      <w:tblGrid>
        <w:gridCol w:w="752"/>
        <w:gridCol w:w="5019"/>
        <w:gridCol w:w="1108"/>
        <w:gridCol w:w="2193"/>
      </w:tblGrid>
      <w:tr w14:paraId="762BA249">
        <w:tblPrEx>
          <w:tblCellMar>
            <w:top w:w="0" w:type="dxa"/>
            <w:left w:w="108" w:type="dxa"/>
            <w:bottom w:w="0" w:type="dxa"/>
            <w:right w:w="108" w:type="dxa"/>
          </w:tblCellMar>
        </w:tblPrEx>
        <w:trPr>
          <w:trHeight w:val="567"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14:paraId="586B929E">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序号</w:t>
            </w:r>
          </w:p>
        </w:tc>
        <w:tc>
          <w:tcPr>
            <w:tcW w:w="5019" w:type="dxa"/>
            <w:tcBorders>
              <w:top w:val="single" w:color="000000" w:sz="4" w:space="0"/>
              <w:left w:val="single" w:color="000000" w:sz="4" w:space="0"/>
              <w:bottom w:val="single" w:color="000000" w:sz="4" w:space="0"/>
              <w:right w:val="single" w:color="000000" w:sz="4" w:space="0"/>
            </w:tcBorders>
            <w:noWrap w:val="0"/>
            <w:vAlign w:val="center"/>
          </w:tcPr>
          <w:p w14:paraId="1D99DD29">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项目</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1586FC0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分值</w:t>
            </w:r>
          </w:p>
        </w:tc>
        <w:tc>
          <w:tcPr>
            <w:tcW w:w="2193" w:type="dxa"/>
            <w:tcBorders>
              <w:top w:val="single" w:color="000000" w:sz="4" w:space="0"/>
              <w:left w:val="single" w:color="000000" w:sz="4" w:space="0"/>
              <w:bottom w:val="single" w:color="000000" w:sz="4" w:space="0"/>
              <w:right w:val="single" w:color="000000" w:sz="4" w:space="0"/>
            </w:tcBorders>
            <w:noWrap w:val="0"/>
            <w:vAlign w:val="center"/>
          </w:tcPr>
          <w:p w14:paraId="1457F9DC">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评审得分</w:t>
            </w:r>
          </w:p>
        </w:tc>
      </w:tr>
      <w:tr w14:paraId="14E5D1B8">
        <w:tblPrEx>
          <w:tblCellMar>
            <w:top w:w="0" w:type="dxa"/>
            <w:left w:w="108" w:type="dxa"/>
            <w:bottom w:w="0" w:type="dxa"/>
            <w:right w:w="108" w:type="dxa"/>
          </w:tblCellMar>
        </w:tblPrEx>
        <w:trPr>
          <w:trHeight w:val="567"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14:paraId="516C27C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5019" w:type="dxa"/>
            <w:tcBorders>
              <w:top w:val="single" w:color="000000" w:sz="4" w:space="0"/>
              <w:left w:val="single" w:color="000000" w:sz="4" w:space="0"/>
              <w:bottom w:val="single" w:color="000000" w:sz="4" w:space="0"/>
              <w:right w:val="single" w:color="000000" w:sz="4" w:space="0"/>
            </w:tcBorders>
            <w:noWrap w:val="0"/>
            <w:vAlign w:val="center"/>
          </w:tcPr>
          <w:p w14:paraId="29BC19EE">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投标报价评审</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43E3C1BC">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30</w:t>
            </w:r>
          </w:p>
        </w:tc>
        <w:tc>
          <w:tcPr>
            <w:tcW w:w="2193" w:type="dxa"/>
            <w:tcBorders>
              <w:top w:val="single" w:color="000000" w:sz="4" w:space="0"/>
              <w:left w:val="single" w:color="000000" w:sz="4" w:space="0"/>
              <w:bottom w:val="single" w:color="000000" w:sz="4" w:space="0"/>
              <w:right w:val="single" w:color="000000" w:sz="4" w:space="0"/>
            </w:tcBorders>
            <w:noWrap w:val="0"/>
            <w:vAlign w:val="center"/>
          </w:tcPr>
          <w:p w14:paraId="5955D3D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30≥FA≥0</w:t>
            </w:r>
          </w:p>
        </w:tc>
      </w:tr>
      <w:tr w14:paraId="4D24A5AA">
        <w:tblPrEx>
          <w:tblCellMar>
            <w:top w:w="0" w:type="dxa"/>
            <w:left w:w="108" w:type="dxa"/>
            <w:bottom w:w="0" w:type="dxa"/>
            <w:right w:w="108" w:type="dxa"/>
          </w:tblCellMar>
        </w:tblPrEx>
        <w:trPr>
          <w:trHeight w:val="567"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14:paraId="5653681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5019" w:type="dxa"/>
            <w:tcBorders>
              <w:top w:val="single" w:color="000000" w:sz="4" w:space="0"/>
              <w:left w:val="single" w:color="000000" w:sz="4" w:space="0"/>
              <w:bottom w:val="single" w:color="000000" w:sz="4" w:space="0"/>
              <w:right w:val="single" w:color="000000" w:sz="4" w:space="0"/>
            </w:tcBorders>
            <w:noWrap w:val="0"/>
            <w:vAlign w:val="center"/>
          </w:tcPr>
          <w:p w14:paraId="30A67634">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分部分项工程项目清单综合单价评审</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6EC69BAC">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10</w:t>
            </w:r>
          </w:p>
        </w:tc>
        <w:tc>
          <w:tcPr>
            <w:tcW w:w="2193" w:type="dxa"/>
            <w:tcBorders>
              <w:top w:val="single" w:color="000000" w:sz="4" w:space="0"/>
              <w:left w:val="single" w:color="000000" w:sz="4" w:space="0"/>
              <w:bottom w:val="single" w:color="000000" w:sz="4" w:space="0"/>
              <w:right w:val="single" w:color="000000" w:sz="4" w:space="0"/>
            </w:tcBorders>
            <w:noWrap w:val="0"/>
            <w:vAlign w:val="center"/>
          </w:tcPr>
          <w:p w14:paraId="6E7C4D0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10≥FB≥0</w:t>
            </w:r>
          </w:p>
        </w:tc>
      </w:tr>
      <w:tr w14:paraId="097B6E56">
        <w:tblPrEx>
          <w:tblCellMar>
            <w:top w:w="0" w:type="dxa"/>
            <w:left w:w="108" w:type="dxa"/>
            <w:bottom w:w="0" w:type="dxa"/>
            <w:right w:w="108" w:type="dxa"/>
          </w:tblCellMar>
        </w:tblPrEx>
        <w:trPr>
          <w:trHeight w:val="567" w:hRule="atLeast"/>
          <w:jc w:val="center"/>
        </w:trPr>
        <w:tc>
          <w:tcPr>
            <w:tcW w:w="752" w:type="dxa"/>
            <w:tcBorders>
              <w:top w:val="single" w:color="000000" w:sz="4" w:space="0"/>
              <w:left w:val="single" w:color="000000" w:sz="4" w:space="0"/>
              <w:bottom w:val="single" w:color="000000" w:sz="4" w:space="0"/>
              <w:right w:val="single" w:color="000000" w:sz="4" w:space="0"/>
            </w:tcBorders>
            <w:noWrap w:val="0"/>
            <w:vAlign w:val="center"/>
          </w:tcPr>
          <w:p w14:paraId="251A3B89">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5019" w:type="dxa"/>
            <w:tcBorders>
              <w:top w:val="single" w:color="000000" w:sz="4" w:space="0"/>
              <w:left w:val="single" w:color="000000" w:sz="4" w:space="0"/>
              <w:bottom w:val="single" w:color="000000" w:sz="4" w:space="0"/>
              <w:right w:val="single" w:color="000000" w:sz="4" w:space="0"/>
            </w:tcBorders>
            <w:noWrap w:val="0"/>
            <w:vAlign w:val="center"/>
          </w:tcPr>
          <w:p w14:paraId="13E3BC8B">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措施项目费（不含安全文明施工措施费）评审</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3BB33C01">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w:t>
            </w:r>
          </w:p>
        </w:tc>
        <w:tc>
          <w:tcPr>
            <w:tcW w:w="2193" w:type="dxa"/>
            <w:tcBorders>
              <w:top w:val="single" w:color="000000" w:sz="4" w:space="0"/>
              <w:left w:val="single" w:color="000000" w:sz="4" w:space="0"/>
              <w:bottom w:val="single" w:color="000000" w:sz="4" w:space="0"/>
              <w:right w:val="single" w:color="000000" w:sz="4" w:space="0"/>
            </w:tcBorders>
            <w:noWrap w:val="0"/>
            <w:vAlign w:val="center"/>
          </w:tcPr>
          <w:p w14:paraId="3BA4FA6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5≥FC≥0</w:t>
            </w:r>
          </w:p>
        </w:tc>
      </w:tr>
      <w:tr w14:paraId="2931627E">
        <w:tblPrEx>
          <w:tblCellMar>
            <w:top w:w="0" w:type="dxa"/>
            <w:left w:w="108" w:type="dxa"/>
            <w:bottom w:w="0" w:type="dxa"/>
            <w:right w:w="108" w:type="dxa"/>
          </w:tblCellMar>
        </w:tblPrEx>
        <w:trPr>
          <w:trHeight w:val="567" w:hRule="atLeast"/>
          <w:jc w:val="center"/>
        </w:trPr>
        <w:tc>
          <w:tcPr>
            <w:tcW w:w="752" w:type="dxa"/>
            <w:tcBorders>
              <w:top w:val="single" w:color="000000" w:sz="4" w:space="0"/>
              <w:left w:val="single" w:color="000000" w:sz="4" w:space="0"/>
              <w:bottom w:val="nil"/>
              <w:right w:val="single" w:color="000000" w:sz="4" w:space="0"/>
            </w:tcBorders>
            <w:noWrap w:val="0"/>
            <w:vAlign w:val="center"/>
          </w:tcPr>
          <w:p w14:paraId="72161F34">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4</w:t>
            </w:r>
          </w:p>
        </w:tc>
        <w:tc>
          <w:tcPr>
            <w:tcW w:w="5019" w:type="dxa"/>
            <w:tcBorders>
              <w:top w:val="single" w:color="000000" w:sz="4" w:space="0"/>
              <w:left w:val="single" w:color="000000" w:sz="4" w:space="0"/>
              <w:bottom w:val="nil"/>
              <w:right w:val="single" w:color="000000" w:sz="4" w:space="0"/>
            </w:tcBorders>
            <w:noWrap w:val="0"/>
            <w:vAlign w:val="center"/>
          </w:tcPr>
          <w:p w14:paraId="0FE2F89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材料单价评审</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743BC29C">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w:t>
            </w:r>
          </w:p>
        </w:tc>
        <w:tc>
          <w:tcPr>
            <w:tcW w:w="2193" w:type="dxa"/>
            <w:tcBorders>
              <w:top w:val="single" w:color="000000" w:sz="4" w:space="0"/>
              <w:left w:val="single" w:color="000000" w:sz="4" w:space="0"/>
              <w:bottom w:val="single" w:color="000000" w:sz="4" w:space="0"/>
              <w:right w:val="single" w:color="000000" w:sz="4" w:space="0"/>
            </w:tcBorders>
            <w:noWrap w:val="0"/>
            <w:vAlign w:val="center"/>
          </w:tcPr>
          <w:p w14:paraId="0A49F0A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5≥FD≥0</w:t>
            </w:r>
          </w:p>
        </w:tc>
      </w:tr>
      <w:tr w14:paraId="4C410285">
        <w:tblPrEx>
          <w:tblCellMar>
            <w:top w:w="0" w:type="dxa"/>
            <w:left w:w="108" w:type="dxa"/>
            <w:bottom w:w="0" w:type="dxa"/>
            <w:right w:w="108" w:type="dxa"/>
          </w:tblCellMar>
        </w:tblPrEx>
        <w:trPr>
          <w:trHeight w:val="567" w:hRule="atLeast"/>
          <w:jc w:val="center"/>
        </w:trPr>
        <w:tc>
          <w:tcPr>
            <w:tcW w:w="5771" w:type="dxa"/>
            <w:gridSpan w:val="2"/>
            <w:tcBorders>
              <w:top w:val="single" w:color="000000" w:sz="4" w:space="0"/>
              <w:left w:val="single" w:color="000000" w:sz="4" w:space="0"/>
              <w:bottom w:val="single" w:color="000000" w:sz="4" w:space="0"/>
              <w:right w:val="single" w:color="000000" w:sz="4" w:space="0"/>
            </w:tcBorders>
            <w:noWrap w:val="0"/>
            <w:vAlign w:val="center"/>
          </w:tcPr>
          <w:p w14:paraId="4492542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合计</w:t>
            </w:r>
          </w:p>
        </w:tc>
        <w:tc>
          <w:tcPr>
            <w:tcW w:w="1108" w:type="dxa"/>
            <w:tcBorders>
              <w:top w:val="single" w:color="000000" w:sz="4" w:space="0"/>
              <w:left w:val="single" w:color="000000" w:sz="4" w:space="0"/>
              <w:bottom w:val="single" w:color="000000" w:sz="4" w:space="0"/>
              <w:right w:val="single" w:color="000000" w:sz="4" w:space="0"/>
            </w:tcBorders>
            <w:noWrap w:val="0"/>
            <w:vAlign w:val="center"/>
          </w:tcPr>
          <w:p w14:paraId="6B39B103">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50</w:t>
            </w:r>
          </w:p>
        </w:tc>
        <w:tc>
          <w:tcPr>
            <w:tcW w:w="2193" w:type="dxa"/>
            <w:tcBorders>
              <w:top w:val="single" w:color="000000" w:sz="4" w:space="0"/>
              <w:left w:val="single" w:color="000000" w:sz="4" w:space="0"/>
              <w:bottom w:val="single" w:color="000000" w:sz="4" w:space="0"/>
              <w:right w:val="single" w:color="000000" w:sz="4" w:space="0"/>
            </w:tcBorders>
            <w:noWrap w:val="0"/>
            <w:vAlign w:val="center"/>
          </w:tcPr>
          <w:p w14:paraId="06F75B9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F=FA+FB+FC+FD</w:t>
            </w:r>
          </w:p>
        </w:tc>
      </w:tr>
    </w:tbl>
    <w:p w14:paraId="5095F594">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3.投标报价的评审，共计30分。</w:t>
      </w:r>
    </w:p>
    <w:p w14:paraId="7C8576DC">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偏差率=（投标人有效投标报价-投标报价基准价）/ 投标报价基准价；</w:t>
      </w:r>
    </w:p>
    <w:p w14:paraId="64944394">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计分规则见下表。</w:t>
      </w:r>
    </w:p>
    <w:tbl>
      <w:tblPr>
        <w:tblStyle w:val="43"/>
        <w:tblW w:w="9118" w:type="dxa"/>
        <w:jc w:val="center"/>
        <w:tblLayout w:type="autofit"/>
        <w:tblCellMar>
          <w:top w:w="0" w:type="dxa"/>
          <w:left w:w="108" w:type="dxa"/>
          <w:bottom w:w="0" w:type="dxa"/>
          <w:right w:w="108" w:type="dxa"/>
        </w:tblCellMar>
      </w:tblPr>
      <w:tblGrid>
        <w:gridCol w:w="780"/>
        <w:gridCol w:w="1170"/>
        <w:gridCol w:w="4291"/>
        <w:gridCol w:w="2877"/>
      </w:tblGrid>
      <w:tr w14:paraId="7844C57E">
        <w:tblPrEx>
          <w:tblCellMar>
            <w:top w:w="0" w:type="dxa"/>
            <w:left w:w="108" w:type="dxa"/>
            <w:bottom w:w="0" w:type="dxa"/>
            <w:right w:w="108" w:type="dxa"/>
          </w:tblCellMar>
        </w:tblPrEx>
        <w:trPr>
          <w:trHeight w:val="680" w:hRule="atLeast"/>
          <w:jc w:val="center"/>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29C385F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序号</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2E90098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偏差率</w:t>
            </w:r>
          </w:p>
        </w:tc>
        <w:tc>
          <w:tcPr>
            <w:tcW w:w="4291" w:type="dxa"/>
            <w:tcBorders>
              <w:top w:val="single" w:color="000000" w:sz="4" w:space="0"/>
              <w:left w:val="single" w:color="000000" w:sz="4" w:space="0"/>
              <w:bottom w:val="single" w:color="000000" w:sz="4" w:space="0"/>
              <w:right w:val="single" w:color="000000" w:sz="4" w:space="0"/>
            </w:tcBorders>
            <w:noWrap w:val="0"/>
            <w:vAlign w:val="center"/>
          </w:tcPr>
          <w:p w14:paraId="7386E7A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满足条件</w:t>
            </w:r>
          </w:p>
        </w:tc>
        <w:tc>
          <w:tcPr>
            <w:tcW w:w="2877" w:type="dxa"/>
            <w:tcBorders>
              <w:top w:val="single" w:color="000000" w:sz="4" w:space="0"/>
              <w:left w:val="single" w:color="000000" w:sz="4" w:space="0"/>
              <w:bottom w:val="single" w:color="000000" w:sz="4" w:space="0"/>
              <w:right w:val="single" w:color="000000" w:sz="4" w:space="0"/>
            </w:tcBorders>
            <w:noWrap w:val="0"/>
            <w:vAlign w:val="center"/>
          </w:tcPr>
          <w:p w14:paraId="6885E20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计分FA</w:t>
            </w:r>
          </w:p>
        </w:tc>
      </w:tr>
      <w:tr w14:paraId="4FDDD9F4">
        <w:tblPrEx>
          <w:tblCellMar>
            <w:top w:w="0" w:type="dxa"/>
            <w:left w:w="108" w:type="dxa"/>
            <w:bottom w:w="0" w:type="dxa"/>
            <w:right w:w="108" w:type="dxa"/>
          </w:tblCellMar>
        </w:tblPrEx>
        <w:trPr>
          <w:trHeight w:val="680" w:hRule="atLeast"/>
          <w:jc w:val="center"/>
        </w:trPr>
        <w:tc>
          <w:tcPr>
            <w:tcW w:w="9118" w:type="dxa"/>
            <w:gridSpan w:val="4"/>
            <w:tcBorders>
              <w:top w:val="single" w:color="000000" w:sz="4" w:space="0"/>
              <w:left w:val="single" w:color="000000" w:sz="4" w:space="0"/>
              <w:bottom w:val="single" w:color="000000" w:sz="4" w:space="0"/>
              <w:right w:val="single" w:color="000000" w:sz="4" w:space="0"/>
            </w:tcBorders>
            <w:noWrap w:val="0"/>
            <w:vAlign w:val="center"/>
          </w:tcPr>
          <w:p w14:paraId="237B6A7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综合评估法</w:t>
            </w:r>
          </w:p>
        </w:tc>
      </w:tr>
      <w:tr w14:paraId="45367571">
        <w:tblPrEx>
          <w:tblCellMar>
            <w:top w:w="0" w:type="dxa"/>
            <w:left w:w="108" w:type="dxa"/>
            <w:bottom w:w="0" w:type="dxa"/>
            <w:right w:w="108" w:type="dxa"/>
          </w:tblCellMar>
        </w:tblPrEx>
        <w:trPr>
          <w:trHeight w:val="850" w:hRule="atLeast"/>
          <w:jc w:val="center"/>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2D1F843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5FD676E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α</w:t>
            </w:r>
            <w:r>
              <w:rPr>
                <w:rStyle w:val="182"/>
                <w:rFonts w:hint="eastAsia" w:ascii="宋体" w:hAnsi="宋体" w:eastAsia="宋体" w:cs="宋体"/>
                <w:color w:val="auto"/>
                <w:sz w:val="21"/>
                <w:szCs w:val="21"/>
                <w:highlight w:val="none"/>
                <w:lang w:bidi="ar"/>
              </w:rPr>
              <w:t>FA</w:t>
            </w:r>
            <w:r>
              <w:rPr>
                <w:rStyle w:val="183"/>
                <w:rFonts w:hint="eastAsia" w:ascii="宋体" w:hAnsi="宋体" w:eastAsia="宋体" w:cs="宋体"/>
                <w:color w:val="auto"/>
                <w:highlight w:val="none"/>
                <w:lang w:bidi="ar"/>
              </w:rPr>
              <w:t>=0</w:t>
            </w:r>
          </w:p>
        </w:tc>
        <w:tc>
          <w:tcPr>
            <w:tcW w:w="4291" w:type="dxa"/>
            <w:tcBorders>
              <w:top w:val="single" w:color="000000" w:sz="4" w:space="0"/>
              <w:left w:val="single" w:color="000000" w:sz="4" w:space="0"/>
              <w:bottom w:val="single" w:color="000000" w:sz="4" w:space="0"/>
              <w:right w:val="single" w:color="000000" w:sz="4" w:space="0"/>
            </w:tcBorders>
            <w:noWrap w:val="0"/>
            <w:vAlign w:val="center"/>
          </w:tcPr>
          <w:p w14:paraId="118AEED7">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FA=满分</w:t>
            </w:r>
          </w:p>
        </w:tc>
        <w:tc>
          <w:tcPr>
            <w:tcW w:w="2877" w:type="dxa"/>
            <w:tcBorders>
              <w:top w:val="single" w:color="000000" w:sz="4" w:space="0"/>
              <w:left w:val="single" w:color="000000" w:sz="4" w:space="0"/>
              <w:bottom w:val="single" w:color="000000" w:sz="4" w:space="0"/>
              <w:right w:val="single" w:color="000000" w:sz="4" w:space="0"/>
            </w:tcBorders>
            <w:noWrap w:val="0"/>
            <w:vAlign w:val="center"/>
          </w:tcPr>
          <w:p w14:paraId="43A71639">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FA=30</w:t>
            </w:r>
          </w:p>
        </w:tc>
      </w:tr>
      <w:tr w14:paraId="040B6B12">
        <w:tblPrEx>
          <w:tblCellMar>
            <w:top w:w="0" w:type="dxa"/>
            <w:left w:w="108" w:type="dxa"/>
            <w:bottom w:w="0" w:type="dxa"/>
            <w:right w:w="108" w:type="dxa"/>
          </w:tblCellMar>
        </w:tblPrEx>
        <w:trPr>
          <w:trHeight w:val="850" w:hRule="atLeast"/>
          <w:jc w:val="center"/>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4C8EB37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059A10EB">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α</w:t>
            </w:r>
            <w:r>
              <w:rPr>
                <w:rStyle w:val="182"/>
                <w:rFonts w:hint="eastAsia" w:ascii="宋体" w:hAnsi="宋体" w:eastAsia="宋体" w:cs="宋体"/>
                <w:color w:val="auto"/>
                <w:sz w:val="21"/>
                <w:szCs w:val="21"/>
                <w:highlight w:val="none"/>
                <w:lang w:bidi="ar"/>
              </w:rPr>
              <w:t>FA</w:t>
            </w:r>
            <w:r>
              <w:rPr>
                <w:rStyle w:val="183"/>
                <w:rFonts w:hint="eastAsia" w:ascii="宋体" w:hAnsi="宋体" w:eastAsia="宋体" w:cs="宋体"/>
                <w:color w:val="auto"/>
                <w:highlight w:val="none"/>
                <w:lang w:bidi="ar"/>
              </w:rPr>
              <w:t>&lt;0</w:t>
            </w:r>
          </w:p>
        </w:tc>
        <w:tc>
          <w:tcPr>
            <w:tcW w:w="4291" w:type="dxa"/>
            <w:tcBorders>
              <w:top w:val="single" w:color="000000" w:sz="4" w:space="0"/>
              <w:left w:val="single" w:color="000000" w:sz="4" w:space="0"/>
              <w:bottom w:val="single" w:color="000000" w:sz="4" w:space="0"/>
              <w:right w:val="single" w:color="000000" w:sz="4" w:space="0"/>
            </w:tcBorders>
            <w:noWrap w:val="0"/>
            <w:vAlign w:val="center"/>
          </w:tcPr>
          <w:p w14:paraId="18CFE07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偏差率</w:t>
            </w:r>
            <w:r>
              <w:rPr>
                <w:rStyle w:val="184"/>
                <w:rFonts w:hint="eastAsia" w:ascii="宋体" w:hAnsi="宋体" w:eastAsia="宋体" w:cs="宋体"/>
                <w:color w:val="auto"/>
                <w:sz w:val="21"/>
                <w:szCs w:val="21"/>
                <w:highlight w:val="none"/>
                <w:lang w:bidi="ar"/>
              </w:rPr>
              <w:t>α</w:t>
            </w:r>
            <w:r>
              <w:rPr>
                <w:rStyle w:val="182"/>
                <w:rFonts w:hint="eastAsia" w:ascii="宋体" w:hAnsi="宋体" w:eastAsia="宋体" w:cs="宋体"/>
                <w:color w:val="auto"/>
                <w:sz w:val="21"/>
                <w:szCs w:val="21"/>
                <w:highlight w:val="none"/>
                <w:lang w:bidi="ar"/>
              </w:rPr>
              <w:t>FA</w:t>
            </w:r>
            <w:r>
              <w:rPr>
                <w:rStyle w:val="183"/>
                <w:rFonts w:hint="eastAsia" w:ascii="宋体" w:hAnsi="宋体" w:eastAsia="宋体" w:cs="宋体"/>
                <w:color w:val="auto"/>
                <w:highlight w:val="none"/>
                <w:lang w:bidi="ar"/>
              </w:rPr>
              <w:t>每减少1%时，在满分30分上减扣1分；以此类推，减扣至0为止。</w:t>
            </w:r>
          </w:p>
        </w:tc>
        <w:tc>
          <w:tcPr>
            <w:tcW w:w="2877" w:type="dxa"/>
            <w:tcBorders>
              <w:top w:val="single" w:color="000000" w:sz="4" w:space="0"/>
              <w:left w:val="single" w:color="000000" w:sz="4" w:space="0"/>
              <w:bottom w:val="single" w:color="000000" w:sz="4" w:space="0"/>
              <w:right w:val="single" w:color="000000" w:sz="4" w:space="0"/>
            </w:tcBorders>
            <w:noWrap w:val="0"/>
            <w:vAlign w:val="center"/>
          </w:tcPr>
          <w:p w14:paraId="673C7F1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FA=30-|</w:t>
            </w:r>
            <w:r>
              <w:rPr>
                <w:rStyle w:val="184"/>
                <w:rFonts w:hint="eastAsia" w:ascii="宋体" w:hAnsi="宋体" w:eastAsia="宋体" w:cs="宋体"/>
                <w:color w:val="auto"/>
                <w:sz w:val="21"/>
                <w:szCs w:val="21"/>
                <w:highlight w:val="none"/>
                <w:lang w:bidi="ar"/>
              </w:rPr>
              <w:t>α</w:t>
            </w:r>
            <w:r>
              <w:rPr>
                <w:rStyle w:val="182"/>
                <w:rFonts w:hint="eastAsia" w:ascii="宋体" w:hAnsi="宋体" w:eastAsia="宋体" w:cs="宋体"/>
                <w:color w:val="auto"/>
                <w:sz w:val="21"/>
                <w:szCs w:val="21"/>
                <w:highlight w:val="none"/>
                <w:lang w:bidi="ar"/>
              </w:rPr>
              <w:t>FA</w:t>
            </w:r>
            <w:r>
              <w:rPr>
                <w:rStyle w:val="183"/>
                <w:rFonts w:hint="eastAsia" w:ascii="宋体" w:hAnsi="宋体" w:eastAsia="宋体" w:cs="宋体"/>
                <w:color w:val="auto"/>
                <w:highlight w:val="none"/>
                <w:lang w:bidi="ar"/>
              </w:rPr>
              <w:t>|×100×1</w:t>
            </w:r>
          </w:p>
        </w:tc>
      </w:tr>
      <w:tr w14:paraId="47FFF262">
        <w:tblPrEx>
          <w:tblCellMar>
            <w:top w:w="0" w:type="dxa"/>
            <w:left w:w="108" w:type="dxa"/>
            <w:bottom w:w="0" w:type="dxa"/>
            <w:right w:w="108" w:type="dxa"/>
          </w:tblCellMar>
        </w:tblPrEx>
        <w:trPr>
          <w:trHeight w:val="850" w:hRule="atLeast"/>
          <w:jc w:val="center"/>
        </w:trPr>
        <w:tc>
          <w:tcPr>
            <w:tcW w:w="780" w:type="dxa"/>
            <w:tcBorders>
              <w:top w:val="single" w:color="000000" w:sz="4" w:space="0"/>
              <w:left w:val="single" w:color="000000" w:sz="4" w:space="0"/>
              <w:bottom w:val="single" w:color="000000" w:sz="4" w:space="0"/>
              <w:right w:val="single" w:color="000000" w:sz="4" w:space="0"/>
            </w:tcBorders>
            <w:noWrap w:val="0"/>
            <w:vAlign w:val="center"/>
          </w:tcPr>
          <w:p w14:paraId="4C0A9DF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170" w:type="dxa"/>
            <w:tcBorders>
              <w:top w:val="single" w:color="000000" w:sz="4" w:space="0"/>
              <w:left w:val="single" w:color="000000" w:sz="4" w:space="0"/>
              <w:bottom w:val="single" w:color="000000" w:sz="4" w:space="0"/>
              <w:right w:val="single" w:color="000000" w:sz="4" w:space="0"/>
            </w:tcBorders>
            <w:noWrap w:val="0"/>
            <w:vAlign w:val="center"/>
          </w:tcPr>
          <w:p w14:paraId="6AF05EF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α</w:t>
            </w:r>
            <w:r>
              <w:rPr>
                <w:rStyle w:val="182"/>
                <w:rFonts w:hint="eastAsia" w:ascii="宋体" w:hAnsi="宋体" w:eastAsia="宋体" w:cs="宋体"/>
                <w:color w:val="auto"/>
                <w:sz w:val="21"/>
                <w:szCs w:val="21"/>
                <w:highlight w:val="none"/>
                <w:lang w:bidi="ar"/>
              </w:rPr>
              <w:t>FA</w:t>
            </w:r>
            <w:r>
              <w:rPr>
                <w:rStyle w:val="183"/>
                <w:rFonts w:hint="eastAsia" w:ascii="宋体" w:hAnsi="宋体" w:eastAsia="宋体" w:cs="宋体"/>
                <w:color w:val="auto"/>
                <w:highlight w:val="none"/>
                <w:lang w:bidi="ar"/>
              </w:rPr>
              <w:t>&gt;0</w:t>
            </w:r>
          </w:p>
        </w:tc>
        <w:tc>
          <w:tcPr>
            <w:tcW w:w="4291" w:type="dxa"/>
            <w:tcBorders>
              <w:top w:val="single" w:color="000000" w:sz="4" w:space="0"/>
              <w:left w:val="single" w:color="000000" w:sz="4" w:space="0"/>
              <w:bottom w:val="single" w:color="000000" w:sz="4" w:space="0"/>
              <w:right w:val="single" w:color="000000" w:sz="4" w:space="0"/>
            </w:tcBorders>
            <w:noWrap w:val="0"/>
            <w:vAlign w:val="center"/>
          </w:tcPr>
          <w:p w14:paraId="37B2AFDE">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偏差率</w:t>
            </w:r>
            <w:r>
              <w:rPr>
                <w:rStyle w:val="184"/>
                <w:rFonts w:hint="eastAsia" w:ascii="宋体" w:hAnsi="宋体" w:eastAsia="宋体" w:cs="宋体"/>
                <w:color w:val="auto"/>
                <w:sz w:val="21"/>
                <w:szCs w:val="21"/>
                <w:highlight w:val="none"/>
                <w:lang w:bidi="ar"/>
              </w:rPr>
              <w:t>α</w:t>
            </w:r>
            <w:r>
              <w:rPr>
                <w:rStyle w:val="182"/>
                <w:rFonts w:hint="eastAsia" w:ascii="宋体" w:hAnsi="宋体" w:eastAsia="宋体" w:cs="宋体"/>
                <w:color w:val="auto"/>
                <w:sz w:val="21"/>
                <w:szCs w:val="21"/>
                <w:highlight w:val="none"/>
                <w:lang w:bidi="ar"/>
              </w:rPr>
              <w:t>FA</w:t>
            </w:r>
            <w:r>
              <w:rPr>
                <w:rFonts w:hint="eastAsia" w:ascii="宋体" w:hAnsi="宋体" w:eastAsia="宋体" w:cs="宋体"/>
                <w:color w:val="auto"/>
                <w:kern w:val="0"/>
                <w:szCs w:val="21"/>
                <w:highlight w:val="none"/>
                <w:lang w:bidi="ar"/>
              </w:rPr>
              <w:t>每增加1%时，在满分30分上减扣2分；以此类推，减扣至0为止。</w:t>
            </w:r>
          </w:p>
        </w:tc>
        <w:tc>
          <w:tcPr>
            <w:tcW w:w="2877" w:type="dxa"/>
            <w:tcBorders>
              <w:top w:val="single" w:color="000000" w:sz="4" w:space="0"/>
              <w:left w:val="single" w:color="000000" w:sz="4" w:space="0"/>
              <w:bottom w:val="single" w:color="000000" w:sz="4" w:space="0"/>
              <w:right w:val="single" w:color="000000" w:sz="4" w:space="0"/>
            </w:tcBorders>
            <w:noWrap w:val="0"/>
            <w:vAlign w:val="center"/>
          </w:tcPr>
          <w:p w14:paraId="73B4BC84">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FA=30-|</w:t>
            </w:r>
            <w:r>
              <w:rPr>
                <w:rStyle w:val="184"/>
                <w:rFonts w:hint="eastAsia" w:ascii="宋体" w:hAnsi="宋体" w:eastAsia="宋体" w:cs="宋体"/>
                <w:color w:val="auto"/>
                <w:sz w:val="21"/>
                <w:szCs w:val="21"/>
                <w:highlight w:val="none"/>
                <w:lang w:bidi="ar"/>
              </w:rPr>
              <w:t>α</w:t>
            </w:r>
            <w:r>
              <w:rPr>
                <w:rStyle w:val="182"/>
                <w:rFonts w:hint="eastAsia" w:ascii="宋体" w:hAnsi="宋体" w:eastAsia="宋体" w:cs="宋体"/>
                <w:color w:val="auto"/>
                <w:sz w:val="21"/>
                <w:szCs w:val="21"/>
                <w:highlight w:val="none"/>
                <w:lang w:bidi="ar"/>
              </w:rPr>
              <w:t>FA</w:t>
            </w:r>
            <w:r>
              <w:rPr>
                <w:rStyle w:val="183"/>
                <w:rFonts w:hint="eastAsia" w:ascii="宋体" w:hAnsi="宋体" w:eastAsia="宋体" w:cs="宋体"/>
                <w:color w:val="auto"/>
                <w:highlight w:val="none"/>
                <w:lang w:bidi="ar"/>
              </w:rPr>
              <w:t>|×100×2</w:t>
            </w:r>
          </w:p>
        </w:tc>
      </w:tr>
    </w:tbl>
    <w:p w14:paraId="43C90100">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注：表中的</w:t>
      </w:r>
      <w:r>
        <w:rPr>
          <w:rFonts w:hint="eastAsia" w:ascii="宋体" w:hAnsi="宋体" w:eastAsia="宋体" w:cs="宋体"/>
          <w:color w:val="auto"/>
          <w:sz w:val="21"/>
          <w:szCs w:val="21"/>
          <w:highlight w:val="none"/>
          <w:lang w:bidi="ar"/>
        </w:rPr>
        <w:t>|</w:t>
      </w:r>
      <w:r>
        <w:rPr>
          <w:rStyle w:val="184"/>
          <w:rFonts w:hint="eastAsia" w:ascii="宋体" w:hAnsi="宋体" w:eastAsia="宋体" w:cs="宋体"/>
          <w:color w:val="auto"/>
          <w:sz w:val="21"/>
          <w:szCs w:val="21"/>
          <w:highlight w:val="none"/>
          <w:lang w:bidi="ar"/>
        </w:rPr>
        <w:t>α</w:t>
      </w:r>
      <w:r>
        <w:rPr>
          <w:rStyle w:val="182"/>
          <w:rFonts w:hint="eastAsia" w:ascii="宋体" w:hAnsi="宋体" w:eastAsia="宋体" w:cs="宋体"/>
          <w:color w:val="auto"/>
          <w:sz w:val="21"/>
          <w:szCs w:val="21"/>
          <w:highlight w:val="none"/>
          <w:lang w:bidi="ar"/>
        </w:rPr>
        <w:t>FA</w:t>
      </w:r>
      <w:r>
        <w:rPr>
          <w:rStyle w:val="183"/>
          <w:rFonts w:hint="eastAsia" w:ascii="宋体" w:hAnsi="宋体" w:eastAsia="宋体" w:cs="宋体"/>
          <w:color w:val="auto"/>
          <w:highlight w:val="none"/>
          <w:lang w:bidi="ar"/>
        </w:rPr>
        <w:t>|</w:t>
      </w:r>
      <w:r>
        <w:rPr>
          <w:rFonts w:hint="eastAsia" w:ascii="宋体" w:hAnsi="宋体" w:eastAsia="宋体" w:cs="宋体"/>
          <w:color w:val="auto"/>
          <w:sz w:val="21"/>
          <w:szCs w:val="21"/>
          <w:highlight w:val="none"/>
        </w:rPr>
        <w:t>为取绝对值函数。FA分值数据保留小数点后三位。</w:t>
      </w:r>
    </w:p>
    <w:p w14:paraId="31DBE4EE">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4.分部分项工程项目清单综合单价评审，共计10分。计分规则见下表。</w:t>
      </w:r>
    </w:p>
    <w:tbl>
      <w:tblPr>
        <w:tblStyle w:val="43"/>
        <w:tblW w:w="9120" w:type="dxa"/>
        <w:jc w:val="center"/>
        <w:tblLayout w:type="autofit"/>
        <w:tblCellMar>
          <w:top w:w="0" w:type="dxa"/>
          <w:left w:w="108" w:type="dxa"/>
          <w:bottom w:w="0" w:type="dxa"/>
          <w:right w:w="108" w:type="dxa"/>
        </w:tblCellMar>
      </w:tblPr>
      <w:tblGrid>
        <w:gridCol w:w="5428"/>
        <w:gridCol w:w="3692"/>
      </w:tblGrid>
      <w:tr w14:paraId="2BE86448">
        <w:tblPrEx>
          <w:tblCellMar>
            <w:top w:w="0" w:type="dxa"/>
            <w:left w:w="108" w:type="dxa"/>
            <w:bottom w:w="0" w:type="dxa"/>
            <w:right w:w="108" w:type="dxa"/>
          </w:tblCellMar>
        </w:tblPrEx>
        <w:trPr>
          <w:trHeight w:val="680" w:hRule="atLeast"/>
          <w:jc w:val="center"/>
        </w:trPr>
        <w:tc>
          <w:tcPr>
            <w:tcW w:w="5428" w:type="dxa"/>
            <w:tcBorders>
              <w:top w:val="single" w:color="000000" w:sz="4" w:space="0"/>
              <w:left w:val="single" w:color="000000" w:sz="4" w:space="0"/>
              <w:bottom w:val="single" w:color="000000" w:sz="4" w:space="0"/>
              <w:right w:val="single" w:color="000000" w:sz="4" w:space="0"/>
            </w:tcBorders>
            <w:noWrap w:val="0"/>
            <w:vAlign w:val="center"/>
          </w:tcPr>
          <w:p w14:paraId="0FF7D9C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分部分项工程项目清单综合单价</w:t>
            </w:r>
          </w:p>
        </w:tc>
        <w:tc>
          <w:tcPr>
            <w:tcW w:w="3692" w:type="dxa"/>
            <w:tcBorders>
              <w:top w:val="single" w:color="000000" w:sz="4" w:space="0"/>
              <w:left w:val="single" w:color="000000" w:sz="4" w:space="0"/>
              <w:bottom w:val="single" w:color="000000" w:sz="4" w:space="0"/>
              <w:right w:val="single" w:color="000000" w:sz="4" w:space="0"/>
            </w:tcBorders>
            <w:noWrap w:val="0"/>
            <w:vAlign w:val="center"/>
          </w:tcPr>
          <w:p w14:paraId="769B394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计分</w:t>
            </w:r>
          </w:p>
        </w:tc>
      </w:tr>
      <w:tr w14:paraId="64BF09AF">
        <w:tblPrEx>
          <w:tblCellMar>
            <w:top w:w="0" w:type="dxa"/>
            <w:left w:w="108" w:type="dxa"/>
            <w:bottom w:w="0" w:type="dxa"/>
            <w:right w:w="108" w:type="dxa"/>
          </w:tblCellMar>
        </w:tblPrEx>
        <w:trPr>
          <w:trHeight w:val="680" w:hRule="atLeast"/>
          <w:jc w:val="center"/>
        </w:trPr>
        <w:tc>
          <w:tcPr>
            <w:tcW w:w="9120" w:type="dxa"/>
            <w:gridSpan w:val="2"/>
            <w:tcBorders>
              <w:top w:val="single" w:color="000000" w:sz="4" w:space="0"/>
              <w:left w:val="single" w:color="000000" w:sz="4" w:space="0"/>
              <w:bottom w:val="single" w:color="000000" w:sz="4" w:space="0"/>
              <w:right w:val="single" w:color="000000" w:sz="4" w:space="0"/>
            </w:tcBorders>
            <w:noWrap w:val="0"/>
            <w:vAlign w:val="center"/>
          </w:tcPr>
          <w:p w14:paraId="7859CE8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P为分部分项工程项目清单综合单价项数总数，R为计分系数</w:t>
            </w:r>
          </w:p>
        </w:tc>
      </w:tr>
      <w:tr w14:paraId="3B20A869">
        <w:tblPrEx>
          <w:tblCellMar>
            <w:top w:w="0" w:type="dxa"/>
            <w:left w:w="108" w:type="dxa"/>
            <w:bottom w:w="0" w:type="dxa"/>
            <w:right w:w="108" w:type="dxa"/>
          </w:tblCellMar>
        </w:tblPrEx>
        <w:trPr>
          <w:trHeight w:val="680" w:hRule="atLeast"/>
          <w:jc w:val="center"/>
        </w:trPr>
        <w:tc>
          <w:tcPr>
            <w:tcW w:w="9120" w:type="dxa"/>
            <w:gridSpan w:val="2"/>
            <w:tcBorders>
              <w:top w:val="single" w:color="000000" w:sz="4" w:space="0"/>
              <w:left w:val="single" w:color="000000" w:sz="4" w:space="0"/>
              <w:bottom w:val="single" w:color="000000" w:sz="4" w:space="0"/>
              <w:right w:val="single" w:color="000000" w:sz="4" w:space="0"/>
            </w:tcBorders>
            <w:noWrap w:val="0"/>
            <w:vAlign w:val="center"/>
          </w:tcPr>
          <w:p w14:paraId="52A4EC04">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综合评估法</w:t>
            </w:r>
          </w:p>
        </w:tc>
      </w:tr>
      <w:tr w14:paraId="1495E185">
        <w:tblPrEx>
          <w:tblCellMar>
            <w:top w:w="0" w:type="dxa"/>
            <w:left w:w="108" w:type="dxa"/>
            <w:bottom w:w="0" w:type="dxa"/>
            <w:right w:w="108" w:type="dxa"/>
          </w:tblCellMar>
        </w:tblPrEx>
        <w:trPr>
          <w:trHeight w:val="920" w:hRule="atLeast"/>
          <w:jc w:val="center"/>
        </w:trPr>
        <w:tc>
          <w:tcPr>
            <w:tcW w:w="5428" w:type="dxa"/>
            <w:tcBorders>
              <w:top w:val="single" w:color="000000" w:sz="4" w:space="0"/>
              <w:left w:val="single" w:color="000000" w:sz="4" w:space="0"/>
              <w:bottom w:val="single" w:color="000000" w:sz="4" w:space="0"/>
              <w:right w:val="single" w:color="000000" w:sz="4" w:space="0"/>
            </w:tcBorders>
            <w:noWrap w:val="0"/>
            <w:vAlign w:val="center"/>
          </w:tcPr>
          <w:p w14:paraId="78137811">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在分部分项工程项目清单综合单价基准价95%-103%（不含95%和含103%）内的项数E</w:t>
            </w:r>
          </w:p>
        </w:tc>
        <w:tc>
          <w:tcPr>
            <w:tcW w:w="3692" w:type="dxa"/>
            <w:tcBorders>
              <w:top w:val="single" w:color="000000" w:sz="4" w:space="0"/>
              <w:left w:val="single" w:color="000000" w:sz="4" w:space="0"/>
              <w:bottom w:val="single" w:color="000000" w:sz="4" w:space="0"/>
              <w:right w:val="single" w:color="000000" w:sz="4" w:space="0"/>
            </w:tcBorders>
            <w:noWrap w:val="0"/>
            <w:vAlign w:val="center"/>
          </w:tcPr>
          <w:p w14:paraId="2FA746C3">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FB1=10</w:t>
            </w:r>
            <w:r>
              <w:rPr>
                <w:rStyle w:val="183"/>
                <w:rFonts w:hint="eastAsia" w:ascii="宋体" w:hAnsi="宋体" w:eastAsia="宋体" w:cs="宋体"/>
                <w:color w:val="auto"/>
                <w:highlight w:val="none"/>
                <w:lang w:bidi="ar"/>
              </w:rPr>
              <w:t>×</w:t>
            </w:r>
            <w:r>
              <w:rPr>
                <w:rFonts w:hint="eastAsia" w:ascii="宋体" w:hAnsi="宋体" w:eastAsia="宋体" w:cs="宋体"/>
                <w:color w:val="auto"/>
                <w:kern w:val="0"/>
                <w:szCs w:val="21"/>
                <w:highlight w:val="none"/>
                <w:lang w:bidi="ar"/>
              </w:rPr>
              <w:t>E</w:t>
            </w:r>
            <w:r>
              <w:rPr>
                <w:rStyle w:val="183"/>
                <w:rFonts w:hint="eastAsia" w:ascii="宋体" w:hAnsi="宋体" w:eastAsia="宋体" w:cs="宋体"/>
                <w:color w:val="auto"/>
                <w:highlight w:val="none"/>
                <w:lang w:bidi="ar"/>
              </w:rPr>
              <w:t>×</w:t>
            </w:r>
            <w:r>
              <w:rPr>
                <w:rFonts w:hint="eastAsia" w:ascii="宋体" w:hAnsi="宋体" w:eastAsia="宋体" w:cs="宋体"/>
                <w:color w:val="auto"/>
                <w:kern w:val="0"/>
                <w:szCs w:val="21"/>
                <w:highlight w:val="none"/>
                <w:lang w:bidi="ar"/>
              </w:rPr>
              <w:t>R</w:t>
            </w:r>
            <w:r>
              <w:rPr>
                <w:rFonts w:hint="eastAsia" w:ascii="宋体" w:hAnsi="宋体" w:eastAsia="宋体" w:cs="宋体"/>
                <w:color w:val="auto"/>
                <w:kern w:val="0"/>
                <w:szCs w:val="21"/>
                <w:highlight w:val="none"/>
                <w:vertAlign w:val="subscript"/>
                <w:lang w:bidi="ar"/>
              </w:rPr>
              <w:t>1</w:t>
            </w:r>
            <w:r>
              <w:rPr>
                <w:rFonts w:hint="eastAsia" w:ascii="宋体" w:hAnsi="宋体" w:eastAsia="宋体" w:cs="宋体"/>
                <w:color w:val="auto"/>
                <w:kern w:val="0"/>
                <w:szCs w:val="21"/>
                <w:highlight w:val="none"/>
                <w:lang w:bidi="ar"/>
              </w:rPr>
              <w:t>/P，其中计分系数R</w:t>
            </w:r>
            <w:r>
              <w:rPr>
                <w:rFonts w:hint="eastAsia" w:ascii="宋体" w:hAnsi="宋体" w:eastAsia="宋体" w:cs="宋体"/>
                <w:color w:val="auto"/>
                <w:kern w:val="0"/>
                <w:szCs w:val="21"/>
                <w:highlight w:val="none"/>
                <w:vertAlign w:val="subscript"/>
                <w:lang w:bidi="ar"/>
              </w:rPr>
              <w:t>1</w:t>
            </w:r>
            <w:r>
              <w:rPr>
                <w:rFonts w:hint="eastAsia" w:ascii="宋体" w:hAnsi="宋体" w:eastAsia="宋体" w:cs="宋体"/>
                <w:color w:val="auto"/>
                <w:kern w:val="0"/>
                <w:szCs w:val="21"/>
                <w:highlight w:val="none"/>
                <w:lang w:bidi="ar"/>
              </w:rPr>
              <w:t>=1</w:t>
            </w:r>
          </w:p>
        </w:tc>
      </w:tr>
      <w:tr w14:paraId="49F5B87D">
        <w:tblPrEx>
          <w:tblCellMar>
            <w:top w:w="0" w:type="dxa"/>
            <w:left w:w="108" w:type="dxa"/>
            <w:bottom w:w="0" w:type="dxa"/>
            <w:right w:w="108" w:type="dxa"/>
          </w:tblCellMar>
        </w:tblPrEx>
        <w:trPr>
          <w:trHeight w:val="920" w:hRule="atLeast"/>
          <w:jc w:val="center"/>
        </w:trPr>
        <w:tc>
          <w:tcPr>
            <w:tcW w:w="5428" w:type="dxa"/>
            <w:tcBorders>
              <w:top w:val="single" w:color="000000" w:sz="4" w:space="0"/>
              <w:left w:val="single" w:color="000000" w:sz="4" w:space="0"/>
              <w:bottom w:val="single" w:color="000000" w:sz="4" w:space="0"/>
              <w:right w:val="single" w:color="000000" w:sz="4" w:space="0"/>
            </w:tcBorders>
            <w:noWrap w:val="0"/>
            <w:vAlign w:val="center"/>
          </w:tcPr>
          <w:p w14:paraId="5178BE24">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在分部分项工程项目清单综合单价基准价93%-95%（含93%和95%）内的项数H</w:t>
            </w:r>
          </w:p>
        </w:tc>
        <w:tc>
          <w:tcPr>
            <w:tcW w:w="3692" w:type="dxa"/>
            <w:tcBorders>
              <w:top w:val="single" w:color="000000" w:sz="4" w:space="0"/>
              <w:left w:val="single" w:color="000000" w:sz="4" w:space="0"/>
              <w:bottom w:val="single" w:color="000000" w:sz="4" w:space="0"/>
              <w:right w:val="single" w:color="000000" w:sz="4" w:space="0"/>
            </w:tcBorders>
            <w:noWrap w:val="0"/>
            <w:vAlign w:val="center"/>
          </w:tcPr>
          <w:p w14:paraId="0A2791EA">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FB2=10</w:t>
            </w:r>
            <w:r>
              <w:rPr>
                <w:rStyle w:val="183"/>
                <w:rFonts w:hint="eastAsia" w:ascii="宋体" w:hAnsi="宋体" w:eastAsia="宋体" w:cs="宋体"/>
                <w:color w:val="auto"/>
                <w:highlight w:val="none"/>
                <w:lang w:bidi="ar"/>
              </w:rPr>
              <w:t>×</w:t>
            </w:r>
            <w:r>
              <w:rPr>
                <w:rFonts w:hint="eastAsia" w:ascii="宋体" w:hAnsi="宋体" w:eastAsia="宋体" w:cs="宋体"/>
                <w:color w:val="auto"/>
                <w:kern w:val="0"/>
                <w:szCs w:val="21"/>
                <w:highlight w:val="none"/>
                <w:lang w:bidi="ar"/>
              </w:rPr>
              <w:t>H</w:t>
            </w:r>
            <w:r>
              <w:rPr>
                <w:rStyle w:val="183"/>
                <w:rFonts w:hint="eastAsia" w:ascii="宋体" w:hAnsi="宋体" w:eastAsia="宋体" w:cs="宋体"/>
                <w:color w:val="auto"/>
                <w:highlight w:val="none"/>
                <w:lang w:bidi="ar"/>
              </w:rPr>
              <w:t>×</w:t>
            </w:r>
            <w:r>
              <w:rPr>
                <w:rFonts w:hint="eastAsia" w:ascii="宋体" w:hAnsi="宋体" w:eastAsia="宋体" w:cs="宋体"/>
                <w:color w:val="auto"/>
                <w:kern w:val="0"/>
                <w:szCs w:val="21"/>
                <w:highlight w:val="none"/>
                <w:lang w:bidi="ar"/>
              </w:rPr>
              <w:t>R</w:t>
            </w:r>
            <w:r>
              <w:rPr>
                <w:rFonts w:hint="eastAsia" w:ascii="宋体" w:hAnsi="宋体" w:eastAsia="宋体" w:cs="宋体"/>
                <w:color w:val="auto"/>
                <w:kern w:val="0"/>
                <w:szCs w:val="21"/>
                <w:highlight w:val="none"/>
                <w:vertAlign w:val="subscript"/>
                <w:lang w:bidi="ar"/>
              </w:rPr>
              <w:t>2</w:t>
            </w:r>
            <w:r>
              <w:rPr>
                <w:rFonts w:hint="eastAsia" w:ascii="宋体" w:hAnsi="宋体" w:eastAsia="宋体" w:cs="宋体"/>
                <w:color w:val="auto"/>
                <w:kern w:val="0"/>
                <w:szCs w:val="21"/>
                <w:highlight w:val="none"/>
                <w:lang w:bidi="ar"/>
              </w:rPr>
              <w:t>/P，其中计分系数R</w:t>
            </w:r>
            <w:r>
              <w:rPr>
                <w:rFonts w:hint="eastAsia" w:ascii="宋体" w:hAnsi="宋体" w:eastAsia="宋体" w:cs="宋体"/>
                <w:color w:val="auto"/>
                <w:kern w:val="0"/>
                <w:szCs w:val="21"/>
                <w:highlight w:val="none"/>
                <w:vertAlign w:val="subscript"/>
                <w:lang w:bidi="ar"/>
              </w:rPr>
              <w:t>2</w:t>
            </w:r>
            <w:r>
              <w:rPr>
                <w:rFonts w:hint="eastAsia" w:ascii="宋体" w:hAnsi="宋体" w:eastAsia="宋体" w:cs="宋体"/>
                <w:color w:val="auto"/>
                <w:kern w:val="0"/>
                <w:szCs w:val="21"/>
                <w:highlight w:val="none"/>
                <w:lang w:bidi="ar"/>
              </w:rPr>
              <w:t>=0.5</w:t>
            </w:r>
          </w:p>
        </w:tc>
      </w:tr>
      <w:tr w14:paraId="4E6AB149">
        <w:tblPrEx>
          <w:tblCellMar>
            <w:top w:w="0" w:type="dxa"/>
            <w:left w:w="108" w:type="dxa"/>
            <w:bottom w:w="0" w:type="dxa"/>
            <w:right w:w="108" w:type="dxa"/>
          </w:tblCellMar>
        </w:tblPrEx>
        <w:trPr>
          <w:trHeight w:val="920" w:hRule="atLeast"/>
          <w:jc w:val="center"/>
        </w:trPr>
        <w:tc>
          <w:tcPr>
            <w:tcW w:w="5428" w:type="dxa"/>
            <w:tcBorders>
              <w:top w:val="single" w:color="000000" w:sz="4" w:space="0"/>
              <w:left w:val="single" w:color="000000" w:sz="4" w:space="0"/>
              <w:bottom w:val="single" w:color="000000" w:sz="4" w:space="0"/>
              <w:right w:val="single" w:color="000000" w:sz="4" w:space="0"/>
            </w:tcBorders>
            <w:noWrap w:val="0"/>
            <w:vAlign w:val="center"/>
          </w:tcPr>
          <w:p w14:paraId="7C143285">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低于分部分项工程项目清单综合单价基准价93%和高于分部分项工程项目清单综合单价基准价103%的项数</w:t>
            </w:r>
          </w:p>
        </w:tc>
        <w:tc>
          <w:tcPr>
            <w:tcW w:w="3692" w:type="dxa"/>
            <w:tcBorders>
              <w:top w:val="single" w:color="000000" w:sz="4" w:space="0"/>
              <w:left w:val="single" w:color="000000" w:sz="4" w:space="0"/>
              <w:bottom w:val="single" w:color="000000" w:sz="4" w:space="0"/>
              <w:right w:val="single" w:color="000000" w:sz="4" w:space="0"/>
            </w:tcBorders>
            <w:noWrap w:val="0"/>
            <w:vAlign w:val="center"/>
          </w:tcPr>
          <w:p w14:paraId="2EF28040">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FB3=0</w:t>
            </w:r>
          </w:p>
        </w:tc>
      </w:tr>
      <w:tr w14:paraId="50FB0A2D">
        <w:tblPrEx>
          <w:tblCellMar>
            <w:top w:w="0" w:type="dxa"/>
            <w:left w:w="108" w:type="dxa"/>
            <w:bottom w:w="0" w:type="dxa"/>
            <w:right w:w="108" w:type="dxa"/>
          </w:tblCellMar>
        </w:tblPrEx>
        <w:trPr>
          <w:trHeight w:val="920" w:hRule="atLeast"/>
          <w:jc w:val="center"/>
        </w:trPr>
        <w:tc>
          <w:tcPr>
            <w:tcW w:w="5428" w:type="dxa"/>
            <w:tcBorders>
              <w:top w:val="single" w:color="000000" w:sz="4" w:space="0"/>
              <w:left w:val="single" w:color="000000" w:sz="4" w:space="0"/>
              <w:bottom w:val="single" w:color="000000" w:sz="4" w:space="0"/>
              <w:right w:val="single" w:color="000000" w:sz="4" w:space="0"/>
            </w:tcBorders>
            <w:noWrap w:val="0"/>
            <w:vAlign w:val="center"/>
          </w:tcPr>
          <w:p w14:paraId="71B7C029">
            <w:pPr>
              <w:jc w:val="left"/>
              <w:rPr>
                <w:rFonts w:hint="eastAsia" w:ascii="宋体" w:hAnsi="宋体" w:eastAsia="宋体" w:cs="宋体"/>
                <w:color w:val="auto"/>
                <w:szCs w:val="21"/>
                <w:highlight w:val="none"/>
              </w:rPr>
            </w:pPr>
          </w:p>
        </w:tc>
        <w:tc>
          <w:tcPr>
            <w:tcW w:w="3692" w:type="dxa"/>
            <w:tcBorders>
              <w:top w:val="single" w:color="000000" w:sz="4" w:space="0"/>
              <w:left w:val="single" w:color="000000" w:sz="4" w:space="0"/>
              <w:bottom w:val="single" w:color="000000" w:sz="4" w:space="0"/>
              <w:right w:val="single" w:color="000000" w:sz="4" w:space="0"/>
            </w:tcBorders>
            <w:noWrap w:val="0"/>
            <w:vAlign w:val="center"/>
          </w:tcPr>
          <w:p w14:paraId="1C0A8BBE">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上述合计FB=FB1+FB2+FB3，FB的最高分为10分</w:t>
            </w:r>
          </w:p>
        </w:tc>
      </w:tr>
    </w:tbl>
    <w:p w14:paraId="47B3890E">
      <w:pPr>
        <w:rPr>
          <w:rFonts w:hint="eastAsia" w:ascii="宋体" w:hAnsi="宋体" w:eastAsia="宋体" w:cs="宋体"/>
          <w:vanish/>
          <w:color w:val="auto"/>
          <w:szCs w:val="21"/>
          <w:highlight w:val="none"/>
        </w:rPr>
      </w:pPr>
    </w:p>
    <w:p w14:paraId="3A25D473">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注：FB分值数据保留小数点后三位。</w:t>
      </w:r>
    </w:p>
    <w:p w14:paraId="0A48CFD2">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5.措施项目费（不含安全文明施工措施费）的评审，共计5分。计分规则见下表。</w:t>
      </w:r>
    </w:p>
    <w:p w14:paraId="498B6573">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偏差率</w:t>
      </w:r>
      <w:r>
        <w:rPr>
          <w:rStyle w:val="184"/>
          <w:rFonts w:hint="eastAsia" w:ascii="宋体" w:hAnsi="宋体" w:eastAsia="宋体" w:cs="宋体"/>
          <w:color w:val="auto"/>
          <w:sz w:val="21"/>
          <w:szCs w:val="21"/>
          <w:highlight w:val="none"/>
          <w:lang w:bidi="ar"/>
        </w:rPr>
        <w:t>α</w:t>
      </w:r>
      <w:r>
        <w:rPr>
          <w:rStyle w:val="182"/>
          <w:rFonts w:hint="eastAsia" w:ascii="宋体" w:hAnsi="宋体" w:eastAsia="宋体" w:cs="宋体"/>
          <w:color w:val="auto"/>
          <w:sz w:val="21"/>
          <w:szCs w:val="21"/>
          <w:highlight w:val="none"/>
          <w:lang w:bidi="ar"/>
        </w:rPr>
        <w:t>FC</w:t>
      </w:r>
      <w:r>
        <w:rPr>
          <w:rFonts w:hint="eastAsia" w:ascii="宋体" w:hAnsi="宋体" w:eastAsia="宋体" w:cs="宋体"/>
          <w:color w:val="auto"/>
          <w:sz w:val="21"/>
          <w:szCs w:val="21"/>
          <w:highlight w:val="none"/>
        </w:rPr>
        <w:t>=（投标人措施项目费报价-措施项目费基准价）÷措施项目费基准价×100%</w:t>
      </w:r>
    </w:p>
    <w:tbl>
      <w:tblPr>
        <w:tblStyle w:val="43"/>
        <w:tblW w:w="9017" w:type="dxa"/>
        <w:jc w:val="center"/>
        <w:tblLayout w:type="autofit"/>
        <w:tblCellMar>
          <w:top w:w="0" w:type="dxa"/>
          <w:left w:w="108" w:type="dxa"/>
          <w:bottom w:w="0" w:type="dxa"/>
          <w:right w:w="108" w:type="dxa"/>
        </w:tblCellMar>
      </w:tblPr>
      <w:tblGrid>
        <w:gridCol w:w="1213"/>
        <w:gridCol w:w="1213"/>
        <w:gridCol w:w="3102"/>
        <w:gridCol w:w="3489"/>
      </w:tblGrid>
      <w:tr w14:paraId="5CF5B3FD">
        <w:tblPrEx>
          <w:tblCellMar>
            <w:top w:w="0" w:type="dxa"/>
            <w:left w:w="108" w:type="dxa"/>
            <w:bottom w:w="0" w:type="dxa"/>
            <w:right w:w="108" w:type="dxa"/>
          </w:tblCellMar>
        </w:tblPrEx>
        <w:trPr>
          <w:trHeight w:val="660" w:hRule="atLeast"/>
          <w:jc w:val="center"/>
        </w:trPr>
        <w:tc>
          <w:tcPr>
            <w:tcW w:w="1213" w:type="dxa"/>
            <w:tcBorders>
              <w:top w:val="single" w:color="000000" w:sz="4" w:space="0"/>
              <w:left w:val="single" w:color="000000" w:sz="4" w:space="0"/>
              <w:bottom w:val="single" w:color="000000" w:sz="4" w:space="0"/>
              <w:right w:val="single" w:color="000000" w:sz="4" w:space="0"/>
            </w:tcBorders>
            <w:noWrap w:val="0"/>
            <w:vAlign w:val="center"/>
          </w:tcPr>
          <w:p w14:paraId="54B809C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序号</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26106153">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偏差率α</w:t>
            </w:r>
            <w:r>
              <w:rPr>
                <w:rFonts w:hint="eastAsia" w:ascii="宋体" w:hAnsi="宋体" w:eastAsia="宋体" w:cs="宋体"/>
                <w:color w:val="auto"/>
                <w:kern w:val="0"/>
                <w:szCs w:val="21"/>
                <w:highlight w:val="none"/>
                <w:vertAlign w:val="subscript"/>
                <w:lang w:bidi="ar"/>
              </w:rPr>
              <w:t>FC</w:t>
            </w:r>
          </w:p>
        </w:tc>
        <w:tc>
          <w:tcPr>
            <w:tcW w:w="3102" w:type="dxa"/>
            <w:tcBorders>
              <w:top w:val="single" w:color="000000" w:sz="4" w:space="0"/>
              <w:left w:val="single" w:color="000000" w:sz="4" w:space="0"/>
              <w:bottom w:val="single" w:color="000000" w:sz="4" w:space="0"/>
              <w:right w:val="single" w:color="000000" w:sz="4" w:space="0"/>
            </w:tcBorders>
            <w:noWrap w:val="0"/>
            <w:vAlign w:val="center"/>
          </w:tcPr>
          <w:p w14:paraId="06B78E9D">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满足条件</w:t>
            </w:r>
          </w:p>
        </w:tc>
        <w:tc>
          <w:tcPr>
            <w:tcW w:w="3489" w:type="dxa"/>
            <w:tcBorders>
              <w:top w:val="single" w:color="000000" w:sz="4" w:space="0"/>
              <w:left w:val="single" w:color="000000" w:sz="4" w:space="0"/>
              <w:bottom w:val="single" w:color="000000" w:sz="4" w:space="0"/>
              <w:right w:val="single" w:color="000000" w:sz="4" w:space="0"/>
            </w:tcBorders>
            <w:noWrap w:val="0"/>
            <w:vAlign w:val="center"/>
          </w:tcPr>
          <w:p w14:paraId="146E0B2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计分FC</w:t>
            </w:r>
          </w:p>
        </w:tc>
      </w:tr>
      <w:tr w14:paraId="2E2970D1">
        <w:tblPrEx>
          <w:tblCellMar>
            <w:top w:w="0" w:type="dxa"/>
            <w:left w:w="108" w:type="dxa"/>
            <w:bottom w:w="0" w:type="dxa"/>
            <w:right w:w="108" w:type="dxa"/>
          </w:tblCellMar>
        </w:tblPrEx>
        <w:trPr>
          <w:trHeight w:val="660" w:hRule="atLeast"/>
          <w:jc w:val="center"/>
        </w:trPr>
        <w:tc>
          <w:tcPr>
            <w:tcW w:w="9017" w:type="dxa"/>
            <w:gridSpan w:val="4"/>
            <w:tcBorders>
              <w:top w:val="single" w:color="000000" w:sz="4" w:space="0"/>
              <w:left w:val="single" w:color="000000" w:sz="4" w:space="0"/>
              <w:bottom w:val="single" w:color="000000" w:sz="4" w:space="0"/>
              <w:right w:val="single" w:color="000000" w:sz="4" w:space="0"/>
            </w:tcBorders>
            <w:noWrap w:val="0"/>
            <w:vAlign w:val="center"/>
          </w:tcPr>
          <w:p w14:paraId="3DC4EB7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综合评估法</w:t>
            </w:r>
          </w:p>
        </w:tc>
      </w:tr>
      <w:tr w14:paraId="7EB868E7">
        <w:tblPrEx>
          <w:tblCellMar>
            <w:top w:w="0" w:type="dxa"/>
            <w:left w:w="108" w:type="dxa"/>
            <w:bottom w:w="0" w:type="dxa"/>
            <w:right w:w="108" w:type="dxa"/>
          </w:tblCellMar>
        </w:tblPrEx>
        <w:trPr>
          <w:trHeight w:val="660" w:hRule="atLeast"/>
          <w:jc w:val="center"/>
        </w:trPr>
        <w:tc>
          <w:tcPr>
            <w:tcW w:w="1213" w:type="dxa"/>
            <w:tcBorders>
              <w:top w:val="single" w:color="000000" w:sz="4" w:space="0"/>
              <w:left w:val="single" w:color="000000" w:sz="4" w:space="0"/>
              <w:bottom w:val="single" w:color="000000" w:sz="4" w:space="0"/>
              <w:right w:val="single" w:color="000000" w:sz="4" w:space="0"/>
            </w:tcBorders>
            <w:noWrap w:val="0"/>
            <w:vAlign w:val="center"/>
          </w:tcPr>
          <w:p w14:paraId="4A1675C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3A9B3627">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α</w:t>
            </w:r>
            <w:r>
              <w:rPr>
                <w:rFonts w:hint="eastAsia" w:ascii="宋体" w:hAnsi="宋体" w:eastAsia="宋体" w:cs="宋体"/>
                <w:color w:val="auto"/>
                <w:kern w:val="0"/>
                <w:szCs w:val="21"/>
                <w:highlight w:val="none"/>
                <w:vertAlign w:val="subscript"/>
                <w:lang w:bidi="ar"/>
              </w:rPr>
              <w:t>FC</w:t>
            </w:r>
            <w:r>
              <w:rPr>
                <w:rFonts w:hint="eastAsia" w:ascii="宋体" w:hAnsi="宋体" w:eastAsia="宋体" w:cs="宋体"/>
                <w:color w:val="auto"/>
                <w:kern w:val="0"/>
                <w:szCs w:val="21"/>
                <w:highlight w:val="none"/>
                <w:lang w:bidi="ar"/>
              </w:rPr>
              <w:t>=O</w:t>
            </w:r>
          </w:p>
        </w:tc>
        <w:tc>
          <w:tcPr>
            <w:tcW w:w="3102" w:type="dxa"/>
            <w:tcBorders>
              <w:top w:val="single" w:color="000000" w:sz="4" w:space="0"/>
              <w:left w:val="single" w:color="000000" w:sz="4" w:space="0"/>
              <w:bottom w:val="single" w:color="000000" w:sz="4" w:space="0"/>
              <w:right w:val="single" w:color="000000" w:sz="4" w:space="0"/>
            </w:tcBorders>
            <w:noWrap w:val="0"/>
            <w:vAlign w:val="center"/>
          </w:tcPr>
          <w:p w14:paraId="3EFAC303">
            <w:pPr>
              <w:widowControl/>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FC=基础分</w:t>
            </w:r>
          </w:p>
        </w:tc>
        <w:tc>
          <w:tcPr>
            <w:tcW w:w="3489" w:type="dxa"/>
            <w:tcBorders>
              <w:top w:val="single" w:color="000000" w:sz="4" w:space="0"/>
              <w:left w:val="single" w:color="000000" w:sz="4" w:space="0"/>
              <w:bottom w:val="single" w:color="000000" w:sz="4" w:space="0"/>
              <w:right w:val="single" w:color="000000" w:sz="4" w:space="0"/>
            </w:tcBorders>
            <w:noWrap w:val="0"/>
            <w:vAlign w:val="center"/>
          </w:tcPr>
          <w:p w14:paraId="0149FCC2">
            <w:pPr>
              <w:widowControl/>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FC=3</w:t>
            </w:r>
          </w:p>
        </w:tc>
      </w:tr>
      <w:tr w14:paraId="78155C91">
        <w:tblPrEx>
          <w:tblCellMar>
            <w:top w:w="0" w:type="dxa"/>
            <w:left w:w="108" w:type="dxa"/>
            <w:bottom w:w="0" w:type="dxa"/>
            <w:right w:w="108" w:type="dxa"/>
          </w:tblCellMar>
        </w:tblPrEx>
        <w:trPr>
          <w:trHeight w:val="1140" w:hRule="atLeast"/>
          <w:jc w:val="center"/>
        </w:trPr>
        <w:tc>
          <w:tcPr>
            <w:tcW w:w="1213" w:type="dxa"/>
            <w:tcBorders>
              <w:top w:val="single" w:color="000000" w:sz="4" w:space="0"/>
              <w:left w:val="single" w:color="000000" w:sz="4" w:space="0"/>
              <w:bottom w:val="single" w:color="000000" w:sz="4" w:space="0"/>
              <w:right w:val="single" w:color="000000" w:sz="4" w:space="0"/>
            </w:tcBorders>
            <w:noWrap w:val="0"/>
            <w:vAlign w:val="center"/>
          </w:tcPr>
          <w:p w14:paraId="6129AB73">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3FF2C6E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α</w:t>
            </w:r>
            <w:r>
              <w:rPr>
                <w:rFonts w:hint="eastAsia" w:ascii="宋体" w:hAnsi="宋体" w:eastAsia="宋体" w:cs="宋体"/>
                <w:color w:val="auto"/>
                <w:kern w:val="0"/>
                <w:szCs w:val="21"/>
                <w:highlight w:val="none"/>
                <w:vertAlign w:val="subscript"/>
                <w:lang w:bidi="ar"/>
              </w:rPr>
              <w:t>FC</w:t>
            </w:r>
            <w:r>
              <w:rPr>
                <w:rFonts w:hint="eastAsia" w:ascii="宋体" w:hAnsi="宋体" w:eastAsia="宋体" w:cs="宋体"/>
                <w:color w:val="auto"/>
                <w:kern w:val="0"/>
                <w:szCs w:val="21"/>
                <w:highlight w:val="none"/>
                <w:lang w:bidi="ar"/>
              </w:rPr>
              <w:t>&lt;0</w:t>
            </w:r>
          </w:p>
        </w:tc>
        <w:tc>
          <w:tcPr>
            <w:tcW w:w="3102" w:type="dxa"/>
            <w:tcBorders>
              <w:top w:val="single" w:color="000000" w:sz="4" w:space="0"/>
              <w:left w:val="single" w:color="000000" w:sz="4" w:space="0"/>
              <w:bottom w:val="single" w:color="000000" w:sz="4" w:space="0"/>
              <w:right w:val="single" w:color="000000" w:sz="4" w:space="0"/>
            </w:tcBorders>
            <w:noWrap w:val="0"/>
            <w:vAlign w:val="center"/>
          </w:tcPr>
          <w:p w14:paraId="0FE03E5F">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偏差率α</w:t>
            </w:r>
            <w:r>
              <w:rPr>
                <w:rFonts w:hint="eastAsia" w:ascii="宋体" w:hAnsi="宋体" w:eastAsia="宋体" w:cs="宋体"/>
                <w:color w:val="auto"/>
                <w:kern w:val="0"/>
                <w:szCs w:val="21"/>
                <w:highlight w:val="none"/>
                <w:vertAlign w:val="subscript"/>
                <w:lang w:bidi="ar"/>
              </w:rPr>
              <w:t>FC</w:t>
            </w:r>
            <w:r>
              <w:rPr>
                <w:rFonts w:hint="eastAsia" w:ascii="宋体" w:hAnsi="宋体" w:eastAsia="宋体" w:cs="宋体"/>
                <w:color w:val="auto"/>
                <w:kern w:val="0"/>
                <w:szCs w:val="21"/>
                <w:highlight w:val="none"/>
                <w:lang w:bidi="ar"/>
              </w:rPr>
              <w:t>每减少1 %时，在基础分上加0.1分；以此类推，最高加至5分为止。</w:t>
            </w:r>
          </w:p>
        </w:tc>
        <w:tc>
          <w:tcPr>
            <w:tcW w:w="3489" w:type="dxa"/>
            <w:tcBorders>
              <w:top w:val="single" w:color="000000" w:sz="4" w:space="0"/>
              <w:left w:val="single" w:color="000000" w:sz="4" w:space="0"/>
              <w:bottom w:val="single" w:color="000000" w:sz="4" w:space="0"/>
              <w:right w:val="single" w:color="000000" w:sz="4" w:space="0"/>
            </w:tcBorders>
            <w:noWrap w:val="0"/>
            <w:vAlign w:val="center"/>
          </w:tcPr>
          <w:p w14:paraId="61A9AD77">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w:t>
            </w:r>
            <w:r>
              <w:rPr>
                <w:rStyle w:val="185"/>
                <w:rFonts w:hint="eastAsia" w:ascii="宋体" w:hAnsi="宋体" w:eastAsia="宋体" w:cs="宋体"/>
                <w:color w:val="auto"/>
                <w:highlight w:val="none"/>
                <w:lang w:bidi="ar"/>
              </w:rPr>
              <w:t>C=3+|</w:t>
            </w:r>
            <w:r>
              <w:rPr>
                <w:rFonts w:hint="eastAsia" w:ascii="宋体" w:hAnsi="宋体" w:eastAsia="宋体" w:cs="宋体"/>
                <w:color w:val="auto"/>
                <w:kern w:val="0"/>
                <w:szCs w:val="21"/>
                <w:highlight w:val="none"/>
                <w:lang w:bidi="ar"/>
              </w:rPr>
              <w:t>α</w:t>
            </w:r>
            <w:r>
              <w:rPr>
                <w:rFonts w:hint="eastAsia" w:ascii="宋体" w:hAnsi="宋体" w:eastAsia="宋体" w:cs="宋体"/>
                <w:color w:val="auto"/>
                <w:kern w:val="0"/>
                <w:szCs w:val="21"/>
                <w:highlight w:val="none"/>
                <w:vertAlign w:val="subscript"/>
                <w:lang w:bidi="ar"/>
              </w:rPr>
              <w:t>FC</w:t>
            </w:r>
            <w:r>
              <w:rPr>
                <w:rStyle w:val="185"/>
                <w:rFonts w:hint="eastAsia" w:ascii="宋体" w:hAnsi="宋体" w:eastAsia="宋体" w:cs="宋体"/>
                <w:color w:val="auto"/>
                <w:highlight w:val="none"/>
                <w:lang w:bidi="ar"/>
              </w:rPr>
              <w:t>|×100×0.1</w:t>
            </w:r>
          </w:p>
        </w:tc>
      </w:tr>
      <w:tr w14:paraId="222F82C6">
        <w:tblPrEx>
          <w:tblCellMar>
            <w:top w:w="0" w:type="dxa"/>
            <w:left w:w="108" w:type="dxa"/>
            <w:bottom w:w="0" w:type="dxa"/>
            <w:right w:w="108" w:type="dxa"/>
          </w:tblCellMar>
        </w:tblPrEx>
        <w:trPr>
          <w:trHeight w:val="1140" w:hRule="atLeast"/>
          <w:jc w:val="center"/>
        </w:trPr>
        <w:tc>
          <w:tcPr>
            <w:tcW w:w="1213" w:type="dxa"/>
            <w:tcBorders>
              <w:top w:val="single" w:color="000000" w:sz="4" w:space="0"/>
              <w:left w:val="single" w:color="000000" w:sz="4" w:space="0"/>
              <w:bottom w:val="single" w:color="000000" w:sz="4" w:space="0"/>
              <w:right w:val="single" w:color="000000" w:sz="4" w:space="0"/>
            </w:tcBorders>
            <w:noWrap w:val="0"/>
            <w:vAlign w:val="center"/>
          </w:tcPr>
          <w:p w14:paraId="6CC6E6B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029EF04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α</w:t>
            </w:r>
            <w:r>
              <w:rPr>
                <w:rFonts w:hint="eastAsia" w:ascii="宋体" w:hAnsi="宋体" w:eastAsia="宋体" w:cs="宋体"/>
                <w:color w:val="auto"/>
                <w:kern w:val="0"/>
                <w:szCs w:val="21"/>
                <w:highlight w:val="none"/>
                <w:vertAlign w:val="subscript"/>
                <w:lang w:bidi="ar"/>
              </w:rPr>
              <w:t>FC</w:t>
            </w:r>
            <w:r>
              <w:rPr>
                <w:rFonts w:hint="eastAsia" w:ascii="宋体" w:hAnsi="宋体" w:eastAsia="宋体" w:cs="宋体"/>
                <w:color w:val="auto"/>
                <w:kern w:val="0"/>
                <w:szCs w:val="21"/>
                <w:highlight w:val="none"/>
                <w:lang w:bidi="ar"/>
              </w:rPr>
              <w:t>&gt;0</w:t>
            </w:r>
          </w:p>
        </w:tc>
        <w:tc>
          <w:tcPr>
            <w:tcW w:w="3102" w:type="dxa"/>
            <w:tcBorders>
              <w:top w:val="single" w:color="000000" w:sz="4" w:space="0"/>
              <w:left w:val="single" w:color="000000" w:sz="4" w:space="0"/>
              <w:bottom w:val="single" w:color="000000" w:sz="4" w:space="0"/>
              <w:right w:val="single" w:color="000000" w:sz="4" w:space="0"/>
            </w:tcBorders>
            <w:noWrap w:val="0"/>
            <w:vAlign w:val="center"/>
          </w:tcPr>
          <w:p w14:paraId="47A5794A">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偏差率α</w:t>
            </w:r>
            <w:r>
              <w:rPr>
                <w:rFonts w:hint="eastAsia" w:ascii="宋体" w:hAnsi="宋体" w:eastAsia="宋体" w:cs="宋体"/>
                <w:color w:val="auto"/>
                <w:kern w:val="0"/>
                <w:szCs w:val="21"/>
                <w:highlight w:val="none"/>
                <w:vertAlign w:val="subscript"/>
                <w:lang w:bidi="ar"/>
              </w:rPr>
              <w:t>FC</w:t>
            </w:r>
            <w:r>
              <w:rPr>
                <w:rFonts w:hint="eastAsia" w:ascii="宋体" w:hAnsi="宋体" w:eastAsia="宋体" w:cs="宋体"/>
                <w:color w:val="auto"/>
                <w:kern w:val="0"/>
                <w:szCs w:val="21"/>
                <w:highlight w:val="none"/>
                <w:lang w:bidi="ar"/>
              </w:rPr>
              <w:t>每增加1%时，在基础分上 减扣0.1分；以此类推，减扣至0为止。</w:t>
            </w:r>
          </w:p>
        </w:tc>
        <w:tc>
          <w:tcPr>
            <w:tcW w:w="3489" w:type="dxa"/>
            <w:tcBorders>
              <w:top w:val="single" w:color="000000" w:sz="4" w:space="0"/>
              <w:left w:val="single" w:color="000000" w:sz="4" w:space="0"/>
              <w:bottom w:val="single" w:color="000000" w:sz="4" w:space="0"/>
              <w:right w:val="single" w:color="000000" w:sz="4" w:space="0"/>
            </w:tcBorders>
            <w:noWrap w:val="0"/>
            <w:vAlign w:val="center"/>
          </w:tcPr>
          <w:p w14:paraId="2A6D37AE">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w:t>
            </w:r>
            <w:r>
              <w:rPr>
                <w:rStyle w:val="185"/>
                <w:rFonts w:hint="eastAsia" w:ascii="宋体" w:hAnsi="宋体" w:eastAsia="宋体" w:cs="宋体"/>
                <w:color w:val="auto"/>
                <w:highlight w:val="none"/>
                <w:lang w:bidi="ar"/>
              </w:rPr>
              <w:t>C=3-|</w:t>
            </w:r>
            <w:r>
              <w:rPr>
                <w:rFonts w:hint="eastAsia" w:ascii="宋体" w:hAnsi="宋体" w:eastAsia="宋体" w:cs="宋体"/>
                <w:color w:val="auto"/>
                <w:kern w:val="0"/>
                <w:szCs w:val="21"/>
                <w:highlight w:val="none"/>
                <w:lang w:bidi="ar"/>
              </w:rPr>
              <w:t>α</w:t>
            </w:r>
            <w:r>
              <w:rPr>
                <w:rFonts w:hint="eastAsia" w:ascii="宋体" w:hAnsi="宋体" w:eastAsia="宋体" w:cs="宋体"/>
                <w:color w:val="auto"/>
                <w:kern w:val="0"/>
                <w:szCs w:val="21"/>
                <w:highlight w:val="none"/>
                <w:vertAlign w:val="subscript"/>
                <w:lang w:bidi="ar"/>
              </w:rPr>
              <w:t>FC</w:t>
            </w:r>
            <w:r>
              <w:rPr>
                <w:rStyle w:val="185"/>
                <w:rFonts w:hint="eastAsia" w:ascii="宋体" w:hAnsi="宋体" w:eastAsia="宋体" w:cs="宋体"/>
                <w:color w:val="auto"/>
                <w:highlight w:val="none"/>
                <w:lang w:bidi="ar"/>
              </w:rPr>
              <w:t>|×100×0.1</w:t>
            </w:r>
          </w:p>
        </w:tc>
      </w:tr>
      <w:tr w14:paraId="755EADA8">
        <w:tblPrEx>
          <w:tblCellMar>
            <w:top w:w="0" w:type="dxa"/>
            <w:left w:w="108" w:type="dxa"/>
            <w:bottom w:w="0" w:type="dxa"/>
            <w:right w:w="108" w:type="dxa"/>
          </w:tblCellMar>
        </w:tblPrEx>
        <w:trPr>
          <w:trHeight w:val="740" w:hRule="atLeast"/>
          <w:jc w:val="center"/>
        </w:trPr>
        <w:tc>
          <w:tcPr>
            <w:tcW w:w="1213" w:type="dxa"/>
            <w:tcBorders>
              <w:top w:val="single" w:color="000000" w:sz="4" w:space="0"/>
              <w:left w:val="single" w:color="000000" w:sz="4" w:space="0"/>
              <w:bottom w:val="single" w:color="000000" w:sz="4" w:space="0"/>
              <w:right w:val="single" w:color="000000" w:sz="4" w:space="0"/>
            </w:tcBorders>
            <w:noWrap w:val="0"/>
            <w:vAlign w:val="center"/>
          </w:tcPr>
          <w:p w14:paraId="10243D4B">
            <w:pPr>
              <w:jc w:val="left"/>
              <w:rPr>
                <w:rFonts w:hint="eastAsia" w:ascii="宋体" w:hAnsi="宋体" w:eastAsia="宋体" w:cs="宋体"/>
                <w:color w:val="auto"/>
                <w:szCs w:val="21"/>
                <w:highlight w:val="none"/>
              </w:rPr>
            </w:pPr>
          </w:p>
        </w:tc>
        <w:tc>
          <w:tcPr>
            <w:tcW w:w="1213" w:type="dxa"/>
            <w:tcBorders>
              <w:top w:val="single" w:color="000000" w:sz="4" w:space="0"/>
              <w:left w:val="single" w:color="000000" w:sz="4" w:space="0"/>
              <w:bottom w:val="single" w:color="000000" w:sz="4" w:space="0"/>
              <w:right w:val="single" w:color="000000" w:sz="4" w:space="0"/>
            </w:tcBorders>
            <w:noWrap w:val="0"/>
            <w:vAlign w:val="center"/>
          </w:tcPr>
          <w:p w14:paraId="3A352EBC">
            <w:pPr>
              <w:jc w:val="left"/>
              <w:rPr>
                <w:rFonts w:hint="eastAsia" w:ascii="宋体" w:hAnsi="宋体" w:eastAsia="宋体" w:cs="宋体"/>
                <w:color w:val="auto"/>
                <w:szCs w:val="21"/>
                <w:highlight w:val="none"/>
              </w:rPr>
            </w:pPr>
          </w:p>
        </w:tc>
        <w:tc>
          <w:tcPr>
            <w:tcW w:w="3102" w:type="dxa"/>
            <w:tcBorders>
              <w:top w:val="single" w:color="000000" w:sz="4" w:space="0"/>
              <w:left w:val="single" w:color="000000" w:sz="4" w:space="0"/>
              <w:bottom w:val="single" w:color="000000" w:sz="4" w:space="0"/>
              <w:right w:val="single" w:color="000000" w:sz="4" w:space="0"/>
            </w:tcBorders>
            <w:noWrap w:val="0"/>
            <w:vAlign w:val="center"/>
          </w:tcPr>
          <w:p w14:paraId="6FF4D54E">
            <w:pPr>
              <w:jc w:val="left"/>
              <w:rPr>
                <w:rFonts w:hint="eastAsia" w:ascii="宋体" w:hAnsi="宋体" w:eastAsia="宋体" w:cs="宋体"/>
                <w:color w:val="auto"/>
                <w:szCs w:val="21"/>
                <w:highlight w:val="none"/>
              </w:rPr>
            </w:pPr>
          </w:p>
        </w:tc>
        <w:tc>
          <w:tcPr>
            <w:tcW w:w="3489" w:type="dxa"/>
            <w:tcBorders>
              <w:top w:val="single" w:color="000000" w:sz="4" w:space="0"/>
              <w:left w:val="single" w:color="000000" w:sz="4" w:space="0"/>
              <w:bottom w:val="single" w:color="000000" w:sz="4" w:space="0"/>
              <w:right w:val="single" w:color="000000" w:sz="4" w:space="0"/>
            </w:tcBorders>
            <w:noWrap w:val="0"/>
            <w:vAlign w:val="center"/>
          </w:tcPr>
          <w:p w14:paraId="0CBC00B1">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FC最高分为5分</w:t>
            </w:r>
          </w:p>
        </w:tc>
      </w:tr>
    </w:tbl>
    <w:p w14:paraId="60951193">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注：表中的</w:t>
      </w:r>
      <w:r>
        <w:rPr>
          <w:rStyle w:val="185"/>
          <w:rFonts w:hint="eastAsia" w:ascii="宋体" w:hAnsi="宋体" w:eastAsia="宋体" w:cs="宋体"/>
          <w:color w:val="auto"/>
          <w:highlight w:val="none"/>
          <w:lang w:bidi="ar"/>
        </w:rPr>
        <w:t>|</w:t>
      </w:r>
      <w:r>
        <w:rPr>
          <w:rFonts w:hint="eastAsia" w:ascii="宋体" w:hAnsi="宋体" w:eastAsia="宋体" w:cs="宋体"/>
          <w:color w:val="auto"/>
          <w:sz w:val="21"/>
          <w:szCs w:val="21"/>
          <w:highlight w:val="none"/>
          <w:lang w:bidi="ar"/>
        </w:rPr>
        <w:t>α</w:t>
      </w:r>
      <w:r>
        <w:rPr>
          <w:rFonts w:hint="eastAsia" w:ascii="宋体" w:hAnsi="宋体" w:eastAsia="宋体" w:cs="宋体"/>
          <w:color w:val="auto"/>
          <w:sz w:val="21"/>
          <w:szCs w:val="21"/>
          <w:highlight w:val="none"/>
          <w:vertAlign w:val="subscript"/>
          <w:lang w:bidi="ar"/>
        </w:rPr>
        <w:t>FC</w:t>
      </w:r>
      <w:r>
        <w:rPr>
          <w:rStyle w:val="185"/>
          <w:rFonts w:hint="eastAsia" w:ascii="宋体" w:hAnsi="宋体" w:eastAsia="宋体" w:cs="宋体"/>
          <w:color w:val="auto"/>
          <w:highlight w:val="none"/>
          <w:lang w:bidi="ar"/>
        </w:rPr>
        <w:t>|</w:t>
      </w:r>
      <w:r>
        <w:rPr>
          <w:rFonts w:hint="eastAsia" w:ascii="宋体" w:hAnsi="宋体" w:eastAsia="宋体" w:cs="宋体"/>
          <w:color w:val="auto"/>
          <w:sz w:val="21"/>
          <w:szCs w:val="21"/>
          <w:highlight w:val="none"/>
        </w:rPr>
        <w:t>用为取绝对值函数。FC分值数据保留小数点后三位。</w:t>
      </w:r>
    </w:p>
    <w:p w14:paraId="4494713E">
      <w:pPr>
        <w:pStyle w:val="38"/>
        <w:widowControl/>
        <w:wordWrap w:val="0"/>
        <w:spacing w:before="0" w:beforeAutospacing="0" w:after="0" w:afterAutospacing="0"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6.材料单价的评审，共计5分。计分规则见下表。</w:t>
      </w:r>
    </w:p>
    <w:p w14:paraId="23581ED0">
      <w:pPr>
        <w:rPr>
          <w:rFonts w:hint="eastAsia" w:ascii="宋体" w:hAnsi="宋体" w:eastAsia="宋体" w:cs="宋体"/>
          <w:vanish/>
          <w:color w:val="auto"/>
          <w:szCs w:val="21"/>
          <w:highlight w:val="none"/>
        </w:rPr>
      </w:pPr>
    </w:p>
    <w:tbl>
      <w:tblPr>
        <w:tblStyle w:val="43"/>
        <w:tblW w:w="9074" w:type="dxa"/>
        <w:jc w:val="center"/>
        <w:tblLayout w:type="autofit"/>
        <w:tblCellMar>
          <w:top w:w="0" w:type="dxa"/>
          <w:left w:w="108" w:type="dxa"/>
          <w:bottom w:w="0" w:type="dxa"/>
          <w:right w:w="108" w:type="dxa"/>
        </w:tblCellMar>
      </w:tblPr>
      <w:tblGrid>
        <w:gridCol w:w="5140"/>
        <w:gridCol w:w="3934"/>
      </w:tblGrid>
      <w:tr w14:paraId="3A574E7F">
        <w:tblPrEx>
          <w:tblCellMar>
            <w:top w:w="0" w:type="dxa"/>
            <w:left w:w="108" w:type="dxa"/>
            <w:bottom w:w="0" w:type="dxa"/>
            <w:right w:w="108" w:type="dxa"/>
          </w:tblCellMar>
        </w:tblPrEx>
        <w:trPr>
          <w:trHeight w:val="680" w:hRule="atLeast"/>
          <w:jc w:val="center"/>
        </w:trPr>
        <w:tc>
          <w:tcPr>
            <w:tcW w:w="5140" w:type="dxa"/>
            <w:tcBorders>
              <w:top w:val="single" w:color="000000" w:sz="4" w:space="0"/>
              <w:left w:val="single" w:color="000000" w:sz="4" w:space="0"/>
              <w:bottom w:val="single" w:color="000000" w:sz="4" w:space="0"/>
              <w:right w:val="single" w:color="000000" w:sz="4" w:space="0"/>
            </w:tcBorders>
            <w:noWrap w:val="0"/>
            <w:vAlign w:val="center"/>
          </w:tcPr>
          <w:p w14:paraId="1C36C6E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投标报价材料单价</w:t>
            </w:r>
          </w:p>
        </w:tc>
        <w:tc>
          <w:tcPr>
            <w:tcW w:w="3934" w:type="dxa"/>
            <w:tcBorders>
              <w:top w:val="single" w:color="000000" w:sz="4" w:space="0"/>
              <w:left w:val="single" w:color="000000" w:sz="4" w:space="0"/>
              <w:bottom w:val="single" w:color="000000" w:sz="4" w:space="0"/>
              <w:right w:val="single" w:color="000000" w:sz="4" w:space="0"/>
            </w:tcBorders>
            <w:noWrap w:val="0"/>
            <w:vAlign w:val="center"/>
          </w:tcPr>
          <w:p w14:paraId="0395B25C">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计分FD</w:t>
            </w:r>
          </w:p>
        </w:tc>
      </w:tr>
      <w:tr w14:paraId="4F6EB4F6">
        <w:tblPrEx>
          <w:tblCellMar>
            <w:top w:w="0" w:type="dxa"/>
            <w:left w:w="108" w:type="dxa"/>
            <w:bottom w:w="0" w:type="dxa"/>
            <w:right w:w="108" w:type="dxa"/>
          </w:tblCellMar>
        </w:tblPrEx>
        <w:trPr>
          <w:trHeight w:val="680" w:hRule="atLeast"/>
          <w:jc w:val="center"/>
        </w:trPr>
        <w:tc>
          <w:tcPr>
            <w:tcW w:w="9074" w:type="dxa"/>
            <w:gridSpan w:val="2"/>
            <w:tcBorders>
              <w:top w:val="single" w:color="000000" w:sz="4" w:space="0"/>
              <w:left w:val="single" w:color="000000" w:sz="4" w:space="0"/>
              <w:bottom w:val="single" w:color="000000" w:sz="4" w:space="0"/>
              <w:right w:val="single" w:color="000000" w:sz="4" w:space="0"/>
            </w:tcBorders>
            <w:noWrap w:val="0"/>
            <w:vAlign w:val="center"/>
          </w:tcPr>
          <w:p w14:paraId="44678D8B">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Pd为工程量清单材料表中的材料总数</w:t>
            </w:r>
          </w:p>
        </w:tc>
      </w:tr>
      <w:tr w14:paraId="472E1859">
        <w:tblPrEx>
          <w:tblCellMar>
            <w:top w:w="0" w:type="dxa"/>
            <w:left w:w="108" w:type="dxa"/>
            <w:bottom w:w="0" w:type="dxa"/>
            <w:right w:w="108" w:type="dxa"/>
          </w:tblCellMar>
        </w:tblPrEx>
        <w:trPr>
          <w:trHeight w:val="680" w:hRule="atLeast"/>
          <w:jc w:val="center"/>
        </w:trPr>
        <w:tc>
          <w:tcPr>
            <w:tcW w:w="9074" w:type="dxa"/>
            <w:gridSpan w:val="2"/>
            <w:tcBorders>
              <w:top w:val="single" w:color="000000" w:sz="4" w:space="0"/>
              <w:left w:val="single" w:color="000000" w:sz="4" w:space="0"/>
              <w:bottom w:val="single" w:color="000000" w:sz="4" w:space="0"/>
              <w:right w:val="single" w:color="000000" w:sz="4" w:space="0"/>
            </w:tcBorders>
            <w:noWrap w:val="0"/>
            <w:vAlign w:val="center"/>
          </w:tcPr>
          <w:p w14:paraId="54DDF3A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综合评估法</w:t>
            </w:r>
          </w:p>
        </w:tc>
      </w:tr>
      <w:tr w14:paraId="783044DE">
        <w:tblPrEx>
          <w:tblCellMar>
            <w:top w:w="0" w:type="dxa"/>
            <w:left w:w="108" w:type="dxa"/>
            <w:bottom w:w="0" w:type="dxa"/>
            <w:right w:w="108" w:type="dxa"/>
          </w:tblCellMar>
        </w:tblPrEx>
        <w:trPr>
          <w:trHeight w:val="920" w:hRule="atLeast"/>
          <w:jc w:val="center"/>
        </w:trPr>
        <w:tc>
          <w:tcPr>
            <w:tcW w:w="5140" w:type="dxa"/>
            <w:tcBorders>
              <w:top w:val="single" w:color="000000" w:sz="4" w:space="0"/>
              <w:left w:val="single" w:color="000000" w:sz="4" w:space="0"/>
              <w:bottom w:val="single" w:color="000000" w:sz="4" w:space="0"/>
              <w:right w:val="single" w:color="000000" w:sz="4" w:space="0"/>
            </w:tcBorders>
            <w:noWrap w:val="0"/>
            <w:vAlign w:val="center"/>
          </w:tcPr>
          <w:p w14:paraId="02C672E8">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在材料单价基准价95%-103%（不含95%和含103%）内的项数Md</w:t>
            </w:r>
          </w:p>
        </w:tc>
        <w:tc>
          <w:tcPr>
            <w:tcW w:w="3934" w:type="dxa"/>
            <w:tcBorders>
              <w:top w:val="single" w:color="000000" w:sz="4" w:space="0"/>
              <w:left w:val="single" w:color="000000" w:sz="4" w:space="0"/>
              <w:bottom w:val="single" w:color="000000" w:sz="4" w:space="0"/>
              <w:right w:val="single" w:color="000000" w:sz="4" w:space="0"/>
            </w:tcBorders>
            <w:noWrap w:val="0"/>
            <w:vAlign w:val="center"/>
          </w:tcPr>
          <w:p w14:paraId="403A3665">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FD1=5</w:t>
            </w:r>
            <w:r>
              <w:rPr>
                <w:rStyle w:val="183"/>
                <w:rFonts w:hint="eastAsia" w:ascii="宋体" w:hAnsi="宋体" w:eastAsia="宋体" w:cs="宋体"/>
                <w:color w:val="auto"/>
                <w:highlight w:val="none"/>
                <w:lang w:bidi="ar"/>
              </w:rPr>
              <w:t>×</w:t>
            </w:r>
            <w:r>
              <w:rPr>
                <w:rFonts w:hint="eastAsia" w:ascii="宋体" w:hAnsi="宋体" w:eastAsia="宋体" w:cs="宋体"/>
                <w:color w:val="auto"/>
                <w:kern w:val="0"/>
                <w:szCs w:val="21"/>
                <w:highlight w:val="none"/>
                <w:lang w:bidi="ar"/>
              </w:rPr>
              <w:t>Md</w:t>
            </w:r>
            <w:r>
              <w:rPr>
                <w:rStyle w:val="183"/>
                <w:rFonts w:hint="eastAsia" w:ascii="宋体" w:hAnsi="宋体" w:eastAsia="宋体" w:cs="宋体"/>
                <w:color w:val="auto"/>
                <w:highlight w:val="none"/>
                <w:lang w:bidi="ar"/>
              </w:rPr>
              <w:t>×</w:t>
            </w:r>
            <w:r>
              <w:rPr>
                <w:rFonts w:hint="eastAsia" w:ascii="宋体" w:hAnsi="宋体" w:eastAsia="宋体" w:cs="宋体"/>
                <w:color w:val="auto"/>
                <w:kern w:val="0"/>
                <w:szCs w:val="21"/>
                <w:highlight w:val="none"/>
                <w:lang w:bidi="ar"/>
              </w:rPr>
              <w:t>Rd</w:t>
            </w:r>
            <w:r>
              <w:rPr>
                <w:rFonts w:hint="eastAsia" w:ascii="宋体" w:hAnsi="宋体" w:eastAsia="宋体" w:cs="宋体"/>
                <w:color w:val="auto"/>
                <w:kern w:val="0"/>
                <w:szCs w:val="21"/>
                <w:highlight w:val="none"/>
                <w:vertAlign w:val="subscript"/>
                <w:lang w:bidi="ar"/>
              </w:rPr>
              <w:t>1</w:t>
            </w:r>
            <w:r>
              <w:rPr>
                <w:rFonts w:hint="eastAsia" w:ascii="宋体" w:hAnsi="宋体" w:eastAsia="宋体" w:cs="宋体"/>
                <w:color w:val="auto"/>
                <w:kern w:val="0"/>
                <w:szCs w:val="21"/>
                <w:highlight w:val="none"/>
                <w:lang w:bidi="ar"/>
              </w:rPr>
              <w:t>/Pd，其中计分系数Rd</w:t>
            </w:r>
            <w:r>
              <w:rPr>
                <w:rFonts w:hint="eastAsia" w:ascii="宋体" w:hAnsi="宋体" w:eastAsia="宋体" w:cs="宋体"/>
                <w:color w:val="auto"/>
                <w:kern w:val="0"/>
                <w:szCs w:val="21"/>
                <w:highlight w:val="none"/>
                <w:vertAlign w:val="subscript"/>
                <w:lang w:bidi="ar"/>
              </w:rPr>
              <w:t>1</w:t>
            </w:r>
            <w:r>
              <w:rPr>
                <w:rFonts w:hint="eastAsia" w:ascii="宋体" w:hAnsi="宋体" w:eastAsia="宋体" w:cs="宋体"/>
                <w:color w:val="auto"/>
                <w:kern w:val="0"/>
                <w:szCs w:val="21"/>
                <w:highlight w:val="none"/>
                <w:lang w:bidi="ar"/>
              </w:rPr>
              <w:t>=1</w:t>
            </w:r>
          </w:p>
        </w:tc>
      </w:tr>
      <w:tr w14:paraId="78772DE5">
        <w:tblPrEx>
          <w:tblCellMar>
            <w:top w:w="0" w:type="dxa"/>
            <w:left w:w="108" w:type="dxa"/>
            <w:bottom w:w="0" w:type="dxa"/>
            <w:right w:w="108" w:type="dxa"/>
          </w:tblCellMar>
        </w:tblPrEx>
        <w:trPr>
          <w:trHeight w:val="920" w:hRule="atLeast"/>
          <w:jc w:val="center"/>
        </w:trPr>
        <w:tc>
          <w:tcPr>
            <w:tcW w:w="5140" w:type="dxa"/>
            <w:tcBorders>
              <w:top w:val="single" w:color="000000" w:sz="4" w:space="0"/>
              <w:left w:val="single" w:color="000000" w:sz="4" w:space="0"/>
              <w:bottom w:val="single" w:color="000000" w:sz="4" w:space="0"/>
              <w:right w:val="single" w:color="000000" w:sz="4" w:space="0"/>
            </w:tcBorders>
            <w:noWrap w:val="0"/>
            <w:vAlign w:val="center"/>
          </w:tcPr>
          <w:p w14:paraId="5A5B8DB6">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在材料单价基准价93%-95%（含93%和95%）内的项数Nd</w:t>
            </w:r>
          </w:p>
        </w:tc>
        <w:tc>
          <w:tcPr>
            <w:tcW w:w="3934" w:type="dxa"/>
            <w:tcBorders>
              <w:top w:val="single" w:color="000000" w:sz="4" w:space="0"/>
              <w:left w:val="single" w:color="000000" w:sz="4" w:space="0"/>
              <w:bottom w:val="single" w:color="000000" w:sz="4" w:space="0"/>
              <w:right w:val="single" w:color="000000" w:sz="4" w:space="0"/>
            </w:tcBorders>
            <w:noWrap w:val="0"/>
            <w:vAlign w:val="center"/>
          </w:tcPr>
          <w:p w14:paraId="02D48703">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FD2=5</w:t>
            </w:r>
            <w:r>
              <w:rPr>
                <w:rStyle w:val="183"/>
                <w:rFonts w:hint="eastAsia" w:ascii="宋体" w:hAnsi="宋体" w:eastAsia="宋体" w:cs="宋体"/>
                <w:color w:val="auto"/>
                <w:highlight w:val="none"/>
                <w:lang w:bidi="ar"/>
              </w:rPr>
              <w:t>×</w:t>
            </w:r>
            <w:r>
              <w:rPr>
                <w:rFonts w:hint="eastAsia" w:ascii="宋体" w:hAnsi="宋体" w:eastAsia="宋体" w:cs="宋体"/>
                <w:color w:val="auto"/>
                <w:kern w:val="0"/>
                <w:szCs w:val="21"/>
                <w:highlight w:val="none"/>
                <w:lang w:bidi="ar"/>
              </w:rPr>
              <w:t>Nd</w:t>
            </w:r>
            <w:r>
              <w:rPr>
                <w:rStyle w:val="183"/>
                <w:rFonts w:hint="eastAsia" w:ascii="宋体" w:hAnsi="宋体" w:eastAsia="宋体" w:cs="宋体"/>
                <w:color w:val="auto"/>
                <w:highlight w:val="none"/>
                <w:lang w:bidi="ar"/>
              </w:rPr>
              <w:t>×</w:t>
            </w:r>
            <w:r>
              <w:rPr>
                <w:rFonts w:hint="eastAsia" w:ascii="宋体" w:hAnsi="宋体" w:eastAsia="宋体" w:cs="宋体"/>
                <w:color w:val="auto"/>
                <w:kern w:val="0"/>
                <w:szCs w:val="21"/>
                <w:highlight w:val="none"/>
                <w:lang w:bidi="ar"/>
              </w:rPr>
              <w:t>Rd</w:t>
            </w:r>
            <w:r>
              <w:rPr>
                <w:rFonts w:hint="eastAsia" w:ascii="宋体" w:hAnsi="宋体" w:eastAsia="宋体" w:cs="宋体"/>
                <w:color w:val="auto"/>
                <w:kern w:val="0"/>
                <w:szCs w:val="21"/>
                <w:highlight w:val="none"/>
                <w:vertAlign w:val="subscript"/>
                <w:lang w:bidi="ar"/>
              </w:rPr>
              <w:t>2</w:t>
            </w:r>
            <w:r>
              <w:rPr>
                <w:rFonts w:hint="eastAsia" w:ascii="宋体" w:hAnsi="宋体" w:eastAsia="宋体" w:cs="宋体"/>
                <w:color w:val="auto"/>
                <w:kern w:val="0"/>
                <w:szCs w:val="21"/>
                <w:highlight w:val="none"/>
                <w:lang w:bidi="ar"/>
              </w:rPr>
              <w:t>/Pd，其中计分系数Rd2=0.5</w:t>
            </w:r>
          </w:p>
        </w:tc>
      </w:tr>
      <w:tr w14:paraId="0137FCDD">
        <w:tblPrEx>
          <w:tblCellMar>
            <w:top w:w="0" w:type="dxa"/>
            <w:left w:w="108" w:type="dxa"/>
            <w:bottom w:w="0" w:type="dxa"/>
            <w:right w:w="108" w:type="dxa"/>
          </w:tblCellMar>
        </w:tblPrEx>
        <w:trPr>
          <w:trHeight w:val="920" w:hRule="atLeast"/>
          <w:jc w:val="center"/>
        </w:trPr>
        <w:tc>
          <w:tcPr>
            <w:tcW w:w="5140" w:type="dxa"/>
            <w:tcBorders>
              <w:top w:val="single" w:color="000000" w:sz="4" w:space="0"/>
              <w:left w:val="single" w:color="000000" w:sz="4" w:space="0"/>
              <w:bottom w:val="single" w:color="000000" w:sz="4" w:space="0"/>
              <w:right w:val="single" w:color="000000" w:sz="4" w:space="0"/>
            </w:tcBorders>
            <w:noWrap w:val="0"/>
            <w:vAlign w:val="center"/>
          </w:tcPr>
          <w:p w14:paraId="2A73F8D5">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低于材料单价基准价93%和高于材料单价基准价103%的项数</w:t>
            </w:r>
          </w:p>
        </w:tc>
        <w:tc>
          <w:tcPr>
            <w:tcW w:w="3934" w:type="dxa"/>
            <w:tcBorders>
              <w:top w:val="single" w:color="000000" w:sz="4" w:space="0"/>
              <w:left w:val="single" w:color="000000" w:sz="4" w:space="0"/>
              <w:bottom w:val="single" w:color="000000" w:sz="4" w:space="0"/>
              <w:right w:val="single" w:color="000000" w:sz="4" w:space="0"/>
            </w:tcBorders>
            <w:noWrap w:val="0"/>
            <w:vAlign w:val="center"/>
          </w:tcPr>
          <w:p w14:paraId="4D20813E">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FD3=0</w:t>
            </w:r>
          </w:p>
        </w:tc>
      </w:tr>
      <w:tr w14:paraId="3953E913">
        <w:tblPrEx>
          <w:tblCellMar>
            <w:top w:w="0" w:type="dxa"/>
            <w:left w:w="108" w:type="dxa"/>
            <w:bottom w:w="0" w:type="dxa"/>
            <w:right w:w="108" w:type="dxa"/>
          </w:tblCellMar>
        </w:tblPrEx>
        <w:trPr>
          <w:trHeight w:val="920" w:hRule="atLeast"/>
          <w:jc w:val="center"/>
        </w:trPr>
        <w:tc>
          <w:tcPr>
            <w:tcW w:w="5140" w:type="dxa"/>
            <w:tcBorders>
              <w:top w:val="single" w:color="000000" w:sz="4" w:space="0"/>
              <w:left w:val="single" w:color="000000" w:sz="4" w:space="0"/>
              <w:bottom w:val="single" w:color="000000" w:sz="4" w:space="0"/>
              <w:right w:val="single" w:color="000000" w:sz="4" w:space="0"/>
            </w:tcBorders>
            <w:noWrap w:val="0"/>
            <w:vAlign w:val="center"/>
          </w:tcPr>
          <w:p w14:paraId="1F6DEA5C">
            <w:pPr>
              <w:jc w:val="left"/>
              <w:rPr>
                <w:rFonts w:hint="eastAsia" w:ascii="宋体" w:hAnsi="宋体" w:eastAsia="宋体" w:cs="宋体"/>
                <w:color w:val="auto"/>
                <w:szCs w:val="21"/>
                <w:highlight w:val="none"/>
              </w:rPr>
            </w:pPr>
          </w:p>
        </w:tc>
        <w:tc>
          <w:tcPr>
            <w:tcW w:w="3934" w:type="dxa"/>
            <w:tcBorders>
              <w:top w:val="single" w:color="000000" w:sz="4" w:space="0"/>
              <w:left w:val="single" w:color="000000" w:sz="4" w:space="0"/>
              <w:bottom w:val="single" w:color="000000" w:sz="4" w:space="0"/>
              <w:right w:val="single" w:color="000000" w:sz="4" w:space="0"/>
            </w:tcBorders>
            <w:noWrap w:val="0"/>
            <w:vAlign w:val="center"/>
          </w:tcPr>
          <w:p w14:paraId="76E8DFC7">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上述合计FD=FD1+FD2+FD3，FD最高分为5分</w:t>
            </w:r>
          </w:p>
        </w:tc>
      </w:tr>
    </w:tbl>
    <w:p w14:paraId="5C5F7B88">
      <w:pPr>
        <w:pStyle w:val="38"/>
        <w:widowControl/>
        <w:spacing w:before="132" w:beforeAutospacing="0" w:after="378"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注：招标文件应提供工程量清单材料表。投标人漏报材料单价的，该投标人漏报项不参与材料单价基准价计算。</w:t>
      </w:r>
    </w:p>
    <w:p w14:paraId="58F8B04D">
      <w:pP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br w:type="page"/>
      </w:r>
    </w:p>
    <w:p w14:paraId="7D0F6E71">
      <w:pPr>
        <w:spacing w:line="360" w:lineRule="auto"/>
        <w:ind w:firstLine="422" w:firstLineChars="200"/>
        <w:outlineLvl w:val="1"/>
        <w:rPr>
          <w:rFonts w:hint="eastAsia" w:ascii="宋体" w:hAnsi="宋体" w:eastAsia="宋体" w:cs="宋体"/>
          <w:b/>
          <w:bCs/>
          <w:color w:val="auto"/>
          <w:kern w:val="0"/>
          <w:szCs w:val="21"/>
          <w:highlight w:val="none"/>
        </w:rPr>
      </w:pPr>
      <w:bookmarkStart w:id="830" w:name="_Toc30415"/>
      <w:bookmarkStart w:id="831" w:name="_Toc2917"/>
      <w:r>
        <w:rPr>
          <w:rFonts w:hint="eastAsia" w:ascii="宋体" w:hAnsi="宋体" w:eastAsia="宋体" w:cs="宋体"/>
          <w:b/>
          <w:bCs/>
          <w:color w:val="auto"/>
          <w:kern w:val="0"/>
          <w:szCs w:val="21"/>
          <w:highlight w:val="none"/>
        </w:rPr>
        <w:t>1</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 xml:space="preserve"> 评标方法</w:t>
      </w:r>
      <w:bookmarkEnd w:id="830"/>
      <w:bookmarkEnd w:id="831"/>
    </w:p>
    <w:p w14:paraId="3FB3F8DE">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本次评标采用综合评分法。评标委员会对满足招标文件实质性要求的投标文件，按照本章第 2.2 款规定的评分标准进行打分，并</w:t>
      </w:r>
      <w:r>
        <w:rPr>
          <w:rFonts w:hint="eastAsia" w:ascii="宋体" w:hAnsi="宋体" w:cs="宋体"/>
          <w:b w:val="0"/>
          <w:bCs/>
          <w:color w:val="auto"/>
          <w:szCs w:val="21"/>
          <w:highlight w:val="none"/>
          <w:lang w:val="en-US" w:eastAsia="zh-CN"/>
        </w:rPr>
        <w:t>按照最终</w:t>
      </w:r>
      <w:r>
        <w:rPr>
          <w:rFonts w:hint="eastAsia" w:ascii="宋体" w:hAnsi="宋体" w:eastAsia="宋体" w:cs="宋体"/>
          <w:b w:val="0"/>
          <w:bCs/>
          <w:color w:val="auto"/>
          <w:szCs w:val="21"/>
          <w:highlight w:val="none"/>
        </w:rPr>
        <w:t>得分由高到低顺序推荐中标候选人（中标候选人不排序），但投标报价低于其成本的除外。最终得分相同时，</w:t>
      </w:r>
      <w:r>
        <w:rPr>
          <w:rFonts w:hint="eastAsia" w:ascii="宋体" w:hAnsi="宋体" w:cs="宋体"/>
          <w:b w:val="0"/>
          <w:bCs/>
          <w:color w:val="auto"/>
          <w:szCs w:val="21"/>
          <w:highlight w:val="none"/>
          <w:lang w:val="en-US" w:eastAsia="zh-CN"/>
        </w:rPr>
        <w:t>以</w:t>
      </w:r>
      <w:r>
        <w:rPr>
          <w:rFonts w:hint="eastAsia" w:ascii="宋体" w:hAnsi="宋体" w:eastAsia="宋体" w:cs="宋体"/>
          <w:b w:val="0"/>
          <w:bCs/>
          <w:color w:val="auto"/>
          <w:szCs w:val="21"/>
          <w:highlight w:val="none"/>
        </w:rPr>
        <w:t>综合评分</w:t>
      </w:r>
      <w:r>
        <w:rPr>
          <w:rFonts w:hint="eastAsia" w:ascii="宋体" w:hAnsi="宋体" w:cs="宋体"/>
          <w:b w:val="0"/>
          <w:bCs/>
          <w:color w:val="auto"/>
          <w:szCs w:val="21"/>
          <w:highlight w:val="none"/>
          <w:lang w:val="en-US" w:eastAsia="zh-CN"/>
        </w:rPr>
        <w:t>高的优先推荐；综合评分相等时，以投标报价低的优先排序；</w:t>
      </w:r>
      <w:r>
        <w:rPr>
          <w:rFonts w:hint="eastAsia" w:ascii="宋体" w:hAnsi="宋体" w:eastAsia="宋体" w:cs="宋体"/>
          <w:b w:val="0"/>
          <w:bCs/>
          <w:color w:val="auto"/>
          <w:szCs w:val="21"/>
          <w:highlight w:val="none"/>
        </w:rPr>
        <w:t>投标报价也相同的，按照施工组织设计得分高的优先推荐，没有约定的，由评标委员会确定。</w:t>
      </w:r>
    </w:p>
    <w:p w14:paraId="1D7E240A">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中标候选人推荐方法</w:t>
      </w:r>
    </w:p>
    <w:p w14:paraId="55C8A699">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所有经评标委员会评审的有效投标人数量为N</w:t>
      </w:r>
    </w:p>
    <w:p w14:paraId="7851342F">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1.2.1 当N＜3时，招标人应当重新招标；</w:t>
      </w:r>
    </w:p>
    <w:p w14:paraId="688DDF34">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1.2.2 当3≤N≤10时，全部推荐为中标候选人；</w:t>
      </w:r>
    </w:p>
    <w:p w14:paraId="3FB97B2F">
      <w:pPr>
        <w:spacing w:line="360" w:lineRule="auto"/>
        <w:ind w:firstLine="420" w:firstLineChars="200"/>
        <w:jc w:val="left"/>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1.2.3 当N＞10时，按各有效投标人最终评标得分由高到低进行排序，选择排名前10家有效投标人为中标候选人。</w:t>
      </w:r>
    </w:p>
    <w:p w14:paraId="622656FD">
      <w:pPr>
        <w:pStyle w:val="169"/>
        <w:snapToGrid w:val="0"/>
        <w:spacing w:before="0" w:line="360" w:lineRule="auto"/>
        <w:ind w:firstLine="420" w:firstLineChars="200"/>
        <w:outlineLvl w:val="9"/>
        <w:rPr>
          <w:rFonts w:hint="eastAsia" w:ascii="宋体" w:hAnsi="宋体" w:eastAsia="宋体" w:cs="宋体"/>
          <w:bCs/>
          <w:color w:val="auto"/>
          <w:sz w:val="21"/>
          <w:szCs w:val="21"/>
          <w:highlight w:val="none"/>
        </w:rPr>
      </w:pPr>
      <w:bookmarkStart w:id="832" w:name="_Toc8713"/>
      <w:bookmarkStart w:id="833" w:name="_Toc16938"/>
      <w:bookmarkStart w:id="834" w:name="_Toc8285"/>
      <w:bookmarkStart w:id="835" w:name="_Toc144974568"/>
      <w:bookmarkStart w:id="836" w:name="_Toc179632619"/>
      <w:bookmarkStart w:id="837" w:name="_Toc10417"/>
      <w:bookmarkStart w:id="838" w:name="_Toc152042378"/>
      <w:bookmarkStart w:id="839" w:name="_Toc22495"/>
      <w:bookmarkStart w:id="840" w:name="_Toc458759013"/>
      <w:bookmarkStart w:id="841" w:name="_Toc6860"/>
      <w:bookmarkStart w:id="842" w:name="_Toc152045601"/>
      <w:r>
        <w:rPr>
          <w:rFonts w:hint="eastAsia" w:ascii="宋体" w:hAnsi="宋体" w:eastAsia="宋体" w:cs="宋体"/>
          <w:bCs/>
          <w:color w:val="auto"/>
          <w:sz w:val="21"/>
          <w:szCs w:val="21"/>
          <w:highlight w:val="none"/>
        </w:rPr>
        <w:t>2. 评审标准</w:t>
      </w:r>
      <w:bookmarkEnd w:id="832"/>
      <w:bookmarkEnd w:id="833"/>
      <w:bookmarkEnd w:id="834"/>
      <w:bookmarkEnd w:id="835"/>
      <w:bookmarkEnd w:id="836"/>
      <w:bookmarkEnd w:id="837"/>
      <w:bookmarkEnd w:id="838"/>
      <w:bookmarkEnd w:id="839"/>
      <w:bookmarkEnd w:id="840"/>
      <w:bookmarkEnd w:id="841"/>
      <w:bookmarkEnd w:id="842"/>
    </w:p>
    <w:p w14:paraId="6E6B0C34">
      <w:pPr>
        <w:spacing w:line="360" w:lineRule="auto"/>
        <w:ind w:firstLine="420" w:firstLineChars="200"/>
        <w:outlineLvl w:val="3"/>
        <w:rPr>
          <w:rFonts w:hint="eastAsia" w:ascii="宋体" w:hAnsi="宋体" w:eastAsia="宋体" w:cs="宋体"/>
          <w:color w:val="auto"/>
          <w:szCs w:val="21"/>
          <w:highlight w:val="none"/>
        </w:rPr>
      </w:pPr>
      <w:bookmarkStart w:id="843" w:name="_Toc152042379"/>
      <w:bookmarkStart w:id="844" w:name="_Toc179632620"/>
      <w:bookmarkStart w:id="845" w:name="_Toc450850891"/>
      <w:bookmarkStart w:id="846" w:name="_Toc458758944"/>
      <w:bookmarkStart w:id="847" w:name="_Toc144974569"/>
      <w:bookmarkStart w:id="848" w:name="_Toc458759014"/>
      <w:bookmarkStart w:id="849" w:name="_Toc152045602"/>
      <w:r>
        <w:rPr>
          <w:rFonts w:hint="eastAsia" w:ascii="宋体" w:hAnsi="宋体" w:eastAsia="宋体" w:cs="宋体"/>
          <w:color w:val="auto"/>
          <w:szCs w:val="21"/>
          <w:highlight w:val="none"/>
        </w:rPr>
        <w:t>2.1 初步评审标准</w:t>
      </w:r>
      <w:bookmarkEnd w:id="843"/>
      <w:bookmarkEnd w:id="844"/>
      <w:bookmarkEnd w:id="845"/>
      <w:bookmarkEnd w:id="846"/>
      <w:bookmarkEnd w:id="847"/>
      <w:bookmarkEnd w:id="848"/>
      <w:bookmarkEnd w:id="849"/>
    </w:p>
    <w:p w14:paraId="2841659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形式评审标准：见评标办法前附表。</w:t>
      </w:r>
    </w:p>
    <w:p w14:paraId="0C2A6F0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 资格评审标准：见评标办法前附表。</w:t>
      </w:r>
    </w:p>
    <w:p w14:paraId="6EE4FE36">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响应性评审标准：见评标办法前附表。</w:t>
      </w:r>
    </w:p>
    <w:p w14:paraId="4245E593">
      <w:pPr>
        <w:spacing w:line="360" w:lineRule="auto"/>
        <w:ind w:firstLine="420" w:firstLineChars="200"/>
        <w:outlineLvl w:val="3"/>
        <w:rPr>
          <w:rFonts w:hint="eastAsia" w:ascii="宋体" w:hAnsi="宋体" w:eastAsia="宋体" w:cs="宋体"/>
          <w:color w:val="auto"/>
          <w:szCs w:val="21"/>
          <w:highlight w:val="none"/>
        </w:rPr>
      </w:pPr>
      <w:bookmarkStart w:id="850" w:name="_Toc152045603"/>
      <w:bookmarkStart w:id="851" w:name="_Toc458759015"/>
      <w:bookmarkStart w:id="852" w:name="_Toc144974570"/>
      <w:bookmarkStart w:id="853" w:name="_Toc458758945"/>
      <w:bookmarkStart w:id="854" w:name="_Toc179632621"/>
      <w:bookmarkStart w:id="855" w:name="_Toc450850892"/>
      <w:bookmarkStart w:id="856" w:name="_Toc152042380"/>
      <w:r>
        <w:rPr>
          <w:rFonts w:hint="eastAsia" w:ascii="宋体" w:hAnsi="宋体" w:eastAsia="宋体" w:cs="宋体"/>
          <w:color w:val="auto"/>
          <w:szCs w:val="21"/>
          <w:highlight w:val="none"/>
        </w:rPr>
        <w:t>2.2 分值构成与评分标准</w:t>
      </w:r>
      <w:bookmarkEnd w:id="850"/>
      <w:bookmarkEnd w:id="851"/>
      <w:bookmarkEnd w:id="852"/>
      <w:bookmarkEnd w:id="853"/>
      <w:bookmarkEnd w:id="854"/>
      <w:bookmarkEnd w:id="855"/>
      <w:bookmarkEnd w:id="856"/>
    </w:p>
    <w:p w14:paraId="130C871C">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2.2.1分值构成</w:t>
      </w:r>
    </w:p>
    <w:p w14:paraId="5A265C0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（1）施工组织设计：见评标办法前附表</w:t>
      </w:r>
    </w:p>
    <w:p w14:paraId="690FC35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）投标报价：见评标办法前附表</w:t>
      </w:r>
    </w:p>
    <w:p w14:paraId="0E3CFC74">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）综合标：见评标办法前附表</w:t>
      </w:r>
    </w:p>
    <w:p w14:paraId="1986389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2.2.2 评标基准价计算</w:t>
      </w:r>
    </w:p>
    <w:p w14:paraId="398749BD">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评标基准价计算方法：见评标办法前附表。</w:t>
      </w:r>
    </w:p>
    <w:p w14:paraId="3ED91EFE">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2.2.3 投标报价的偏差率计算</w:t>
      </w:r>
    </w:p>
    <w:p w14:paraId="0491D2A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投标报价的偏差率计算公式：见评标办法前附表。</w:t>
      </w:r>
    </w:p>
    <w:p w14:paraId="098BC363">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2.2.4 评分标准</w:t>
      </w:r>
    </w:p>
    <w:p w14:paraId="295D52EC">
      <w:pPr>
        <w:snapToGrid w:val="0"/>
        <w:spacing w:line="360" w:lineRule="auto"/>
        <w:ind w:firstLine="420" w:firstLineChars="200"/>
        <w:rPr>
          <w:rFonts w:hint="eastAsia" w:ascii="宋体" w:hAnsi="宋体" w:eastAsia="宋体" w:cs="宋体"/>
          <w:color w:val="auto"/>
          <w:szCs w:val="21"/>
          <w:highlight w:val="none"/>
        </w:rPr>
      </w:pPr>
      <w:bookmarkStart w:id="857" w:name="_Toc9178"/>
      <w:bookmarkStart w:id="858" w:name="_Toc10598"/>
      <w:bookmarkStart w:id="859" w:name="_Toc179632622"/>
      <w:bookmarkStart w:id="860" w:name="_Toc12254"/>
      <w:bookmarkStart w:id="861" w:name="_Toc458759016"/>
      <w:bookmarkStart w:id="862" w:name="_Toc152045604"/>
      <w:bookmarkStart w:id="863" w:name="_Toc16783"/>
      <w:bookmarkStart w:id="864" w:name="_Toc15804"/>
      <w:bookmarkStart w:id="865" w:name="_Toc15419"/>
      <w:bookmarkStart w:id="866" w:name="_Toc144974571"/>
      <w:bookmarkStart w:id="867" w:name="_Toc152042381"/>
      <w:r>
        <w:rPr>
          <w:rFonts w:hint="eastAsia" w:ascii="宋体" w:hAnsi="宋体" w:eastAsia="宋体" w:cs="宋体"/>
          <w:color w:val="auto"/>
          <w:szCs w:val="21"/>
          <w:highlight w:val="none"/>
        </w:rPr>
        <w:t>（1）施工组织设计：见评标办法前附表</w:t>
      </w:r>
    </w:p>
    <w:p w14:paraId="6A92F1F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）投标报价：见评标办法前附表</w:t>
      </w:r>
    </w:p>
    <w:p w14:paraId="500CFED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）综合标：见评标办法前附表</w:t>
      </w:r>
    </w:p>
    <w:p w14:paraId="18E45532">
      <w:pPr>
        <w:pStyle w:val="169"/>
        <w:snapToGrid w:val="0"/>
        <w:spacing w:before="0" w:line="360" w:lineRule="auto"/>
        <w:ind w:firstLine="420" w:firstLineChars="200"/>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 评标程序</w:t>
      </w:r>
      <w:bookmarkEnd w:id="857"/>
      <w:bookmarkEnd w:id="858"/>
      <w:bookmarkEnd w:id="859"/>
      <w:bookmarkEnd w:id="860"/>
      <w:bookmarkEnd w:id="861"/>
      <w:bookmarkEnd w:id="862"/>
      <w:bookmarkEnd w:id="863"/>
      <w:bookmarkEnd w:id="864"/>
      <w:bookmarkEnd w:id="865"/>
      <w:bookmarkEnd w:id="866"/>
      <w:bookmarkEnd w:id="867"/>
    </w:p>
    <w:p w14:paraId="793ABC50">
      <w:pPr>
        <w:spacing w:line="360" w:lineRule="auto"/>
        <w:ind w:firstLine="420" w:firstLineChars="200"/>
        <w:outlineLvl w:val="3"/>
        <w:rPr>
          <w:rFonts w:hint="eastAsia" w:ascii="宋体" w:hAnsi="宋体" w:eastAsia="宋体" w:cs="宋体"/>
          <w:bCs/>
          <w:color w:val="auto"/>
          <w:szCs w:val="21"/>
          <w:highlight w:val="none"/>
        </w:rPr>
      </w:pPr>
      <w:bookmarkStart w:id="868" w:name="_Toc458758947"/>
      <w:bookmarkStart w:id="869" w:name="_Toc152045605"/>
      <w:bookmarkStart w:id="870" w:name="_Toc179632623"/>
      <w:bookmarkStart w:id="871" w:name="_Toc450850894"/>
      <w:bookmarkStart w:id="872" w:name="_Toc152042382"/>
      <w:bookmarkStart w:id="873" w:name="_Toc458759017"/>
      <w:bookmarkStart w:id="874" w:name="_Toc144974572"/>
      <w:r>
        <w:rPr>
          <w:rFonts w:hint="eastAsia" w:ascii="宋体" w:hAnsi="宋体" w:eastAsia="宋体" w:cs="宋体"/>
          <w:color w:val="auto"/>
          <w:szCs w:val="21"/>
          <w:highlight w:val="none"/>
        </w:rPr>
        <w:t>3.1 初步评审</w:t>
      </w:r>
      <w:bookmarkEnd w:id="868"/>
      <w:bookmarkEnd w:id="869"/>
      <w:bookmarkEnd w:id="870"/>
      <w:bookmarkEnd w:id="871"/>
      <w:bookmarkEnd w:id="872"/>
      <w:bookmarkEnd w:id="873"/>
      <w:bookmarkEnd w:id="874"/>
    </w:p>
    <w:p w14:paraId="2BAACCF7">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 评标委员会依据本章第2.1款规定的标准对投标文件进行初步评审。有一项不符合评审标准的，作否决投标处理。</w:t>
      </w:r>
    </w:p>
    <w:p w14:paraId="12711385">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 投标人有以下情形之一的，其投标作否决投标处理：</w:t>
      </w:r>
    </w:p>
    <w:p w14:paraId="1A36900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（1）第二章“投标人须知”第1.4.3项规定的任何一种情形的；</w:t>
      </w:r>
    </w:p>
    <w:p w14:paraId="3813E954">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（2）串通投标或弄虚作假或有其他违法行为的；</w:t>
      </w:r>
    </w:p>
    <w:p w14:paraId="7788C59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（3）不按评标委员会要求澄清、说明或补正的。</w:t>
      </w:r>
    </w:p>
    <w:p w14:paraId="1532A5E7">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3.1.3投标报价有算术错误的，评标委员会按以下原则对投标报价进行修正，修正的价格经投标人书面确认后具有约束力。投标人不接受修正价格的，其投标作否决投标处理。</w:t>
      </w:r>
    </w:p>
    <w:p w14:paraId="2361BB62">
      <w:pPr>
        <w:snapToGrid w:val="0"/>
        <w:spacing w:line="360" w:lineRule="auto"/>
        <w:ind w:firstLine="420" w:firstLineChars="200"/>
        <w:rPr>
          <w:rFonts w:hint="eastAsia" w:ascii="宋体" w:hAnsi="宋体" w:eastAsia="宋体" w:cs="宋体"/>
          <w:color w:val="auto"/>
          <w:szCs w:val="21"/>
          <w:highlight w:val="none"/>
        </w:rPr>
      </w:pPr>
      <w:bookmarkStart w:id="875" w:name="_Toc152042383"/>
      <w:r>
        <w:rPr>
          <w:rFonts w:hint="eastAsia" w:ascii="宋体" w:hAnsi="宋体" w:eastAsia="宋体" w:cs="宋体"/>
          <w:color w:val="auto"/>
          <w:szCs w:val="21"/>
          <w:highlight w:val="none"/>
        </w:rPr>
        <w:t>（1）投标文件中的大写金额与小写金额不一致的，以大写金额为准；</w:t>
      </w:r>
      <w:bookmarkEnd w:id="875"/>
    </w:p>
    <w:p w14:paraId="1B3DE7F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51FA16AB">
      <w:pPr>
        <w:spacing w:line="360" w:lineRule="auto"/>
        <w:ind w:firstLine="420" w:firstLineChars="200"/>
        <w:outlineLvl w:val="3"/>
        <w:rPr>
          <w:rFonts w:hint="eastAsia" w:ascii="宋体" w:hAnsi="宋体" w:eastAsia="宋体" w:cs="宋体"/>
          <w:color w:val="auto"/>
          <w:szCs w:val="21"/>
          <w:highlight w:val="none"/>
        </w:rPr>
      </w:pPr>
      <w:bookmarkStart w:id="876" w:name="_Toc450850895"/>
      <w:bookmarkStart w:id="877" w:name="_Toc152042384"/>
      <w:bookmarkStart w:id="878" w:name="_Toc458759018"/>
      <w:bookmarkStart w:id="879" w:name="_Toc179632624"/>
      <w:bookmarkStart w:id="880" w:name="_Toc152045606"/>
      <w:bookmarkStart w:id="881" w:name="_Toc458758948"/>
      <w:bookmarkStart w:id="882" w:name="_Toc144974573"/>
      <w:r>
        <w:rPr>
          <w:rFonts w:hint="eastAsia" w:ascii="宋体" w:hAnsi="宋体" w:eastAsia="宋体" w:cs="宋体"/>
          <w:color w:val="auto"/>
          <w:szCs w:val="21"/>
          <w:highlight w:val="none"/>
        </w:rPr>
        <w:t>3.2 详细评审</w:t>
      </w:r>
      <w:bookmarkEnd w:id="876"/>
      <w:bookmarkEnd w:id="877"/>
      <w:bookmarkEnd w:id="878"/>
      <w:bookmarkEnd w:id="879"/>
      <w:bookmarkEnd w:id="880"/>
      <w:bookmarkEnd w:id="881"/>
      <w:bookmarkEnd w:id="882"/>
    </w:p>
    <w:p w14:paraId="73C29D27">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 评标委员会按本章第2.2 款规定的量化因素和分值进行打分，并计算出综合评估得分。</w:t>
      </w:r>
    </w:p>
    <w:p w14:paraId="65E7CEF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（1）按本章第2.2.4（1）目规定的评审因素和分值对施工组织设计计算出得分A ；</w:t>
      </w:r>
    </w:p>
    <w:p w14:paraId="37FABBA0">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（2）按本章第2.2.4（2）目规定的评审因素和分值对投标报价计算出得分B；</w:t>
      </w:r>
    </w:p>
    <w:p w14:paraId="1FBB98C3">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（3）按本章第2.2.4（3）目规定的评审因素和分值对综合标计算出得分C；</w:t>
      </w:r>
    </w:p>
    <w:p w14:paraId="26B13DEA">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 评分分值数据保留小数点后三位。相同分值的可逐步向小数点后增加位数至不同为止。</w:t>
      </w:r>
    </w:p>
    <w:p w14:paraId="5AB5D630">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投标人得分=A+B+C</w:t>
      </w:r>
    </w:p>
    <w:p w14:paraId="3CC35C2C">
      <w:pPr>
        <w:spacing w:line="360" w:lineRule="auto"/>
        <w:ind w:firstLine="420" w:firstLineChars="200"/>
        <w:outlineLvl w:val="3"/>
        <w:rPr>
          <w:rFonts w:hint="eastAsia" w:ascii="宋体" w:hAnsi="宋体" w:eastAsia="宋体" w:cs="宋体"/>
          <w:color w:val="auto"/>
          <w:szCs w:val="21"/>
          <w:highlight w:val="none"/>
        </w:rPr>
      </w:pPr>
      <w:bookmarkStart w:id="883" w:name="_Toc144974575"/>
      <w:bookmarkStart w:id="884" w:name="_Toc179632625"/>
      <w:bookmarkStart w:id="885" w:name="_Toc458758949"/>
      <w:bookmarkStart w:id="886" w:name="_Toc152042385"/>
      <w:bookmarkStart w:id="887" w:name="_Toc458759019"/>
      <w:bookmarkStart w:id="888" w:name="_Toc152045607"/>
      <w:bookmarkStart w:id="889" w:name="_Toc450850896"/>
      <w:r>
        <w:rPr>
          <w:rFonts w:hint="eastAsia" w:ascii="宋体" w:hAnsi="宋体" w:eastAsia="宋体" w:cs="宋体"/>
          <w:color w:val="auto"/>
          <w:szCs w:val="21"/>
          <w:highlight w:val="none"/>
        </w:rPr>
        <w:t>3.3 投标文件的澄清</w:t>
      </w:r>
      <w:bookmarkEnd w:id="883"/>
      <w:r>
        <w:rPr>
          <w:rFonts w:hint="eastAsia" w:ascii="宋体" w:hAnsi="宋体" w:eastAsia="宋体" w:cs="宋体"/>
          <w:color w:val="auto"/>
          <w:szCs w:val="21"/>
          <w:highlight w:val="none"/>
        </w:rPr>
        <w:t>和补正</w:t>
      </w:r>
      <w:bookmarkEnd w:id="884"/>
      <w:bookmarkEnd w:id="885"/>
      <w:bookmarkEnd w:id="886"/>
      <w:bookmarkEnd w:id="887"/>
      <w:bookmarkEnd w:id="888"/>
      <w:bookmarkEnd w:id="889"/>
    </w:p>
    <w:p w14:paraId="3BEF753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在评标过程中，评标委员会可以书面形式要求投标人对所提交投标文件中不明确的内容进行书面澄清或说明，或者对细微偏差进行补正。在评标结束前，投标人未对评委的质疑进行书面澄清或未按要求提供相关证明材料的评标委员会有权进行相关处理。评标委员会不接受投标人主动提出的澄清、说明或补正。</w:t>
      </w:r>
    </w:p>
    <w:p w14:paraId="5559D62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 澄清、说明和补正不得改变投标文件的实质性内容（算术性错误修正的除外）。投标人的书面澄清、说明和补正属于投标文件的组成部分。</w:t>
      </w:r>
    </w:p>
    <w:p w14:paraId="06AECD3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评标委员会对投标人提交的澄清、说明或补正有疑问的，可以要求投标人进一步澄清、说明或补正，直至满足评标委员会的要求。</w:t>
      </w:r>
    </w:p>
    <w:p w14:paraId="5AB95E8A">
      <w:pPr>
        <w:spacing w:line="360" w:lineRule="auto"/>
        <w:ind w:firstLine="420" w:firstLineChars="200"/>
        <w:outlineLvl w:val="3"/>
        <w:rPr>
          <w:rFonts w:hint="eastAsia" w:ascii="宋体" w:hAnsi="宋体" w:eastAsia="宋体" w:cs="宋体"/>
          <w:color w:val="auto"/>
          <w:szCs w:val="21"/>
          <w:highlight w:val="none"/>
        </w:rPr>
      </w:pPr>
      <w:bookmarkStart w:id="890" w:name="_Toc458758950"/>
      <w:bookmarkStart w:id="891" w:name="_Toc179632626"/>
      <w:bookmarkStart w:id="892" w:name="_Toc152045608"/>
      <w:bookmarkStart w:id="893" w:name="_Toc450850897"/>
      <w:bookmarkStart w:id="894" w:name="_Toc152042386"/>
      <w:bookmarkStart w:id="895" w:name="_Toc458759020"/>
      <w:bookmarkStart w:id="896" w:name="_Toc144974576"/>
      <w:r>
        <w:rPr>
          <w:rFonts w:hint="eastAsia" w:ascii="宋体" w:hAnsi="宋体" w:eastAsia="宋体" w:cs="宋体"/>
          <w:color w:val="auto"/>
          <w:szCs w:val="21"/>
          <w:highlight w:val="none"/>
        </w:rPr>
        <w:t>3.4 评标结果</w:t>
      </w:r>
      <w:bookmarkEnd w:id="890"/>
      <w:bookmarkEnd w:id="891"/>
      <w:bookmarkEnd w:id="892"/>
      <w:bookmarkEnd w:id="893"/>
      <w:bookmarkEnd w:id="894"/>
      <w:bookmarkEnd w:id="895"/>
      <w:bookmarkEnd w:id="896"/>
    </w:p>
    <w:p w14:paraId="7567D460">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3.4.1除第二章“投标人须知”前附表授权直接确定中标人外，评标委员会按照得分由高到低的顺序推荐中标候选人。</w:t>
      </w:r>
    </w:p>
    <w:p w14:paraId="6E27AF22">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 评标委员会完成评标后，应向招标人提交书面评标报告，评标报告应当载明每个中标候选人的特点、优势、缺点、风险等评审情况和推荐理由,并对技术、质量、安全、工期的控制能力等提供技术咨询建议,供定标委员会参考。</w:t>
      </w:r>
    </w:p>
    <w:p w14:paraId="7EA5E86D">
      <w:pPr>
        <w:spacing w:after="312" w:afterLines="100" w:line="420" w:lineRule="exact"/>
        <w:outlineLvl w:val="1"/>
        <w:rPr>
          <w:rFonts w:hint="eastAsia" w:ascii="宋体" w:hAnsi="宋体" w:eastAsia="宋体" w:cs="宋体"/>
          <w:b/>
          <w:color w:val="auto"/>
          <w:szCs w:val="21"/>
          <w:highlight w:val="none"/>
        </w:rPr>
      </w:pPr>
      <w:r>
        <w:rPr>
          <w:rFonts w:hint="eastAsia" w:ascii="宋体" w:hAnsi="宋体" w:eastAsia="宋体" w:cs="宋体"/>
          <w:color w:val="auto"/>
          <w:szCs w:val="21"/>
          <w:highlight w:val="none"/>
        </w:rPr>
        <w:br w:type="page"/>
      </w:r>
      <w:bookmarkStart w:id="897" w:name="_Toc13219"/>
      <w:bookmarkStart w:id="898" w:name="_Toc24598"/>
      <w:r>
        <w:rPr>
          <w:rFonts w:hint="eastAsia" w:ascii="宋体" w:hAnsi="宋体" w:eastAsia="宋体" w:cs="宋体"/>
          <w:color w:val="auto"/>
          <w:szCs w:val="21"/>
          <w:highlight w:val="none"/>
        </w:rPr>
        <w:t>附件A：</w:t>
      </w:r>
      <w:bookmarkEnd w:id="897"/>
      <w:bookmarkEnd w:id="898"/>
    </w:p>
    <w:p w14:paraId="4D57A63D">
      <w:pPr>
        <w:spacing w:line="440" w:lineRule="exact"/>
        <w:jc w:val="center"/>
        <w:outlineLvl w:val="2"/>
        <w:rPr>
          <w:rFonts w:hint="eastAsia" w:ascii="宋体" w:hAnsi="宋体" w:eastAsia="宋体" w:cs="宋体"/>
          <w:color w:val="auto"/>
          <w:szCs w:val="21"/>
          <w:highlight w:val="none"/>
        </w:rPr>
      </w:pPr>
      <w:bookmarkStart w:id="899" w:name="_Toc6972"/>
      <w:bookmarkStart w:id="900" w:name="_Toc15065"/>
      <w:bookmarkStart w:id="901" w:name="_Toc24503"/>
      <w:bookmarkStart w:id="902" w:name="_Toc472"/>
      <w:bookmarkStart w:id="903" w:name="_Toc21490_WPSOffice_Level1"/>
      <w:bookmarkStart w:id="904" w:name="_Toc8981"/>
      <w:r>
        <w:rPr>
          <w:rFonts w:hint="eastAsia" w:ascii="宋体" w:hAnsi="宋体" w:eastAsia="宋体" w:cs="宋体"/>
          <w:b/>
          <w:color w:val="auto"/>
          <w:szCs w:val="21"/>
          <w:highlight w:val="none"/>
        </w:rPr>
        <w:t>评标详细程序</w:t>
      </w:r>
      <w:bookmarkEnd w:id="899"/>
      <w:bookmarkEnd w:id="900"/>
      <w:bookmarkEnd w:id="901"/>
      <w:bookmarkEnd w:id="902"/>
      <w:bookmarkEnd w:id="903"/>
      <w:bookmarkEnd w:id="904"/>
    </w:p>
    <w:p w14:paraId="1D3A2B0F">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A0.总则</w:t>
      </w:r>
    </w:p>
    <w:p w14:paraId="7748807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本附件是本章“评标办法”的组成部分，是对本章第3条所规定的评标程序的进一步细化，评标委员会应当按照本附件所规定的详细程序开展并完成评标工作。</w:t>
      </w:r>
    </w:p>
    <w:p w14:paraId="18C43DC2">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A1.基本程序</w:t>
      </w:r>
    </w:p>
    <w:p w14:paraId="679CD09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评标活动将按以下五个步骤进行：</w:t>
      </w:r>
    </w:p>
    <w:p w14:paraId="1A819278">
      <w:pPr>
        <w:numPr>
          <w:ilvl w:val="0"/>
          <w:numId w:val="1"/>
        </w:numPr>
        <w:spacing w:line="360" w:lineRule="auto"/>
        <w:ind w:left="0" w:firstLine="420" w:firstLineChars="200"/>
        <w:rPr>
          <w:rFonts w:hint="eastAsia" w:ascii="宋体" w:hAnsi="宋体" w:eastAsia="宋体" w:cs="宋体"/>
          <w:color w:val="auto"/>
          <w:szCs w:val="21"/>
          <w:highlight w:val="none"/>
        </w:rPr>
      </w:pPr>
      <w:bookmarkStart w:id="905" w:name="_Toc25827_WPSOffice_Level1"/>
      <w:r>
        <w:rPr>
          <w:rFonts w:hint="eastAsia" w:ascii="宋体" w:hAnsi="宋体" w:eastAsia="宋体" w:cs="宋体"/>
          <w:color w:val="auto"/>
          <w:szCs w:val="21"/>
          <w:highlight w:val="none"/>
        </w:rPr>
        <w:t>评标准备；</w:t>
      </w:r>
      <w:bookmarkEnd w:id="905"/>
    </w:p>
    <w:p w14:paraId="56374968">
      <w:pPr>
        <w:numPr>
          <w:ilvl w:val="0"/>
          <w:numId w:val="1"/>
        </w:numPr>
        <w:spacing w:line="360" w:lineRule="auto"/>
        <w:ind w:left="0" w:firstLine="420" w:firstLineChars="200"/>
        <w:rPr>
          <w:rFonts w:hint="eastAsia" w:ascii="宋体" w:hAnsi="宋体" w:eastAsia="宋体" w:cs="宋体"/>
          <w:color w:val="auto"/>
          <w:szCs w:val="21"/>
          <w:highlight w:val="none"/>
        </w:rPr>
      </w:pPr>
      <w:bookmarkStart w:id="906" w:name="_Toc15080_WPSOffice_Level1"/>
      <w:r>
        <w:rPr>
          <w:rFonts w:hint="eastAsia" w:ascii="宋体" w:hAnsi="宋体" w:eastAsia="宋体" w:cs="宋体"/>
          <w:color w:val="auto"/>
          <w:szCs w:val="21"/>
          <w:highlight w:val="none"/>
        </w:rPr>
        <w:t>初步评审；</w:t>
      </w:r>
      <w:bookmarkEnd w:id="906"/>
    </w:p>
    <w:p w14:paraId="7F549A98">
      <w:pPr>
        <w:numPr>
          <w:ilvl w:val="0"/>
          <w:numId w:val="1"/>
        </w:numPr>
        <w:spacing w:line="360" w:lineRule="auto"/>
        <w:ind w:left="0" w:firstLine="420" w:firstLineChars="200"/>
        <w:rPr>
          <w:rFonts w:hint="eastAsia" w:ascii="宋体" w:hAnsi="宋体" w:eastAsia="宋体" w:cs="宋体"/>
          <w:color w:val="auto"/>
          <w:szCs w:val="21"/>
          <w:highlight w:val="none"/>
        </w:rPr>
      </w:pPr>
      <w:bookmarkStart w:id="907" w:name="_Toc5571_WPSOffice_Level1"/>
      <w:r>
        <w:rPr>
          <w:rFonts w:hint="eastAsia" w:ascii="宋体" w:hAnsi="宋体" w:eastAsia="宋体" w:cs="宋体"/>
          <w:color w:val="auto"/>
          <w:szCs w:val="21"/>
          <w:highlight w:val="none"/>
        </w:rPr>
        <w:t>详细评审；</w:t>
      </w:r>
      <w:bookmarkEnd w:id="907"/>
    </w:p>
    <w:p w14:paraId="4501571F">
      <w:pPr>
        <w:numPr>
          <w:ilvl w:val="0"/>
          <w:numId w:val="1"/>
        </w:numPr>
        <w:spacing w:line="360" w:lineRule="auto"/>
        <w:ind w:left="0" w:firstLine="420" w:firstLineChars="200"/>
        <w:rPr>
          <w:rFonts w:hint="eastAsia" w:ascii="宋体" w:hAnsi="宋体" w:eastAsia="宋体" w:cs="宋体"/>
          <w:color w:val="auto"/>
          <w:szCs w:val="21"/>
          <w:highlight w:val="none"/>
        </w:rPr>
      </w:pPr>
      <w:bookmarkStart w:id="908" w:name="_Toc18464_WPSOffice_Level1"/>
      <w:r>
        <w:rPr>
          <w:rFonts w:hint="eastAsia" w:ascii="宋体" w:hAnsi="宋体" w:eastAsia="宋体" w:cs="宋体"/>
          <w:color w:val="auto"/>
          <w:szCs w:val="21"/>
          <w:highlight w:val="none"/>
        </w:rPr>
        <w:t>澄清、说明或补正；</w:t>
      </w:r>
      <w:bookmarkEnd w:id="908"/>
    </w:p>
    <w:p w14:paraId="08A9ACD8">
      <w:pPr>
        <w:numPr>
          <w:ilvl w:val="0"/>
          <w:numId w:val="1"/>
        </w:numPr>
        <w:spacing w:line="360" w:lineRule="auto"/>
        <w:ind w:left="0" w:firstLine="420" w:firstLineChars="200"/>
        <w:rPr>
          <w:rFonts w:hint="eastAsia" w:ascii="宋体" w:hAnsi="宋体" w:eastAsia="宋体" w:cs="宋体"/>
          <w:color w:val="auto"/>
          <w:szCs w:val="21"/>
          <w:highlight w:val="none"/>
        </w:rPr>
      </w:pPr>
      <w:bookmarkStart w:id="909" w:name="_Toc6953_WPSOffice_Level1"/>
      <w:r>
        <w:rPr>
          <w:rFonts w:hint="eastAsia" w:ascii="宋体" w:hAnsi="宋体" w:eastAsia="宋体" w:cs="宋体"/>
          <w:color w:val="auto"/>
          <w:szCs w:val="21"/>
          <w:highlight w:val="none"/>
        </w:rPr>
        <w:t>推荐中标候选人或者直接确定中标人及提交评标报告。</w:t>
      </w:r>
      <w:bookmarkEnd w:id="909"/>
    </w:p>
    <w:p w14:paraId="210FE2E3">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A2. 评标准备</w:t>
      </w:r>
    </w:p>
    <w:p w14:paraId="69D02A72">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A2.1评标委员会成员签到</w:t>
      </w:r>
    </w:p>
    <w:p w14:paraId="7779E2B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评标委员会成员到达评标现场时应在签到表上签到以证明其出席。</w:t>
      </w:r>
    </w:p>
    <w:p w14:paraId="3D6C6C1F">
      <w:pPr>
        <w:spacing w:line="360" w:lineRule="auto"/>
        <w:ind w:firstLine="422" w:firstLineChars="200"/>
        <w:rPr>
          <w:rFonts w:hint="eastAsia" w:ascii="宋体" w:hAnsi="宋体" w:eastAsia="宋体" w:cs="宋体"/>
          <w:b/>
          <w:color w:val="auto"/>
          <w:szCs w:val="21"/>
          <w:highlight w:val="none"/>
        </w:rPr>
      </w:pPr>
      <w:bookmarkStart w:id="910" w:name="_Toc2782_WPSOffice_Level1"/>
      <w:r>
        <w:rPr>
          <w:rFonts w:hint="eastAsia" w:ascii="宋体" w:hAnsi="宋体" w:eastAsia="宋体" w:cs="宋体"/>
          <w:b/>
          <w:color w:val="auto"/>
          <w:szCs w:val="21"/>
          <w:highlight w:val="none"/>
        </w:rPr>
        <w:t>A2.2评标委员会的分工</w:t>
      </w:r>
      <w:bookmarkEnd w:id="910"/>
    </w:p>
    <w:p w14:paraId="7CBE2A2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评标委员会首先推选一名评标委员会主任。评标委员会主任负责评标活动的组织领导工作。评标委员会主任在与其他评标委员会成员协商的基础上，可以将评标委员会划分为技术组和商务组。</w:t>
      </w:r>
    </w:p>
    <w:p w14:paraId="2EFEDAD3">
      <w:pPr>
        <w:spacing w:line="360" w:lineRule="auto"/>
        <w:ind w:firstLine="422" w:firstLineChars="200"/>
        <w:rPr>
          <w:rFonts w:hint="eastAsia" w:ascii="宋体" w:hAnsi="宋体" w:eastAsia="宋体" w:cs="宋体"/>
          <w:b/>
          <w:color w:val="auto"/>
          <w:szCs w:val="21"/>
          <w:highlight w:val="none"/>
        </w:rPr>
      </w:pPr>
      <w:bookmarkStart w:id="911" w:name="_Toc19391_WPSOffice_Level1"/>
      <w:r>
        <w:rPr>
          <w:rFonts w:hint="eastAsia" w:ascii="宋体" w:hAnsi="宋体" w:eastAsia="宋体" w:cs="宋体"/>
          <w:b/>
          <w:color w:val="auto"/>
          <w:szCs w:val="21"/>
          <w:highlight w:val="none"/>
        </w:rPr>
        <w:t>A2.3 熟悉文件资料</w:t>
      </w:r>
      <w:bookmarkEnd w:id="911"/>
    </w:p>
    <w:p w14:paraId="3A9C7F5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2.3.1评标委员会主任应组织评标委员会成员认真研究招标文件，了解和熟悉招标目的、招标范围、主要合同条件、质量标准和工期要求等，掌握评标标准和方法，熟悉电子交易平台评标系统的操作手册。未在招标文件中规定的标准和方法不得作为评标的依据。</w:t>
      </w:r>
    </w:p>
    <w:p w14:paraId="5B963F5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A2.4暗标编号（适用于对施工组织设计进行暗标评审的）</w:t>
      </w:r>
    </w:p>
    <w:p w14:paraId="02634B6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第二章“投标人须知”前附表第10.3款要求对施工组织设计采用“暗标”评审方式且第</w:t>
      </w:r>
      <w:r>
        <w:rPr>
          <w:rFonts w:hint="eastAsia" w:ascii="宋体" w:hAnsi="宋体" w:eastAsia="宋体" w:cs="宋体"/>
          <w:color w:val="auto"/>
          <w:szCs w:val="21"/>
          <w:highlight w:val="none"/>
          <w:lang w:val="en-US" w:eastAsia="zh-CN"/>
        </w:rPr>
        <w:t>九</w:t>
      </w:r>
      <w:r>
        <w:rPr>
          <w:rFonts w:hint="eastAsia" w:ascii="宋体" w:hAnsi="宋体" w:eastAsia="宋体" w:cs="宋体"/>
          <w:color w:val="auto"/>
          <w:szCs w:val="21"/>
          <w:highlight w:val="none"/>
        </w:rPr>
        <w:t>章“投标文件格式”中对施工组织设计的编制有暗标要求，则在评标工作开始前，应编制投标文件暗标编码，并就暗标编码与投标人的对应关系做好暗标记录。暗标编码按随机方式编制。在评标委员会全体成员均完成暗标部分评审并对评审结果进行汇总和签字确认后，方可向评标委员会公布暗标记录。</w:t>
      </w:r>
    </w:p>
    <w:p w14:paraId="61828141">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A2.5对投标文件进行基础性数据分析和整理工作（清标）</w:t>
      </w:r>
    </w:p>
    <w:p w14:paraId="63DFD89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2.5.1在不改变投标人投标文件实质性内容的前提下，评标委员会应当对投标文件进行基础性数据分析和整理（本章中简称为“清标”），从而发现并提取其中可能存在的对招标范围理解的偏差，投标报价的算术性错误，错漏项，投标报价构成不合理、不平衡报价，不可竞争费不符合相关规定，投标报价低于其成本等明显异常的问题，并就这些问题整理形成清标成果。评标委员会对清标成果审议后，决定需要投标人进行书面澄清、说明或补正的问题，形成质疑问卷，向投标人发出问题澄清通知（包括质疑问卷）。</w:t>
      </w:r>
    </w:p>
    <w:p w14:paraId="2F29F4F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A2.5.2投标人接到评标委员会发出的问题澄清通知后，应按评标委员会的要求提供书面澄清资料并按要求进行密封，在规定的时间递交到指定地点。</w:t>
      </w:r>
    </w:p>
    <w:p w14:paraId="0768F2B8">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A3. 初步评审</w:t>
      </w:r>
    </w:p>
    <w:p w14:paraId="6E85C17A">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A3.1形式评审</w:t>
      </w:r>
    </w:p>
    <w:p w14:paraId="3C83718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评标委员会根据评标办法前附表中规定的评审因素和评审标准，对投标人的投标文件进行形式评审，并记录评审结果。</w:t>
      </w:r>
    </w:p>
    <w:p w14:paraId="59077323">
      <w:pPr>
        <w:spacing w:line="360" w:lineRule="auto"/>
        <w:ind w:firstLine="422" w:firstLineChars="200"/>
        <w:rPr>
          <w:rFonts w:hint="eastAsia" w:ascii="宋体" w:hAnsi="宋体" w:eastAsia="宋体" w:cs="宋体"/>
          <w:b/>
          <w:color w:val="auto"/>
          <w:szCs w:val="21"/>
          <w:highlight w:val="none"/>
        </w:rPr>
      </w:pPr>
      <w:bookmarkStart w:id="912" w:name="_Toc14796_WPSOffice_Level1"/>
      <w:r>
        <w:rPr>
          <w:rFonts w:hint="eastAsia" w:ascii="宋体" w:hAnsi="宋体" w:eastAsia="宋体" w:cs="宋体"/>
          <w:b/>
          <w:color w:val="auto"/>
          <w:szCs w:val="21"/>
          <w:highlight w:val="none"/>
        </w:rPr>
        <w:t>A3.2资格评审</w:t>
      </w:r>
      <w:bookmarkEnd w:id="912"/>
    </w:p>
    <w:p w14:paraId="6F166C9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评标委员会根据评标办法前附表中规定的评审因素和评审标准，对投标人的投标文件进行资格评审，并记录评审结果。</w:t>
      </w:r>
    </w:p>
    <w:p w14:paraId="242E88C6">
      <w:pPr>
        <w:spacing w:line="360" w:lineRule="auto"/>
        <w:ind w:firstLine="422" w:firstLineChars="200"/>
        <w:rPr>
          <w:rFonts w:hint="eastAsia" w:ascii="宋体" w:hAnsi="宋体" w:eastAsia="宋体" w:cs="宋体"/>
          <w:b/>
          <w:color w:val="auto"/>
          <w:szCs w:val="21"/>
          <w:highlight w:val="none"/>
        </w:rPr>
      </w:pPr>
      <w:bookmarkStart w:id="913" w:name="_Toc31624_WPSOffice_Level1"/>
      <w:r>
        <w:rPr>
          <w:rFonts w:hint="eastAsia" w:ascii="宋体" w:hAnsi="宋体" w:eastAsia="宋体" w:cs="宋体"/>
          <w:b/>
          <w:color w:val="auto"/>
          <w:szCs w:val="21"/>
          <w:highlight w:val="none"/>
        </w:rPr>
        <w:t>A3.3响应性评审</w:t>
      </w:r>
      <w:bookmarkEnd w:id="913"/>
    </w:p>
    <w:p w14:paraId="3133BDD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A3.3.1评审委员会根据评标办法前附表中规定的评审因素和评审标准，对投标人的投标文件进行响应性评审，并记录评审结果。</w:t>
      </w:r>
    </w:p>
    <w:p w14:paraId="153D9F7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A3.3.2投标人投标价格不得超出（不含等于）按照本章前附表的规定计算的“拦标价”，凡投标人的投标价格超出“拦标价”），该投标人的投标文件不能通过响应性评审（适用于设立拦标价的情形）。</w:t>
      </w:r>
    </w:p>
    <w:p w14:paraId="2D02EB1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A3.3.2投标人投标价格不得超出（不含等于）招标控制价，凡投标人的投标价格超出招标控制价的，该投标人的投标文件不能通过响应性评审（适用于设立招标控制价的情形）。</w:t>
      </w:r>
    </w:p>
    <w:p w14:paraId="73883E45">
      <w:pPr>
        <w:spacing w:line="360" w:lineRule="auto"/>
        <w:ind w:firstLine="422" w:firstLineChars="200"/>
        <w:rPr>
          <w:rFonts w:hint="eastAsia" w:ascii="宋体" w:hAnsi="宋体" w:eastAsia="宋体" w:cs="宋体"/>
          <w:b/>
          <w:color w:val="auto"/>
          <w:szCs w:val="21"/>
          <w:highlight w:val="none"/>
        </w:rPr>
      </w:pPr>
      <w:bookmarkStart w:id="914" w:name="_Toc30936_WPSOffice_Level1"/>
      <w:r>
        <w:rPr>
          <w:rFonts w:hint="eastAsia" w:ascii="宋体" w:hAnsi="宋体" w:eastAsia="宋体" w:cs="宋体"/>
          <w:b/>
          <w:color w:val="auto"/>
          <w:szCs w:val="21"/>
          <w:highlight w:val="none"/>
        </w:rPr>
        <w:t>A3.4 判断投标是否为</w:t>
      </w:r>
      <w:bookmarkEnd w:id="914"/>
      <w:r>
        <w:rPr>
          <w:rFonts w:hint="eastAsia" w:ascii="宋体" w:hAnsi="宋体" w:eastAsia="宋体" w:cs="宋体"/>
          <w:b/>
          <w:color w:val="auto"/>
          <w:szCs w:val="21"/>
          <w:highlight w:val="none"/>
        </w:rPr>
        <w:t>否决投标</w:t>
      </w:r>
    </w:p>
    <w:p w14:paraId="1F44054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A3.4.1判断投标人的投标是否为否决投标的全部条件，在本章附件B中集中列示。</w:t>
      </w:r>
    </w:p>
    <w:p w14:paraId="03A3656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A3.4.2本章附件B集中列示的否决投标条件不应与第二章“投标人须知”和本章正本部分包括的否决投标条件抵触，如果出现相互矛盾的情况，以第二章“投标人须知”和本章正文部分的规定为准。</w:t>
      </w:r>
    </w:p>
    <w:p w14:paraId="7B3B05B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A3.4.3评标委员会在评标（包括初步评审和详细评审）过程中，依据本章附件B中规定的否决投标条件判断投标人的投标是否为否决投标。</w:t>
      </w:r>
    </w:p>
    <w:p w14:paraId="499E6FE6">
      <w:pPr>
        <w:spacing w:line="360" w:lineRule="auto"/>
        <w:ind w:firstLine="422" w:firstLineChars="200"/>
        <w:rPr>
          <w:rFonts w:hint="eastAsia" w:ascii="宋体" w:hAnsi="宋体" w:eastAsia="宋体" w:cs="宋体"/>
          <w:b/>
          <w:color w:val="auto"/>
          <w:szCs w:val="21"/>
          <w:highlight w:val="none"/>
        </w:rPr>
      </w:pPr>
      <w:bookmarkStart w:id="915" w:name="_Toc18123_WPSOffice_Level1"/>
      <w:r>
        <w:rPr>
          <w:rFonts w:hint="eastAsia" w:ascii="宋体" w:hAnsi="宋体" w:eastAsia="宋体" w:cs="宋体"/>
          <w:b/>
          <w:color w:val="auto"/>
          <w:szCs w:val="21"/>
          <w:highlight w:val="none"/>
        </w:rPr>
        <w:t>A3.5 算术错误修正</w:t>
      </w:r>
      <w:bookmarkEnd w:id="915"/>
    </w:p>
    <w:p w14:paraId="6856990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评标委员会依据本章中规定的相关原则对投标报价中存在的算术错误进行修正，并根据算术错误修正结果计算评标价。</w:t>
      </w:r>
    </w:p>
    <w:p w14:paraId="36A44FF7">
      <w:pPr>
        <w:spacing w:line="360" w:lineRule="auto"/>
        <w:ind w:firstLine="422" w:firstLineChars="200"/>
        <w:rPr>
          <w:rFonts w:hint="eastAsia" w:ascii="宋体" w:hAnsi="宋体" w:eastAsia="宋体" w:cs="宋体"/>
          <w:b/>
          <w:color w:val="auto"/>
          <w:szCs w:val="21"/>
          <w:highlight w:val="none"/>
        </w:rPr>
      </w:pPr>
      <w:bookmarkStart w:id="916" w:name="_Toc8956_WPSOffice_Level1"/>
      <w:r>
        <w:rPr>
          <w:rFonts w:hint="eastAsia" w:ascii="宋体" w:hAnsi="宋体" w:eastAsia="宋体" w:cs="宋体"/>
          <w:b/>
          <w:color w:val="auto"/>
          <w:szCs w:val="21"/>
          <w:highlight w:val="none"/>
        </w:rPr>
        <w:t>A3.6 澄清、说明或补充</w:t>
      </w:r>
      <w:bookmarkEnd w:id="916"/>
    </w:p>
    <w:p w14:paraId="2581757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在初步评审过程中，评标委员会应当就投标文件中不明确的内容要求投标人进行澄清、说明或者补正。投标人对此以书面形式予以澄清、说明或者补正。澄清、说明或补正根据本章第3.3款的规定执行。</w:t>
      </w:r>
    </w:p>
    <w:p w14:paraId="29B9BB9F">
      <w:pPr>
        <w:spacing w:line="360" w:lineRule="auto"/>
        <w:ind w:firstLine="422" w:firstLineChars="200"/>
        <w:rPr>
          <w:rFonts w:hint="eastAsia" w:ascii="宋体" w:hAnsi="宋体" w:eastAsia="宋体" w:cs="宋体"/>
          <w:b/>
          <w:color w:val="auto"/>
          <w:szCs w:val="21"/>
          <w:highlight w:val="none"/>
        </w:rPr>
      </w:pPr>
      <w:bookmarkStart w:id="917" w:name="_Toc13627_WPSOffice_Level1"/>
      <w:r>
        <w:rPr>
          <w:rFonts w:hint="eastAsia" w:ascii="宋体" w:hAnsi="宋体" w:eastAsia="宋体" w:cs="宋体"/>
          <w:b/>
          <w:color w:val="auto"/>
          <w:szCs w:val="21"/>
          <w:highlight w:val="none"/>
        </w:rPr>
        <w:t>A4. 详细评审</w:t>
      </w:r>
      <w:bookmarkEnd w:id="917"/>
    </w:p>
    <w:p w14:paraId="583A1A6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只有通过了初步评审、被判定为合格的投标方可进入详细评审。</w:t>
      </w:r>
    </w:p>
    <w:p w14:paraId="00650C0F">
      <w:pPr>
        <w:spacing w:line="360" w:lineRule="auto"/>
        <w:ind w:firstLine="422" w:firstLineChars="200"/>
        <w:rPr>
          <w:rFonts w:hint="eastAsia" w:ascii="宋体" w:hAnsi="宋体" w:eastAsia="宋体" w:cs="宋体"/>
          <w:b/>
          <w:color w:val="auto"/>
          <w:szCs w:val="21"/>
          <w:highlight w:val="none"/>
        </w:rPr>
      </w:pPr>
      <w:bookmarkStart w:id="918" w:name="_Toc24373_WPSOffice_Level1"/>
      <w:r>
        <w:rPr>
          <w:rFonts w:hint="eastAsia" w:ascii="宋体" w:hAnsi="宋体" w:eastAsia="宋体" w:cs="宋体"/>
          <w:b/>
          <w:color w:val="auto"/>
          <w:szCs w:val="21"/>
          <w:highlight w:val="none"/>
        </w:rPr>
        <w:t>A4.1 详细评审的程序</w:t>
      </w:r>
      <w:bookmarkEnd w:id="918"/>
    </w:p>
    <w:p w14:paraId="60EF52A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评标委员会按照本章第3.2款中规定的程序进行详细评审。</w:t>
      </w:r>
    </w:p>
    <w:p w14:paraId="1822993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（1）施工组织设计评审和评分；</w:t>
      </w:r>
    </w:p>
    <w:p w14:paraId="4AFEE6C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）投标报价评审和评分；</w:t>
      </w:r>
    </w:p>
    <w:p w14:paraId="656FC6CB">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）综合标评审和评分；</w:t>
      </w:r>
    </w:p>
    <w:p w14:paraId="20B813B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（4）汇总评分结果。</w:t>
      </w:r>
    </w:p>
    <w:p w14:paraId="14B85CA3">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A4.2</w:t>
      </w:r>
      <w:r>
        <w:rPr>
          <w:rFonts w:hint="eastAsia" w:ascii="宋体" w:hAnsi="宋体" w:eastAsia="宋体" w:cs="宋体"/>
          <w:b/>
          <w:color w:val="auto"/>
          <w:szCs w:val="21"/>
          <w:highlight w:val="none"/>
          <w:lang w:val="en-US" w:eastAsia="zh-CN"/>
        </w:rPr>
        <w:t>技术标</w:t>
      </w:r>
      <w:r>
        <w:rPr>
          <w:rFonts w:hint="eastAsia" w:ascii="宋体" w:hAnsi="宋体" w:eastAsia="宋体" w:cs="宋体"/>
          <w:b/>
          <w:color w:val="auto"/>
          <w:szCs w:val="21"/>
          <w:highlight w:val="none"/>
        </w:rPr>
        <w:t>评审和评分</w:t>
      </w:r>
    </w:p>
    <w:p w14:paraId="5C4D5B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按照评标办法前附表中规定的分值设定、各项评分因素、评分标准，对</w:t>
      </w:r>
      <w:r>
        <w:rPr>
          <w:rFonts w:hint="eastAsia" w:ascii="宋体" w:hAnsi="宋体" w:eastAsia="宋体" w:cs="宋体"/>
          <w:color w:val="auto"/>
          <w:szCs w:val="21"/>
          <w:highlight w:val="none"/>
          <w:lang w:val="en-US" w:eastAsia="zh-CN"/>
        </w:rPr>
        <w:t>施工组织设计</w:t>
      </w:r>
      <w:r>
        <w:rPr>
          <w:rFonts w:hint="eastAsia" w:ascii="宋体" w:hAnsi="宋体" w:eastAsia="宋体" w:cs="宋体"/>
          <w:color w:val="auto"/>
          <w:szCs w:val="21"/>
          <w:highlight w:val="none"/>
        </w:rPr>
        <w:t>进行评审和评分，</w:t>
      </w:r>
      <w:r>
        <w:rPr>
          <w:rFonts w:hint="eastAsia" w:ascii="宋体" w:hAnsi="宋体" w:eastAsia="宋体" w:cs="宋体"/>
          <w:color w:val="auto"/>
          <w:szCs w:val="21"/>
          <w:highlight w:val="none"/>
          <w:lang w:val="en-US" w:eastAsia="zh-CN"/>
        </w:rPr>
        <w:t>施工组织设计</w:t>
      </w:r>
      <w:r>
        <w:rPr>
          <w:rFonts w:hint="eastAsia" w:ascii="宋体" w:hAnsi="宋体" w:eastAsia="宋体" w:cs="宋体"/>
          <w:color w:val="auto"/>
          <w:szCs w:val="21"/>
          <w:highlight w:val="none"/>
        </w:rPr>
        <w:t>的得分记录为A。</w:t>
      </w:r>
    </w:p>
    <w:p w14:paraId="4A7248E7">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A4.</w:t>
      </w:r>
      <w:r>
        <w:rPr>
          <w:rFonts w:hint="eastAsia" w:ascii="宋体" w:hAnsi="宋体" w:eastAsia="宋体" w:cs="宋体"/>
          <w:b/>
          <w:color w:val="auto"/>
          <w:szCs w:val="21"/>
          <w:highlight w:val="none"/>
          <w:lang w:val="en-US" w:eastAsia="zh-CN"/>
        </w:rPr>
        <w:t>3</w:t>
      </w:r>
      <w:r>
        <w:rPr>
          <w:rFonts w:hint="eastAsia" w:ascii="宋体" w:hAnsi="宋体" w:eastAsia="宋体" w:cs="宋体"/>
          <w:b/>
          <w:color w:val="auto"/>
          <w:szCs w:val="21"/>
          <w:highlight w:val="none"/>
        </w:rPr>
        <w:t>投标报价评审和评分</w:t>
      </w:r>
    </w:p>
    <w:p w14:paraId="4860073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A4.</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.1按照评标办法前附表中规定的方法计算“评标基准价”。</w:t>
      </w:r>
    </w:p>
    <w:p w14:paraId="2F3459D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A4.</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.2按照评标办法前附表中规定的方法，计算各个已通过了初步评审、施工组织设计评审的投标总报价、分部分项工程量清单项目综合单价、材料费、措施项目清单报价的“偏差率”。</w:t>
      </w:r>
    </w:p>
    <w:p w14:paraId="2134DF17">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A4.</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.3按照评标办法前附表中规定的评分标准，对照投标报价的偏差率，分别对各个投标报价进行评分，投标报价的得分记录为</w:t>
      </w:r>
      <w:r>
        <w:rPr>
          <w:rFonts w:hint="eastAsia" w:ascii="宋体" w:hAnsi="宋体" w:eastAsia="宋体" w:cs="宋体"/>
          <w:color w:val="auto"/>
          <w:szCs w:val="21"/>
          <w:highlight w:val="none"/>
          <w:lang w:val="en-US" w:eastAsia="zh-CN"/>
        </w:rPr>
        <w:t>B</w:t>
      </w:r>
      <w:r>
        <w:rPr>
          <w:rFonts w:hint="eastAsia" w:ascii="宋体" w:hAnsi="宋体" w:eastAsia="宋体" w:cs="宋体"/>
          <w:color w:val="auto"/>
          <w:szCs w:val="21"/>
          <w:highlight w:val="none"/>
        </w:rPr>
        <w:t>。</w:t>
      </w:r>
    </w:p>
    <w:p w14:paraId="3BB5CB41">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A4.</w:t>
      </w:r>
      <w:r>
        <w:rPr>
          <w:rFonts w:hint="eastAsia" w:ascii="宋体" w:hAnsi="宋体" w:eastAsia="宋体" w:cs="宋体"/>
          <w:b/>
          <w:color w:val="auto"/>
          <w:szCs w:val="21"/>
          <w:highlight w:val="none"/>
          <w:lang w:val="en-US" w:eastAsia="zh-CN"/>
        </w:rPr>
        <w:t>4</w:t>
      </w:r>
      <w:r>
        <w:rPr>
          <w:rFonts w:hint="eastAsia" w:ascii="宋体" w:hAnsi="宋体" w:eastAsia="宋体" w:cs="宋体"/>
          <w:b/>
          <w:color w:val="auto"/>
          <w:szCs w:val="21"/>
          <w:highlight w:val="none"/>
        </w:rPr>
        <w:t>综合标评分</w:t>
      </w:r>
    </w:p>
    <w:p w14:paraId="7E63BD7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按照评标办法前附表中规定的分值设定、各项评分因素、评分标准，对综合标评审和评分，综合标的得分记录为</w:t>
      </w:r>
      <w:r>
        <w:rPr>
          <w:rFonts w:hint="eastAsia" w:ascii="宋体" w:hAnsi="宋体" w:eastAsia="宋体" w:cs="宋体"/>
          <w:color w:val="auto"/>
          <w:szCs w:val="21"/>
          <w:highlight w:val="none"/>
          <w:lang w:val="en-US" w:eastAsia="zh-CN"/>
        </w:rPr>
        <w:t>C</w:t>
      </w:r>
      <w:r>
        <w:rPr>
          <w:rFonts w:hint="eastAsia" w:ascii="宋体" w:hAnsi="宋体" w:eastAsia="宋体" w:cs="宋体"/>
          <w:color w:val="auto"/>
          <w:szCs w:val="21"/>
          <w:highlight w:val="none"/>
        </w:rPr>
        <w:t>。</w:t>
      </w:r>
    </w:p>
    <w:p w14:paraId="004470A0">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A4.5澄清、说明或补正</w:t>
      </w:r>
    </w:p>
    <w:p w14:paraId="481C64FC">
      <w:pPr>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在详细评审过程中，评标委员会应当就投标文件中不明确的内容要求投标人进行澄清、说明或者补正。投标人对此以书面形式予以澄清、说明或者补正。澄清、说明或补正根据本章第3.3款的规定执行。</w:t>
      </w:r>
    </w:p>
    <w:p w14:paraId="0A0FD766">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A4.6汇总评分结果</w:t>
      </w:r>
    </w:p>
    <w:p w14:paraId="5CA94329">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A4.6.1评标委员会成员应填写详细评审评分汇总表。</w:t>
      </w:r>
    </w:p>
    <w:p w14:paraId="0ECE8CB0">
      <w:pPr>
        <w:adjustRightInd w:val="0"/>
        <w:snapToGri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A4.6.2详细评审工作全部结束后，汇总各个评标委员会成员的详细评审评分结果，并按照详细评审最终得分由高至低的次序对投标人进行排序。</w:t>
      </w:r>
    </w:p>
    <w:p w14:paraId="12126E48">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A5.推荐中标候选人或者直接确定中标人</w:t>
      </w:r>
    </w:p>
    <w:p w14:paraId="770EF204">
      <w:pPr>
        <w:spacing w:line="360" w:lineRule="auto"/>
        <w:ind w:firstLine="422" w:firstLineChars="200"/>
        <w:rPr>
          <w:rFonts w:hint="eastAsia" w:ascii="宋体" w:hAnsi="宋体" w:eastAsia="宋体" w:cs="宋体"/>
          <w:b/>
          <w:color w:val="auto"/>
          <w:szCs w:val="21"/>
          <w:highlight w:val="none"/>
        </w:rPr>
      </w:pPr>
      <w:bookmarkStart w:id="919" w:name="_Toc16943_WPSOffice_Level1"/>
      <w:r>
        <w:rPr>
          <w:rFonts w:hint="eastAsia" w:ascii="宋体" w:hAnsi="宋体" w:eastAsia="宋体" w:cs="宋体"/>
          <w:b/>
          <w:color w:val="auto"/>
          <w:szCs w:val="21"/>
          <w:highlight w:val="none"/>
        </w:rPr>
        <w:t>A5.1 推荐中标候选人</w:t>
      </w:r>
      <w:bookmarkEnd w:id="919"/>
    </w:p>
    <w:p w14:paraId="792629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A5.1.1除第二章“投标人须知”前附表授权直接确定中标人外，评标委员会在推荐中标候选人时，应遵照以下原则：</w:t>
      </w:r>
    </w:p>
    <w:p w14:paraId="17135BE7">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（1）评标委员会按照最终得分由高至低的次序排列，并根据第二章“投标人须知”前附表第7.1款规定的中标候选人数量，将排序在前的投标人推荐为中标候选人。</w:t>
      </w:r>
    </w:p>
    <w:p w14:paraId="3A5EBC1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如果评标委员会根据本章的规定作否决投标处理后，有效投标不足三个，且少于第二章“投标人须知”前附表第7.1款规定的中标候选人数量的，则评标委员会可以将所有有效标按最终得分由高至低的次序作为中标候选人向招标人推荐。如果因有效投标不足三个使得投标明显缺乏竞争的，评标委员会可以否决全部投标。</w:t>
      </w:r>
    </w:p>
    <w:p w14:paraId="3B5E3A5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A5.1.2投标截止时间前，递交投标文件的投标人数量少于三个或者所有投标被否决的，招标人应当依法重新招标。</w:t>
      </w:r>
    </w:p>
    <w:p w14:paraId="6C445582">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A5.2 直接确定中标人</w:t>
      </w:r>
    </w:p>
    <w:p w14:paraId="75FA070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第二章“投标人须知”前附表授权评标委员会直接确定中标人的，评标委员会按照最终得分由高至低的次序排列，并确定排名第一的投标人为中标人。</w:t>
      </w:r>
    </w:p>
    <w:p w14:paraId="45A96069">
      <w:pPr>
        <w:spacing w:line="360" w:lineRule="auto"/>
        <w:ind w:firstLine="422" w:firstLineChars="200"/>
        <w:rPr>
          <w:rFonts w:hint="eastAsia" w:ascii="宋体" w:hAnsi="宋体" w:eastAsia="宋体" w:cs="宋体"/>
          <w:b/>
          <w:color w:val="auto"/>
          <w:szCs w:val="21"/>
          <w:highlight w:val="none"/>
        </w:rPr>
      </w:pPr>
      <w:bookmarkStart w:id="920" w:name="_Toc21273_WPSOffice_Level1"/>
      <w:r>
        <w:rPr>
          <w:rFonts w:hint="eastAsia" w:ascii="宋体" w:hAnsi="宋体" w:eastAsia="宋体" w:cs="宋体"/>
          <w:b/>
          <w:color w:val="auto"/>
          <w:szCs w:val="21"/>
          <w:highlight w:val="none"/>
        </w:rPr>
        <w:t>A5.3 编制评标报告</w:t>
      </w:r>
      <w:bookmarkEnd w:id="920"/>
    </w:p>
    <w:p w14:paraId="3D41429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评标委员会根据本章第3.4.2项规定向招标人提交评标报告。评标报告应当由全体评标委员会成员签字（签章）。评标报告应当包括以下内容：</w:t>
      </w:r>
    </w:p>
    <w:p w14:paraId="2099400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（1）基本情况和数据表；</w:t>
      </w:r>
    </w:p>
    <w:p w14:paraId="1687C4E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（2）评标委员会成员名单；</w:t>
      </w:r>
    </w:p>
    <w:p w14:paraId="426A339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（3）开标记录；</w:t>
      </w:r>
    </w:p>
    <w:p w14:paraId="1E54E95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（4）符合要求的投标一览表；</w:t>
      </w:r>
    </w:p>
    <w:p w14:paraId="6F0B6A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（5）否决投标情况说明；</w:t>
      </w:r>
    </w:p>
    <w:p w14:paraId="5CB0AA4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（6）评标标准、评标方法或者评标因素一览表；</w:t>
      </w:r>
    </w:p>
    <w:p w14:paraId="55578AB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（7）评分比较一览表（包括评标委员会在评标过程中所形成的所有记载评标结果、结论的表格、说明、记录等文件）；</w:t>
      </w:r>
    </w:p>
    <w:p w14:paraId="794F96C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（8）经评审的投标人排序；</w:t>
      </w:r>
    </w:p>
    <w:p w14:paraId="30A7692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（9）推荐的中标候选人名单（如果第二章“投标人须知”前附表授权评标委员会直接确定中标人，则为“确定的中标人”）与签订合同前要处理的事宜；</w:t>
      </w:r>
    </w:p>
    <w:p w14:paraId="47DB2B1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（10）澄清、说明、补正事项纪要。</w:t>
      </w:r>
    </w:p>
    <w:p w14:paraId="03396A2C">
      <w:pPr>
        <w:spacing w:line="360" w:lineRule="auto"/>
        <w:ind w:firstLine="422" w:firstLineChars="200"/>
        <w:rPr>
          <w:rFonts w:hint="eastAsia" w:ascii="宋体" w:hAnsi="宋体" w:eastAsia="宋体" w:cs="宋体"/>
          <w:b/>
          <w:color w:val="auto"/>
          <w:szCs w:val="21"/>
          <w:highlight w:val="none"/>
        </w:rPr>
      </w:pPr>
      <w:bookmarkStart w:id="921" w:name="_Toc2684_WPSOffice_Level1"/>
      <w:r>
        <w:rPr>
          <w:rFonts w:hint="eastAsia" w:ascii="宋体" w:hAnsi="宋体" w:eastAsia="宋体" w:cs="宋体"/>
          <w:b/>
          <w:color w:val="auto"/>
          <w:szCs w:val="21"/>
          <w:highlight w:val="none"/>
        </w:rPr>
        <w:t>A6. 特殊情况的处置程序</w:t>
      </w:r>
      <w:bookmarkEnd w:id="921"/>
    </w:p>
    <w:p w14:paraId="4B3B9899">
      <w:pPr>
        <w:spacing w:line="360" w:lineRule="auto"/>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A6.1 关于评标活动暂停</w:t>
      </w:r>
    </w:p>
    <w:p w14:paraId="63C1AE8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A6.2.1评标委员会应当执行连续评标的原则，按评标办法中规定的程序、内容、办法、标准完成全部评标工作。只有发生不可抗力导致评标工作无法继续时，评标活动方可暂停。</w:t>
      </w:r>
    </w:p>
    <w:p w14:paraId="6ED781D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A6.2.2发生评标暂停情况时，评标委员会应当封存全部投标文件和评标记录，待不可抗力的影响结束且具备继续评标的条件时，由原评标委员会继续评标。</w:t>
      </w:r>
    </w:p>
    <w:p w14:paraId="13DD81F5">
      <w:pPr>
        <w:spacing w:line="360" w:lineRule="auto"/>
        <w:ind w:firstLine="422" w:firstLineChars="200"/>
        <w:rPr>
          <w:rFonts w:hint="eastAsia" w:ascii="宋体" w:hAnsi="宋体" w:eastAsia="宋体" w:cs="宋体"/>
          <w:b/>
          <w:color w:val="auto"/>
          <w:szCs w:val="21"/>
          <w:highlight w:val="none"/>
        </w:rPr>
      </w:pPr>
      <w:bookmarkStart w:id="922" w:name="_Toc2398_WPSOffice_Level1"/>
      <w:r>
        <w:rPr>
          <w:rFonts w:hint="eastAsia" w:ascii="宋体" w:hAnsi="宋体" w:eastAsia="宋体" w:cs="宋体"/>
          <w:b/>
          <w:color w:val="auto"/>
          <w:szCs w:val="21"/>
          <w:highlight w:val="none"/>
        </w:rPr>
        <w:t>A6.2 关于评标中途更换评委</w:t>
      </w:r>
      <w:bookmarkEnd w:id="922"/>
    </w:p>
    <w:p w14:paraId="7E97088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A6.2.1除非发生下列情况之一，评标委员会成员不得在评标中途更换；</w:t>
      </w:r>
    </w:p>
    <w:p w14:paraId="7FAB031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（1）因不可抗拒的客观原因，不能到场或需在评标中途退出评标活动。</w:t>
      </w:r>
    </w:p>
    <w:p w14:paraId="14ADC62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（2）根据法律法规规定，某个或某几个评标委员会成员需要回避。</w:t>
      </w:r>
    </w:p>
    <w:p w14:paraId="73ED88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A6.2.2退出评标的评标委员会成员，其已完成的评标行为无效。由招标人根据本招标文件规定的评标委员会成员产生方式另行确定代替者进行评标。</w:t>
      </w:r>
    </w:p>
    <w:p w14:paraId="37B98548">
      <w:pPr>
        <w:spacing w:line="360" w:lineRule="auto"/>
        <w:ind w:firstLine="422" w:firstLineChars="200"/>
        <w:rPr>
          <w:rFonts w:hint="eastAsia" w:ascii="宋体" w:hAnsi="宋体" w:eastAsia="宋体" w:cs="宋体"/>
          <w:b/>
          <w:color w:val="auto"/>
          <w:szCs w:val="21"/>
          <w:highlight w:val="none"/>
        </w:rPr>
      </w:pPr>
      <w:bookmarkStart w:id="923" w:name="_Toc13130_WPSOffice_Level1"/>
      <w:r>
        <w:rPr>
          <w:rFonts w:hint="eastAsia" w:ascii="宋体" w:hAnsi="宋体" w:eastAsia="宋体" w:cs="宋体"/>
          <w:b/>
          <w:color w:val="auto"/>
          <w:szCs w:val="21"/>
          <w:highlight w:val="none"/>
        </w:rPr>
        <w:t>A6.3记名投票</w:t>
      </w:r>
      <w:bookmarkEnd w:id="923"/>
    </w:p>
    <w:p w14:paraId="651AC5A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在任何评标环节中，需评标委员会就某项定性的评审结论做出表决的，由评标委员会全体成员按照少数服从多数的原则，以记名投票方式表决。</w:t>
      </w:r>
    </w:p>
    <w:p w14:paraId="7F1DFC67">
      <w:pPr>
        <w:spacing w:line="360" w:lineRule="auto"/>
        <w:ind w:firstLine="422" w:firstLineChars="200"/>
        <w:rPr>
          <w:rFonts w:hint="eastAsia" w:ascii="宋体" w:hAnsi="宋体" w:eastAsia="宋体" w:cs="宋体"/>
          <w:b/>
          <w:color w:val="auto"/>
          <w:szCs w:val="21"/>
          <w:highlight w:val="none"/>
        </w:rPr>
      </w:pPr>
      <w:bookmarkStart w:id="924" w:name="_Toc16572_WPSOffice_Level1"/>
      <w:r>
        <w:rPr>
          <w:rFonts w:hint="eastAsia" w:ascii="宋体" w:hAnsi="宋体" w:eastAsia="宋体" w:cs="宋体"/>
          <w:b/>
          <w:color w:val="auto"/>
          <w:szCs w:val="21"/>
          <w:highlight w:val="none"/>
        </w:rPr>
        <w:t>A7.补充条款</w:t>
      </w:r>
      <w:bookmarkEnd w:id="924"/>
    </w:p>
    <w:p w14:paraId="68721C84">
      <w:pP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无。</w:t>
      </w:r>
    </w:p>
    <w:p w14:paraId="6EA4CA11">
      <w:pPr>
        <w:spacing w:line="420" w:lineRule="exact"/>
        <w:outlineLvl w:val="1"/>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925" w:name="_Toc22249"/>
      <w:bookmarkStart w:id="926" w:name="_Toc21612"/>
      <w:r>
        <w:rPr>
          <w:rFonts w:hint="eastAsia" w:ascii="宋体" w:hAnsi="宋体" w:eastAsia="宋体" w:cs="宋体"/>
          <w:color w:val="auto"/>
          <w:szCs w:val="21"/>
          <w:highlight w:val="none"/>
        </w:rPr>
        <w:t>附件B：否决投标条件</w:t>
      </w:r>
      <w:bookmarkEnd w:id="925"/>
      <w:bookmarkEnd w:id="926"/>
    </w:p>
    <w:p w14:paraId="59838124">
      <w:pPr>
        <w:jc w:val="center"/>
        <w:rPr>
          <w:rFonts w:hint="eastAsia" w:ascii="宋体" w:hAnsi="宋体" w:eastAsia="宋体" w:cs="宋体"/>
          <w:color w:val="auto"/>
          <w:highlight w:val="none"/>
        </w:rPr>
      </w:pPr>
      <w:bookmarkStart w:id="927" w:name="_Toc5990"/>
      <w:bookmarkStart w:id="928" w:name="_Toc14527"/>
      <w:bookmarkStart w:id="929" w:name="_Toc20180"/>
      <w:bookmarkStart w:id="930" w:name="_Toc13723"/>
      <w:bookmarkStart w:id="931" w:name="_Toc14834_WPSOffice_Level1"/>
      <w:bookmarkStart w:id="932" w:name="_Toc22425"/>
      <w:bookmarkStart w:id="933" w:name="_Toc23672"/>
      <w:r>
        <w:rPr>
          <w:rFonts w:hint="eastAsia" w:ascii="宋体" w:hAnsi="宋体" w:eastAsia="宋体" w:cs="宋体"/>
          <w:color w:val="auto"/>
          <w:highlight w:val="none"/>
        </w:rPr>
        <w:t>否决投标条件</w:t>
      </w:r>
      <w:bookmarkEnd w:id="927"/>
      <w:bookmarkEnd w:id="928"/>
      <w:bookmarkEnd w:id="929"/>
      <w:bookmarkEnd w:id="930"/>
      <w:bookmarkEnd w:id="931"/>
      <w:bookmarkEnd w:id="932"/>
      <w:bookmarkEnd w:id="933"/>
    </w:p>
    <w:p w14:paraId="5FB35DA1">
      <w:pPr>
        <w:spacing w:line="43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B0.总则</w:t>
      </w:r>
    </w:p>
    <w:p w14:paraId="1D5F8870">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附件所集中列示的否决投标条件，是本章“评标办法”的组成部分，是对第二章“投标人须知”和本章正文部分所规定的否决投标条件的总结和补充，如果出现相互矛盾的情况，以第二章“投标人须知”和本章正文部分的规定为准。</w:t>
      </w:r>
    </w:p>
    <w:p w14:paraId="2FD48BA5">
      <w:pPr>
        <w:spacing w:line="430" w:lineRule="exact"/>
        <w:rPr>
          <w:rFonts w:hint="eastAsia" w:ascii="宋体" w:hAnsi="宋体" w:eastAsia="宋体" w:cs="宋体"/>
          <w:b/>
          <w:color w:val="auto"/>
          <w:szCs w:val="21"/>
          <w:highlight w:val="none"/>
        </w:rPr>
      </w:pPr>
      <w:bookmarkStart w:id="934" w:name="_Toc24609_WPSOffice_Level1"/>
      <w:r>
        <w:rPr>
          <w:rFonts w:hint="eastAsia" w:ascii="宋体" w:hAnsi="宋体" w:eastAsia="宋体" w:cs="宋体"/>
          <w:b/>
          <w:color w:val="auto"/>
          <w:szCs w:val="21"/>
          <w:highlight w:val="none"/>
        </w:rPr>
        <w:t>B1.否决投标条件</w:t>
      </w:r>
      <w:bookmarkEnd w:id="934"/>
    </w:p>
    <w:p w14:paraId="0F3DEAE9">
      <w:pPr>
        <w:spacing w:before="104" w:line="200" w:lineRule="auto"/>
        <w:jc w:val="left"/>
        <w:rPr>
          <w:rFonts w:hint="eastAsia" w:ascii="宋体" w:hAnsi="宋体" w:eastAsia="宋体" w:cs="宋体"/>
          <w:color w:val="auto"/>
          <w:sz w:val="34"/>
          <w:szCs w:val="34"/>
          <w:highlight w:val="none"/>
        </w:rPr>
      </w:pPr>
      <w:bookmarkStart w:id="935" w:name="_Toc2352"/>
      <w:r>
        <w:rPr>
          <w:rFonts w:hint="eastAsia" w:ascii="宋体" w:hAnsi="宋体" w:eastAsia="宋体" w:cs="宋体"/>
          <w:b/>
          <w:bCs/>
          <w:color w:val="auto"/>
          <w:spacing w:val="-4"/>
          <w:szCs w:val="21"/>
          <w:highlight w:val="none"/>
        </w:rPr>
        <w:t>否决投标的情形</w:t>
      </w:r>
      <w:bookmarkEnd w:id="935"/>
    </w:p>
    <w:tbl>
      <w:tblPr>
        <w:tblStyle w:val="43"/>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3"/>
        <w:gridCol w:w="677"/>
        <w:gridCol w:w="2630"/>
        <w:gridCol w:w="6138"/>
      </w:tblGrid>
      <w:tr w14:paraId="108AB9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1130" w:type="dxa"/>
            <w:gridSpan w:val="2"/>
            <w:noWrap w:val="0"/>
            <w:vAlign w:val="center"/>
          </w:tcPr>
          <w:p w14:paraId="321FB8E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630" w:type="dxa"/>
            <w:noWrap w:val="0"/>
            <w:vAlign w:val="center"/>
          </w:tcPr>
          <w:p w14:paraId="4CA77434">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评审项目</w:t>
            </w:r>
          </w:p>
        </w:tc>
        <w:tc>
          <w:tcPr>
            <w:tcW w:w="6138" w:type="dxa"/>
            <w:noWrap w:val="0"/>
            <w:vAlign w:val="center"/>
          </w:tcPr>
          <w:p w14:paraId="5CFA6AD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否决投标项</w:t>
            </w:r>
          </w:p>
        </w:tc>
      </w:tr>
      <w:tr w14:paraId="7F091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restart"/>
            <w:noWrap w:val="0"/>
            <w:vAlign w:val="center"/>
          </w:tcPr>
          <w:p w14:paraId="02FFD1A6">
            <w:pPr>
              <w:pStyle w:val="186"/>
              <w:spacing w:before="65" w:line="183" w:lineRule="auto"/>
              <w:ind w:left="154"/>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677" w:type="dxa"/>
            <w:vMerge w:val="restart"/>
            <w:noWrap w:val="0"/>
            <w:vAlign w:val="center"/>
          </w:tcPr>
          <w:p w14:paraId="4BAB7CA4">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2630" w:type="dxa"/>
            <w:vMerge w:val="restart"/>
            <w:noWrap w:val="0"/>
            <w:vAlign w:val="center"/>
          </w:tcPr>
          <w:p w14:paraId="5FD1595A">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投标总价</w:t>
            </w:r>
          </w:p>
        </w:tc>
        <w:tc>
          <w:tcPr>
            <w:tcW w:w="6138" w:type="dxa"/>
            <w:noWrap w:val="0"/>
            <w:vAlign w:val="center"/>
          </w:tcPr>
          <w:p w14:paraId="4CF2A402">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不等于各单项工程报价之和且拒不按照评标委员会要求进行澄清、说明或者修正影响评标的</w:t>
            </w:r>
          </w:p>
        </w:tc>
      </w:tr>
      <w:tr w14:paraId="2C51B3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3153BA91">
            <w:pPr>
              <w:rPr>
                <w:rFonts w:hint="eastAsia" w:ascii="宋体" w:hAnsi="宋体" w:eastAsia="宋体" w:cs="宋体"/>
                <w:color w:val="auto"/>
                <w:szCs w:val="21"/>
                <w:highlight w:val="none"/>
              </w:rPr>
            </w:pPr>
          </w:p>
        </w:tc>
        <w:tc>
          <w:tcPr>
            <w:tcW w:w="677" w:type="dxa"/>
            <w:vMerge w:val="continue"/>
            <w:noWrap w:val="0"/>
            <w:vAlign w:val="center"/>
          </w:tcPr>
          <w:p w14:paraId="2D26BD8E">
            <w:pPr>
              <w:wordWrap w:val="0"/>
              <w:jc w:val="center"/>
              <w:rPr>
                <w:rFonts w:hint="eastAsia" w:ascii="宋体" w:hAnsi="宋体" w:eastAsia="宋体" w:cs="宋体"/>
                <w:color w:val="auto"/>
                <w:szCs w:val="21"/>
                <w:highlight w:val="none"/>
              </w:rPr>
            </w:pPr>
          </w:p>
        </w:tc>
        <w:tc>
          <w:tcPr>
            <w:tcW w:w="2630" w:type="dxa"/>
            <w:vMerge w:val="continue"/>
            <w:noWrap w:val="0"/>
            <w:vAlign w:val="center"/>
          </w:tcPr>
          <w:p w14:paraId="630063D7">
            <w:pPr>
              <w:wordWrap w:val="0"/>
              <w:jc w:val="center"/>
              <w:rPr>
                <w:rFonts w:hint="eastAsia" w:ascii="宋体" w:hAnsi="宋体" w:eastAsia="宋体" w:cs="宋体"/>
                <w:color w:val="auto"/>
                <w:szCs w:val="21"/>
                <w:highlight w:val="none"/>
              </w:rPr>
            </w:pPr>
          </w:p>
        </w:tc>
        <w:tc>
          <w:tcPr>
            <w:tcW w:w="6138" w:type="dxa"/>
            <w:noWrap w:val="0"/>
            <w:vAlign w:val="center"/>
          </w:tcPr>
          <w:p w14:paraId="524A881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高于最高投标限价的</w:t>
            </w:r>
          </w:p>
        </w:tc>
      </w:tr>
      <w:tr w14:paraId="40A4D2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jc w:val="center"/>
        </w:trPr>
        <w:tc>
          <w:tcPr>
            <w:tcW w:w="453" w:type="dxa"/>
            <w:vMerge w:val="continue"/>
            <w:noWrap w:val="0"/>
            <w:vAlign w:val="center"/>
          </w:tcPr>
          <w:p w14:paraId="67ABBA7A">
            <w:pPr>
              <w:rPr>
                <w:rFonts w:hint="eastAsia" w:ascii="宋体" w:hAnsi="宋体" w:eastAsia="宋体" w:cs="宋体"/>
                <w:color w:val="auto"/>
                <w:szCs w:val="21"/>
                <w:highlight w:val="none"/>
              </w:rPr>
            </w:pPr>
          </w:p>
        </w:tc>
        <w:tc>
          <w:tcPr>
            <w:tcW w:w="677" w:type="dxa"/>
            <w:noWrap w:val="0"/>
            <w:vAlign w:val="center"/>
          </w:tcPr>
          <w:p w14:paraId="12D9DEAA">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2630" w:type="dxa"/>
            <w:noWrap w:val="0"/>
            <w:vAlign w:val="center"/>
          </w:tcPr>
          <w:p w14:paraId="3D208873">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单项工程费</w:t>
            </w:r>
          </w:p>
        </w:tc>
        <w:tc>
          <w:tcPr>
            <w:tcW w:w="6138" w:type="dxa"/>
            <w:noWrap w:val="0"/>
            <w:vAlign w:val="center"/>
          </w:tcPr>
          <w:p w14:paraId="5AD9F278">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不等于各单位工程报价之和且拒不按照评标委员会要求进行澄清、说明或者修正影响评标的</w:t>
            </w:r>
          </w:p>
        </w:tc>
      </w:tr>
      <w:tr w14:paraId="4218E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jc w:val="center"/>
        </w:trPr>
        <w:tc>
          <w:tcPr>
            <w:tcW w:w="453" w:type="dxa"/>
            <w:vMerge w:val="continue"/>
            <w:noWrap w:val="0"/>
            <w:vAlign w:val="center"/>
          </w:tcPr>
          <w:p w14:paraId="13432D7E">
            <w:pPr>
              <w:rPr>
                <w:rFonts w:hint="eastAsia" w:ascii="宋体" w:hAnsi="宋体" w:eastAsia="宋体" w:cs="宋体"/>
                <w:color w:val="auto"/>
                <w:szCs w:val="21"/>
                <w:highlight w:val="none"/>
              </w:rPr>
            </w:pPr>
          </w:p>
        </w:tc>
        <w:tc>
          <w:tcPr>
            <w:tcW w:w="677" w:type="dxa"/>
            <w:noWrap w:val="0"/>
            <w:vAlign w:val="center"/>
          </w:tcPr>
          <w:p w14:paraId="20CCD9F2">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2630" w:type="dxa"/>
            <w:noWrap w:val="0"/>
            <w:vAlign w:val="center"/>
          </w:tcPr>
          <w:p w14:paraId="6F18E8D6">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单位工程费</w:t>
            </w:r>
          </w:p>
        </w:tc>
        <w:tc>
          <w:tcPr>
            <w:tcW w:w="6138" w:type="dxa"/>
            <w:noWrap w:val="0"/>
            <w:vAlign w:val="center"/>
          </w:tcPr>
          <w:p w14:paraId="102120FC">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不等于分部分项工程费+措施项目费+其他项目费+规费+税金之和且拒不按照评标委员会要求进行澄清、说明或者修正影响评标的</w:t>
            </w:r>
          </w:p>
        </w:tc>
      </w:tr>
      <w:tr w14:paraId="0B648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restart"/>
            <w:noWrap w:val="0"/>
            <w:vAlign w:val="center"/>
          </w:tcPr>
          <w:p w14:paraId="167E7F39">
            <w:pPr>
              <w:pStyle w:val="186"/>
              <w:spacing w:before="65" w:line="183" w:lineRule="auto"/>
              <w:ind w:left="1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677" w:type="dxa"/>
            <w:noWrap w:val="0"/>
            <w:vAlign w:val="center"/>
          </w:tcPr>
          <w:p w14:paraId="5FBB3AEA">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2.1</w:t>
            </w:r>
          </w:p>
        </w:tc>
        <w:tc>
          <w:tcPr>
            <w:tcW w:w="2630" w:type="dxa"/>
            <w:noWrap w:val="0"/>
            <w:vAlign w:val="center"/>
          </w:tcPr>
          <w:p w14:paraId="655C321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分部分项工程费及单价措施费总价</w:t>
            </w:r>
          </w:p>
        </w:tc>
        <w:tc>
          <w:tcPr>
            <w:tcW w:w="6138" w:type="dxa"/>
            <w:noWrap w:val="0"/>
            <w:vAlign w:val="center"/>
          </w:tcPr>
          <w:p w14:paraId="51F46F9A">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不等于各分部分项工程项目清单（含单价措施项目）费之和且拒不按照评标委员会要求进行澄清、说明或者修正影响评标的</w:t>
            </w:r>
          </w:p>
        </w:tc>
      </w:tr>
      <w:tr w14:paraId="5971A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3DE2489C">
            <w:pPr>
              <w:rPr>
                <w:rFonts w:hint="eastAsia" w:ascii="宋体" w:hAnsi="宋体" w:eastAsia="宋体" w:cs="宋体"/>
                <w:color w:val="auto"/>
                <w:szCs w:val="21"/>
                <w:highlight w:val="none"/>
              </w:rPr>
            </w:pPr>
          </w:p>
        </w:tc>
        <w:tc>
          <w:tcPr>
            <w:tcW w:w="677" w:type="dxa"/>
            <w:noWrap w:val="0"/>
            <w:vAlign w:val="center"/>
          </w:tcPr>
          <w:p w14:paraId="6103A751">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2.2</w:t>
            </w:r>
          </w:p>
        </w:tc>
        <w:tc>
          <w:tcPr>
            <w:tcW w:w="2630" w:type="dxa"/>
            <w:noWrap w:val="0"/>
            <w:vAlign w:val="center"/>
          </w:tcPr>
          <w:p w14:paraId="3A1E10B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分部分项工程项目编码</w:t>
            </w:r>
          </w:p>
        </w:tc>
        <w:tc>
          <w:tcPr>
            <w:tcW w:w="6138" w:type="dxa"/>
            <w:noWrap w:val="0"/>
            <w:vAlign w:val="center"/>
          </w:tcPr>
          <w:p w14:paraId="00FE1C62">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与招标文件发布的清单不一致的</w:t>
            </w:r>
          </w:p>
        </w:tc>
      </w:tr>
      <w:tr w14:paraId="21188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1D476838">
            <w:pPr>
              <w:rPr>
                <w:rFonts w:hint="eastAsia" w:ascii="宋体" w:hAnsi="宋体" w:eastAsia="宋体" w:cs="宋体"/>
                <w:color w:val="auto"/>
                <w:szCs w:val="21"/>
                <w:highlight w:val="none"/>
              </w:rPr>
            </w:pPr>
          </w:p>
        </w:tc>
        <w:tc>
          <w:tcPr>
            <w:tcW w:w="677" w:type="dxa"/>
            <w:noWrap w:val="0"/>
            <w:vAlign w:val="center"/>
          </w:tcPr>
          <w:p w14:paraId="37E6F79A">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2.3</w:t>
            </w:r>
          </w:p>
        </w:tc>
        <w:tc>
          <w:tcPr>
            <w:tcW w:w="2630" w:type="dxa"/>
            <w:noWrap w:val="0"/>
            <w:vAlign w:val="center"/>
          </w:tcPr>
          <w:p w14:paraId="79A6571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分部分项工程项目名称</w:t>
            </w:r>
          </w:p>
        </w:tc>
        <w:tc>
          <w:tcPr>
            <w:tcW w:w="6138" w:type="dxa"/>
            <w:noWrap w:val="0"/>
            <w:vAlign w:val="center"/>
          </w:tcPr>
          <w:p w14:paraId="2D7A2764">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与招标文件发布的清单不一致的</w:t>
            </w:r>
          </w:p>
        </w:tc>
      </w:tr>
      <w:tr w14:paraId="6568A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60D06EAB">
            <w:pPr>
              <w:rPr>
                <w:rFonts w:hint="eastAsia" w:ascii="宋体" w:hAnsi="宋体" w:eastAsia="宋体" w:cs="宋体"/>
                <w:color w:val="auto"/>
                <w:szCs w:val="21"/>
                <w:highlight w:val="none"/>
              </w:rPr>
            </w:pPr>
          </w:p>
        </w:tc>
        <w:tc>
          <w:tcPr>
            <w:tcW w:w="677" w:type="dxa"/>
            <w:noWrap w:val="0"/>
            <w:vAlign w:val="center"/>
          </w:tcPr>
          <w:p w14:paraId="1728160C">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2.4</w:t>
            </w:r>
          </w:p>
        </w:tc>
        <w:tc>
          <w:tcPr>
            <w:tcW w:w="2630" w:type="dxa"/>
            <w:noWrap w:val="0"/>
            <w:vAlign w:val="center"/>
          </w:tcPr>
          <w:p w14:paraId="512C676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分部分项工程项目特征</w:t>
            </w:r>
          </w:p>
        </w:tc>
        <w:tc>
          <w:tcPr>
            <w:tcW w:w="6138" w:type="dxa"/>
            <w:noWrap w:val="0"/>
            <w:vAlign w:val="center"/>
          </w:tcPr>
          <w:p w14:paraId="3CB2C752">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与招标文件发布的清单不一致的</w:t>
            </w:r>
          </w:p>
        </w:tc>
      </w:tr>
      <w:tr w14:paraId="6DECD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3F9598BE">
            <w:pPr>
              <w:rPr>
                <w:rFonts w:hint="eastAsia" w:ascii="宋体" w:hAnsi="宋体" w:eastAsia="宋体" w:cs="宋体"/>
                <w:color w:val="auto"/>
                <w:szCs w:val="21"/>
                <w:highlight w:val="none"/>
              </w:rPr>
            </w:pPr>
          </w:p>
        </w:tc>
        <w:tc>
          <w:tcPr>
            <w:tcW w:w="677" w:type="dxa"/>
            <w:noWrap w:val="0"/>
            <w:vAlign w:val="center"/>
          </w:tcPr>
          <w:p w14:paraId="676EE86D">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2.5</w:t>
            </w:r>
          </w:p>
        </w:tc>
        <w:tc>
          <w:tcPr>
            <w:tcW w:w="2630" w:type="dxa"/>
            <w:noWrap w:val="0"/>
            <w:vAlign w:val="center"/>
          </w:tcPr>
          <w:p w14:paraId="56E320A6">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分部分项工程项目计量单位</w:t>
            </w:r>
          </w:p>
        </w:tc>
        <w:tc>
          <w:tcPr>
            <w:tcW w:w="6138" w:type="dxa"/>
            <w:noWrap w:val="0"/>
            <w:vAlign w:val="center"/>
          </w:tcPr>
          <w:p w14:paraId="2D4335F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与招标文件发布的清单不一致的</w:t>
            </w:r>
          </w:p>
        </w:tc>
      </w:tr>
      <w:tr w14:paraId="3EE9B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388F639A">
            <w:pPr>
              <w:rPr>
                <w:rFonts w:hint="eastAsia" w:ascii="宋体" w:hAnsi="宋体" w:eastAsia="宋体" w:cs="宋体"/>
                <w:color w:val="auto"/>
                <w:szCs w:val="21"/>
                <w:highlight w:val="none"/>
              </w:rPr>
            </w:pPr>
          </w:p>
        </w:tc>
        <w:tc>
          <w:tcPr>
            <w:tcW w:w="677" w:type="dxa"/>
            <w:noWrap w:val="0"/>
            <w:vAlign w:val="center"/>
          </w:tcPr>
          <w:p w14:paraId="45B6EBA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2.6</w:t>
            </w:r>
          </w:p>
        </w:tc>
        <w:tc>
          <w:tcPr>
            <w:tcW w:w="2630" w:type="dxa"/>
            <w:noWrap w:val="0"/>
            <w:vAlign w:val="center"/>
          </w:tcPr>
          <w:p w14:paraId="0D642BCE">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分部分项工程项目工程量</w:t>
            </w:r>
          </w:p>
        </w:tc>
        <w:tc>
          <w:tcPr>
            <w:tcW w:w="6138" w:type="dxa"/>
            <w:noWrap w:val="0"/>
            <w:vAlign w:val="center"/>
          </w:tcPr>
          <w:p w14:paraId="3A1CD402">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与招标文件发布的清单不一致的</w:t>
            </w:r>
          </w:p>
        </w:tc>
      </w:tr>
      <w:tr w14:paraId="16BC8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774AF80F">
            <w:pPr>
              <w:rPr>
                <w:rFonts w:hint="eastAsia" w:ascii="宋体" w:hAnsi="宋体" w:eastAsia="宋体" w:cs="宋体"/>
                <w:color w:val="auto"/>
                <w:szCs w:val="21"/>
                <w:highlight w:val="none"/>
              </w:rPr>
            </w:pPr>
          </w:p>
        </w:tc>
        <w:tc>
          <w:tcPr>
            <w:tcW w:w="677" w:type="dxa"/>
            <w:noWrap w:val="0"/>
            <w:vAlign w:val="center"/>
          </w:tcPr>
          <w:p w14:paraId="5143ABA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2.7</w:t>
            </w:r>
          </w:p>
        </w:tc>
        <w:tc>
          <w:tcPr>
            <w:tcW w:w="2630" w:type="dxa"/>
            <w:noWrap w:val="0"/>
            <w:vAlign w:val="center"/>
          </w:tcPr>
          <w:p w14:paraId="38E3C7E7">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分部分项工程项目清单的综合单价</w:t>
            </w:r>
          </w:p>
        </w:tc>
        <w:tc>
          <w:tcPr>
            <w:tcW w:w="6138" w:type="dxa"/>
            <w:noWrap w:val="0"/>
            <w:vAlign w:val="center"/>
          </w:tcPr>
          <w:p w14:paraId="24B51541">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不等于人工费、材料费、机械费、管理费及利润之和且拒不按照评标委员会要求进行澄清、说明或者修正影响评标的</w:t>
            </w:r>
          </w:p>
        </w:tc>
      </w:tr>
      <w:tr w14:paraId="5A7FD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58C3FE9A">
            <w:pPr>
              <w:rPr>
                <w:rFonts w:hint="eastAsia" w:ascii="宋体" w:hAnsi="宋体" w:eastAsia="宋体" w:cs="宋体"/>
                <w:color w:val="auto"/>
                <w:szCs w:val="21"/>
                <w:highlight w:val="none"/>
              </w:rPr>
            </w:pPr>
          </w:p>
        </w:tc>
        <w:tc>
          <w:tcPr>
            <w:tcW w:w="677" w:type="dxa"/>
            <w:noWrap w:val="0"/>
            <w:vAlign w:val="center"/>
          </w:tcPr>
          <w:p w14:paraId="5C84645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2.8</w:t>
            </w:r>
          </w:p>
        </w:tc>
        <w:tc>
          <w:tcPr>
            <w:tcW w:w="2630" w:type="dxa"/>
            <w:noWrap w:val="0"/>
            <w:vAlign w:val="center"/>
          </w:tcPr>
          <w:p w14:paraId="6D8AFFB3">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材料单价</w:t>
            </w:r>
          </w:p>
        </w:tc>
        <w:tc>
          <w:tcPr>
            <w:tcW w:w="6138" w:type="dxa"/>
            <w:noWrap w:val="0"/>
            <w:vAlign w:val="center"/>
          </w:tcPr>
          <w:p w14:paraId="4CC1C8E1">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综合单价中的材料单价与材料表中材料单价不一致的</w:t>
            </w:r>
          </w:p>
        </w:tc>
      </w:tr>
      <w:tr w14:paraId="447EB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restart"/>
            <w:noWrap w:val="0"/>
            <w:vAlign w:val="center"/>
          </w:tcPr>
          <w:p w14:paraId="61151E1E">
            <w:pPr>
              <w:pStyle w:val="186"/>
              <w:spacing w:before="65" w:line="183" w:lineRule="auto"/>
              <w:ind w:left="1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677" w:type="dxa"/>
            <w:noWrap w:val="0"/>
            <w:vAlign w:val="center"/>
          </w:tcPr>
          <w:p w14:paraId="62303D61">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3.1</w:t>
            </w:r>
          </w:p>
        </w:tc>
        <w:tc>
          <w:tcPr>
            <w:tcW w:w="2630" w:type="dxa"/>
            <w:noWrap w:val="0"/>
            <w:vAlign w:val="center"/>
          </w:tcPr>
          <w:p w14:paraId="6F41BB1E">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安全文明施工措施费</w:t>
            </w:r>
          </w:p>
        </w:tc>
        <w:tc>
          <w:tcPr>
            <w:tcW w:w="6138" w:type="dxa"/>
            <w:noWrap w:val="0"/>
            <w:vAlign w:val="center"/>
          </w:tcPr>
          <w:p w14:paraId="6A0F42D1">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与河南省相关规定要求不符的</w:t>
            </w:r>
          </w:p>
        </w:tc>
      </w:tr>
      <w:tr w14:paraId="6BC71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5D77C588">
            <w:pPr>
              <w:rPr>
                <w:rFonts w:hint="eastAsia" w:ascii="宋体" w:hAnsi="宋体" w:eastAsia="宋体" w:cs="宋体"/>
                <w:color w:val="auto"/>
                <w:szCs w:val="21"/>
                <w:highlight w:val="none"/>
              </w:rPr>
            </w:pPr>
          </w:p>
        </w:tc>
        <w:tc>
          <w:tcPr>
            <w:tcW w:w="677" w:type="dxa"/>
            <w:noWrap w:val="0"/>
            <w:vAlign w:val="center"/>
          </w:tcPr>
          <w:p w14:paraId="52CAC75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3.2</w:t>
            </w:r>
          </w:p>
        </w:tc>
        <w:tc>
          <w:tcPr>
            <w:tcW w:w="2630" w:type="dxa"/>
            <w:noWrap w:val="0"/>
            <w:vAlign w:val="center"/>
          </w:tcPr>
          <w:p w14:paraId="38ECC72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其他措施费（费率类）项目</w:t>
            </w:r>
          </w:p>
        </w:tc>
        <w:tc>
          <w:tcPr>
            <w:tcW w:w="6138" w:type="dxa"/>
            <w:noWrap w:val="0"/>
            <w:vAlign w:val="center"/>
          </w:tcPr>
          <w:p w14:paraId="08916DA1">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与招标文件要求不符的</w:t>
            </w:r>
          </w:p>
        </w:tc>
      </w:tr>
      <w:tr w14:paraId="42EA7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1" w:hRule="atLeast"/>
          <w:jc w:val="center"/>
        </w:trPr>
        <w:tc>
          <w:tcPr>
            <w:tcW w:w="453" w:type="dxa"/>
            <w:vMerge w:val="restart"/>
            <w:noWrap w:val="0"/>
            <w:vAlign w:val="center"/>
          </w:tcPr>
          <w:p w14:paraId="49DBA181">
            <w:pPr>
              <w:pStyle w:val="186"/>
              <w:spacing w:before="65" w:line="183" w:lineRule="auto"/>
              <w:ind w:left="1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677" w:type="dxa"/>
            <w:noWrap w:val="0"/>
            <w:vAlign w:val="center"/>
          </w:tcPr>
          <w:p w14:paraId="152182F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4.1</w:t>
            </w:r>
          </w:p>
        </w:tc>
        <w:tc>
          <w:tcPr>
            <w:tcW w:w="2630" w:type="dxa"/>
            <w:noWrap w:val="0"/>
            <w:vAlign w:val="center"/>
          </w:tcPr>
          <w:p w14:paraId="002DE8C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其他项目费</w:t>
            </w:r>
          </w:p>
        </w:tc>
        <w:tc>
          <w:tcPr>
            <w:tcW w:w="6138" w:type="dxa"/>
            <w:noWrap w:val="0"/>
            <w:vAlign w:val="center"/>
          </w:tcPr>
          <w:p w14:paraId="22D5D300">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不等于各组成部分之和（暂列金额+专业工程暂估价+计日工费+总承包服务费）且拒不按照评标委员会要求进行澄清、说明或者修正影响评标的</w:t>
            </w:r>
          </w:p>
        </w:tc>
      </w:tr>
      <w:tr w14:paraId="77651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0B78D5D4">
            <w:pPr>
              <w:rPr>
                <w:rFonts w:hint="eastAsia" w:ascii="宋体" w:hAnsi="宋体" w:eastAsia="宋体" w:cs="宋体"/>
                <w:color w:val="auto"/>
                <w:szCs w:val="21"/>
                <w:highlight w:val="none"/>
              </w:rPr>
            </w:pPr>
          </w:p>
        </w:tc>
        <w:tc>
          <w:tcPr>
            <w:tcW w:w="677" w:type="dxa"/>
            <w:noWrap w:val="0"/>
            <w:vAlign w:val="center"/>
          </w:tcPr>
          <w:p w14:paraId="4DBF6D9A">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4.2</w:t>
            </w:r>
          </w:p>
        </w:tc>
        <w:tc>
          <w:tcPr>
            <w:tcW w:w="2630" w:type="dxa"/>
            <w:noWrap w:val="0"/>
            <w:vAlign w:val="center"/>
          </w:tcPr>
          <w:p w14:paraId="05C03D97">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暂列金额</w:t>
            </w:r>
          </w:p>
        </w:tc>
        <w:tc>
          <w:tcPr>
            <w:tcW w:w="6138" w:type="dxa"/>
            <w:noWrap w:val="0"/>
            <w:vAlign w:val="center"/>
          </w:tcPr>
          <w:p w14:paraId="648F5DDD">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与招标文件发布的金额不一致的</w:t>
            </w:r>
          </w:p>
        </w:tc>
      </w:tr>
      <w:tr w14:paraId="62E2E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33A97FB9">
            <w:pPr>
              <w:rPr>
                <w:rFonts w:hint="eastAsia" w:ascii="宋体" w:hAnsi="宋体" w:eastAsia="宋体" w:cs="宋体"/>
                <w:color w:val="auto"/>
                <w:szCs w:val="21"/>
                <w:highlight w:val="none"/>
              </w:rPr>
            </w:pPr>
          </w:p>
        </w:tc>
        <w:tc>
          <w:tcPr>
            <w:tcW w:w="677" w:type="dxa"/>
            <w:noWrap w:val="0"/>
            <w:vAlign w:val="center"/>
          </w:tcPr>
          <w:p w14:paraId="6E67029C">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4.3</w:t>
            </w:r>
          </w:p>
        </w:tc>
        <w:tc>
          <w:tcPr>
            <w:tcW w:w="2630" w:type="dxa"/>
            <w:noWrap w:val="0"/>
            <w:vAlign w:val="center"/>
          </w:tcPr>
          <w:p w14:paraId="5CFA928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暂估价</w:t>
            </w:r>
          </w:p>
        </w:tc>
        <w:tc>
          <w:tcPr>
            <w:tcW w:w="6138" w:type="dxa"/>
            <w:noWrap w:val="0"/>
            <w:vAlign w:val="center"/>
          </w:tcPr>
          <w:p w14:paraId="7FEE047A">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与招标文件发布的金额不一致的（包括材料暂估单价、工程设备暂估单价和专业工程暂估价）</w:t>
            </w:r>
          </w:p>
        </w:tc>
      </w:tr>
      <w:tr w14:paraId="41B7BD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68D8D904">
            <w:pPr>
              <w:rPr>
                <w:rFonts w:hint="eastAsia" w:ascii="宋体" w:hAnsi="宋体" w:eastAsia="宋体" w:cs="宋体"/>
                <w:color w:val="auto"/>
                <w:szCs w:val="21"/>
                <w:highlight w:val="none"/>
              </w:rPr>
            </w:pPr>
          </w:p>
        </w:tc>
        <w:tc>
          <w:tcPr>
            <w:tcW w:w="677" w:type="dxa"/>
            <w:noWrap w:val="0"/>
            <w:vAlign w:val="center"/>
          </w:tcPr>
          <w:p w14:paraId="10D57D04">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4.4</w:t>
            </w:r>
          </w:p>
        </w:tc>
        <w:tc>
          <w:tcPr>
            <w:tcW w:w="2630" w:type="dxa"/>
            <w:noWrap w:val="0"/>
            <w:vAlign w:val="center"/>
          </w:tcPr>
          <w:p w14:paraId="0233EFA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计日工</w:t>
            </w:r>
          </w:p>
        </w:tc>
        <w:tc>
          <w:tcPr>
            <w:tcW w:w="6138" w:type="dxa"/>
            <w:noWrap w:val="0"/>
            <w:vAlign w:val="center"/>
          </w:tcPr>
          <w:p w14:paraId="7A7F6B80">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与招标文件发布的数量不一致的（计日工按照8小时工作制）</w:t>
            </w:r>
          </w:p>
        </w:tc>
      </w:tr>
      <w:tr w14:paraId="42B8A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4FE732FE">
            <w:pPr>
              <w:rPr>
                <w:rFonts w:hint="eastAsia" w:ascii="宋体" w:hAnsi="宋体" w:eastAsia="宋体" w:cs="宋体"/>
                <w:color w:val="auto"/>
                <w:szCs w:val="21"/>
                <w:highlight w:val="none"/>
              </w:rPr>
            </w:pPr>
          </w:p>
        </w:tc>
        <w:tc>
          <w:tcPr>
            <w:tcW w:w="677" w:type="dxa"/>
            <w:noWrap w:val="0"/>
            <w:vAlign w:val="center"/>
          </w:tcPr>
          <w:p w14:paraId="42D3DFE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4.5</w:t>
            </w:r>
          </w:p>
        </w:tc>
        <w:tc>
          <w:tcPr>
            <w:tcW w:w="2630" w:type="dxa"/>
            <w:noWrap w:val="0"/>
            <w:vAlign w:val="center"/>
          </w:tcPr>
          <w:p w14:paraId="17FCA2B1">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总承包服务费</w:t>
            </w:r>
          </w:p>
        </w:tc>
        <w:tc>
          <w:tcPr>
            <w:tcW w:w="6138" w:type="dxa"/>
            <w:noWrap w:val="0"/>
            <w:vAlign w:val="center"/>
          </w:tcPr>
          <w:p w14:paraId="77B66EE0">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不符合招标文件规定的</w:t>
            </w:r>
          </w:p>
        </w:tc>
      </w:tr>
      <w:tr w14:paraId="4277A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jc w:val="center"/>
        </w:trPr>
        <w:tc>
          <w:tcPr>
            <w:tcW w:w="453" w:type="dxa"/>
            <w:noWrap w:val="0"/>
            <w:vAlign w:val="center"/>
          </w:tcPr>
          <w:p w14:paraId="7D87B3E8">
            <w:pPr>
              <w:pStyle w:val="186"/>
              <w:spacing w:before="65" w:line="183" w:lineRule="auto"/>
              <w:ind w:left="1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677" w:type="dxa"/>
            <w:noWrap w:val="0"/>
            <w:vAlign w:val="center"/>
          </w:tcPr>
          <w:p w14:paraId="3487E666">
            <w:pPr>
              <w:pStyle w:val="186"/>
              <w:spacing w:before="65" w:line="183" w:lineRule="auto"/>
              <w:ind w:left="154"/>
              <w:rPr>
                <w:rFonts w:hint="eastAsia" w:ascii="宋体" w:hAnsi="宋体" w:eastAsia="宋体" w:cs="宋体"/>
                <w:color w:val="auto"/>
                <w:sz w:val="21"/>
                <w:szCs w:val="21"/>
                <w:highlight w:val="none"/>
                <w:lang w:eastAsia="zh-CN"/>
              </w:rPr>
            </w:pPr>
          </w:p>
        </w:tc>
        <w:tc>
          <w:tcPr>
            <w:tcW w:w="2630" w:type="dxa"/>
            <w:noWrap w:val="0"/>
            <w:vAlign w:val="center"/>
          </w:tcPr>
          <w:p w14:paraId="522D19F9">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规费</w:t>
            </w:r>
          </w:p>
        </w:tc>
        <w:tc>
          <w:tcPr>
            <w:tcW w:w="6138" w:type="dxa"/>
            <w:noWrap w:val="0"/>
            <w:vAlign w:val="center"/>
          </w:tcPr>
          <w:p w14:paraId="4C40EB5C">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与河南省相关规定要求不符的</w:t>
            </w:r>
          </w:p>
        </w:tc>
      </w:tr>
      <w:tr w14:paraId="16BA1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jc w:val="center"/>
        </w:trPr>
        <w:tc>
          <w:tcPr>
            <w:tcW w:w="453" w:type="dxa"/>
            <w:noWrap w:val="0"/>
            <w:vAlign w:val="center"/>
          </w:tcPr>
          <w:p w14:paraId="5D78CB59">
            <w:pPr>
              <w:pStyle w:val="186"/>
              <w:spacing w:before="65" w:line="183" w:lineRule="auto"/>
              <w:ind w:left="1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677" w:type="dxa"/>
            <w:noWrap w:val="0"/>
            <w:vAlign w:val="center"/>
          </w:tcPr>
          <w:p w14:paraId="5E7E6426">
            <w:pPr>
              <w:pStyle w:val="186"/>
              <w:spacing w:before="65" w:line="183" w:lineRule="auto"/>
              <w:ind w:left="154"/>
              <w:rPr>
                <w:rFonts w:hint="eastAsia" w:ascii="宋体" w:hAnsi="宋体" w:eastAsia="宋体" w:cs="宋体"/>
                <w:color w:val="auto"/>
                <w:sz w:val="21"/>
                <w:szCs w:val="21"/>
                <w:highlight w:val="none"/>
                <w:lang w:eastAsia="zh-CN"/>
              </w:rPr>
            </w:pPr>
          </w:p>
        </w:tc>
        <w:tc>
          <w:tcPr>
            <w:tcW w:w="2630" w:type="dxa"/>
            <w:noWrap w:val="0"/>
            <w:vAlign w:val="center"/>
          </w:tcPr>
          <w:p w14:paraId="372C8DF7">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税金</w:t>
            </w:r>
          </w:p>
        </w:tc>
        <w:tc>
          <w:tcPr>
            <w:tcW w:w="6138" w:type="dxa"/>
            <w:noWrap w:val="0"/>
            <w:vAlign w:val="center"/>
          </w:tcPr>
          <w:p w14:paraId="4395864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与河南省相关规定要求不符的</w:t>
            </w:r>
          </w:p>
        </w:tc>
      </w:tr>
      <w:tr w14:paraId="478A8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jc w:val="center"/>
        </w:trPr>
        <w:tc>
          <w:tcPr>
            <w:tcW w:w="453" w:type="dxa"/>
            <w:noWrap w:val="0"/>
            <w:vAlign w:val="center"/>
          </w:tcPr>
          <w:p w14:paraId="56169A0F">
            <w:pPr>
              <w:pStyle w:val="186"/>
              <w:spacing w:before="65" w:line="182" w:lineRule="auto"/>
              <w:ind w:left="1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677" w:type="dxa"/>
            <w:noWrap w:val="0"/>
            <w:vAlign w:val="center"/>
          </w:tcPr>
          <w:p w14:paraId="295D92A0">
            <w:pPr>
              <w:wordWrap w:val="0"/>
              <w:jc w:val="center"/>
              <w:rPr>
                <w:rFonts w:hint="eastAsia" w:ascii="宋体" w:hAnsi="宋体" w:eastAsia="宋体" w:cs="宋体"/>
                <w:color w:val="auto"/>
                <w:szCs w:val="21"/>
                <w:highlight w:val="none"/>
              </w:rPr>
            </w:pPr>
          </w:p>
        </w:tc>
        <w:tc>
          <w:tcPr>
            <w:tcW w:w="2630" w:type="dxa"/>
            <w:noWrap w:val="0"/>
            <w:vAlign w:val="center"/>
          </w:tcPr>
          <w:p w14:paraId="44980D8D">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电子投标文件的雷同性分析</w:t>
            </w:r>
          </w:p>
        </w:tc>
        <w:tc>
          <w:tcPr>
            <w:tcW w:w="6138" w:type="dxa"/>
            <w:noWrap w:val="0"/>
            <w:vAlign w:val="center"/>
          </w:tcPr>
          <w:p w14:paraId="02D8B7B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系统提示不同投标人的电子投标文件的文件制作机器码或者文件创建标识码、已标价工程量清单的文件制作机器码或者文件创建标识码、造价软件锁号、已标价工程量清单的软件加密锁使用人统一社会信用代码（或身份证号码）等信息相同或一致的</w:t>
            </w:r>
          </w:p>
        </w:tc>
      </w:tr>
      <w:tr w14:paraId="53572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restart"/>
            <w:noWrap w:val="0"/>
            <w:vAlign w:val="center"/>
          </w:tcPr>
          <w:p w14:paraId="33A40133">
            <w:pPr>
              <w:pStyle w:val="186"/>
              <w:spacing w:before="65" w:line="183" w:lineRule="auto"/>
              <w:ind w:left="1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677" w:type="dxa"/>
            <w:noWrap w:val="0"/>
            <w:vAlign w:val="center"/>
          </w:tcPr>
          <w:p w14:paraId="3D01D7F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w:t>
            </w:r>
          </w:p>
        </w:tc>
        <w:tc>
          <w:tcPr>
            <w:tcW w:w="2630" w:type="dxa"/>
            <w:vMerge w:val="restart"/>
            <w:noWrap w:val="0"/>
            <w:vAlign w:val="center"/>
          </w:tcPr>
          <w:p w14:paraId="333DC79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对招标文件的响应、重大偏差及违反法律、法规、规章、规范性文件规定的情况</w:t>
            </w:r>
          </w:p>
        </w:tc>
        <w:tc>
          <w:tcPr>
            <w:tcW w:w="6138" w:type="dxa"/>
            <w:noWrap w:val="0"/>
            <w:vAlign w:val="center"/>
          </w:tcPr>
          <w:p w14:paraId="0A4F0635">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投标文件不符合招标文件格式要求、未加盖投标单位章、法定代表人（或委托代理人）签字的</w:t>
            </w:r>
          </w:p>
        </w:tc>
      </w:tr>
      <w:tr w14:paraId="21B87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66A7CEDA">
            <w:pPr>
              <w:rPr>
                <w:rFonts w:hint="eastAsia" w:ascii="宋体" w:hAnsi="宋体" w:eastAsia="宋体" w:cs="宋体"/>
                <w:color w:val="auto"/>
                <w:szCs w:val="21"/>
                <w:highlight w:val="none"/>
              </w:rPr>
            </w:pPr>
          </w:p>
        </w:tc>
        <w:tc>
          <w:tcPr>
            <w:tcW w:w="677" w:type="dxa"/>
            <w:noWrap w:val="0"/>
            <w:vAlign w:val="center"/>
          </w:tcPr>
          <w:p w14:paraId="6926E28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w:t>
            </w:r>
          </w:p>
        </w:tc>
        <w:tc>
          <w:tcPr>
            <w:tcW w:w="2630" w:type="dxa"/>
            <w:vMerge w:val="continue"/>
            <w:noWrap w:val="0"/>
            <w:vAlign w:val="center"/>
          </w:tcPr>
          <w:p w14:paraId="0B311AF4">
            <w:pPr>
              <w:wordWrap w:val="0"/>
              <w:jc w:val="center"/>
              <w:rPr>
                <w:rFonts w:hint="eastAsia" w:ascii="宋体" w:hAnsi="宋体" w:eastAsia="宋体" w:cs="宋体"/>
                <w:color w:val="auto"/>
                <w:szCs w:val="21"/>
                <w:highlight w:val="none"/>
              </w:rPr>
            </w:pPr>
          </w:p>
        </w:tc>
        <w:tc>
          <w:tcPr>
            <w:tcW w:w="6138" w:type="dxa"/>
            <w:noWrap w:val="0"/>
            <w:vAlign w:val="center"/>
          </w:tcPr>
          <w:p w14:paraId="63E6FF4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投标人不符合国家或者招标文件规定的资质、资格条件的</w:t>
            </w:r>
          </w:p>
        </w:tc>
      </w:tr>
      <w:tr w14:paraId="20749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jc w:val="center"/>
        </w:trPr>
        <w:tc>
          <w:tcPr>
            <w:tcW w:w="453" w:type="dxa"/>
            <w:vMerge w:val="continue"/>
            <w:noWrap w:val="0"/>
            <w:vAlign w:val="center"/>
          </w:tcPr>
          <w:p w14:paraId="5F67EAA2">
            <w:pPr>
              <w:rPr>
                <w:rFonts w:hint="eastAsia" w:ascii="宋体" w:hAnsi="宋体" w:eastAsia="宋体" w:cs="宋体"/>
                <w:color w:val="auto"/>
                <w:szCs w:val="21"/>
                <w:highlight w:val="none"/>
              </w:rPr>
            </w:pPr>
          </w:p>
        </w:tc>
        <w:tc>
          <w:tcPr>
            <w:tcW w:w="677" w:type="dxa"/>
            <w:noWrap w:val="0"/>
            <w:vAlign w:val="center"/>
          </w:tcPr>
          <w:p w14:paraId="20CD75E6">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8.3</w:t>
            </w:r>
          </w:p>
        </w:tc>
        <w:tc>
          <w:tcPr>
            <w:tcW w:w="2630" w:type="dxa"/>
            <w:vMerge w:val="continue"/>
            <w:noWrap w:val="0"/>
            <w:vAlign w:val="center"/>
          </w:tcPr>
          <w:p w14:paraId="18C456EC">
            <w:pPr>
              <w:wordWrap w:val="0"/>
              <w:jc w:val="center"/>
              <w:rPr>
                <w:rFonts w:hint="eastAsia" w:ascii="宋体" w:hAnsi="宋体" w:eastAsia="宋体" w:cs="宋体"/>
                <w:color w:val="auto"/>
                <w:szCs w:val="21"/>
                <w:highlight w:val="none"/>
              </w:rPr>
            </w:pPr>
          </w:p>
        </w:tc>
        <w:tc>
          <w:tcPr>
            <w:tcW w:w="6138" w:type="dxa"/>
            <w:noWrap w:val="0"/>
            <w:vAlign w:val="center"/>
          </w:tcPr>
          <w:p w14:paraId="67D55D7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投标联合体没有提交共同投标协议，共同投标协议未按招标文件规定的格式签署、提交，未明确联合体牵头人和各方拟承担的工作和责任的</w:t>
            </w:r>
          </w:p>
        </w:tc>
      </w:tr>
      <w:tr w14:paraId="5B3DC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134FA5F1">
            <w:pPr>
              <w:rPr>
                <w:rFonts w:hint="eastAsia" w:ascii="宋体" w:hAnsi="宋体" w:eastAsia="宋体" w:cs="宋体"/>
                <w:color w:val="auto"/>
                <w:szCs w:val="21"/>
                <w:highlight w:val="none"/>
              </w:rPr>
            </w:pPr>
          </w:p>
        </w:tc>
        <w:tc>
          <w:tcPr>
            <w:tcW w:w="677" w:type="dxa"/>
            <w:noWrap w:val="0"/>
            <w:vAlign w:val="center"/>
          </w:tcPr>
          <w:p w14:paraId="546785C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8.4</w:t>
            </w:r>
          </w:p>
        </w:tc>
        <w:tc>
          <w:tcPr>
            <w:tcW w:w="2630" w:type="dxa"/>
            <w:vMerge w:val="continue"/>
            <w:noWrap w:val="0"/>
            <w:vAlign w:val="center"/>
          </w:tcPr>
          <w:p w14:paraId="4028E198">
            <w:pPr>
              <w:wordWrap w:val="0"/>
              <w:jc w:val="center"/>
              <w:rPr>
                <w:rFonts w:hint="eastAsia" w:ascii="宋体" w:hAnsi="宋体" w:eastAsia="宋体" w:cs="宋体"/>
                <w:color w:val="auto"/>
                <w:szCs w:val="21"/>
                <w:highlight w:val="none"/>
              </w:rPr>
            </w:pPr>
          </w:p>
        </w:tc>
        <w:tc>
          <w:tcPr>
            <w:tcW w:w="6138" w:type="dxa"/>
            <w:noWrap w:val="0"/>
            <w:vAlign w:val="center"/>
          </w:tcPr>
          <w:p w14:paraId="16273254">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同一投标人提交两个以上不同的投标文件或者投标报价的，但招标文件要求提交备选投标的除外</w:t>
            </w:r>
          </w:p>
        </w:tc>
      </w:tr>
      <w:tr w14:paraId="599F48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77247612">
            <w:pPr>
              <w:rPr>
                <w:rFonts w:hint="eastAsia" w:ascii="宋体" w:hAnsi="宋体" w:eastAsia="宋体" w:cs="宋体"/>
                <w:color w:val="auto"/>
                <w:szCs w:val="21"/>
                <w:highlight w:val="none"/>
              </w:rPr>
            </w:pPr>
          </w:p>
        </w:tc>
        <w:tc>
          <w:tcPr>
            <w:tcW w:w="677" w:type="dxa"/>
            <w:noWrap w:val="0"/>
            <w:vAlign w:val="center"/>
          </w:tcPr>
          <w:p w14:paraId="2D455A51">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8.5</w:t>
            </w:r>
          </w:p>
        </w:tc>
        <w:tc>
          <w:tcPr>
            <w:tcW w:w="2630" w:type="dxa"/>
            <w:vMerge w:val="continue"/>
            <w:noWrap w:val="0"/>
            <w:vAlign w:val="center"/>
          </w:tcPr>
          <w:p w14:paraId="4E580AA7">
            <w:pPr>
              <w:wordWrap w:val="0"/>
              <w:jc w:val="center"/>
              <w:rPr>
                <w:rFonts w:hint="eastAsia" w:ascii="宋体" w:hAnsi="宋体" w:eastAsia="宋体" w:cs="宋体"/>
                <w:color w:val="auto"/>
                <w:szCs w:val="21"/>
                <w:highlight w:val="none"/>
              </w:rPr>
            </w:pPr>
          </w:p>
        </w:tc>
        <w:tc>
          <w:tcPr>
            <w:tcW w:w="6138" w:type="dxa"/>
            <w:noWrap w:val="0"/>
            <w:vAlign w:val="center"/>
          </w:tcPr>
          <w:p w14:paraId="481FF374">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投标人名称与营业执照、资质证书、安全生产许可证不一致，或前述证照无效的</w:t>
            </w:r>
          </w:p>
        </w:tc>
      </w:tr>
      <w:tr w14:paraId="4FBA0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jc w:val="center"/>
        </w:trPr>
        <w:tc>
          <w:tcPr>
            <w:tcW w:w="453" w:type="dxa"/>
            <w:vMerge w:val="continue"/>
            <w:noWrap w:val="0"/>
            <w:vAlign w:val="center"/>
          </w:tcPr>
          <w:p w14:paraId="347DE099">
            <w:pPr>
              <w:rPr>
                <w:rFonts w:hint="eastAsia" w:ascii="宋体" w:hAnsi="宋体" w:eastAsia="宋体" w:cs="宋体"/>
                <w:color w:val="auto"/>
                <w:szCs w:val="21"/>
                <w:highlight w:val="none"/>
              </w:rPr>
            </w:pPr>
          </w:p>
        </w:tc>
        <w:tc>
          <w:tcPr>
            <w:tcW w:w="677" w:type="dxa"/>
            <w:noWrap w:val="0"/>
            <w:vAlign w:val="center"/>
          </w:tcPr>
          <w:p w14:paraId="67FD0EE5">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8.6</w:t>
            </w:r>
          </w:p>
        </w:tc>
        <w:tc>
          <w:tcPr>
            <w:tcW w:w="2630" w:type="dxa"/>
            <w:vMerge w:val="continue"/>
            <w:noWrap w:val="0"/>
            <w:vAlign w:val="center"/>
          </w:tcPr>
          <w:p w14:paraId="4343432D">
            <w:pPr>
              <w:wordWrap w:val="0"/>
              <w:jc w:val="center"/>
              <w:rPr>
                <w:rFonts w:hint="eastAsia" w:ascii="宋体" w:hAnsi="宋体" w:eastAsia="宋体" w:cs="宋体"/>
                <w:color w:val="auto"/>
                <w:szCs w:val="21"/>
                <w:highlight w:val="none"/>
              </w:rPr>
            </w:pPr>
          </w:p>
        </w:tc>
        <w:tc>
          <w:tcPr>
            <w:tcW w:w="6138" w:type="dxa"/>
            <w:noWrap w:val="0"/>
            <w:vAlign w:val="center"/>
          </w:tcPr>
          <w:p w14:paraId="3CE71711">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项目经理（建造师）资格不符合招标文件规定的专业等级要求，或投标截止当日在其他项目担任项目经理（建造师）（以合同签订日期为准）的，同一工程相邻分段发包或分期施工的除外</w:t>
            </w:r>
          </w:p>
        </w:tc>
      </w:tr>
      <w:tr w14:paraId="21AF5E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1" w:hRule="atLeast"/>
          <w:jc w:val="center"/>
        </w:trPr>
        <w:tc>
          <w:tcPr>
            <w:tcW w:w="453" w:type="dxa"/>
            <w:vMerge w:val="continue"/>
            <w:noWrap w:val="0"/>
            <w:vAlign w:val="center"/>
          </w:tcPr>
          <w:p w14:paraId="2E31A031">
            <w:pPr>
              <w:rPr>
                <w:rFonts w:hint="eastAsia" w:ascii="宋体" w:hAnsi="宋体" w:eastAsia="宋体" w:cs="宋体"/>
                <w:color w:val="auto"/>
                <w:szCs w:val="21"/>
                <w:highlight w:val="none"/>
              </w:rPr>
            </w:pPr>
          </w:p>
        </w:tc>
        <w:tc>
          <w:tcPr>
            <w:tcW w:w="677" w:type="dxa"/>
            <w:noWrap w:val="0"/>
            <w:vAlign w:val="center"/>
          </w:tcPr>
          <w:p w14:paraId="283A4BE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8.7</w:t>
            </w:r>
          </w:p>
        </w:tc>
        <w:tc>
          <w:tcPr>
            <w:tcW w:w="2630" w:type="dxa"/>
            <w:vMerge w:val="continue"/>
            <w:noWrap w:val="0"/>
            <w:vAlign w:val="center"/>
          </w:tcPr>
          <w:p w14:paraId="6BEA0CB2">
            <w:pPr>
              <w:wordWrap w:val="0"/>
              <w:jc w:val="center"/>
              <w:rPr>
                <w:rFonts w:hint="eastAsia" w:ascii="宋体" w:hAnsi="宋体" w:eastAsia="宋体" w:cs="宋体"/>
                <w:color w:val="auto"/>
                <w:szCs w:val="21"/>
                <w:highlight w:val="none"/>
              </w:rPr>
            </w:pPr>
          </w:p>
        </w:tc>
        <w:tc>
          <w:tcPr>
            <w:tcW w:w="6138" w:type="dxa"/>
            <w:noWrap w:val="0"/>
            <w:vAlign w:val="center"/>
          </w:tcPr>
          <w:p w14:paraId="72446EC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项目经理（建造师）、技术负责人、安全负责人的社保非本单位缴纳（已退休的人员除外）的。社保在单位分支机构（非独立法人）缴纳的视同本单位缴纳</w:t>
            </w:r>
          </w:p>
        </w:tc>
      </w:tr>
      <w:tr w14:paraId="78ABC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jc w:val="center"/>
        </w:trPr>
        <w:tc>
          <w:tcPr>
            <w:tcW w:w="453" w:type="dxa"/>
            <w:vMerge w:val="continue"/>
            <w:noWrap w:val="0"/>
            <w:vAlign w:val="center"/>
          </w:tcPr>
          <w:p w14:paraId="68049C84">
            <w:pPr>
              <w:rPr>
                <w:rFonts w:hint="eastAsia" w:ascii="宋体" w:hAnsi="宋体" w:eastAsia="宋体" w:cs="宋体"/>
                <w:color w:val="auto"/>
                <w:szCs w:val="21"/>
                <w:highlight w:val="none"/>
              </w:rPr>
            </w:pPr>
          </w:p>
        </w:tc>
        <w:tc>
          <w:tcPr>
            <w:tcW w:w="677" w:type="dxa"/>
            <w:noWrap w:val="0"/>
            <w:vAlign w:val="center"/>
          </w:tcPr>
          <w:p w14:paraId="78C78CB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8.8</w:t>
            </w:r>
          </w:p>
        </w:tc>
        <w:tc>
          <w:tcPr>
            <w:tcW w:w="2630" w:type="dxa"/>
            <w:vMerge w:val="continue"/>
            <w:noWrap w:val="0"/>
            <w:vAlign w:val="center"/>
          </w:tcPr>
          <w:p w14:paraId="70227BDD">
            <w:pPr>
              <w:wordWrap w:val="0"/>
              <w:jc w:val="center"/>
              <w:rPr>
                <w:rFonts w:hint="eastAsia" w:ascii="宋体" w:hAnsi="宋体" w:eastAsia="宋体" w:cs="宋体"/>
                <w:color w:val="auto"/>
                <w:szCs w:val="21"/>
                <w:highlight w:val="none"/>
              </w:rPr>
            </w:pPr>
          </w:p>
        </w:tc>
        <w:tc>
          <w:tcPr>
            <w:tcW w:w="6138" w:type="dxa"/>
            <w:noWrap w:val="0"/>
            <w:vAlign w:val="center"/>
          </w:tcPr>
          <w:p w14:paraId="2F84FF32">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采用资格预审的项目，投标文件与资格预审申请文件的项目经理（建造师）不一致（离职、死亡的除外）且未在投标截止时间前经招标人同意的</w:t>
            </w:r>
          </w:p>
        </w:tc>
      </w:tr>
      <w:tr w14:paraId="1218E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5EDF8711">
            <w:pPr>
              <w:rPr>
                <w:rFonts w:hint="eastAsia" w:ascii="宋体" w:hAnsi="宋体" w:eastAsia="宋体" w:cs="宋体"/>
                <w:color w:val="auto"/>
                <w:szCs w:val="21"/>
                <w:highlight w:val="none"/>
              </w:rPr>
            </w:pPr>
          </w:p>
        </w:tc>
        <w:tc>
          <w:tcPr>
            <w:tcW w:w="677" w:type="dxa"/>
            <w:noWrap w:val="0"/>
            <w:vAlign w:val="center"/>
          </w:tcPr>
          <w:p w14:paraId="434C368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8.9</w:t>
            </w:r>
          </w:p>
        </w:tc>
        <w:tc>
          <w:tcPr>
            <w:tcW w:w="2630" w:type="dxa"/>
            <w:vMerge w:val="continue"/>
            <w:noWrap w:val="0"/>
            <w:vAlign w:val="center"/>
          </w:tcPr>
          <w:p w14:paraId="58CC4751">
            <w:pPr>
              <w:wordWrap w:val="0"/>
              <w:jc w:val="center"/>
              <w:rPr>
                <w:rFonts w:hint="eastAsia" w:ascii="宋体" w:hAnsi="宋体" w:eastAsia="宋体" w:cs="宋体"/>
                <w:color w:val="auto"/>
                <w:szCs w:val="21"/>
                <w:highlight w:val="none"/>
              </w:rPr>
            </w:pPr>
          </w:p>
        </w:tc>
        <w:tc>
          <w:tcPr>
            <w:tcW w:w="6138" w:type="dxa"/>
            <w:noWrap w:val="0"/>
            <w:vAlign w:val="center"/>
          </w:tcPr>
          <w:p w14:paraId="3A46BB1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企业、项目经理（建造师）类似项目业绩不符合招标文件投标资格要求的</w:t>
            </w:r>
          </w:p>
        </w:tc>
      </w:tr>
      <w:tr w14:paraId="168C4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4C0BD5D1">
            <w:pPr>
              <w:rPr>
                <w:rFonts w:hint="eastAsia" w:ascii="宋体" w:hAnsi="宋体" w:eastAsia="宋体" w:cs="宋体"/>
                <w:color w:val="auto"/>
                <w:szCs w:val="21"/>
                <w:highlight w:val="none"/>
              </w:rPr>
            </w:pPr>
          </w:p>
        </w:tc>
        <w:tc>
          <w:tcPr>
            <w:tcW w:w="677" w:type="dxa"/>
            <w:noWrap w:val="0"/>
            <w:vAlign w:val="center"/>
          </w:tcPr>
          <w:p w14:paraId="7F583F1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8.10</w:t>
            </w:r>
          </w:p>
        </w:tc>
        <w:tc>
          <w:tcPr>
            <w:tcW w:w="2630" w:type="dxa"/>
            <w:vMerge w:val="continue"/>
            <w:noWrap w:val="0"/>
            <w:vAlign w:val="center"/>
          </w:tcPr>
          <w:p w14:paraId="18D2BE14">
            <w:pPr>
              <w:wordWrap w:val="0"/>
              <w:jc w:val="center"/>
              <w:rPr>
                <w:rFonts w:hint="eastAsia" w:ascii="宋体" w:hAnsi="宋体" w:eastAsia="宋体" w:cs="宋体"/>
                <w:color w:val="auto"/>
                <w:szCs w:val="21"/>
                <w:highlight w:val="none"/>
              </w:rPr>
            </w:pPr>
          </w:p>
        </w:tc>
        <w:tc>
          <w:tcPr>
            <w:tcW w:w="6138" w:type="dxa"/>
            <w:noWrap w:val="0"/>
            <w:vAlign w:val="center"/>
          </w:tcPr>
          <w:p w14:paraId="15EE7BE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投标人为招标人不具有独立法人资格的附属机构（单位）的</w:t>
            </w:r>
          </w:p>
        </w:tc>
      </w:tr>
      <w:tr w14:paraId="6C6B7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69025B66">
            <w:pPr>
              <w:rPr>
                <w:rFonts w:hint="eastAsia" w:ascii="宋体" w:hAnsi="宋体" w:eastAsia="宋体" w:cs="宋体"/>
                <w:color w:val="auto"/>
                <w:szCs w:val="21"/>
                <w:highlight w:val="none"/>
              </w:rPr>
            </w:pPr>
          </w:p>
        </w:tc>
        <w:tc>
          <w:tcPr>
            <w:tcW w:w="677" w:type="dxa"/>
            <w:noWrap w:val="0"/>
            <w:vAlign w:val="center"/>
          </w:tcPr>
          <w:p w14:paraId="32E53B2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8.11</w:t>
            </w:r>
          </w:p>
        </w:tc>
        <w:tc>
          <w:tcPr>
            <w:tcW w:w="2630" w:type="dxa"/>
            <w:vMerge w:val="continue"/>
            <w:noWrap w:val="0"/>
            <w:vAlign w:val="center"/>
          </w:tcPr>
          <w:p w14:paraId="06528075">
            <w:pPr>
              <w:wordWrap w:val="0"/>
              <w:jc w:val="center"/>
              <w:rPr>
                <w:rFonts w:hint="eastAsia" w:ascii="宋体" w:hAnsi="宋体" w:eastAsia="宋体" w:cs="宋体"/>
                <w:color w:val="auto"/>
                <w:szCs w:val="21"/>
                <w:highlight w:val="none"/>
              </w:rPr>
            </w:pPr>
          </w:p>
        </w:tc>
        <w:tc>
          <w:tcPr>
            <w:tcW w:w="6138" w:type="dxa"/>
            <w:noWrap w:val="0"/>
            <w:vAlign w:val="center"/>
          </w:tcPr>
          <w:p w14:paraId="49FDF089">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投标人与招标人存在利害关系且可能影响招标公正性的</w:t>
            </w:r>
          </w:p>
        </w:tc>
      </w:tr>
      <w:tr w14:paraId="7D940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27B407FE">
            <w:pPr>
              <w:rPr>
                <w:rFonts w:hint="eastAsia" w:ascii="宋体" w:hAnsi="宋体" w:eastAsia="宋体" w:cs="宋体"/>
                <w:color w:val="auto"/>
                <w:szCs w:val="21"/>
                <w:highlight w:val="none"/>
              </w:rPr>
            </w:pPr>
          </w:p>
        </w:tc>
        <w:tc>
          <w:tcPr>
            <w:tcW w:w="677" w:type="dxa"/>
            <w:noWrap w:val="0"/>
            <w:vAlign w:val="center"/>
          </w:tcPr>
          <w:p w14:paraId="769D98FE">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8.12</w:t>
            </w:r>
          </w:p>
        </w:tc>
        <w:tc>
          <w:tcPr>
            <w:tcW w:w="2630" w:type="dxa"/>
            <w:vMerge w:val="continue"/>
            <w:noWrap w:val="0"/>
            <w:vAlign w:val="center"/>
          </w:tcPr>
          <w:p w14:paraId="3B5223AA">
            <w:pPr>
              <w:wordWrap w:val="0"/>
              <w:jc w:val="center"/>
              <w:rPr>
                <w:rFonts w:hint="eastAsia" w:ascii="宋体" w:hAnsi="宋体" w:eastAsia="宋体" w:cs="宋体"/>
                <w:color w:val="auto"/>
                <w:szCs w:val="21"/>
                <w:highlight w:val="none"/>
              </w:rPr>
            </w:pPr>
          </w:p>
        </w:tc>
        <w:tc>
          <w:tcPr>
            <w:tcW w:w="6138" w:type="dxa"/>
            <w:noWrap w:val="0"/>
            <w:vAlign w:val="center"/>
          </w:tcPr>
          <w:p w14:paraId="14A0E4C7">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投标人与本招标项目的其他投标人为同一单位负责人的</w:t>
            </w:r>
          </w:p>
        </w:tc>
      </w:tr>
      <w:tr w14:paraId="46918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396206A0">
            <w:pPr>
              <w:rPr>
                <w:rFonts w:hint="eastAsia" w:ascii="宋体" w:hAnsi="宋体" w:eastAsia="宋体" w:cs="宋体"/>
                <w:color w:val="auto"/>
                <w:szCs w:val="21"/>
                <w:highlight w:val="none"/>
              </w:rPr>
            </w:pPr>
          </w:p>
        </w:tc>
        <w:tc>
          <w:tcPr>
            <w:tcW w:w="677" w:type="dxa"/>
            <w:noWrap w:val="0"/>
            <w:vAlign w:val="center"/>
          </w:tcPr>
          <w:p w14:paraId="486052F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8.13</w:t>
            </w:r>
          </w:p>
        </w:tc>
        <w:tc>
          <w:tcPr>
            <w:tcW w:w="2630" w:type="dxa"/>
            <w:vMerge w:val="continue"/>
            <w:noWrap w:val="0"/>
            <w:vAlign w:val="center"/>
          </w:tcPr>
          <w:p w14:paraId="4EAAD9F3">
            <w:pPr>
              <w:wordWrap w:val="0"/>
              <w:jc w:val="center"/>
              <w:rPr>
                <w:rFonts w:hint="eastAsia" w:ascii="宋体" w:hAnsi="宋体" w:eastAsia="宋体" w:cs="宋体"/>
                <w:color w:val="auto"/>
                <w:szCs w:val="21"/>
                <w:highlight w:val="none"/>
              </w:rPr>
            </w:pPr>
          </w:p>
        </w:tc>
        <w:tc>
          <w:tcPr>
            <w:tcW w:w="6138" w:type="dxa"/>
            <w:noWrap w:val="0"/>
            <w:vAlign w:val="center"/>
          </w:tcPr>
          <w:p w14:paraId="3C611B7D">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投标人与本招标项目的其他投标人存在控股、管理关系的</w:t>
            </w:r>
          </w:p>
        </w:tc>
      </w:tr>
      <w:tr w14:paraId="5DC28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15F38703">
            <w:pPr>
              <w:rPr>
                <w:rFonts w:hint="eastAsia" w:ascii="宋体" w:hAnsi="宋体" w:eastAsia="宋体" w:cs="宋体"/>
                <w:color w:val="auto"/>
                <w:szCs w:val="21"/>
                <w:highlight w:val="none"/>
              </w:rPr>
            </w:pPr>
          </w:p>
        </w:tc>
        <w:tc>
          <w:tcPr>
            <w:tcW w:w="677" w:type="dxa"/>
            <w:noWrap w:val="0"/>
            <w:vAlign w:val="center"/>
          </w:tcPr>
          <w:p w14:paraId="7DEB0F12">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8.14</w:t>
            </w:r>
          </w:p>
        </w:tc>
        <w:tc>
          <w:tcPr>
            <w:tcW w:w="2630" w:type="dxa"/>
            <w:vMerge w:val="continue"/>
            <w:noWrap w:val="0"/>
            <w:vAlign w:val="center"/>
          </w:tcPr>
          <w:p w14:paraId="39000966">
            <w:pPr>
              <w:wordWrap w:val="0"/>
              <w:jc w:val="center"/>
              <w:rPr>
                <w:rFonts w:hint="eastAsia" w:ascii="宋体" w:hAnsi="宋体" w:eastAsia="宋体" w:cs="宋体"/>
                <w:color w:val="auto"/>
                <w:szCs w:val="21"/>
                <w:highlight w:val="none"/>
              </w:rPr>
            </w:pPr>
          </w:p>
        </w:tc>
        <w:tc>
          <w:tcPr>
            <w:tcW w:w="6138" w:type="dxa"/>
            <w:noWrap w:val="0"/>
            <w:vAlign w:val="center"/>
          </w:tcPr>
          <w:p w14:paraId="5F05060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投标人为本招标项目的代建单位、招标代理机构或承担设计、造价咨询、监理业务的单位</w:t>
            </w:r>
          </w:p>
        </w:tc>
      </w:tr>
      <w:tr w14:paraId="76EE2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3CA3E9ED">
            <w:pPr>
              <w:rPr>
                <w:rFonts w:hint="eastAsia" w:ascii="宋体" w:hAnsi="宋体" w:eastAsia="宋体" w:cs="宋体"/>
                <w:color w:val="auto"/>
                <w:szCs w:val="21"/>
                <w:highlight w:val="none"/>
              </w:rPr>
            </w:pPr>
          </w:p>
        </w:tc>
        <w:tc>
          <w:tcPr>
            <w:tcW w:w="677" w:type="dxa"/>
            <w:noWrap w:val="0"/>
            <w:vAlign w:val="center"/>
          </w:tcPr>
          <w:p w14:paraId="7FBA4D26">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8.15</w:t>
            </w:r>
          </w:p>
        </w:tc>
        <w:tc>
          <w:tcPr>
            <w:tcW w:w="2630" w:type="dxa"/>
            <w:vMerge w:val="restart"/>
            <w:noWrap w:val="0"/>
            <w:vAlign w:val="center"/>
          </w:tcPr>
          <w:p w14:paraId="0FA2C33A">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对招标文件的响应、重大偏差及违反法律、法规、规章、规范性文件规定的情况</w:t>
            </w:r>
          </w:p>
        </w:tc>
        <w:tc>
          <w:tcPr>
            <w:tcW w:w="6138" w:type="dxa"/>
            <w:noWrap w:val="0"/>
            <w:vAlign w:val="center"/>
          </w:tcPr>
          <w:p w14:paraId="42F2F85C">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投标人与本招标项目的代建单位、招标代理机构、设计单位、造价咨询机构、监理单位的法定代表人为同一人的</w:t>
            </w:r>
          </w:p>
        </w:tc>
      </w:tr>
      <w:tr w14:paraId="3B703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620F1DD7">
            <w:pPr>
              <w:rPr>
                <w:rFonts w:hint="eastAsia" w:ascii="宋体" w:hAnsi="宋体" w:eastAsia="宋体" w:cs="宋体"/>
                <w:color w:val="auto"/>
                <w:szCs w:val="21"/>
                <w:highlight w:val="none"/>
              </w:rPr>
            </w:pPr>
          </w:p>
        </w:tc>
        <w:tc>
          <w:tcPr>
            <w:tcW w:w="677" w:type="dxa"/>
            <w:noWrap w:val="0"/>
            <w:vAlign w:val="center"/>
          </w:tcPr>
          <w:p w14:paraId="2E1F2EB9">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8.16</w:t>
            </w:r>
          </w:p>
        </w:tc>
        <w:tc>
          <w:tcPr>
            <w:tcW w:w="2630" w:type="dxa"/>
            <w:vMerge w:val="continue"/>
            <w:noWrap w:val="0"/>
            <w:vAlign w:val="center"/>
          </w:tcPr>
          <w:p w14:paraId="152E6D47">
            <w:pPr>
              <w:wordWrap w:val="0"/>
              <w:jc w:val="center"/>
              <w:rPr>
                <w:rFonts w:hint="eastAsia" w:ascii="宋体" w:hAnsi="宋体" w:eastAsia="宋体" w:cs="宋体"/>
                <w:color w:val="auto"/>
                <w:szCs w:val="21"/>
                <w:highlight w:val="none"/>
              </w:rPr>
            </w:pPr>
          </w:p>
        </w:tc>
        <w:tc>
          <w:tcPr>
            <w:tcW w:w="6138" w:type="dxa"/>
            <w:noWrap w:val="0"/>
            <w:vAlign w:val="center"/>
          </w:tcPr>
          <w:p w14:paraId="5C5A4339">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投标人与本招标项目的代建单位、招标代理机构、造价咨询机构、监理单位存在管理关系、相互控股或参股关系的</w:t>
            </w:r>
          </w:p>
        </w:tc>
      </w:tr>
      <w:tr w14:paraId="2606E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7623CAC3">
            <w:pPr>
              <w:rPr>
                <w:rFonts w:hint="eastAsia" w:ascii="宋体" w:hAnsi="宋体" w:eastAsia="宋体" w:cs="宋体"/>
                <w:color w:val="auto"/>
                <w:szCs w:val="21"/>
                <w:highlight w:val="none"/>
              </w:rPr>
            </w:pPr>
          </w:p>
        </w:tc>
        <w:tc>
          <w:tcPr>
            <w:tcW w:w="677" w:type="dxa"/>
            <w:noWrap w:val="0"/>
            <w:vAlign w:val="center"/>
          </w:tcPr>
          <w:p w14:paraId="17C44AE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8.17</w:t>
            </w:r>
          </w:p>
        </w:tc>
        <w:tc>
          <w:tcPr>
            <w:tcW w:w="2630" w:type="dxa"/>
            <w:vMerge w:val="continue"/>
            <w:noWrap w:val="0"/>
            <w:vAlign w:val="center"/>
          </w:tcPr>
          <w:p w14:paraId="7FF88E4C">
            <w:pPr>
              <w:wordWrap w:val="0"/>
              <w:jc w:val="center"/>
              <w:rPr>
                <w:rFonts w:hint="eastAsia" w:ascii="宋体" w:hAnsi="宋体" w:eastAsia="宋体" w:cs="宋体"/>
                <w:color w:val="auto"/>
                <w:szCs w:val="21"/>
                <w:highlight w:val="none"/>
              </w:rPr>
            </w:pPr>
          </w:p>
        </w:tc>
        <w:tc>
          <w:tcPr>
            <w:tcW w:w="6138" w:type="dxa"/>
            <w:noWrap w:val="0"/>
            <w:vAlign w:val="center"/>
          </w:tcPr>
          <w:p w14:paraId="0EBF5D62">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投标人被依法暂停或取消项目所在区域或行业投标资格的</w:t>
            </w:r>
          </w:p>
        </w:tc>
      </w:tr>
      <w:tr w14:paraId="17CC5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5D8D6B70">
            <w:pPr>
              <w:rPr>
                <w:rFonts w:hint="eastAsia" w:ascii="宋体" w:hAnsi="宋体" w:eastAsia="宋体" w:cs="宋体"/>
                <w:color w:val="auto"/>
                <w:szCs w:val="21"/>
                <w:highlight w:val="none"/>
              </w:rPr>
            </w:pPr>
          </w:p>
        </w:tc>
        <w:tc>
          <w:tcPr>
            <w:tcW w:w="677" w:type="dxa"/>
            <w:noWrap w:val="0"/>
            <w:vAlign w:val="center"/>
          </w:tcPr>
          <w:p w14:paraId="517376D4">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8.18</w:t>
            </w:r>
          </w:p>
        </w:tc>
        <w:tc>
          <w:tcPr>
            <w:tcW w:w="2630" w:type="dxa"/>
            <w:vMerge w:val="continue"/>
            <w:noWrap w:val="0"/>
            <w:vAlign w:val="center"/>
          </w:tcPr>
          <w:p w14:paraId="261158AC">
            <w:pPr>
              <w:wordWrap w:val="0"/>
              <w:jc w:val="center"/>
              <w:rPr>
                <w:rFonts w:hint="eastAsia" w:ascii="宋体" w:hAnsi="宋体" w:eastAsia="宋体" w:cs="宋体"/>
                <w:color w:val="auto"/>
                <w:szCs w:val="21"/>
                <w:highlight w:val="none"/>
              </w:rPr>
            </w:pPr>
          </w:p>
        </w:tc>
        <w:tc>
          <w:tcPr>
            <w:tcW w:w="6138" w:type="dxa"/>
            <w:noWrap w:val="0"/>
            <w:vAlign w:val="center"/>
          </w:tcPr>
          <w:p w14:paraId="07256335">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投标人被责令停业，暂扣或吊销执照，或吊销资质证书的</w:t>
            </w:r>
          </w:p>
        </w:tc>
      </w:tr>
      <w:tr w14:paraId="6CDC7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jc w:val="center"/>
        </w:trPr>
        <w:tc>
          <w:tcPr>
            <w:tcW w:w="453" w:type="dxa"/>
            <w:vMerge w:val="continue"/>
            <w:noWrap w:val="0"/>
            <w:vAlign w:val="center"/>
          </w:tcPr>
          <w:p w14:paraId="11848D7E">
            <w:pPr>
              <w:rPr>
                <w:rFonts w:hint="eastAsia" w:ascii="宋体" w:hAnsi="宋体" w:eastAsia="宋体" w:cs="宋体"/>
                <w:color w:val="auto"/>
                <w:szCs w:val="21"/>
                <w:highlight w:val="none"/>
              </w:rPr>
            </w:pPr>
          </w:p>
        </w:tc>
        <w:tc>
          <w:tcPr>
            <w:tcW w:w="677" w:type="dxa"/>
            <w:noWrap w:val="0"/>
            <w:vAlign w:val="center"/>
          </w:tcPr>
          <w:p w14:paraId="75EA0CAB">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8.19</w:t>
            </w:r>
          </w:p>
        </w:tc>
        <w:tc>
          <w:tcPr>
            <w:tcW w:w="2630" w:type="dxa"/>
            <w:vMerge w:val="continue"/>
            <w:noWrap w:val="0"/>
            <w:vAlign w:val="center"/>
          </w:tcPr>
          <w:p w14:paraId="12AF0C4F">
            <w:pPr>
              <w:wordWrap w:val="0"/>
              <w:jc w:val="center"/>
              <w:rPr>
                <w:rFonts w:hint="eastAsia" w:ascii="宋体" w:hAnsi="宋体" w:eastAsia="宋体" w:cs="宋体"/>
                <w:color w:val="auto"/>
                <w:szCs w:val="21"/>
                <w:highlight w:val="none"/>
              </w:rPr>
            </w:pPr>
          </w:p>
        </w:tc>
        <w:tc>
          <w:tcPr>
            <w:tcW w:w="6138" w:type="dxa"/>
            <w:noWrap w:val="0"/>
            <w:vAlign w:val="center"/>
          </w:tcPr>
          <w:p w14:paraId="48C90D40">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投标人进入清算程序，或被宣告破产，或其他丧失履约能力情形的</w:t>
            </w:r>
          </w:p>
        </w:tc>
      </w:tr>
      <w:tr w14:paraId="1E685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1B82456F">
            <w:pPr>
              <w:rPr>
                <w:rFonts w:hint="eastAsia" w:ascii="宋体" w:hAnsi="宋体" w:eastAsia="宋体" w:cs="宋体"/>
                <w:color w:val="auto"/>
                <w:szCs w:val="21"/>
                <w:highlight w:val="none"/>
              </w:rPr>
            </w:pPr>
          </w:p>
        </w:tc>
        <w:tc>
          <w:tcPr>
            <w:tcW w:w="677" w:type="dxa"/>
            <w:noWrap w:val="0"/>
            <w:vAlign w:val="center"/>
          </w:tcPr>
          <w:p w14:paraId="682905F7">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8.20</w:t>
            </w:r>
          </w:p>
        </w:tc>
        <w:tc>
          <w:tcPr>
            <w:tcW w:w="2630" w:type="dxa"/>
            <w:vMerge w:val="continue"/>
            <w:noWrap w:val="0"/>
            <w:vAlign w:val="center"/>
          </w:tcPr>
          <w:p w14:paraId="69F27B1B">
            <w:pPr>
              <w:wordWrap w:val="0"/>
              <w:jc w:val="center"/>
              <w:rPr>
                <w:rFonts w:hint="eastAsia" w:ascii="宋体" w:hAnsi="宋体" w:eastAsia="宋体" w:cs="宋体"/>
                <w:color w:val="auto"/>
                <w:szCs w:val="21"/>
                <w:highlight w:val="none"/>
              </w:rPr>
            </w:pPr>
          </w:p>
        </w:tc>
        <w:tc>
          <w:tcPr>
            <w:tcW w:w="6138" w:type="dxa"/>
            <w:noWrap w:val="0"/>
            <w:vAlign w:val="center"/>
          </w:tcPr>
          <w:p w14:paraId="6720696E">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投标人或拟派项目经理被列入建筑市场主体“黑名单”且在管理期限内的</w:t>
            </w:r>
          </w:p>
        </w:tc>
      </w:tr>
      <w:tr w14:paraId="069EE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544D3430">
            <w:pPr>
              <w:rPr>
                <w:rFonts w:hint="eastAsia" w:ascii="宋体" w:hAnsi="宋体" w:eastAsia="宋体" w:cs="宋体"/>
                <w:color w:val="auto"/>
                <w:szCs w:val="21"/>
                <w:highlight w:val="none"/>
              </w:rPr>
            </w:pPr>
          </w:p>
        </w:tc>
        <w:tc>
          <w:tcPr>
            <w:tcW w:w="677" w:type="dxa"/>
            <w:noWrap w:val="0"/>
            <w:vAlign w:val="center"/>
          </w:tcPr>
          <w:p w14:paraId="3DED520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8.21</w:t>
            </w:r>
          </w:p>
        </w:tc>
        <w:tc>
          <w:tcPr>
            <w:tcW w:w="2630" w:type="dxa"/>
            <w:vMerge w:val="continue"/>
            <w:noWrap w:val="0"/>
            <w:vAlign w:val="center"/>
          </w:tcPr>
          <w:p w14:paraId="118F679D">
            <w:pPr>
              <w:wordWrap w:val="0"/>
              <w:jc w:val="center"/>
              <w:rPr>
                <w:rFonts w:hint="eastAsia" w:ascii="宋体" w:hAnsi="宋体" w:eastAsia="宋体" w:cs="宋体"/>
                <w:color w:val="auto"/>
                <w:szCs w:val="21"/>
                <w:highlight w:val="none"/>
              </w:rPr>
            </w:pPr>
          </w:p>
        </w:tc>
        <w:tc>
          <w:tcPr>
            <w:tcW w:w="6138" w:type="dxa"/>
            <w:noWrap w:val="0"/>
            <w:vAlign w:val="center"/>
          </w:tcPr>
          <w:p w14:paraId="54D67AAF">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投标人被市场监管机关在国家企业信用信息公示系统中列入严重违法失信企业名单且在管理期限内的</w:t>
            </w:r>
          </w:p>
        </w:tc>
      </w:tr>
      <w:tr w14:paraId="03693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jc w:val="center"/>
        </w:trPr>
        <w:tc>
          <w:tcPr>
            <w:tcW w:w="453" w:type="dxa"/>
            <w:vMerge w:val="continue"/>
            <w:noWrap w:val="0"/>
            <w:vAlign w:val="center"/>
          </w:tcPr>
          <w:p w14:paraId="4DA736C7">
            <w:pPr>
              <w:rPr>
                <w:rFonts w:hint="eastAsia" w:ascii="宋体" w:hAnsi="宋体" w:eastAsia="宋体" w:cs="宋体"/>
                <w:color w:val="auto"/>
                <w:szCs w:val="21"/>
                <w:highlight w:val="none"/>
              </w:rPr>
            </w:pPr>
          </w:p>
        </w:tc>
        <w:tc>
          <w:tcPr>
            <w:tcW w:w="677" w:type="dxa"/>
            <w:noWrap w:val="0"/>
            <w:vAlign w:val="center"/>
          </w:tcPr>
          <w:p w14:paraId="71A8C4B1">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8.22</w:t>
            </w:r>
          </w:p>
        </w:tc>
        <w:tc>
          <w:tcPr>
            <w:tcW w:w="2630" w:type="dxa"/>
            <w:vMerge w:val="continue"/>
            <w:noWrap w:val="0"/>
            <w:vAlign w:val="center"/>
          </w:tcPr>
          <w:p w14:paraId="29AB9AB4">
            <w:pPr>
              <w:wordWrap w:val="0"/>
              <w:jc w:val="center"/>
              <w:rPr>
                <w:rFonts w:hint="eastAsia" w:ascii="宋体" w:hAnsi="宋体" w:eastAsia="宋体" w:cs="宋体"/>
                <w:color w:val="auto"/>
                <w:szCs w:val="21"/>
                <w:highlight w:val="none"/>
              </w:rPr>
            </w:pPr>
          </w:p>
        </w:tc>
        <w:tc>
          <w:tcPr>
            <w:tcW w:w="6138" w:type="dxa"/>
            <w:noWrap w:val="0"/>
            <w:vAlign w:val="center"/>
          </w:tcPr>
          <w:p w14:paraId="2FEFA28E">
            <w:pPr>
              <w:wordWrap w:val="0"/>
              <w:rPr>
                <w:rFonts w:hint="eastAsia"/>
                <w:color w:val="auto"/>
                <w:highlight w:val="none"/>
              </w:rPr>
            </w:pPr>
            <w:r>
              <w:rPr>
                <w:rFonts w:hint="eastAsia" w:ascii="宋体" w:hAnsi="宋体" w:eastAsia="宋体" w:cs="宋体"/>
                <w:color w:val="auto"/>
                <w:szCs w:val="21"/>
                <w:highlight w:val="none"/>
              </w:rPr>
              <w:t>投标人或其法定代表人、拟委任的项目经理在“信用中国”网站重点领域严重失信主体名单中被限制或者禁止参与招标投标活动的“严重失信主体”且在管理期限内的</w:t>
            </w:r>
          </w:p>
        </w:tc>
      </w:tr>
      <w:tr w14:paraId="180B17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14957DE3">
            <w:pPr>
              <w:rPr>
                <w:rFonts w:hint="eastAsia" w:ascii="宋体" w:hAnsi="宋体" w:eastAsia="宋体" w:cs="宋体"/>
                <w:color w:val="auto"/>
                <w:szCs w:val="21"/>
                <w:highlight w:val="none"/>
              </w:rPr>
            </w:pPr>
          </w:p>
        </w:tc>
        <w:tc>
          <w:tcPr>
            <w:tcW w:w="677" w:type="dxa"/>
            <w:noWrap w:val="0"/>
            <w:vAlign w:val="center"/>
          </w:tcPr>
          <w:p w14:paraId="45510EF0">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8.23</w:t>
            </w:r>
          </w:p>
        </w:tc>
        <w:tc>
          <w:tcPr>
            <w:tcW w:w="2630" w:type="dxa"/>
            <w:vMerge w:val="continue"/>
            <w:noWrap w:val="0"/>
            <w:vAlign w:val="center"/>
          </w:tcPr>
          <w:p w14:paraId="41A6CCB1">
            <w:pPr>
              <w:wordWrap w:val="0"/>
              <w:jc w:val="center"/>
              <w:rPr>
                <w:rFonts w:hint="eastAsia" w:ascii="宋体" w:hAnsi="宋体" w:eastAsia="宋体" w:cs="宋体"/>
                <w:color w:val="auto"/>
                <w:szCs w:val="21"/>
                <w:highlight w:val="none"/>
              </w:rPr>
            </w:pPr>
          </w:p>
        </w:tc>
        <w:tc>
          <w:tcPr>
            <w:tcW w:w="6138" w:type="dxa"/>
            <w:noWrap w:val="0"/>
            <w:vAlign w:val="center"/>
          </w:tcPr>
          <w:p w14:paraId="2F3892A0">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投标人拖欠工人工资，情节严重被有关行政主管部门向社会公布且在公布的期限内的</w:t>
            </w:r>
          </w:p>
        </w:tc>
      </w:tr>
      <w:tr w14:paraId="0F680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50156183">
            <w:pPr>
              <w:rPr>
                <w:rFonts w:hint="eastAsia" w:ascii="宋体" w:hAnsi="宋体" w:eastAsia="宋体" w:cs="宋体"/>
                <w:color w:val="auto"/>
                <w:szCs w:val="21"/>
                <w:highlight w:val="none"/>
              </w:rPr>
            </w:pPr>
          </w:p>
        </w:tc>
        <w:tc>
          <w:tcPr>
            <w:tcW w:w="677" w:type="dxa"/>
            <w:noWrap w:val="0"/>
            <w:vAlign w:val="center"/>
          </w:tcPr>
          <w:p w14:paraId="0F8A5D2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8.24</w:t>
            </w:r>
          </w:p>
        </w:tc>
        <w:tc>
          <w:tcPr>
            <w:tcW w:w="2630" w:type="dxa"/>
            <w:vMerge w:val="continue"/>
            <w:noWrap w:val="0"/>
            <w:vAlign w:val="center"/>
          </w:tcPr>
          <w:p w14:paraId="567264C3">
            <w:pPr>
              <w:wordWrap w:val="0"/>
              <w:jc w:val="center"/>
              <w:rPr>
                <w:rFonts w:hint="eastAsia" w:ascii="宋体" w:hAnsi="宋体" w:eastAsia="宋体" w:cs="宋体"/>
                <w:color w:val="auto"/>
                <w:szCs w:val="21"/>
                <w:highlight w:val="none"/>
              </w:rPr>
            </w:pPr>
          </w:p>
        </w:tc>
        <w:tc>
          <w:tcPr>
            <w:tcW w:w="6138" w:type="dxa"/>
            <w:noWrap w:val="0"/>
            <w:vAlign w:val="center"/>
          </w:tcPr>
          <w:p w14:paraId="3800215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投标人违反法律、法规、规章或无正当理由放弃中标资格受到行业主管部门处罚且在处罚期内的</w:t>
            </w:r>
          </w:p>
        </w:tc>
      </w:tr>
      <w:tr w14:paraId="60892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jc w:val="center"/>
        </w:trPr>
        <w:tc>
          <w:tcPr>
            <w:tcW w:w="453" w:type="dxa"/>
            <w:vMerge w:val="continue"/>
            <w:noWrap w:val="0"/>
            <w:vAlign w:val="center"/>
          </w:tcPr>
          <w:p w14:paraId="42B9651A">
            <w:pPr>
              <w:rPr>
                <w:rFonts w:hint="eastAsia" w:ascii="宋体" w:hAnsi="宋体" w:eastAsia="宋体" w:cs="宋体"/>
                <w:color w:val="auto"/>
                <w:szCs w:val="21"/>
                <w:highlight w:val="none"/>
              </w:rPr>
            </w:pPr>
          </w:p>
        </w:tc>
        <w:tc>
          <w:tcPr>
            <w:tcW w:w="677" w:type="dxa"/>
            <w:noWrap w:val="0"/>
            <w:vAlign w:val="center"/>
          </w:tcPr>
          <w:p w14:paraId="4703F552">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8.25</w:t>
            </w:r>
          </w:p>
        </w:tc>
        <w:tc>
          <w:tcPr>
            <w:tcW w:w="2630" w:type="dxa"/>
            <w:vMerge w:val="continue"/>
            <w:noWrap w:val="0"/>
            <w:vAlign w:val="center"/>
          </w:tcPr>
          <w:p w14:paraId="555A5899">
            <w:pPr>
              <w:wordWrap w:val="0"/>
              <w:jc w:val="center"/>
              <w:rPr>
                <w:rFonts w:hint="eastAsia" w:ascii="宋体" w:hAnsi="宋体" w:eastAsia="宋体" w:cs="宋体"/>
                <w:color w:val="auto"/>
                <w:szCs w:val="21"/>
                <w:highlight w:val="none"/>
              </w:rPr>
            </w:pPr>
          </w:p>
        </w:tc>
        <w:tc>
          <w:tcPr>
            <w:tcW w:w="6138" w:type="dxa"/>
            <w:noWrap w:val="0"/>
            <w:vAlign w:val="center"/>
          </w:tcPr>
          <w:p w14:paraId="18BAED0A">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投标报价低于成本且不能提供相关证明材料，或者提交的相关材料无法证明投标人可以按照其报价以及招标文件规定的质量标准和履行期限完成招标项目的</w:t>
            </w:r>
          </w:p>
        </w:tc>
      </w:tr>
      <w:tr w14:paraId="40850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2C32905B">
            <w:pPr>
              <w:rPr>
                <w:rFonts w:hint="eastAsia" w:ascii="宋体" w:hAnsi="宋体" w:eastAsia="宋体" w:cs="宋体"/>
                <w:color w:val="auto"/>
                <w:szCs w:val="21"/>
                <w:highlight w:val="none"/>
              </w:rPr>
            </w:pPr>
          </w:p>
        </w:tc>
        <w:tc>
          <w:tcPr>
            <w:tcW w:w="677" w:type="dxa"/>
            <w:noWrap w:val="0"/>
            <w:vAlign w:val="center"/>
          </w:tcPr>
          <w:p w14:paraId="422BCA3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8.26</w:t>
            </w:r>
          </w:p>
        </w:tc>
        <w:tc>
          <w:tcPr>
            <w:tcW w:w="2630" w:type="dxa"/>
            <w:vMerge w:val="continue"/>
            <w:noWrap w:val="0"/>
            <w:vAlign w:val="center"/>
          </w:tcPr>
          <w:p w14:paraId="65624B23">
            <w:pPr>
              <w:wordWrap w:val="0"/>
              <w:jc w:val="center"/>
              <w:rPr>
                <w:rFonts w:hint="eastAsia" w:ascii="宋体" w:hAnsi="宋体" w:eastAsia="宋体" w:cs="宋体"/>
                <w:color w:val="auto"/>
                <w:szCs w:val="21"/>
                <w:highlight w:val="none"/>
              </w:rPr>
            </w:pPr>
          </w:p>
        </w:tc>
        <w:tc>
          <w:tcPr>
            <w:tcW w:w="6138" w:type="dxa"/>
            <w:noWrap w:val="0"/>
            <w:vAlign w:val="center"/>
          </w:tcPr>
          <w:p w14:paraId="15D142B7">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投标文件没有按照招标文件要求提供投标保证，或者所提供的投标保证有瑕疵的</w:t>
            </w:r>
          </w:p>
        </w:tc>
      </w:tr>
      <w:tr w14:paraId="786AD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2FD20E9A">
            <w:pPr>
              <w:rPr>
                <w:rFonts w:hint="eastAsia" w:ascii="宋体" w:hAnsi="宋体" w:eastAsia="宋体" w:cs="宋体"/>
                <w:color w:val="auto"/>
                <w:szCs w:val="21"/>
                <w:highlight w:val="none"/>
              </w:rPr>
            </w:pPr>
          </w:p>
        </w:tc>
        <w:tc>
          <w:tcPr>
            <w:tcW w:w="677" w:type="dxa"/>
            <w:noWrap w:val="0"/>
            <w:vAlign w:val="center"/>
          </w:tcPr>
          <w:p w14:paraId="1181B71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8.27</w:t>
            </w:r>
          </w:p>
        </w:tc>
        <w:tc>
          <w:tcPr>
            <w:tcW w:w="2630" w:type="dxa"/>
            <w:vMerge w:val="continue"/>
            <w:noWrap w:val="0"/>
            <w:vAlign w:val="center"/>
          </w:tcPr>
          <w:p w14:paraId="227781D7">
            <w:pPr>
              <w:wordWrap w:val="0"/>
              <w:jc w:val="center"/>
              <w:rPr>
                <w:rFonts w:hint="eastAsia" w:ascii="宋体" w:hAnsi="宋体" w:eastAsia="宋体" w:cs="宋体"/>
                <w:color w:val="auto"/>
                <w:szCs w:val="21"/>
                <w:highlight w:val="none"/>
              </w:rPr>
            </w:pPr>
          </w:p>
        </w:tc>
        <w:tc>
          <w:tcPr>
            <w:tcW w:w="6138" w:type="dxa"/>
            <w:noWrap w:val="0"/>
            <w:vAlign w:val="center"/>
          </w:tcPr>
          <w:p w14:paraId="7C0A9071">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对投标项目工期承诺超过招标文件规定的完成期限的</w:t>
            </w:r>
          </w:p>
        </w:tc>
      </w:tr>
      <w:tr w14:paraId="6D668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17229A1F">
            <w:pPr>
              <w:rPr>
                <w:rFonts w:hint="eastAsia" w:ascii="宋体" w:hAnsi="宋体" w:eastAsia="宋体" w:cs="宋体"/>
                <w:color w:val="auto"/>
                <w:szCs w:val="21"/>
                <w:highlight w:val="none"/>
              </w:rPr>
            </w:pPr>
          </w:p>
        </w:tc>
        <w:tc>
          <w:tcPr>
            <w:tcW w:w="677" w:type="dxa"/>
            <w:noWrap w:val="0"/>
            <w:vAlign w:val="center"/>
          </w:tcPr>
          <w:p w14:paraId="596244E8">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8.28</w:t>
            </w:r>
          </w:p>
        </w:tc>
        <w:tc>
          <w:tcPr>
            <w:tcW w:w="2630" w:type="dxa"/>
            <w:vMerge w:val="continue"/>
            <w:noWrap w:val="0"/>
            <w:vAlign w:val="center"/>
          </w:tcPr>
          <w:p w14:paraId="41692C16">
            <w:pPr>
              <w:rPr>
                <w:rFonts w:hint="eastAsia" w:ascii="宋体" w:hAnsi="宋体" w:eastAsia="宋体" w:cs="宋体"/>
                <w:color w:val="auto"/>
                <w:szCs w:val="21"/>
                <w:highlight w:val="none"/>
              </w:rPr>
            </w:pPr>
          </w:p>
        </w:tc>
        <w:tc>
          <w:tcPr>
            <w:tcW w:w="6138" w:type="dxa"/>
            <w:noWrap w:val="0"/>
            <w:vAlign w:val="center"/>
          </w:tcPr>
          <w:p w14:paraId="7F24EDAB">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对投标项目的质量承诺不满足招标文件规定要求的</w:t>
            </w:r>
          </w:p>
        </w:tc>
      </w:tr>
      <w:tr w14:paraId="277C5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jc w:val="center"/>
        </w:trPr>
        <w:tc>
          <w:tcPr>
            <w:tcW w:w="453" w:type="dxa"/>
            <w:vMerge w:val="continue"/>
            <w:noWrap w:val="0"/>
            <w:vAlign w:val="center"/>
          </w:tcPr>
          <w:p w14:paraId="50525DB3">
            <w:pPr>
              <w:rPr>
                <w:rFonts w:hint="eastAsia" w:ascii="宋体" w:hAnsi="宋体" w:eastAsia="宋体" w:cs="宋体"/>
                <w:color w:val="auto"/>
                <w:szCs w:val="21"/>
                <w:highlight w:val="none"/>
              </w:rPr>
            </w:pPr>
          </w:p>
        </w:tc>
        <w:tc>
          <w:tcPr>
            <w:tcW w:w="677" w:type="dxa"/>
            <w:noWrap w:val="0"/>
            <w:vAlign w:val="center"/>
          </w:tcPr>
          <w:p w14:paraId="4A3B16A7">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8.29</w:t>
            </w:r>
          </w:p>
        </w:tc>
        <w:tc>
          <w:tcPr>
            <w:tcW w:w="2630" w:type="dxa"/>
            <w:vMerge w:val="continue"/>
            <w:noWrap w:val="0"/>
            <w:vAlign w:val="center"/>
          </w:tcPr>
          <w:p w14:paraId="11842C49">
            <w:pPr>
              <w:rPr>
                <w:rFonts w:hint="eastAsia" w:ascii="宋体" w:hAnsi="宋体" w:eastAsia="宋体" w:cs="宋体"/>
                <w:color w:val="auto"/>
                <w:szCs w:val="21"/>
                <w:highlight w:val="none"/>
              </w:rPr>
            </w:pPr>
          </w:p>
        </w:tc>
        <w:tc>
          <w:tcPr>
            <w:tcW w:w="6138" w:type="dxa"/>
            <w:noWrap w:val="0"/>
            <w:vAlign w:val="center"/>
          </w:tcPr>
          <w:p w14:paraId="6005D18F">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技术标违反国家强制性标准要求的</w:t>
            </w:r>
          </w:p>
        </w:tc>
      </w:tr>
      <w:tr w14:paraId="71999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09667802">
            <w:pPr>
              <w:rPr>
                <w:rFonts w:hint="eastAsia" w:ascii="宋体" w:hAnsi="宋体" w:eastAsia="宋体" w:cs="宋体"/>
                <w:color w:val="auto"/>
                <w:szCs w:val="21"/>
                <w:highlight w:val="none"/>
              </w:rPr>
            </w:pPr>
          </w:p>
        </w:tc>
        <w:tc>
          <w:tcPr>
            <w:tcW w:w="677" w:type="dxa"/>
            <w:noWrap w:val="0"/>
            <w:vAlign w:val="center"/>
          </w:tcPr>
          <w:p w14:paraId="43CF73CF">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8.30</w:t>
            </w:r>
          </w:p>
        </w:tc>
        <w:tc>
          <w:tcPr>
            <w:tcW w:w="2630" w:type="dxa"/>
            <w:vMerge w:val="continue"/>
            <w:noWrap w:val="0"/>
            <w:vAlign w:val="center"/>
          </w:tcPr>
          <w:p w14:paraId="5909A5C9">
            <w:pPr>
              <w:rPr>
                <w:rFonts w:hint="eastAsia" w:ascii="宋体" w:hAnsi="宋体" w:eastAsia="宋体" w:cs="宋体"/>
                <w:color w:val="auto"/>
                <w:szCs w:val="21"/>
                <w:highlight w:val="none"/>
              </w:rPr>
            </w:pPr>
          </w:p>
        </w:tc>
        <w:tc>
          <w:tcPr>
            <w:tcW w:w="6138" w:type="dxa"/>
            <w:noWrap w:val="0"/>
            <w:vAlign w:val="center"/>
          </w:tcPr>
          <w:p w14:paraId="267D24A8">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投标人拒不按照评标委员会要求对投标文件进行澄清、说明或者补正，影响评标的</w:t>
            </w:r>
          </w:p>
        </w:tc>
      </w:tr>
      <w:tr w14:paraId="64A5E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3" w:hRule="atLeast"/>
          <w:jc w:val="center"/>
        </w:trPr>
        <w:tc>
          <w:tcPr>
            <w:tcW w:w="453" w:type="dxa"/>
            <w:vMerge w:val="continue"/>
            <w:noWrap w:val="0"/>
            <w:vAlign w:val="center"/>
          </w:tcPr>
          <w:p w14:paraId="5E44471C">
            <w:pPr>
              <w:rPr>
                <w:rFonts w:hint="eastAsia" w:ascii="宋体" w:hAnsi="宋体" w:eastAsia="宋体" w:cs="宋体"/>
                <w:color w:val="auto"/>
                <w:szCs w:val="21"/>
                <w:highlight w:val="none"/>
              </w:rPr>
            </w:pPr>
          </w:p>
        </w:tc>
        <w:tc>
          <w:tcPr>
            <w:tcW w:w="677" w:type="dxa"/>
            <w:noWrap w:val="0"/>
            <w:vAlign w:val="center"/>
          </w:tcPr>
          <w:p w14:paraId="3585CFCA">
            <w:pPr>
              <w:wordWrap w:val="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8.31</w:t>
            </w:r>
          </w:p>
        </w:tc>
        <w:tc>
          <w:tcPr>
            <w:tcW w:w="2630" w:type="dxa"/>
            <w:vMerge w:val="continue"/>
            <w:noWrap w:val="0"/>
            <w:vAlign w:val="center"/>
          </w:tcPr>
          <w:p w14:paraId="23EDBEBC">
            <w:pPr>
              <w:rPr>
                <w:rFonts w:hint="eastAsia" w:ascii="宋体" w:hAnsi="宋体" w:eastAsia="宋体" w:cs="宋体"/>
                <w:color w:val="auto"/>
                <w:szCs w:val="21"/>
                <w:highlight w:val="none"/>
              </w:rPr>
            </w:pPr>
          </w:p>
        </w:tc>
        <w:tc>
          <w:tcPr>
            <w:tcW w:w="6138" w:type="dxa"/>
            <w:noWrap w:val="0"/>
            <w:vAlign w:val="center"/>
          </w:tcPr>
          <w:p w14:paraId="01D81C7D">
            <w:pPr>
              <w:wordWrap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投标人在本次投标活动中有串通投标、弄虚作假、行贿等违法行为的</w:t>
            </w:r>
          </w:p>
        </w:tc>
      </w:tr>
    </w:tbl>
    <w:p w14:paraId="028DC122">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B2.否决投标说明</w:t>
      </w:r>
    </w:p>
    <w:p w14:paraId="1F3961DB">
      <w:pPr>
        <w:spacing w:line="430" w:lineRule="exact"/>
        <w:ind w:firstLine="420" w:firstLineChars="200"/>
        <w:rPr>
          <w:rFonts w:hint="eastAsia" w:ascii="宋体" w:hAnsi="宋体" w:eastAsia="宋体" w:cs="宋体"/>
          <w:color w:val="auto"/>
          <w:szCs w:val="21"/>
          <w:highlight w:val="none"/>
        </w:rPr>
        <w:sectPr>
          <w:footerReference r:id="rId14" w:type="default"/>
          <w:pgSz w:w="11906" w:h="16838"/>
          <w:pgMar w:top="1134" w:right="1134" w:bottom="1134" w:left="1134" w:header="851" w:footer="851" w:gutter="0"/>
          <w:pgNumType w:fmt="decimal"/>
          <w:cols w:space="720" w:num="1"/>
          <w:docGrid w:type="lines" w:linePitch="312" w:charSpace="0"/>
        </w:sectPr>
      </w:pPr>
      <w:r>
        <w:rPr>
          <w:rFonts w:hint="eastAsia" w:ascii="宋体" w:hAnsi="宋体" w:eastAsia="宋体" w:cs="宋体"/>
          <w:color w:val="auto"/>
          <w:szCs w:val="21"/>
          <w:highlight w:val="none"/>
        </w:rPr>
        <w:t>B2.1评标委员会应对照招标文件规定的否决投标条件以及投标文件存在的具体问题，对判定为否决投标的投标文件进行否决投标情况说明。</w:t>
      </w:r>
    </w:p>
    <w:bookmarkEnd w:id="817"/>
    <w:bookmarkEnd w:id="818"/>
    <w:bookmarkEnd w:id="819"/>
    <w:p w14:paraId="028EBCEF">
      <w:pPr>
        <w:wordWrap w:val="0"/>
        <w:autoSpaceDE w:val="0"/>
        <w:autoSpaceDN w:val="0"/>
        <w:adjustRightInd w:val="0"/>
        <w:spacing w:line="360" w:lineRule="auto"/>
        <w:ind w:right="-34" w:rightChars="-16"/>
        <w:jc w:val="center"/>
        <w:rPr>
          <w:rFonts w:hint="eastAsia" w:ascii="宋体" w:hAnsi="宋体" w:eastAsia="宋体" w:cs="宋体"/>
          <w:b/>
          <w:color w:val="auto"/>
          <w:kern w:val="0"/>
          <w:sz w:val="36"/>
          <w:highlight w:val="none"/>
        </w:rPr>
      </w:pPr>
      <w:bookmarkStart w:id="936" w:name="_Toc13936"/>
      <w:bookmarkStart w:id="937" w:name="_Toc1718"/>
      <w:r>
        <w:rPr>
          <w:rFonts w:hint="eastAsia" w:ascii="宋体" w:hAnsi="宋体" w:eastAsia="宋体" w:cs="宋体"/>
          <w:b/>
          <w:color w:val="auto"/>
          <w:kern w:val="0"/>
          <w:sz w:val="36"/>
          <w:highlight w:val="none"/>
        </w:rPr>
        <w:t>第四章 定标办法（核查随机法）</w:t>
      </w:r>
      <w:bookmarkEnd w:id="936"/>
      <w:bookmarkEnd w:id="937"/>
    </w:p>
    <w:p w14:paraId="254BDFEA">
      <w:pPr>
        <w:wordWrap w:val="0"/>
        <w:spacing w:line="360" w:lineRule="auto"/>
        <w:outlineLvl w:val="1"/>
        <w:rPr>
          <w:rFonts w:hint="eastAsia" w:ascii="宋体" w:hAnsi="宋体" w:eastAsia="宋体" w:cs="宋体"/>
          <w:b/>
          <w:bCs/>
          <w:color w:val="auto"/>
          <w:sz w:val="21"/>
          <w:szCs w:val="21"/>
          <w:highlight w:val="none"/>
        </w:rPr>
      </w:pPr>
      <w:bookmarkStart w:id="938" w:name="_Toc12050"/>
      <w:r>
        <w:rPr>
          <w:rFonts w:hint="eastAsia" w:ascii="宋体" w:hAnsi="宋体" w:eastAsia="宋体" w:cs="宋体"/>
          <w:b/>
          <w:bCs/>
          <w:color w:val="auto"/>
          <w:sz w:val="21"/>
          <w:szCs w:val="21"/>
          <w:highlight w:val="none"/>
        </w:rPr>
        <w:t>一、定标依据</w:t>
      </w:r>
      <w:bookmarkEnd w:id="938"/>
    </w:p>
    <w:p w14:paraId="2775AF86">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939" w:name="OLE_LINK41"/>
      <w:bookmarkStart w:id="940" w:name="_Toc22184"/>
      <w:r>
        <w:rPr>
          <w:rFonts w:hint="eastAsia" w:ascii="宋体" w:hAnsi="宋体" w:eastAsia="宋体" w:cs="宋体"/>
          <w:color w:val="auto"/>
          <w:sz w:val="21"/>
          <w:szCs w:val="21"/>
          <w:highlight w:val="none"/>
        </w:rPr>
        <w:t>本次定标办法的制定依据下列文件进行：</w:t>
      </w:r>
    </w:p>
    <w:bookmarkEnd w:id="939"/>
    <w:p w14:paraId="51813570">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①《中华人民共和国招标投标法》</w:t>
      </w:r>
      <w:r>
        <w:rPr>
          <w:rFonts w:hint="eastAsia" w:ascii="宋体" w:hAnsi="宋体" w:cs="宋体"/>
          <w:b w:val="0"/>
          <w:bCs w:val="0"/>
          <w:color w:val="auto"/>
          <w:sz w:val="21"/>
          <w:szCs w:val="21"/>
          <w:highlight w:val="none"/>
          <w:lang w:eastAsia="zh-CN"/>
        </w:rPr>
        <w:t>；</w:t>
      </w:r>
    </w:p>
    <w:p w14:paraId="6355C86A">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②《中华人民共和国招投标法实施条例》</w:t>
      </w:r>
      <w:r>
        <w:rPr>
          <w:rFonts w:hint="eastAsia" w:ascii="宋体" w:hAnsi="宋体" w:cs="宋体"/>
          <w:b w:val="0"/>
          <w:bCs w:val="0"/>
          <w:color w:val="auto"/>
          <w:sz w:val="21"/>
          <w:szCs w:val="21"/>
          <w:highlight w:val="none"/>
          <w:lang w:eastAsia="zh-CN"/>
        </w:rPr>
        <w:t>；</w:t>
      </w:r>
    </w:p>
    <w:p w14:paraId="0CEC34F8">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③《国务院办公厅关于创新完善体制机制推动招标投标市场规范健康发展的意见》（国办发〔2024〕21号)</w:t>
      </w:r>
      <w:r>
        <w:rPr>
          <w:rFonts w:hint="eastAsia" w:ascii="宋体" w:hAnsi="宋体" w:cs="宋体"/>
          <w:b w:val="0"/>
          <w:bCs w:val="0"/>
          <w:color w:val="auto"/>
          <w:sz w:val="21"/>
          <w:szCs w:val="21"/>
          <w:highlight w:val="none"/>
          <w:lang w:eastAsia="zh-CN"/>
        </w:rPr>
        <w:t>；</w:t>
      </w:r>
    </w:p>
    <w:p w14:paraId="54085018">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④《河南省住房和城乡建设厅关于房屋建筑和市政基础设施工程实施招标投标“评定分离”的通知》(豫建市〔2025〕146号)； </w:t>
      </w:r>
    </w:p>
    <w:p w14:paraId="6D99848C">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⑤河南省发展和改革委员会关于印发《河南省政府投资工程建设项目招标投标“评定分离”管理办法（试行）》的通知（豫发改公管规〔2025〕559号）；</w:t>
      </w:r>
    </w:p>
    <w:p w14:paraId="09762157">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⑥关于印发《驻马店市政府投资工程建设项目招标投标“评定分离”规范指引》的通知（驻发改公管[2025]274号）</w:t>
      </w:r>
      <w:r>
        <w:rPr>
          <w:rFonts w:hint="eastAsia" w:ascii="宋体" w:hAnsi="宋体" w:cs="宋体"/>
          <w:b w:val="0"/>
          <w:bCs w:val="0"/>
          <w:color w:val="auto"/>
          <w:sz w:val="21"/>
          <w:szCs w:val="21"/>
          <w:highlight w:val="none"/>
          <w:lang w:eastAsia="zh-CN"/>
        </w:rPr>
        <w:t>；</w:t>
      </w:r>
    </w:p>
    <w:p w14:paraId="1B190846">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⑦本项目招标文件</w:t>
      </w:r>
      <w:r>
        <w:rPr>
          <w:rFonts w:hint="eastAsia" w:ascii="宋体" w:hAnsi="宋体" w:cs="宋体"/>
          <w:b w:val="0"/>
          <w:bCs w:val="0"/>
          <w:color w:val="auto"/>
          <w:sz w:val="21"/>
          <w:szCs w:val="21"/>
          <w:highlight w:val="none"/>
          <w:lang w:eastAsia="zh-CN"/>
        </w:rPr>
        <w:t>；</w:t>
      </w:r>
    </w:p>
    <w:p w14:paraId="31328F3B">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⑧评标委员会推荐的合格</w:t>
      </w:r>
      <w:r>
        <w:rPr>
          <w:rFonts w:hint="eastAsia" w:ascii="宋体" w:hAnsi="宋体" w:cs="宋体"/>
          <w:b w:val="0"/>
          <w:bCs w:val="0"/>
          <w:color w:val="auto"/>
          <w:sz w:val="21"/>
          <w:szCs w:val="21"/>
          <w:highlight w:val="none"/>
          <w:lang w:val="en-US" w:eastAsia="zh-CN"/>
        </w:rPr>
        <w:t>入围中标</w:t>
      </w:r>
      <w:r>
        <w:rPr>
          <w:rFonts w:hint="eastAsia" w:ascii="宋体" w:hAnsi="宋体" w:eastAsia="宋体" w:cs="宋体"/>
          <w:b w:val="0"/>
          <w:bCs w:val="0"/>
          <w:color w:val="auto"/>
          <w:sz w:val="21"/>
          <w:szCs w:val="21"/>
          <w:highlight w:val="none"/>
        </w:rPr>
        <w:t>候选人名单</w:t>
      </w:r>
      <w:r>
        <w:rPr>
          <w:rFonts w:hint="eastAsia" w:ascii="宋体" w:hAnsi="宋体" w:cs="宋体"/>
          <w:b w:val="0"/>
          <w:bCs w:val="0"/>
          <w:color w:val="auto"/>
          <w:sz w:val="21"/>
          <w:szCs w:val="21"/>
          <w:highlight w:val="none"/>
          <w:lang w:eastAsia="zh-CN"/>
        </w:rPr>
        <w:t>；</w:t>
      </w:r>
    </w:p>
    <w:p w14:paraId="019824A3">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⑨招标投标全过程资料</w:t>
      </w:r>
      <w:r>
        <w:rPr>
          <w:rFonts w:hint="eastAsia" w:ascii="宋体" w:hAnsi="宋体" w:cs="宋体"/>
          <w:b w:val="0"/>
          <w:bCs w:val="0"/>
          <w:color w:val="auto"/>
          <w:sz w:val="21"/>
          <w:szCs w:val="21"/>
          <w:highlight w:val="none"/>
          <w:lang w:eastAsia="zh-CN"/>
        </w:rPr>
        <w:t>；</w:t>
      </w:r>
    </w:p>
    <w:p w14:paraId="002C7D02">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⑩其他有关法律法规和相关制度。</w:t>
      </w:r>
    </w:p>
    <w:p w14:paraId="64AB1A44">
      <w:pPr>
        <w:wordWrap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二、定标原则</w:t>
      </w:r>
      <w:bookmarkEnd w:id="940"/>
    </w:p>
    <w:p w14:paraId="14D7E6B0">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941" w:name="OLE_LINK42"/>
      <w:r>
        <w:rPr>
          <w:rFonts w:hint="eastAsia" w:ascii="宋体" w:hAnsi="宋体" w:eastAsia="宋体" w:cs="宋体"/>
          <w:color w:val="auto"/>
          <w:sz w:val="21"/>
          <w:szCs w:val="21"/>
          <w:highlight w:val="none"/>
        </w:rPr>
        <w:t>遵循公开透明、竞争择优、科学规范、廉洁高效的原则。</w:t>
      </w:r>
      <w:bookmarkEnd w:id="941"/>
      <w:bookmarkStart w:id="942" w:name="_Toc31048"/>
    </w:p>
    <w:p w14:paraId="085DFE98">
      <w:pPr>
        <w:wordWrap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三、定标方法</w:t>
      </w:r>
      <w:bookmarkEnd w:id="942"/>
    </w:p>
    <w:p w14:paraId="34D69AA2">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943" w:name="OLE_LINK43"/>
      <w:r>
        <w:rPr>
          <w:rFonts w:hint="eastAsia" w:ascii="宋体" w:hAnsi="宋体" w:eastAsia="宋体" w:cs="宋体"/>
          <w:color w:val="auto"/>
          <w:sz w:val="21"/>
          <w:szCs w:val="21"/>
          <w:highlight w:val="none"/>
        </w:rPr>
        <w:t>本项目定标方法采用核查随机法确定中标人。</w:t>
      </w:r>
    </w:p>
    <w:p w14:paraId="282B65A6">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核查随机法：定标委员会在通过核查的中标候选人中按照随机选取方式确定中标人。</w:t>
      </w:r>
    </w:p>
    <w:bookmarkEnd w:id="943"/>
    <w:p w14:paraId="0B9EAEA6">
      <w:pPr>
        <w:wordWrap w:val="0"/>
        <w:spacing w:line="360" w:lineRule="auto"/>
        <w:outlineLvl w:val="1"/>
        <w:rPr>
          <w:rFonts w:hint="eastAsia" w:ascii="宋体" w:hAnsi="宋体" w:eastAsia="宋体" w:cs="宋体"/>
          <w:b/>
          <w:bCs/>
          <w:color w:val="auto"/>
          <w:sz w:val="21"/>
          <w:szCs w:val="21"/>
          <w:highlight w:val="none"/>
        </w:rPr>
      </w:pPr>
      <w:bookmarkStart w:id="944" w:name="_Toc18476"/>
      <w:r>
        <w:rPr>
          <w:rFonts w:hint="eastAsia" w:ascii="宋体" w:hAnsi="宋体" w:eastAsia="宋体" w:cs="宋体"/>
          <w:b/>
          <w:bCs/>
          <w:color w:val="auto"/>
          <w:sz w:val="21"/>
          <w:szCs w:val="21"/>
          <w:highlight w:val="none"/>
        </w:rPr>
        <w:t>四、定标委员会的组建</w:t>
      </w:r>
      <w:bookmarkEnd w:id="944"/>
    </w:p>
    <w:p w14:paraId="225389DB">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招标人应当组建定标委员会，负责对中标候选人进行核查和组织召开定标会议等内容。定标工作应当由定标委员会独立完成。</w:t>
      </w:r>
    </w:p>
    <w:p w14:paraId="3D731AFC">
      <w:pPr>
        <w:wordWrap w:val="0"/>
        <w:autoSpaceDE w:val="0"/>
        <w:autoSpaceDN w:val="0"/>
        <w:adjustRightInd w:val="0"/>
        <w:spacing w:line="360" w:lineRule="auto"/>
        <w:ind w:firstLine="420" w:firstLineChars="200"/>
        <w:rPr>
          <w:rFonts w:hint="eastAsia"/>
          <w:color w:val="auto"/>
          <w:highlight w:val="none"/>
        </w:rPr>
      </w:pPr>
      <w:r>
        <w:rPr>
          <w:rFonts w:hint="eastAsia" w:ascii="宋体" w:hAnsi="宋体" w:eastAsia="宋体" w:cs="宋体"/>
          <w:color w:val="auto"/>
          <w:sz w:val="21"/>
          <w:szCs w:val="21"/>
          <w:highlight w:val="none"/>
        </w:rPr>
        <w:t>定标委员会成员数量为5人及以上单数，招标人单位成员不得低于成员总数的三分之二。定标委员会组长由招标人确定，原则上由招标人的法定代表人、主要负责人或分管负责人担任，其他成员可由招标人自行选定。</w:t>
      </w:r>
    </w:p>
    <w:p w14:paraId="17190AFE">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成员与中标候选人有利害关系的，应当主动申请回避。定标委员会名单在中标结果确定前应当保密。定标委员会成员应当对定标过程保密，对所提出的定标意见承担个人责任，不得私下与投标人或者其他利害关系人接触。</w:t>
      </w:r>
    </w:p>
    <w:p w14:paraId="4052631F">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有下列情况之一的，不得担任定标委员会成员：</w:t>
      </w:r>
    </w:p>
    <w:p w14:paraId="4DA68D03">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1.与中标候选人或中标候选人主要负责人有近亲属关系或有经济利益关系的，可能影响定标公正的；</w:t>
      </w:r>
    </w:p>
    <w:p w14:paraId="0B69C1FE">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2.曾因在招标投标有关活动中从事违法行为而受过行政处罚或刑事处罚的；</w:t>
      </w:r>
    </w:p>
    <w:p w14:paraId="55111A67">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3.中标候选人的在职人员或招标项目代理机构的在职人员。</w:t>
      </w:r>
    </w:p>
    <w:p w14:paraId="29ACC79D">
      <w:pPr>
        <w:wordWrap w:val="0"/>
        <w:spacing w:line="360" w:lineRule="auto"/>
        <w:outlineLvl w:val="1"/>
        <w:rPr>
          <w:rFonts w:hint="eastAsia" w:ascii="宋体" w:hAnsi="宋体" w:eastAsia="宋体" w:cs="宋体"/>
          <w:b/>
          <w:bCs/>
          <w:color w:val="auto"/>
          <w:sz w:val="21"/>
          <w:szCs w:val="21"/>
          <w:highlight w:val="none"/>
        </w:rPr>
      </w:pPr>
      <w:bookmarkStart w:id="945" w:name="_Toc28259"/>
      <w:r>
        <w:rPr>
          <w:rFonts w:hint="eastAsia" w:ascii="宋体" w:hAnsi="宋体" w:eastAsia="宋体" w:cs="宋体"/>
          <w:b/>
          <w:bCs/>
          <w:color w:val="auto"/>
          <w:sz w:val="21"/>
          <w:szCs w:val="21"/>
          <w:highlight w:val="none"/>
        </w:rPr>
        <w:t>五、定标核查</w:t>
      </w:r>
      <w:bookmarkEnd w:id="945"/>
    </w:p>
    <w:p w14:paraId="1E125AF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5.1定标委员会将对中标候选人进行定标核查。核查内容包括：</w:t>
      </w:r>
    </w:p>
    <w:p w14:paraId="2ABC711C">
      <w:pPr>
        <w:spacing w:line="360" w:lineRule="auto"/>
        <w:ind w:firstLine="420" w:firstLineChars="200"/>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1</w:t>
      </w:r>
      <w:r>
        <w:rPr>
          <w:rFonts w:hint="eastAsia" w:ascii="宋体" w:hAnsi="宋体" w:cs="宋体"/>
          <w:b w:val="0"/>
          <w:bCs w:val="0"/>
          <w:color w:val="auto"/>
          <w:sz w:val="21"/>
          <w:szCs w:val="21"/>
          <w:highlight w:val="none"/>
          <w:lang w:eastAsia="zh-CN"/>
        </w:rPr>
        <w:t>）</w:t>
      </w:r>
      <w:r>
        <w:rPr>
          <w:rFonts w:hint="eastAsia" w:ascii="宋体" w:hAnsi="宋体" w:cs="宋体"/>
          <w:b w:val="0"/>
          <w:bCs w:val="0"/>
          <w:color w:val="auto"/>
          <w:sz w:val="21"/>
          <w:szCs w:val="21"/>
          <w:highlight w:val="none"/>
          <w:lang w:val="en-US" w:eastAsia="zh-CN"/>
        </w:rPr>
        <w:t>企业信用信息：①</w:t>
      </w:r>
      <w:r>
        <w:rPr>
          <w:rFonts w:hint="eastAsia" w:ascii="宋体" w:hAnsi="宋体" w:eastAsia="宋体" w:cs="宋体"/>
          <w:color w:val="auto"/>
          <w:sz w:val="21"/>
          <w:szCs w:val="21"/>
          <w:highlight w:val="none"/>
        </w:rPr>
        <w:t>单位负责人为同一人或者存在控股、管理关系的不同单位，不得同时参加本项目投标（提供“国家企业信用信息公示系统”中公示的公司信息、股东或投资人相关信息）</w:t>
      </w:r>
      <w:r>
        <w:rPr>
          <w:rFonts w:hint="eastAsia" w:ascii="宋体" w:hAnsi="宋体" w:eastAsia="宋体" w:cs="宋体"/>
          <w:color w:val="auto"/>
          <w:sz w:val="21"/>
          <w:szCs w:val="21"/>
          <w:highlight w:val="none"/>
          <w:lang w:eastAsia="zh-CN"/>
        </w:rPr>
        <w:t>。</w:t>
      </w:r>
      <w:r>
        <w:rPr>
          <w:rFonts w:hint="eastAsia" w:ascii="宋体" w:hAnsi="宋体" w:cs="宋体"/>
          <w:b w:val="0"/>
          <w:bCs w:val="0"/>
          <w:color w:val="auto"/>
          <w:sz w:val="21"/>
          <w:szCs w:val="21"/>
          <w:highlight w:val="none"/>
          <w:lang w:val="en-US" w:eastAsia="zh-CN"/>
        </w:rPr>
        <w:t>②中标候选人及其法定代表人和拟派项目经理不得存在以下情形之一：A、被列入全国或省级建筑市场监管公共服务平台“黑名单”且在管理期限内的（中标候选人、拟派项目经理）；B、被列入国家企业信用信息公示系统“严重违法失信名单”且在管理期限内的；C、被列入信用中国网站“失信被执行人”且在管理期限内的；D、投标所用资质项在全国或省级建筑市场监管公共服务平台资质状况被标注资质异常状态的（中标候选人）。</w:t>
      </w:r>
    </w:p>
    <w:p w14:paraId="31C8EED4">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lang w:eastAsia="zh-CN"/>
        </w:rPr>
      </w:pPr>
      <w:r>
        <w:rPr>
          <w:rFonts w:hint="eastAsia" w:ascii="宋体" w:hAnsi="宋体" w:cs="宋体"/>
          <w:b w:val="0"/>
          <w:bCs w:val="0"/>
          <w:color w:val="auto"/>
          <w:kern w:val="0"/>
          <w:sz w:val="21"/>
          <w:szCs w:val="21"/>
          <w:highlight w:val="none"/>
          <w:lang w:val="en-US" w:eastAsia="zh-CN"/>
        </w:rPr>
        <w:t>定标委员会</w:t>
      </w:r>
      <w:r>
        <w:rPr>
          <w:rFonts w:hint="eastAsia" w:ascii="宋体" w:hAnsi="宋体" w:eastAsia="宋体" w:cs="宋体"/>
          <w:b w:val="0"/>
          <w:bCs w:val="0"/>
          <w:color w:val="auto"/>
          <w:kern w:val="0"/>
          <w:sz w:val="21"/>
          <w:szCs w:val="21"/>
          <w:highlight w:val="none"/>
        </w:rPr>
        <w:t>通过全国建筑市场监管公共服务平台、国家企业信用信息公示系统、“信用中国”网站、省级建筑市场监管公共服务平台等渠道进行查询复核并留档，</w:t>
      </w:r>
      <w:r>
        <w:rPr>
          <w:rFonts w:hint="eastAsia" w:ascii="宋体" w:hAnsi="宋体" w:eastAsia="宋体" w:cs="宋体"/>
          <w:b/>
          <w:bCs/>
          <w:color w:val="auto"/>
          <w:kern w:val="0"/>
          <w:sz w:val="21"/>
          <w:szCs w:val="21"/>
          <w:highlight w:val="none"/>
        </w:rPr>
        <w:t>以核查会当日现场查询结果为准</w:t>
      </w:r>
      <w:r>
        <w:rPr>
          <w:rFonts w:hint="eastAsia" w:ascii="宋体" w:hAnsi="宋体" w:cs="宋体"/>
          <w:b/>
          <w:bCs/>
          <w:color w:val="auto"/>
          <w:kern w:val="0"/>
          <w:sz w:val="21"/>
          <w:szCs w:val="21"/>
          <w:highlight w:val="none"/>
          <w:lang w:eastAsia="zh-CN"/>
        </w:rPr>
        <w:t>。</w:t>
      </w:r>
    </w:p>
    <w:p w14:paraId="20A2304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）营业执照、资质证书、安全生产许可证；</w:t>
      </w:r>
    </w:p>
    <w:p w14:paraId="68D93FF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）项目经理注册证书及安全生产考核合格证、技术负责人职称证、项目组人员相关从业资格证书；</w:t>
      </w:r>
    </w:p>
    <w:p w14:paraId="13AFD88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）社保证明：项目经理、技术负责人、委托代理人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等</w:t>
      </w:r>
      <w:r>
        <w:rPr>
          <w:rFonts w:hint="eastAsia" w:ascii="宋体" w:hAnsi="宋体" w:eastAsia="宋体" w:cs="宋体"/>
          <w:color w:val="auto"/>
          <w:sz w:val="21"/>
          <w:szCs w:val="21"/>
          <w:highlight w:val="none"/>
        </w:rPr>
        <w:t>；</w:t>
      </w:r>
    </w:p>
    <w:p w14:paraId="63EF307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）企业实力：主要包括企业规模、资质等级、专业技术人员规模、近三年财务状况、类似业绩、拟派团队人员的实力等；</w:t>
      </w:r>
    </w:p>
    <w:p w14:paraId="20D92D2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）施工方案:主要考虑安全控制措施、质量控制措施、绿色节能措施、进度控制措施等，鼓励将行业科技创新应用在工程中；</w:t>
      </w:r>
    </w:p>
    <w:p w14:paraId="21481BC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）招标人认为需考量的其他要素。</w:t>
      </w:r>
    </w:p>
    <w:p w14:paraId="1A9DEE1D">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5.2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p>
    <w:p w14:paraId="48B35274">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5.3考察、质询：本项目在定标会议前不再对各中标候选人进行考察、质询，采用网上查询的核查方式。</w:t>
      </w:r>
    </w:p>
    <w:p w14:paraId="1F3DA8B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核查内容不得设置不合理限制和隐性壁垒。招标文件中没有规定的核查标准和方法不得作为定标核查的依据，不得在定标过程中新增定标条件和要求。</w:t>
      </w:r>
    </w:p>
    <w:p w14:paraId="3ADF0A0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rPr>
        <w:t>定标委员会经核查发现中标候选人确有弄虚作假、串通投标等情形的，应当否决相应中标候选人的中标资格，并及时向行政监督部门报告。</w:t>
      </w:r>
    </w:p>
    <w:p w14:paraId="0433306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招标人应当在收到评标报告后10日内完成定标工作</w:t>
      </w:r>
      <w:r>
        <w:rPr>
          <w:rFonts w:hint="eastAsia" w:ascii="宋体" w:hAnsi="宋体" w:eastAsia="宋体" w:cs="宋体"/>
          <w:color w:val="auto"/>
          <w:sz w:val="21"/>
          <w:szCs w:val="21"/>
          <w:highlight w:val="none"/>
          <w:lang w:eastAsia="zh-CN"/>
        </w:rPr>
        <w:t>，招标人应当对定标过程进行音、视频记录，并存档备查。不能按时完成定标工作的，应当通过</w:t>
      </w:r>
      <w:r>
        <w:rPr>
          <w:rFonts w:hint="eastAsia" w:ascii="宋体" w:hAnsi="宋体" w:eastAsia="宋体" w:cs="宋体"/>
          <w:color w:val="auto"/>
          <w:sz w:val="21"/>
          <w:szCs w:val="21"/>
          <w:highlight w:val="none"/>
          <w:lang w:val="en-US" w:eastAsia="zh-CN"/>
        </w:rPr>
        <w:t>市</w:t>
      </w:r>
      <w:r>
        <w:rPr>
          <w:rFonts w:hint="eastAsia" w:ascii="宋体" w:hAnsi="宋体" w:eastAsia="宋体" w:cs="宋体"/>
          <w:color w:val="auto"/>
          <w:sz w:val="21"/>
          <w:szCs w:val="21"/>
          <w:highlight w:val="none"/>
          <w:lang w:eastAsia="zh-CN"/>
        </w:rPr>
        <w:t>公共资源交易中心平台发布延期原因和最终定标时间。</w:t>
      </w:r>
    </w:p>
    <w:p w14:paraId="36427C7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经核查核评后合格的</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即可</w:t>
      </w:r>
      <w:r>
        <w:rPr>
          <w:rFonts w:hint="eastAsia" w:ascii="宋体" w:hAnsi="宋体" w:eastAsia="宋体" w:cs="宋体"/>
          <w:color w:val="auto"/>
          <w:sz w:val="21"/>
          <w:szCs w:val="21"/>
          <w:highlight w:val="none"/>
          <w:lang w:val="en-US" w:eastAsia="zh-CN"/>
        </w:rPr>
        <w:t>按照核查随机法</w:t>
      </w:r>
      <w:r>
        <w:rPr>
          <w:rFonts w:hint="eastAsia" w:ascii="宋体" w:hAnsi="宋体" w:eastAsia="宋体" w:cs="宋体"/>
          <w:color w:val="auto"/>
          <w:sz w:val="21"/>
          <w:szCs w:val="21"/>
          <w:highlight w:val="none"/>
        </w:rPr>
        <w:t>进入</w:t>
      </w:r>
      <w:r>
        <w:rPr>
          <w:rFonts w:hint="eastAsia" w:ascii="宋体" w:hAnsi="宋体" w:eastAsia="宋体" w:cs="宋体"/>
          <w:color w:val="auto"/>
          <w:sz w:val="21"/>
          <w:szCs w:val="21"/>
          <w:highlight w:val="none"/>
          <w:lang w:val="en-US" w:eastAsia="zh-CN"/>
        </w:rPr>
        <w:t>随机</w:t>
      </w:r>
      <w:r>
        <w:rPr>
          <w:rFonts w:hint="eastAsia" w:ascii="宋体" w:hAnsi="宋体" w:eastAsia="宋体" w:cs="宋体"/>
          <w:color w:val="auto"/>
          <w:sz w:val="21"/>
          <w:szCs w:val="21"/>
          <w:highlight w:val="none"/>
        </w:rPr>
        <w:t>抽取程序。</w:t>
      </w:r>
    </w:p>
    <w:p w14:paraId="4E578565">
      <w:pPr>
        <w:wordWrap w:val="0"/>
        <w:spacing w:line="360" w:lineRule="auto"/>
        <w:outlineLvl w:val="1"/>
        <w:rPr>
          <w:rFonts w:hint="eastAsia" w:ascii="宋体" w:hAnsi="宋体" w:eastAsia="宋体" w:cs="宋体"/>
          <w:b/>
          <w:bCs/>
          <w:color w:val="auto"/>
          <w:sz w:val="21"/>
          <w:szCs w:val="21"/>
          <w:highlight w:val="none"/>
        </w:rPr>
      </w:pPr>
      <w:bookmarkStart w:id="946" w:name="_Toc23939"/>
      <w:bookmarkStart w:id="947" w:name="_Toc11203"/>
      <w:r>
        <w:rPr>
          <w:rFonts w:hint="eastAsia" w:ascii="宋体" w:hAnsi="宋体" w:eastAsia="宋体" w:cs="宋体"/>
          <w:b/>
          <w:bCs/>
          <w:color w:val="auto"/>
          <w:sz w:val="21"/>
          <w:szCs w:val="21"/>
          <w:highlight w:val="none"/>
        </w:rPr>
        <w:t>六、定标程序</w:t>
      </w:r>
      <w:bookmarkEnd w:id="946"/>
      <w:bookmarkEnd w:id="947"/>
    </w:p>
    <w:p w14:paraId="5DED6499">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定标委员会将通过核查</w:t>
      </w:r>
      <w:r>
        <w:rPr>
          <w:rFonts w:hint="eastAsia" w:ascii="宋体" w:hAnsi="宋体" w:eastAsia="宋体" w:cs="宋体"/>
          <w:color w:val="auto"/>
          <w:sz w:val="21"/>
          <w:szCs w:val="21"/>
          <w:highlight w:val="none"/>
          <w:lang w:eastAsia="zh-CN"/>
        </w:rPr>
        <w:t>随机</w:t>
      </w:r>
      <w:r>
        <w:rPr>
          <w:rFonts w:hint="eastAsia" w:ascii="宋体" w:hAnsi="宋体" w:eastAsia="宋体" w:cs="宋体"/>
          <w:color w:val="auto"/>
          <w:sz w:val="21"/>
          <w:szCs w:val="21"/>
          <w:highlight w:val="none"/>
        </w:rPr>
        <w:t>法进行定标。</w:t>
      </w:r>
    </w:p>
    <w:p w14:paraId="65ECDF68">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地点：西平县公共资源交易中心定标会议室，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1FAE8F88">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1、在定标现场放置标注为“1”、“2”的2组自然数代码球。</w:t>
      </w:r>
    </w:p>
    <w:p w14:paraId="240AA78F">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2、第一轮随机确定选用的代码球组号：在抽取箱内放入2个标注为“1”、“2”的代码球，从中随机选取1个代码球，选取代码球数字即为本次定标选用的代码球组号。</w:t>
      </w:r>
    </w:p>
    <w:p w14:paraId="7C34F41A">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第二轮随机确定抽取顺序：在抽取箱放入标有从1到N自然数的乒乓球（N为经评审合格的中标候选人数），由中标候选人抽取代码球（通过核查的中标候选人按照电子投标文件递交的时间先后顺序随机抽取对应的号码球），代码球上的数字对应为相应中标候选人。</w:t>
      </w:r>
    </w:p>
    <w:p w14:paraId="4DDC0AE1">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kern w:val="2"/>
          <w:sz w:val="21"/>
          <w:szCs w:val="21"/>
          <w:highlight w:val="none"/>
          <w:lang w:val="en-US" w:eastAsia="zh-CN" w:bidi="ar-SA"/>
        </w:rPr>
        <w:t>第三轮随机确定抽球人：在定标委员会成员中以抽签（或抽球）方式随机抽取确定一人作为中标人的抽取人。</w:t>
      </w:r>
    </w:p>
    <w:p w14:paraId="1A6958D7">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第</w:t>
      </w:r>
      <w:r>
        <w:rPr>
          <w:rFonts w:hint="eastAsia" w:hAnsi="宋体" w:cs="宋体"/>
          <w:color w:val="auto"/>
          <w:sz w:val="21"/>
          <w:szCs w:val="21"/>
          <w:highlight w:val="none"/>
          <w:lang w:val="en-US" w:eastAsia="zh-CN"/>
        </w:rPr>
        <w:t>四</w:t>
      </w:r>
      <w:r>
        <w:rPr>
          <w:rFonts w:hint="eastAsia" w:ascii="宋体" w:hAnsi="宋体" w:eastAsia="宋体" w:cs="宋体"/>
          <w:color w:val="auto"/>
          <w:sz w:val="21"/>
          <w:szCs w:val="21"/>
          <w:highlight w:val="none"/>
        </w:rPr>
        <w:t>轮随机选取中标人：将N个代码球经中标候选人检查确认后放入抽取箱内，由随机抽取的抽取人从中随机抽取1个代码球，抽中代码球对应的中标候选人即为中标人。</w:t>
      </w:r>
    </w:p>
    <w:p w14:paraId="46F5946D">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、招标人授权的定标委员会代表将中标候选人对应的代码球和抽取结果进行记录，并由招标人授权的定标委员会和监督部门、公证部门（如邀请）进行签字确认。</w:t>
      </w:r>
    </w:p>
    <w:p w14:paraId="6DE8DF52">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275BEEB4">
      <w:pPr>
        <w:wordWrap w:val="0"/>
        <w:spacing w:line="360" w:lineRule="auto"/>
        <w:outlineLvl w:val="1"/>
        <w:rPr>
          <w:rFonts w:hint="eastAsia" w:ascii="宋体" w:hAnsi="宋体" w:eastAsia="宋体" w:cs="宋体"/>
          <w:b/>
          <w:bCs/>
          <w:color w:val="auto"/>
          <w:sz w:val="21"/>
          <w:szCs w:val="21"/>
          <w:highlight w:val="none"/>
        </w:rPr>
      </w:pPr>
      <w:bookmarkStart w:id="948" w:name="_Toc23431"/>
      <w:bookmarkStart w:id="949" w:name="_Toc16424"/>
      <w:r>
        <w:rPr>
          <w:rFonts w:hint="eastAsia" w:ascii="宋体" w:hAnsi="宋体" w:eastAsia="宋体" w:cs="宋体"/>
          <w:b/>
          <w:bCs/>
          <w:color w:val="auto"/>
          <w:sz w:val="21"/>
          <w:szCs w:val="21"/>
          <w:highlight w:val="none"/>
        </w:rPr>
        <w:t>七、定标报告</w:t>
      </w:r>
      <w:bookmarkEnd w:id="948"/>
      <w:bookmarkEnd w:id="949"/>
    </w:p>
    <w:p w14:paraId="26E6EF85">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定标委员会应当按照招标文件中明确的定标原则、方法和程序，在中标候选人中确定中标人，并形成书面定标报告，对所出具的定标报告承担责任。</w:t>
      </w:r>
    </w:p>
    <w:p w14:paraId="64BCA95C">
      <w:pPr>
        <w:pStyle w:val="87"/>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定标报告包括定标时间、定标地点、定标委员会成员名单、定标原则、定标方法、定标因素、定标程序及定标结果等内容。</w:t>
      </w:r>
    </w:p>
    <w:p w14:paraId="7087DB54">
      <w:pPr>
        <w:wordWrap w:val="0"/>
        <w:autoSpaceDE w:val="0"/>
        <w:autoSpaceDN w:val="0"/>
        <w:adjustRightInd w:val="0"/>
        <w:spacing w:line="360" w:lineRule="auto"/>
        <w:ind w:firstLine="420" w:firstLineChars="200"/>
        <w:outlineLvl w:val="1"/>
        <w:rPr>
          <w:rFonts w:hint="eastAsia" w:ascii="宋体" w:hAnsi="宋体" w:eastAsia="宋体" w:cs="宋体"/>
          <w:color w:val="auto"/>
          <w:sz w:val="21"/>
          <w:szCs w:val="21"/>
          <w:highlight w:val="none"/>
        </w:rPr>
      </w:pPr>
      <w:bookmarkStart w:id="950" w:name="_Toc21472"/>
      <w:bookmarkStart w:id="951" w:name="_Toc27971"/>
      <w:r>
        <w:rPr>
          <w:rFonts w:hint="eastAsia" w:ascii="宋体" w:hAnsi="宋体" w:eastAsia="宋体" w:cs="宋体"/>
          <w:color w:val="auto"/>
          <w:sz w:val="21"/>
          <w:szCs w:val="21"/>
          <w:highlight w:val="none"/>
        </w:rPr>
        <w:t>招标人应当在定标工作完成后3日内发布中标结果公示，公示期不少于3日。中标结果公示应当载明定标时间、定标地点、定标方法、中标人名称、中标价格、质量、工期、资格条件、项目经理信息等内容。</w:t>
      </w:r>
      <w:r>
        <w:rPr>
          <w:rFonts w:hint="eastAsia" w:ascii="宋体" w:hAnsi="宋体" w:eastAsia="宋体" w:cs="宋体"/>
          <w:color w:val="auto"/>
          <w:sz w:val="21"/>
          <w:szCs w:val="21"/>
          <w:highlight w:val="none"/>
          <w:lang w:val="en-US" w:eastAsia="zh-CN"/>
        </w:rPr>
        <w:t>核查未通过的中标候选人名单和原因，以及异议和投诉渠道等内容。</w:t>
      </w:r>
      <w:r>
        <w:rPr>
          <w:rFonts w:hint="eastAsia" w:ascii="宋体" w:hAnsi="宋体" w:eastAsia="宋体" w:cs="宋体"/>
          <w:color w:val="auto"/>
          <w:sz w:val="21"/>
          <w:szCs w:val="21"/>
          <w:highlight w:val="none"/>
        </w:rPr>
        <w:t>对中标结果公示有异议的，应当在公示期内向招标人提出。</w:t>
      </w:r>
    </w:p>
    <w:p w14:paraId="723ECCCD">
      <w:pPr>
        <w:wordWrap w:val="0"/>
        <w:autoSpaceDE w:val="0"/>
        <w:autoSpaceDN w:val="0"/>
        <w:adjustRightInd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八、定标后结果处置</w:t>
      </w:r>
      <w:bookmarkEnd w:id="950"/>
      <w:bookmarkEnd w:id="951"/>
    </w:p>
    <w:p w14:paraId="4AA30AEB">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952" w:name="OLE_LINK49"/>
      <w:r>
        <w:rPr>
          <w:rFonts w:hint="eastAsia" w:ascii="宋体" w:hAnsi="宋体" w:eastAsia="宋体" w:cs="宋体"/>
          <w:color w:val="auto"/>
          <w:sz w:val="21"/>
          <w:szCs w:val="21"/>
          <w:highlight w:val="none"/>
        </w:rPr>
        <w:t>（1）确定的中标人经公示后无异议，可以发放《中标通知书》。</w:t>
      </w:r>
    </w:p>
    <w:p w14:paraId="6D93B81A">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78BCBC1C">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133CD19D">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（4）定标后有下列情形之一的，应当重新定标</w:t>
      </w:r>
      <w:r>
        <w:rPr>
          <w:rFonts w:hint="eastAsia" w:ascii="宋体" w:hAnsi="宋体" w:eastAsia="宋体" w:cs="宋体"/>
          <w:color w:val="auto"/>
          <w:sz w:val="21"/>
          <w:szCs w:val="21"/>
          <w:highlight w:val="none"/>
          <w:lang w:eastAsia="zh-CN"/>
        </w:rPr>
        <w:t>：</w:t>
      </w:r>
    </w:p>
    <w:p w14:paraId="689C014F">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①定标委员会未按定标办法公正履职的</w:t>
      </w:r>
      <w:r>
        <w:rPr>
          <w:rFonts w:hint="eastAsia" w:ascii="宋体" w:hAnsi="宋体" w:eastAsia="宋体" w:cs="宋体"/>
          <w:color w:val="auto"/>
          <w:sz w:val="21"/>
          <w:szCs w:val="21"/>
          <w:highlight w:val="none"/>
          <w:lang w:eastAsia="zh-CN"/>
        </w:rPr>
        <w:t>；</w:t>
      </w:r>
    </w:p>
    <w:p w14:paraId="6835A9C4">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②定标委员会成员与中标候选人有利害关系且未回避的</w:t>
      </w:r>
      <w:r>
        <w:rPr>
          <w:rFonts w:hint="eastAsia" w:ascii="宋体" w:hAnsi="宋体" w:eastAsia="宋体" w:cs="宋体"/>
          <w:color w:val="auto"/>
          <w:sz w:val="21"/>
          <w:szCs w:val="21"/>
          <w:highlight w:val="none"/>
          <w:lang w:eastAsia="zh-CN"/>
        </w:rPr>
        <w:t>；</w:t>
      </w:r>
    </w:p>
    <w:p w14:paraId="08BBD7B8">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③招标文件规定的其他情形。</w:t>
      </w:r>
    </w:p>
    <w:bookmarkEnd w:id="952"/>
    <w:p w14:paraId="16345D60">
      <w:pPr>
        <w:rPr>
          <w:rFonts w:hint="eastAsia" w:ascii="宋体" w:hAnsi="宋体" w:eastAsia="宋体" w:cs="宋体"/>
          <w:b/>
          <w:color w:val="auto"/>
          <w:kern w:val="0"/>
          <w:sz w:val="36"/>
          <w:highlight w:val="none"/>
        </w:rPr>
      </w:pPr>
      <w:r>
        <w:rPr>
          <w:rFonts w:hint="eastAsia" w:ascii="宋体" w:hAnsi="宋体" w:eastAsia="宋体" w:cs="宋体"/>
          <w:b/>
          <w:color w:val="auto"/>
          <w:kern w:val="0"/>
          <w:sz w:val="36"/>
          <w:highlight w:val="none"/>
        </w:rPr>
        <w:br w:type="page"/>
      </w:r>
    </w:p>
    <w:p w14:paraId="3B025AE4">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highlight w:val="none"/>
        </w:rPr>
      </w:pPr>
      <w:r>
        <w:rPr>
          <w:rFonts w:hint="eastAsia" w:ascii="宋体" w:hAnsi="宋体" w:eastAsia="宋体" w:cs="宋体"/>
          <w:b/>
          <w:color w:val="auto"/>
          <w:kern w:val="0"/>
          <w:sz w:val="36"/>
          <w:highlight w:val="none"/>
        </w:rPr>
        <w:t>第五章 合同条款及格式</w:t>
      </w:r>
      <w:bookmarkEnd w:id="820"/>
      <w:bookmarkEnd w:id="821"/>
      <w:bookmarkEnd w:id="822"/>
      <w:bookmarkEnd w:id="823"/>
    </w:p>
    <w:p w14:paraId="36A9182D">
      <w:pPr>
        <w:wordWrap w:val="0"/>
        <w:autoSpaceDE w:val="0"/>
        <w:autoSpaceDN w:val="0"/>
        <w:adjustRightInd w:val="0"/>
        <w:spacing w:line="360" w:lineRule="auto"/>
        <w:ind w:right="-34" w:rightChars="-16" w:firstLine="1440" w:firstLineChars="600"/>
        <w:jc w:val="left"/>
        <w:rPr>
          <w:rFonts w:hint="eastAsia" w:ascii="宋体" w:hAnsi="宋体" w:eastAsia="宋体" w:cs="宋体"/>
          <w:color w:val="auto"/>
          <w:sz w:val="24"/>
          <w:highlight w:val="none"/>
        </w:rPr>
      </w:pPr>
    </w:p>
    <w:p w14:paraId="0D18AA8D">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24"/>
          <w:highlight w:val="none"/>
        </w:rPr>
        <w:t>（具体以招标人</w:t>
      </w:r>
      <w:r>
        <w:rPr>
          <w:rFonts w:hint="eastAsia" w:ascii="宋体" w:hAnsi="宋体" w:eastAsia="宋体" w:cs="宋体"/>
          <w:b/>
          <w:bCs/>
          <w:color w:val="auto"/>
          <w:sz w:val="24"/>
          <w:highlight w:val="none"/>
          <w:lang w:val="en-US" w:eastAsia="zh-CN"/>
        </w:rPr>
        <w:t>和</w:t>
      </w:r>
      <w:r>
        <w:rPr>
          <w:rFonts w:hint="eastAsia" w:ascii="宋体" w:hAnsi="宋体" w:eastAsia="宋体" w:cs="宋体"/>
          <w:b/>
          <w:bCs/>
          <w:color w:val="auto"/>
          <w:sz w:val="24"/>
          <w:highlight w:val="none"/>
        </w:rPr>
        <w:t>中标人签订合同为准）</w:t>
      </w:r>
    </w:p>
    <w:p w14:paraId="3846BDB6">
      <w:pPr>
        <w:pageBreakBefore w:val="0"/>
        <w:kinsoku/>
        <w:wordWrap w:val="0"/>
        <w:overflowPunct/>
        <w:topLinePunct w:val="0"/>
        <w:bidi w:val="0"/>
        <w:ind w:firstLine="2880" w:firstLineChars="900"/>
        <w:jc w:val="left"/>
        <w:rPr>
          <w:rFonts w:hint="eastAsia" w:ascii="宋体" w:hAnsi="宋体" w:eastAsia="宋体" w:cs="宋体"/>
          <w:bCs/>
          <w:color w:val="auto"/>
          <w:sz w:val="32"/>
          <w:szCs w:val="32"/>
          <w:highlight w:val="none"/>
        </w:rPr>
      </w:pPr>
    </w:p>
    <w:p w14:paraId="429F109F">
      <w:pPr>
        <w:pageBreakBefore w:val="0"/>
        <w:kinsoku/>
        <w:wordWrap w:val="0"/>
        <w:overflowPunct/>
        <w:topLinePunct w:val="0"/>
        <w:bidi w:val="0"/>
        <w:ind w:firstLine="2880" w:firstLineChars="900"/>
        <w:jc w:val="lef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（GF—2017—0201）</w:t>
      </w:r>
    </w:p>
    <w:p w14:paraId="6DA6A6B3">
      <w:pPr>
        <w:spacing w:line="360" w:lineRule="auto"/>
        <w:jc w:val="center"/>
        <w:rPr>
          <w:rFonts w:hint="eastAsia" w:ascii="宋体" w:hAnsi="宋体" w:eastAsia="宋体" w:cs="宋体"/>
          <w:b/>
          <w:bCs/>
          <w:color w:val="auto"/>
          <w:sz w:val="52"/>
          <w:szCs w:val="52"/>
          <w:highlight w:val="none"/>
        </w:rPr>
      </w:pPr>
    </w:p>
    <w:p w14:paraId="76AF7FA3">
      <w:pPr>
        <w:spacing w:line="360" w:lineRule="auto"/>
        <w:jc w:val="center"/>
        <w:rPr>
          <w:rFonts w:hint="eastAsia" w:ascii="宋体" w:hAnsi="宋体" w:eastAsia="宋体" w:cs="宋体"/>
          <w:b/>
          <w:color w:val="auto"/>
          <w:sz w:val="52"/>
          <w:szCs w:val="52"/>
          <w:highlight w:val="none"/>
        </w:rPr>
      </w:pPr>
    </w:p>
    <w:p w14:paraId="38807D81">
      <w:pPr>
        <w:spacing w:line="360" w:lineRule="auto"/>
        <w:jc w:val="center"/>
        <w:rPr>
          <w:rFonts w:hint="eastAsia" w:ascii="宋体" w:hAnsi="宋体" w:eastAsia="宋体" w:cs="宋体"/>
          <w:b/>
          <w:color w:val="auto"/>
          <w:sz w:val="52"/>
          <w:szCs w:val="52"/>
          <w:highlight w:val="none"/>
        </w:rPr>
      </w:pPr>
    </w:p>
    <w:p w14:paraId="09AE2DB3">
      <w:pPr>
        <w:spacing w:line="360" w:lineRule="auto"/>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建设工程施工合同</w:t>
      </w:r>
    </w:p>
    <w:p w14:paraId="58FFFD0A">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（示范文本）</w:t>
      </w:r>
    </w:p>
    <w:p w14:paraId="7A01E71A">
      <w:pPr>
        <w:spacing w:line="360" w:lineRule="auto"/>
        <w:rPr>
          <w:rFonts w:hint="eastAsia" w:ascii="宋体" w:hAnsi="宋体" w:eastAsia="宋体" w:cs="宋体"/>
          <w:b/>
          <w:color w:val="auto"/>
          <w:sz w:val="52"/>
          <w:szCs w:val="52"/>
          <w:highlight w:val="none"/>
        </w:rPr>
      </w:pPr>
    </w:p>
    <w:p w14:paraId="3F31533C">
      <w:pPr>
        <w:spacing w:line="360" w:lineRule="auto"/>
        <w:rPr>
          <w:rFonts w:hint="eastAsia" w:ascii="宋体" w:hAnsi="宋体" w:eastAsia="宋体" w:cs="宋体"/>
          <w:b/>
          <w:color w:val="auto"/>
          <w:sz w:val="28"/>
          <w:szCs w:val="28"/>
          <w:highlight w:val="none"/>
        </w:rPr>
      </w:pPr>
    </w:p>
    <w:p w14:paraId="1B85E50B">
      <w:pPr>
        <w:spacing w:line="360" w:lineRule="auto"/>
        <w:rPr>
          <w:rFonts w:hint="eastAsia" w:ascii="宋体" w:hAnsi="宋体" w:eastAsia="宋体" w:cs="宋体"/>
          <w:b/>
          <w:color w:val="auto"/>
          <w:sz w:val="28"/>
          <w:szCs w:val="28"/>
          <w:highlight w:val="none"/>
        </w:rPr>
      </w:pPr>
    </w:p>
    <w:p w14:paraId="57BB9136">
      <w:pPr>
        <w:spacing w:line="360" w:lineRule="auto"/>
        <w:rPr>
          <w:rFonts w:hint="eastAsia" w:ascii="宋体" w:hAnsi="宋体" w:eastAsia="宋体" w:cs="宋体"/>
          <w:b/>
          <w:color w:val="auto"/>
          <w:sz w:val="28"/>
          <w:szCs w:val="28"/>
          <w:highlight w:val="none"/>
        </w:rPr>
      </w:pPr>
    </w:p>
    <w:p w14:paraId="2EAE4BDE">
      <w:pPr>
        <w:spacing w:line="360" w:lineRule="auto"/>
        <w:rPr>
          <w:rFonts w:hint="eastAsia" w:ascii="宋体" w:hAnsi="宋体" w:eastAsia="宋体" w:cs="宋体"/>
          <w:b/>
          <w:color w:val="auto"/>
          <w:sz w:val="28"/>
          <w:szCs w:val="28"/>
          <w:highlight w:val="none"/>
        </w:rPr>
      </w:pPr>
    </w:p>
    <w:p w14:paraId="0736FDDF">
      <w:pPr>
        <w:spacing w:line="360" w:lineRule="auto"/>
        <w:ind w:right="2719" w:rightChars="1295" w:firstLine="2738" w:firstLineChars="1304"/>
        <w:jc w:val="distribute"/>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4742180</wp:posOffset>
                </wp:positionH>
                <wp:positionV relativeFrom="paragraph">
                  <wp:posOffset>66040</wp:posOffset>
                </wp:positionV>
                <wp:extent cx="723900" cy="457200"/>
                <wp:effectExtent l="4445" t="4445" r="18415" b="10795"/>
                <wp:wrapNone/>
                <wp:docPr id="5"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0473DE91">
                            <w:pPr>
                              <w:rPr>
                                <w:b/>
                                <w:bCs/>
                                <w:sz w:val="32"/>
                              </w:rPr>
                            </w:pPr>
                            <w:r>
                              <w:rPr>
                                <w:rFonts w:hint="eastAsia"/>
                                <w:b/>
                                <w:bCs/>
                                <w:sz w:val="32"/>
                              </w:rPr>
                              <w:t>制定</w:t>
                            </w:r>
                          </w:p>
                        </w:txbxContent>
                      </wps:txbx>
                      <wps:bodyPr wrap="square" upright="1"/>
                    </wps:wsp>
                  </a:graphicData>
                </a:graphic>
              </wp:anchor>
            </w:drawing>
          </mc:Choice>
          <mc:Fallback>
            <w:pict>
              <v:shape id="文本框 2" o:spid="_x0000_s1026" o:spt="202" type="#_x0000_t202" style="position:absolute;left:0pt;margin-left:373.4pt;margin-top:5.2pt;height:36pt;width:57pt;z-index:251664384;mso-width-relative:page;mso-height-relative:page;" filled="f" stroked="t" coordsize="21600,21600" o:gfxdata="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V6f69cAAAAJAQAADwAAAAAA&#10;AAABACAAAAAiAAAAZHJzL2Rvd25yZXYueG1sUEsBAhQAFAAAAAgAh07iQJP2D5MUAgAAKAQAAA4A&#10;AAAAAAAAAQAgAAAAJgEAAGRycy9lMm9Eb2MueG1sUEsFBgAAAAAGAAYAWQEAAKwFAAAAAA==&#10;">
                <v:fill on="f" focussize="0,0"/>
                <v:stroke color="#FFFFFF" joinstyle="miter"/>
                <v:imagedata o:title=""/>
                <o:lock v:ext="edit" aspectratio="f"/>
                <v:textbox>
                  <w:txbxContent>
                    <w:p w14:paraId="0473DE91">
                      <w:pPr>
                        <w:rPr>
                          <w:b/>
                          <w:bCs/>
                          <w:sz w:val="32"/>
                        </w:rPr>
                      </w:pPr>
                      <w:r>
                        <w:rPr>
                          <w:rFonts w:hint="eastAsia"/>
                          <w:b/>
                          <w:bCs/>
                          <w:sz w:val="32"/>
                        </w:rPr>
                        <w:t>制定</w:t>
                      </w:r>
                    </w:p>
                  </w:txbxContent>
                </v:textbox>
              </v:shape>
            </w:pict>
          </mc:Fallback>
        </mc:AlternateContent>
      </w:r>
      <w:r>
        <w:rPr>
          <w:rFonts w:hint="eastAsia" w:ascii="宋体" w:hAnsi="宋体" w:eastAsia="宋体" w:cs="宋体"/>
          <w:b/>
          <w:color w:val="auto"/>
          <w:sz w:val="32"/>
          <w:szCs w:val="28"/>
          <w:highlight w:val="none"/>
        </w:rPr>
        <w:t>住房城乡建设部</w:t>
      </w:r>
    </w:p>
    <w:p w14:paraId="2D98738C">
      <w:pPr>
        <w:spacing w:line="360" w:lineRule="auto"/>
        <w:ind w:right="2719" w:rightChars="1295" w:firstLine="2750" w:firstLineChars="856"/>
        <w:jc w:val="distribute"/>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国家工商行政管理总局</w:t>
      </w:r>
      <w:bookmarkStart w:id="953" w:name="_Toc296503025"/>
      <w:bookmarkStart w:id="954" w:name="_Toc296890982"/>
    </w:p>
    <w:p w14:paraId="7C6F3ABF">
      <w:pPr>
        <w:spacing w:line="360" w:lineRule="auto"/>
        <w:ind w:right="2719" w:rightChars="1295" w:firstLine="2750" w:firstLineChars="856"/>
        <w:jc w:val="distribute"/>
        <w:rPr>
          <w:rFonts w:hint="eastAsia" w:ascii="宋体" w:hAnsi="宋体" w:eastAsia="宋体" w:cs="宋体"/>
          <w:b/>
          <w:color w:val="auto"/>
          <w:sz w:val="32"/>
          <w:szCs w:val="28"/>
          <w:highlight w:val="none"/>
        </w:rPr>
      </w:pPr>
    </w:p>
    <w:p w14:paraId="251FC9A4">
      <w:pPr>
        <w:pStyle w:val="188"/>
        <w:spacing w:before="0" w:after="0" w:line="360" w:lineRule="auto"/>
        <w:jc w:val="center"/>
        <w:outlineLvl w:val="0"/>
        <w:rPr>
          <w:rFonts w:hint="eastAsia" w:ascii="宋体" w:hAnsi="宋体" w:eastAsia="宋体" w:cs="宋体"/>
          <w:color w:val="auto"/>
          <w:highlight w:val="none"/>
          <w:lang w:val="zh-CN"/>
        </w:rPr>
      </w:pPr>
      <w:bookmarkStart w:id="955" w:name="_Toc9461"/>
      <w:r>
        <w:rPr>
          <w:rFonts w:hint="eastAsia" w:ascii="宋体" w:hAnsi="宋体" w:eastAsia="宋体" w:cs="宋体"/>
          <w:color w:val="auto"/>
          <w:szCs w:val="32"/>
          <w:highlight w:val="none"/>
        </w:rPr>
        <w:br w:type="page"/>
      </w:r>
      <w:bookmarkEnd w:id="953"/>
      <w:bookmarkEnd w:id="954"/>
      <w:bookmarkEnd w:id="955"/>
      <w:bookmarkStart w:id="956" w:name="_Toc19211"/>
      <w:bookmarkStart w:id="957" w:name="_Toc19308"/>
      <w:r>
        <w:rPr>
          <w:rFonts w:hint="eastAsia" w:ascii="宋体" w:hAnsi="宋体" w:eastAsia="宋体" w:cs="宋体"/>
          <w:color w:val="auto"/>
          <w:highlight w:val="none"/>
          <w:lang w:val="zh-CN"/>
        </w:rPr>
        <w:t>说  明</w:t>
      </w:r>
      <w:bookmarkEnd w:id="956"/>
      <w:bookmarkEnd w:id="957"/>
    </w:p>
    <w:p w14:paraId="1200F948">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5482B25B">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958" w:name="_Toc19427"/>
      <w:bookmarkStart w:id="959" w:name="_Toc19782"/>
      <w:r>
        <w:rPr>
          <w:rFonts w:hint="eastAsia" w:ascii="宋体" w:hAnsi="宋体" w:eastAsia="宋体" w:cs="宋体"/>
          <w:color w:val="auto"/>
          <w:kern w:val="0"/>
          <w:szCs w:val="21"/>
          <w:highlight w:val="none"/>
        </w:rPr>
        <w:t>一、《示范文本》的组成</w:t>
      </w:r>
      <w:bookmarkEnd w:id="958"/>
      <w:bookmarkEnd w:id="959"/>
    </w:p>
    <w:p w14:paraId="3E4BF19D">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《示范文本》由合同协议书、通用合同条款和专用合同条款三部分组成。</w:t>
      </w:r>
    </w:p>
    <w:p w14:paraId="7A2A52E3">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960" w:name="_Toc19422"/>
      <w:bookmarkStart w:id="961" w:name="_Toc15847"/>
      <w:r>
        <w:rPr>
          <w:rFonts w:hint="eastAsia" w:ascii="宋体" w:hAnsi="宋体" w:eastAsia="宋体" w:cs="宋体"/>
          <w:color w:val="auto"/>
          <w:kern w:val="0"/>
          <w:szCs w:val="21"/>
          <w:highlight w:val="none"/>
        </w:rPr>
        <w:t>（一）合同协议书</w:t>
      </w:r>
      <w:bookmarkEnd w:id="960"/>
      <w:bookmarkEnd w:id="961"/>
    </w:p>
    <w:p w14:paraId="13FC41AF">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066CA171">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962" w:name="_Toc24163"/>
      <w:bookmarkStart w:id="963" w:name="_Toc4183"/>
      <w:r>
        <w:rPr>
          <w:rFonts w:hint="eastAsia" w:ascii="宋体" w:hAnsi="宋体" w:eastAsia="宋体" w:cs="宋体"/>
          <w:color w:val="auto"/>
          <w:kern w:val="0"/>
          <w:szCs w:val="21"/>
          <w:highlight w:val="none"/>
        </w:rPr>
        <w:t>（二）通用合同条款</w:t>
      </w:r>
      <w:bookmarkEnd w:id="962"/>
      <w:bookmarkEnd w:id="963"/>
    </w:p>
    <w:p w14:paraId="0DD77A88">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5CD233C9">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03C94ACF">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964" w:name="_Toc20959"/>
      <w:bookmarkStart w:id="965" w:name="_Toc26373"/>
      <w:r>
        <w:rPr>
          <w:rFonts w:hint="eastAsia" w:ascii="宋体" w:hAnsi="宋体" w:eastAsia="宋体" w:cs="宋体"/>
          <w:color w:val="auto"/>
          <w:kern w:val="0"/>
          <w:szCs w:val="21"/>
          <w:highlight w:val="none"/>
        </w:rPr>
        <w:t>（三）专用合同条款</w:t>
      </w:r>
      <w:bookmarkEnd w:id="964"/>
      <w:bookmarkEnd w:id="965"/>
    </w:p>
    <w:p w14:paraId="3F40167C">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3585616">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1.专用合同条款的编号应与相应的通用合同条款的编号一致；</w:t>
      </w:r>
    </w:p>
    <w:p w14:paraId="0A357706">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2.合同当事人可以通过对专用合同条款的修改，满足具体建设工程的特殊要求，避免直接修改通用合同条款；</w:t>
      </w:r>
    </w:p>
    <w:p w14:paraId="3B007C76">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3.在专用合同条款中有横道线的地方，合同当事人可针对相应的通用合同条款进行细化、完善、补充、修改或另行约定；如无细化、完善、补充、修改或另行约定，则填写“无”或划“/”。</w:t>
      </w:r>
    </w:p>
    <w:p w14:paraId="63973C1B">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966" w:name="_Toc3036"/>
      <w:bookmarkStart w:id="967" w:name="_Toc2897"/>
      <w:r>
        <w:rPr>
          <w:rFonts w:hint="eastAsia" w:ascii="宋体" w:hAnsi="宋体" w:eastAsia="宋体" w:cs="宋体"/>
          <w:color w:val="auto"/>
          <w:kern w:val="0"/>
          <w:szCs w:val="21"/>
          <w:highlight w:val="none"/>
        </w:rPr>
        <w:t>二、《示范文本》的性质和适用范围</w:t>
      </w:r>
      <w:bookmarkEnd w:id="966"/>
      <w:bookmarkEnd w:id="967"/>
    </w:p>
    <w:p w14:paraId="14D057B8">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sectPr>
          <w:footerReference r:id="rId16" w:type="first"/>
          <w:footerReference r:id="rId15" w:type="default"/>
          <w:pgSz w:w="11906" w:h="16838"/>
          <w:pgMar w:top="1440" w:right="1423" w:bottom="1440" w:left="1423" w:header="851" w:footer="992" w:gutter="0"/>
          <w:pgNumType w:fmt="decimal"/>
          <w:cols w:space="720" w:num="1"/>
          <w:titlePg/>
          <w:docGrid w:linePitch="312" w:charSpace="0"/>
        </w:sectPr>
      </w:pPr>
      <w:r>
        <w:rPr>
          <w:rFonts w:hint="eastAsia" w:ascii="宋体" w:hAnsi="宋体" w:eastAsia="宋体" w:cs="宋体"/>
          <w:color w:val="auto"/>
          <w:kern w:val="0"/>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64A4AE9F">
      <w:pPr>
        <w:pStyle w:val="4"/>
        <w:spacing w:before="0" w:after="0" w:line="360" w:lineRule="auto"/>
        <w:jc w:val="center"/>
        <w:rPr>
          <w:rFonts w:hint="eastAsia" w:ascii="宋体" w:hAnsi="宋体" w:eastAsia="宋体" w:cs="宋体"/>
          <w:b w:val="0"/>
          <w:color w:val="auto"/>
          <w:kern w:val="0"/>
          <w:sz w:val="16"/>
          <w:szCs w:val="16"/>
          <w:highlight w:val="none"/>
        </w:rPr>
      </w:pPr>
      <w:bookmarkStart w:id="968" w:name="_Toc13199"/>
      <w:r>
        <w:rPr>
          <w:rFonts w:hint="eastAsia" w:ascii="宋体" w:hAnsi="宋体" w:eastAsia="宋体" w:cs="宋体"/>
          <w:color w:val="auto"/>
          <w:szCs w:val="32"/>
          <w:highlight w:val="none"/>
        </w:rPr>
        <w:t>第一部分 合同协议书</w:t>
      </w:r>
      <w:bookmarkEnd w:id="968"/>
    </w:p>
    <w:p w14:paraId="0B568FD6">
      <w:pP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 w:val="22"/>
          <w:szCs w:val="22"/>
          <w:highlight w:val="none"/>
        </w:rPr>
        <w:t>发包人（全称）：</w:t>
      </w:r>
      <w:r>
        <w:rPr>
          <w:rFonts w:hint="eastAsia" w:ascii="宋体" w:hAnsi="宋体" w:eastAsia="宋体" w:cs="宋体"/>
          <w:b/>
          <w:color w:val="auto"/>
          <w:szCs w:val="21"/>
          <w:highlight w:val="none"/>
          <w:u w:val="single"/>
        </w:rPr>
        <w:t></w:t>
      </w:r>
      <w:r>
        <w:rPr>
          <w:rFonts w:hint="eastAsia" w:ascii="宋体" w:hAnsi="宋体" w:cs="宋体"/>
          <w:bCs/>
          <w:color w:val="auto"/>
          <w:szCs w:val="21"/>
          <w:highlight w:val="none"/>
          <w:u w:val="single"/>
          <w:lang w:eastAsia="zh-CN"/>
        </w:rPr>
        <w:t>西平县二郎镇人民政府</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
          <w:color w:val="auto"/>
          <w:szCs w:val="21"/>
          <w:highlight w:val="none"/>
          <w:u w:val="single"/>
        </w:rPr>
        <w:t></w:t>
      </w:r>
    </w:p>
    <w:p w14:paraId="52E00E6F">
      <w:pP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承包人（全称）：</w:t>
      </w:r>
      <w:r>
        <w:rPr>
          <w:rFonts w:hint="eastAsia" w:ascii="宋体" w:hAnsi="宋体" w:eastAsia="宋体" w:cs="宋体"/>
          <w:b/>
          <w:color w:val="auto"/>
          <w:szCs w:val="21"/>
          <w:highlight w:val="none"/>
          <w:u w:val="single"/>
        </w:rPr>
        <w:t xml:space="preserve">                 </w:t>
      </w:r>
    </w:p>
    <w:p w14:paraId="367D572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西平县二郎镇人民政府2025年西平县二郎镇肉牛养殖产业园项目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施工及有关事项协商一致，共同达成如下协议：</w:t>
      </w:r>
    </w:p>
    <w:p w14:paraId="3726AF33">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69" w:name="_Toc32156"/>
      <w:r>
        <w:rPr>
          <w:rFonts w:hint="eastAsia" w:ascii="宋体" w:hAnsi="宋体" w:eastAsia="宋体" w:cs="宋体"/>
          <w:b w:val="0"/>
          <w:color w:val="auto"/>
          <w:szCs w:val="21"/>
          <w:highlight w:val="none"/>
        </w:rPr>
        <w:t>一、工程概况</w:t>
      </w:r>
      <w:bookmarkEnd w:id="969"/>
    </w:p>
    <w:p w14:paraId="246E96EE">
      <w:pPr>
        <w:spacing w:line="360" w:lineRule="auto"/>
        <w:ind w:firstLine="411" w:firstLineChars="196"/>
        <w:rPr>
          <w:rFonts w:hint="eastAsia" w:ascii="宋体" w:hAnsi="宋体" w:eastAsia="宋体" w:cs="宋体"/>
          <w:color w:val="FF0000"/>
          <w:szCs w:val="21"/>
          <w:highlight w:val="none"/>
          <w:u w:val="single"/>
          <w:lang w:eastAsia="zh-CN"/>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lang w:eastAsia="zh-CN"/>
        </w:rPr>
        <w:t>西平县二郎镇人民政府2025年西平县二郎镇肉牛养殖产业园项目</w:t>
      </w:r>
    </w:p>
    <w:p w14:paraId="02051847">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u w:val="single"/>
          <w:lang w:eastAsia="zh-CN"/>
        </w:rPr>
        <w:t>西平县</w:t>
      </w:r>
      <w:r>
        <w:rPr>
          <w:rFonts w:hint="eastAsia" w:ascii="宋体" w:hAnsi="宋体" w:eastAsia="宋体" w:cs="宋体"/>
          <w:bCs/>
          <w:color w:val="auto"/>
          <w:szCs w:val="21"/>
          <w:highlight w:val="none"/>
          <w:u w:val="single"/>
          <w:lang w:val="en-US" w:eastAsia="zh-CN"/>
        </w:rPr>
        <w:t>境内</w:t>
      </w:r>
      <w:r>
        <w:rPr>
          <w:rFonts w:hint="eastAsia" w:ascii="宋体" w:hAnsi="宋体" w:eastAsia="宋体" w:cs="宋体"/>
          <w:color w:val="auto"/>
          <w:szCs w:val="21"/>
          <w:highlight w:val="none"/>
        </w:rPr>
        <w:t xml:space="preserve">  ；</w:t>
      </w:r>
      <w:r>
        <w:rPr>
          <w:rFonts w:hint="eastAsia" w:ascii="宋体" w:hAnsi="宋体" w:eastAsia="宋体" w:cs="宋体"/>
          <w:bCs/>
          <w:color w:val="auto"/>
          <w:szCs w:val="21"/>
          <w:highlight w:val="none"/>
        </w:rPr>
        <w:t xml:space="preserve"> </w:t>
      </w:r>
    </w:p>
    <w:p w14:paraId="50308F0C">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w:t>
      </w:r>
    </w:p>
    <w:p w14:paraId="4CE7FAB5">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4.资金来源：</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自行支付</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w:t>
      </w:r>
    </w:p>
    <w:p w14:paraId="6FBA8CE0">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5.工程内容：</w:t>
      </w:r>
      <w:r>
        <w:rPr>
          <w:rFonts w:hint="eastAsia" w:ascii="宋体" w:hAnsi="宋体" w:eastAsia="宋体" w:cs="宋体"/>
          <w:color w:val="auto"/>
          <w:szCs w:val="21"/>
          <w:highlight w:val="none"/>
          <w:u w:val="single"/>
        </w:rPr>
        <w:t xml:space="preserve"> 该项目位于西平县</w:t>
      </w:r>
      <w:r>
        <w:rPr>
          <w:rFonts w:hint="eastAsia" w:ascii="宋体" w:hAnsi="宋体" w:eastAsia="宋体" w:cs="宋体"/>
          <w:color w:val="auto"/>
          <w:szCs w:val="21"/>
          <w:highlight w:val="none"/>
          <w:u w:val="single"/>
          <w:lang w:eastAsia="zh-CN"/>
        </w:rPr>
        <w:t>二郎镇</w:t>
      </w:r>
      <w:r>
        <w:rPr>
          <w:rFonts w:hint="eastAsia" w:ascii="宋体" w:hAnsi="宋体" w:eastAsia="宋体" w:cs="宋体"/>
          <w:color w:val="auto"/>
          <w:szCs w:val="21"/>
          <w:highlight w:val="none"/>
          <w:u w:val="single"/>
        </w:rPr>
        <w:t>，本次招标范围新建钢结牛舍两座，建筑面积4806平方米，新建钢结构仓库一座，建筑面积4677.4平方米。</w:t>
      </w:r>
    </w:p>
    <w:p w14:paraId="3666C779">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群体工程应附《承包人承揽工程项目一览表》（附件1）。</w:t>
      </w:r>
    </w:p>
    <w:p w14:paraId="490881E8">
      <w:pPr>
        <w:spacing w:line="360" w:lineRule="auto"/>
        <w:ind w:firstLine="411" w:firstLineChars="196"/>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6.工程承包范围：</w:t>
      </w:r>
      <w:r>
        <w:rPr>
          <w:rFonts w:hint="eastAsia" w:ascii="宋体" w:hAnsi="宋体" w:eastAsia="宋体" w:cs="宋体"/>
          <w:bCs/>
          <w:color w:val="auto"/>
          <w:szCs w:val="21"/>
          <w:highlight w:val="none"/>
          <w:u w:val="single"/>
        </w:rPr>
        <w:t>本项目招标文件、施工图纸及工程量清单所含全部内容（最终以工程量清单、施工图纸内容和施工招标答疑纪要为准）</w:t>
      </w:r>
    </w:p>
    <w:p w14:paraId="5C5E43E9">
      <w:pPr>
        <w:pStyle w:val="5"/>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 xml:space="preserve">   </w:t>
      </w:r>
      <w:bookmarkStart w:id="970" w:name="_Toc31265"/>
      <w:r>
        <w:rPr>
          <w:rFonts w:hint="eastAsia" w:ascii="宋体" w:hAnsi="宋体" w:eastAsia="宋体" w:cs="宋体"/>
          <w:b w:val="0"/>
          <w:color w:val="auto"/>
          <w:szCs w:val="21"/>
          <w:highlight w:val="none"/>
        </w:rPr>
        <w:t>二、合同工期</w:t>
      </w:r>
      <w:bookmarkEnd w:id="970"/>
    </w:p>
    <w:p w14:paraId="53CEAE64">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日。</w:t>
      </w:r>
    </w:p>
    <w:p w14:paraId="6FF155C4">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日。</w:t>
      </w:r>
    </w:p>
    <w:p w14:paraId="59D3DCF2">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eastAsia="宋体" w:cs="宋体"/>
          <w:color w:val="auto"/>
          <w:szCs w:val="21"/>
          <w:highlight w:val="none"/>
          <w:u w:val="single"/>
        </w:rPr>
        <w:t></w:t>
      </w:r>
      <w:r>
        <w:rPr>
          <w:rFonts w:hint="eastAsia" w:ascii="宋体" w:hAnsi="宋体" w:cs="宋体"/>
          <w:color w:val="auto"/>
          <w:szCs w:val="21"/>
          <w:highlight w:val="none"/>
          <w:u w:val="single"/>
          <w:lang w:val="en-US" w:eastAsia="zh-CN"/>
        </w:rPr>
        <w:t>60日历</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天。工期总日历天数与根据前述计划开竣工日期计算的工期天数不一致的，以工期总日历天数为准。</w:t>
      </w:r>
    </w:p>
    <w:p w14:paraId="51F76D67">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bookmarkStart w:id="971" w:name="_Toc30164"/>
      <w:r>
        <w:rPr>
          <w:rFonts w:hint="eastAsia" w:ascii="宋体" w:hAnsi="宋体" w:eastAsia="宋体" w:cs="宋体"/>
          <w:b w:val="0"/>
          <w:color w:val="auto"/>
          <w:szCs w:val="21"/>
          <w:highlight w:val="none"/>
        </w:rPr>
        <w:t>三、质量标准</w:t>
      </w:r>
      <w:bookmarkEnd w:id="971"/>
    </w:p>
    <w:p w14:paraId="4770D0B3">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工程质量符合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合格</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标准。</w:t>
      </w:r>
    </w:p>
    <w:p w14:paraId="03B4A75E">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72" w:name="_Toc24801"/>
      <w:r>
        <w:rPr>
          <w:rFonts w:hint="eastAsia" w:ascii="宋体" w:hAnsi="宋体" w:eastAsia="宋体" w:cs="宋体"/>
          <w:b w:val="0"/>
          <w:color w:val="auto"/>
          <w:szCs w:val="21"/>
          <w:highlight w:val="none"/>
        </w:rPr>
        <w:t>四、签约合同价与合同价格形式</w:t>
      </w:r>
      <w:bookmarkEnd w:id="972"/>
      <w:r>
        <w:rPr>
          <w:rFonts w:hint="eastAsia" w:ascii="宋体" w:hAnsi="宋体" w:eastAsia="宋体" w:cs="宋体"/>
          <w:b w:val="0"/>
          <w:color w:val="auto"/>
          <w:szCs w:val="21"/>
          <w:highlight w:val="none"/>
        </w:rPr>
        <w:tab/>
      </w:r>
    </w:p>
    <w:p w14:paraId="0E8F2C0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221151B8">
      <w:pPr>
        <w:spacing w:line="360" w:lineRule="auto"/>
        <w:ind w:firstLine="525" w:firstLine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0069117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2CD1792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（1）安全文明施工费：</w:t>
      </w:r>
    </w:p>
    <w:p w14:paraId="353B86B2">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64DEDBC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（2）材料和工程设备暂估价金额：</w:t>
      </w:r>
    </w:p>
    <w:p w14:paraId="1BBFD1EE">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4ADE9DE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（3）专业工程暂估价金额：</w:t>
      </w:r>
    </w:p>
    <w:p w14:paraId="33E6EFB9">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1174A4A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（4）暂列金额：</w:t>
      </w:r>
    </w:p>
    <w:p w14:paraId="762CAD19">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63E8772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821F370">
      <w:pPr>
        <w:pStyle w:val="5"/>
        <w:rPr>
          <w:rFonts w:hint="eastAsia" w:ascii="宋体" w:hAnsi="宋体" w:eastAsia="宋体" w:cs="宋体"/>
          <w:b w:val="0"/>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73" w:name="_Toc12157"/>
      <w:r>
        <w:rPr>
          <w:rFonts w:hint="eastAsia" w:ascii="宋体" w:hAnsi="宋体" w:eastAsia="宋体" w:cs="宋体"/>
          <w:b w:val="0"/>
          <w:color w:val="auto"/>
          <w:szCs w:val="21"/>
          <w:highlight w:val="none"/>
        </w:rPr>
        <w:t>五、项目经理</w:t>
      </w:r>
      <w:bookmarkEnd w:id="973"/>
    </w:p>
    <w:p w14:paraId="0530615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1EEFCCD">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74" w:name="_Toc21971"/>
      <w:r>
        <w:rPr>
          <w:rFonts w:hint="eastAsia" w:ascii="宋体" w:hAnsi="宋体" w:eastAsia="宋体" w:cs="宋体"/>
          <w:b w:val="0"/>
          <w:color w:val="auto"/>
          <w:szCs w:val="21"/>
          <w:highlight w:val="none"/>
        </w:rPr>
        <w:t>六、合同文件构成</w:t>
      </w:r>
      <w:bookmarkEnd w:id="974"/>
    </w:p>
    <w:p w14:paraId="43F2CFC0">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4B69FF78">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（1）中标通知书（如果有）；</w:t>
      </w:r>
    </w:p>
    <w:p w14:paraId="27AA1D4C">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p>
    <w:p w14:paraId="4C16E255">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（3）专用合同条款及其附件；</w:t>
      </w:r>
    </w:p>
    <w:p w14:paraId="6DD718C2">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（4）通用合同条款；</w:t>
      </w:r>
    </w:p>
    <w:p w14:paraId="4F634C67">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（5）技术标准和要求；</w:t>
      </w:r>
    </w:p>
    <w:p w14:paraId="12F2E153">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w:t>
      </w:r>
    </w:p>
    <w:p w14:paraId="6BD1D6C5">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（7）已标价工程量清单或预算书；</w:t>
      </w:r>
    </w:p>
    <w:p w14:paraId="69460994">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01AC2829">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34FED2E0">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30CCC876">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r>
        <w:rPr>
          <w:rFonts w:hint="eastAsia" w:ascii="宋体" w:hAnsi="宋体" w:eastAsia="宋体" w:cs="宋体"/>
          <w:b w:val="0"/>
          <w:color w:val="auto"/>
          <w:szCs w:val="21"/>
          <w:highlight w:val="none"/>
        </w:rPr>
        <w:t xml:space="preserve"> </w:t>
      </w:r>
      <w:bookmarkStart w:id="975" w:name="_Toc10239"/>
      <w:r>
        <w:rPr>
          <w:rFonts w:hint="eastAsia" w:ascii="宋体" w:hAnsi="宋体" w:eastAsia="宋体" w:cs="宋体"/>
          <w:b w:val="0"/>
          <w:color w:val="auto"/>
          <w:szCs w:val="21"/>
          <w:highlight w:val="none"/>
        </w:rPr>
        <w:t>七、承诺</w:t>
      </w:r>
      <w:bookmarkEnd w:id="975"/>
    </w:p>
    <w:p w14:paraId="01000FE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0F4FD7C2">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488A4997">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Cs/>
          <w:color w:val="auto"/>
          <w:szCs w:val="21"/>
          <w:highlight w:val="none"/>
        </w:rPr>
        <w:t>3.发包人和承包人通过招投标形式签订合同的，双方理解并承诺不再就同一工程另行签订与合同实质</w:t>
      </w:r>
      <w:r>
        <w:rPr>
          <w:rFonts w:hint="eastAsia" w:ascii="宋体" w:hAnsi="宋体" w:eastAsia="宋体" w:cs="宋体"/>
          <w:b w:val="0"/>
          <w:bCs/>
          <w:color w:val="auto"/>
          <w:szCs w:val="21"/>
          <w:highlight w:val="none"/>
        </w:rPr>
        <w:t>性内容相背离的协议。</w:t>
      </w:r>
    </w:p>
    <w:p w14:paraId="4B9E2598">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八、词语含义</w:t>
      </w:r>
    </w:p>
    <w:p w14:paraId="3158EA25">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本协议书中词语含义与第二部分通用合同条款中赋予的含义相同。</w:t>
      </w:r>
    </w:p>
    <w:p w14:paraId="4AF3280C">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76" w:name="_Toc12000"/>
      <w:r>
        <w:rPr>
          <w:rFonts w:hint="eastAsia" w:ascii="宋体" w:hAnsi="宋体" w:eastAsia="宋体" w:cs="宋体"/>
          <w:b w:val="0"/>
          <w:bCs/>
          <w:color w:val="auto"/>
          <w:szCs w:val="21"/>
          <w:highlight w:val="none"/>
        </w:rPr>
        <w:t>九、签订时间</w:t>
      </w:r>
      <w:bookmarkEnd w:id="976"/>
    </w:p>
    <w:p w14:paraId="0DD7408C">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本合同于</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年</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月</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日签订。</w:t>
      </w:r>
    </w:p>
    <w:p w14:paraId="7DA6EF27">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77" w:name="_Toc31553"/>
      <w:r>
        <w:rPr>
          <w:rFonts w:hint="eastAsia" w:ascii="宋体" w:hAnsi="宋体" w:eastAsia="宋体" w:cs="宋体"/>
          <w:b w:val="0"/>
          <w:bCs/>
          <w:color w:val="auto"/>
          <w:szCs w:val="21"/>
          <w:highlight w:val="none"/>
        </w:rPr>
        <w:t>十、签订地点</w:t>
      </w:r>
      <w:bookmarkEnd w:id="977"/>
    </w:p>
    <w:p w14:paraId="5240C0EF">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本合同在</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签订。</w:t>
      </w:r>
    </w:p>
    <w:p w14:paraId="50AFC9D9">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78" w:name="_Toc10117"/>
      <w:r>
        <w:rPr>
          <w:rFonts w:hint="eastAsia" w:ascii="宋体" w:hAnsi="宋体" w:eastAsia="宋体" w:cs="宋体"/>
          <w:b w:val="0"/>
          <w:bCs/>
          <w:color w:val="auto"/>
          <w:szCs w:val="21"/>
          <w:highlight w:val="none"/>
        </w:rPr>
        <w:t>十一、补充协议</w:t>
      </w:r>
      <w:bookmarkEnd w:id="978"/>
    </w:p>
    <w:p w14:paraId="658E8234">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合同未尽事宜，合同当事人另行签订补充协议，补充协议是合同的组成部分。</w:t>
      </w:r>
    </w:p>
    <w:p w14:paraId="46436520">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79" w:name="_Toc4398"/>
      <w:r>
        <w:rPr>
          <w:rFonts w:hint="eastAsia" w:ascii="宋体" w:hAnsi="宋体" w:eastAsia="宋体" w:cs="宋体"/>
          <w:b w:val="0"/>
          <w:bCs/>
          <w:color w:val="auto"/>
          <w:szCs w:val="21"/>
          <w:highlight w:val="none"/>
        </w:rPr>
        <w:t>十二、合同生效</w:t>
      </w:r>
      <w:bookmarkEnd w:id="979"/>
    </w:p>
    <w:p w14:paraId="0545F4CE">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本合同自</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生效。</w:t>
      </w:r>
    </w:p>
    <w:p w14:paraId="13FA17B1">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80" w:name="_Toc24773"/>
      <w:r>
        <w:rPr>
          <w:rFonts w:hint="eastAsia" w:ascii="宋体" w:hAnsi="宋体" w:eastAsia="宋体" w:cs="宋体"/>
          <w:b w:val="0"/>
          <w:bCs/>
          <w:color w:val="auto"/>
          <w:szCs w:val="21"/>
          <w:highlight w:val="none"/>
        </w:rPr>
        <w:t>十三、合同份数</w:t>
      </w:r>
      <w:bookmarkEnd w:id="980"/>
    </w:p>
    <w:p w14:paraId="35A76627">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本合同一式</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份，均具有同等法律效力，发包人执</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份，承包人执</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w:t>
      </w:r>
    </w:p>
    <w:p w14:paraId="5F5FD5CE">
      <w:pPr>
        <w:spacing w:line="360" w:lineRule="auto"/>
        <w:rPr>
          <w:rFonts w:hint="eastAsia" w:ascii="宋体" w:hAnsi="宋体" w:eastAsia="宋体" w:cs="宋体"/>
          <w:b w:val="0"/>
          <w:bCs/>
          <w:color w:val="auto"/>
          <w:szCs w:val="21"/>
          <w:highlight w:val="none"/>
        </w:rPr>
      </w:pPr>
    </w:p>
    <w:p w14:paraId="2C6017C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  (公章)                      承包人：  (公章)</w:t>
      </w:r>
    </w:p>
    <w:p w14:paraId="54E2BAB0">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p>
    <w:p w14:paraId="78660C2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            法定代表人或其委托代理人：</w:t>
      </w:r>
    </w:p>
    <w:p w14:paraId="6C253FB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                             （签字）</w:t>
      </w:r>
    </w:p>
    <w:p w14:paraId="5214B9E1">
      <w:pPr>
        <w:spacing w:line="360" w:lineRule="auto"/>
        <w:rPr>
          <w:rFonts w:hint="eastAsia" w:ascii="宋体" w:hAnsi="宋体" w:eastAsia="宋体" w:cs="宋体"/>
          <w:color w:val="auto"/>
          <w:szCs w:val="21"/>
          <w:highlight w:val="none"/>
          <w:u w:val="single"/>
        </w:rPr>
      </w:pPr>
    </w:p>
    <w:p w14:paraId="5BE46A11">
      <w:pPr>
        <w:tabs>
          <w:tab w:val="left" w:pos="441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p>
    <w:p w14:paraId="4C32C7F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     </w:t>
      </w:r>
    </w:p>
    <w:p w14:paraId="1ED3A51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w:t>
      </w:r>
    </w:p>
    <w:p w14:paraId="036A782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w:t>
      </w:r>
    </w:p>
    <w:p w14:paraId="52B8503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w:t>
      </w:r>
    </w:p>
    <w:p w14:paraId="6796C29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w:t>
      </w:r>
    </w:p>
    <w:p w14:paraId="280560A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w:t>
      </w:r>
    </w:p>
    <w:p w14:paraId="6F83C26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w:t>
      </w:r>
    </w:p>
    <w:p w14:paraId="0F766DB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w:t>
      </w:r>
    </w:p>
    <w:p w14:paraId="576A57DE">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w:t>
      </w:r>
    </w:p>
    <w:p w14:paraId="658D500A">
      <w:pPr>
        <w:spacing w:line="360" w:lineRule="auto"/>
        <w:rPr>
          <w:rFonts w:hint="eastAsia" w:ascii="宋体" w:hAnsi="宋体" w:eastAsia="宋体" w:cs="宋体"/>
          <w:color w:val="auto"/>
          <w:szCs w:val="21"/>
          <w:highlight w:val="none"/>
          <w:u w:val="single"/>
        </w:rPr>
      </w:pPr>
    </w:p>
    <w:p w14:paraId="526D7C7E">
      <w:pPr>
        <w:spacing w:line="360" w:lineRule="auto"/>
        <w:rPr>
          <w:rFonts w:hint="eastAsia" w:ascii="宋体" w:hAnsi="宋体" w:eastAsia="宋体" w:cs="宋体"/>
          <w:color w:val="auto"/>
          <w:szCs w:val="21"/>
          <w:highlight w:val="none"/>
          <w:u w:val="single"/>
        </w:rPr>
      </w:pPr>
    </w:p>
    <w:p w14:paraId="5D1D5CD0">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r>
    </w:p>
    <w:p w14:paraId="25D71CD0">
      <w:pPr>
        <w:pStyle w:val="17"/>
        <w:rPr>
          <w:rFonts w:hint="eastAsia"/>
          <w:color w:val="auto"/>
          <w:highlight w:val="none"/>
        </w:rPr>
      </w:pPr>
    </w:p>
    <w:p w14:paraId="1B56F607">
      <w:pPr>
        <w:pStyle w:val="4"/>
        <w:spacing w:before="0" w:after="0" w:line="360" w:lineRule="auto"/>
        <w:jc w:val="center"/>
        <w:rPr>
          <w:rFonts w:hint="eastAsia" w:ascii="宋体" w:hAnsi="宋体" w:eastAsia="宋体" w:cs="宋体"/>
          <w:color w:val="auto"/>
          <w:szCs w:val="32"/>
          <w:highlight w:val="none"/>
          <w:lang w:eastAsia="zh-CN"/>
        </w:rPr>
      </w:pPr>
      <w:bookmarkStart w:id="981" w:name="_Toc8835"/>
      <w:bookmarkStart w:id="982" w:name="_Toc1151"/>
      <w:r>
        <w:rPr>
          <w:rFonts w:hint="eastAsia" w:ascii="宋体" w:hAnsi="宋体" w:eastAsia="宋体" w:cs="宋体"/>
          <w:color w:val="auto"/>
          <w:szCs w:val="32"/>
          <w:highlight w:val="none"/>
        </w:rPr>
        <w:t>第二部分 通用合同条款</w:t>
      </w:r>
      <w:bookmarkEnd w:id="981"/>
      <w:bookmarkEnd w:id="982"/>
      <w:bookmarkStart w:id="983" w:name="_Toc337558727"/>
      <w:r>
        <w:rPr>
          <w:rFonts w:hint="eastAsia" w:ascii="宋体" w:hAnsi="宋体" w:eastAsia="宋体" w:cs="宋体"/>
          <w:color w:val="auto"/>
          <w:szCs w:val="32"/>
          <w:highlight w:val="none"/>
          <w:lang w:eastAsia="zh-CN"/>
        </w:rPr>
        <w:t>（</w:t>
      </w:r>
      <w:r>
        <w:rPr>
          <w:rFonts w:hint="eastAsia" w:ascii="宋体" w:hAnsi="宋体" w:eastAsia="宋体" w:cs="宋体"/>
          <w:color w:val="auto"/>
          <w:szCs w:val="32"/>
          <w:highlight w:val="none"/>
          <w:lang w:val="en-US" w:eastAsia="zh-CN"/>
        </w:rPr>
        <w:t>略</w:t>
      </w:r>
      <w:r>
        <w:rPr>
          <w:rFonts w:hint="eastAsia" w:ascii="宋体" w:hAnsi="宋体" w:eastAsia="宋体" w:cs="宋体"/>
          <w:color w:val="auto"/>
          <w:szCs w:val="32"/>
          <w:highlight w:val="none"/>
          <w:lang w:eastAsia="zh-CN"/>
        </w:rPr>
        <w:t>）</w:t>
      </w:r>
    </w:p>
    <w:p w14:paraId="4B081AD1">
      <w:pPr>
        <w:pStyle w:val="4"/>
        <w:spacing w:before="0" w:after="0"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30"/>
          <w:szCs w:val="30"/>
          <w:highlight w:val="none"/>
        </w:rPr>
        <w:t>详见</w:t>
      </w:r>
      <w:r>
        <w:rPr>
          <w:rFonts w:hint="eastAsia" w:ascii="宋体" w:hAnsi="宋体" w:eastAsia="宋体" w:cs="宋体"/>
          <w:color w:val="auto"/>
          <w:kern w:val="0"/>
          <w:sz w:val="30"/>
          <w:szCs w:val="30"/>
          <w:highlight w:val="none"/>
        </w:rPr>
        <w:t>住房和城乡建设部、国家工商行政管理总局发布的</w:t>
      </w:r>
      <w:bookmarkStart w:id="984" w:name="_Toc31043"/>
      <w:r>
        <w:rPr>
          <w:rFonts w:hint="eastAsia" w:ascii="宋体" w:hAnsi="宋体" w:eastAsia="宋体" w:cs="宋体"/>
          <w:color w:val="auto"/>
          <w:kern w:val="0"/>
          <w:sz w:val="30"/>
          <w:szCs w:val="30"/>
          <w:highlight w:val="none"/>
        </w:rPr>
        <w:t>《建设工程施工合同（示范文本）》（GF-2017-0201）通用合同条款部分</w:t>
      </w:r>
    </w:p>
    <w:bookmarkEnd w:id="983"/>
    <w:bookmarkEnd w:id="984"/>
    <w:p w14:paraId="38D9F44E">
      <w:pPr>
        <w:bidi w:val="0"/>
        <w:rPr>
          <w:rFonts w:hint="eastAsia" w:ascii="宋体" w:hAnsi="宋体" w:eastAsia="宋体" w:cs="宋体"/>
          <w:color w:val="auto"/>
          <w:highlight w:val="none"/>
        </w:rPr>
      </w:pPr>
      <w:bookmarkStart w:id="985" w:name="_Toc20793"/>
      <w:bookmarkStart w:id="986" w:name="_Toc22924"/>
    </w:p>
    <w:p w14:paraId="35EBB752">
      <w:pPr>
        <w:pStyle w:val="4"/>
        <w:spacing w:before="0" w:after="0" w:line="360" w:lineRule="auto"/>
        <w:jc w:val="center"/>
        <w:rPr>
          <w:rFonts w:hint="eastAsia" w:ascii="宋体" w:hAnsi="宋体" w:eastAsia="宋体" w:cs="宋体"/>
          <w:color w:val="auto"/>
          <w:sz w:val="21"/>
          <w:szCs w:val="21"/>
          <w:highlight w:val="none"/>
        </w:rPr>
      </w:pPr>
    </w:p>
    <w:p w14:paraId="37246DFE">
      <w:pPr>
        <w:spacing w:line="360" w:lineRule="auto"/>
        <w:rPr>
          <w:rFonts w:hint="eastAsia" w:ascii="宋体" w:hAnsi="宋体" w:eastAsia="宋体" w:cs="宋体"/>
          <w:color w:val="auto"/>
          <w:szCs w:val="21"/>
          <w:highlight w:val="none"/>
        </w:rPr>
      </w:pPr>
    </w:p>
    <w:bookmarkEnd w:id="985"/>
    <w:bookmarkEnd w:id="986"/>
    <w:p w14:paraId="0E611FB6">
      <w:pPr>
        <w:pStyle w:val="4"/>
        <w:spacing w:before="0" w:after="0" w:line="360" w:lineRule="auto"/>
        <w:jc w:val="center"/>
        <w:rPr>
          <w:rFonts w:hint="eastAsia" w:ascii="宋体" w:hAnsi="宋体" w:eastAsia="宋体" w:cs="宋体"/>
          <w:color w:val="auto"/>
          <w:szCs w:val="32"/>
          <w:highlight w:val="none"/>
        </w:rPr>
      </w:pPr>
      <w:bookmarkStart w:id="987" w:name="_Toc499892825"/>
      <w:bookmarkStart w:id="988" w:name="_Toc23207"/>
      <w:bookmarkStart w:id="989" w:name="_Toc499891634"/>
      <w:bookmarkStart w:id="990" w:name="_Toc74765392"/>
      <w:bookmarkStart w:id="991" w:name="_Toc510531413"/>
      <w:bookmarkStart w:id="992" w:name="_Toc500864479"/>
      <w:bookmarkStart w:id="993" w:name="_Toc22825"/>
      <w:bookmarkStart w:id="994" w:name="_Toc351203632"/>
      <w:bookmarkStart w:id="995" w:name="_Toc106695348"/>
      <w:bookmarkStart w:id="996" w:name="_Toc500865869"/>
      <w:bookmarkStart w:id="997" w:name="_Toc106695195"/>
      <w:r>
        <w:rPr>
          <w:rFonts w:hint="eastAsia" w:ascii="宋体" w:hAnsi="宋体" w:eastAsia="宋体" w:cs="宋体"/>
          <w:color w:val="auto"/>
          <w:szCs w:val="32"/>
          <w:highlight w:val="none"/>
        </w:rPr>
        <w:t>第三部分 专用合同条款</w:t>
      </w:r>
      <w:bookmarkEnd w:id="987"/>
      <w:bookmarkEnd w:id="988"/>
      <w:bookmarkEnd w:id="989"/>
      <w:bookmarkEnd w:id="990"/>
      <w:bookmarkEnd w:id="991"/>
      <w:bookmarkEnd w:id="992"/>
      <w:bookmarkEnd w:id="993"/>
      <w:bookmarkEnd w:id="994"/>
      <w:bookmarkEnd w:id="995"/>
      <w:bookmarkEnd w:id="996"/>
      <w:bookmarkEnd w:id="997"/>
    </w:p>
    <w:p w14:paraId="56CD73DB">
      <w:pPr>
        <w:pStyle w:val="5"/>
        <w:rPr>
          <w:rFonts w:hint="eastAsia" w:ascii="宋体" w:hAnsi="宋体" w:eastAsia="宋体" w:cs="宋体"/>
          <w:b w:val="0"/>
          <w:color w:val="auto"/>
          <w:szCs w:val="21"/>
          <w:highlight w:val="none"/>
        </w:rPr>
      </w:pPr>
      <w:bookmarkStart w:id="998" w:name="_Toc351203633"/>
      <w:r>
        <w:rPr>
          <w:rFonts w:hint="eastAsia" w:ascii="宋体" w:hAnsi="宋体" w:eastAsia="宋体" w:cs="宋体"/>
          <w:b w:val="0"/>
          <w:color w:val="auto"/>
          <w:szCs w:val="21"/>
          <w:highlight w:val="none"/>
        </w:rPr>
        <w:t>1</w:t>
      </w:r>
      <w:bookmarkStart w:id="999" w:name="_Toc296944495"/>
      <w:bookmarkStart w:id="1000" w:name="_Toc296891196"/>
      <w:bookmarkStart w:id="1001" w:name="_Toc297048342"/>
      <w:bookmarkStart w:id="1002" w:name="_Toc292559361"/>
      <w:bookmarkStart w:id="1003" w:name="_Toc296503156"/>
      <w:bookmarkStart w:id="1004" w:name="_Toc296346657"/>
      <w:bookmarkStart w:id="1005" w:name="_Toc297120456"/>
      <w:bookmarkStart w:id="1006" w:name="_Toc296890984"/>
      <w:bookmarkStart w:id="1007" w:name="_Toc292559866"/>
      <w:bookmarkStart w:id="1008" w:name="_Toc296347155"/>
      <w:r>
        <w:rPr>
          <w:rFonts w:hint="eastAsia" w:ascii="宋体" w:hAnsi="宋体" w:eastAsia="宋体" w:cs="宋体"/>
          <w:b w:val="0"/>
          <w:color w:val="auto"/>
          <w:szCs w:val="21"/>
          <w:highlight w:val="none"/>
        </w:rPr>
        <w:t>. 一般约定</w:t>
      </w:r>
      <w:bookmarkEnd w:id="998"/>
    </w:p>
    <w:bookmarkEnd w:id="999"/>
    <w:bookmarkEnd w:id="1000"/>
    <w:bookmarkEnd w:id="1001"/>
    <w:bookmarkEnd w:id="1002"/>
    <w:bookmarkEnd w:id="1003"/>
    <w:bookmarkEnd w:id="1004"/>
    <w:bookmarkEnd w:id="1005"/>
    <w:bookmarkEnd w:id="1006"/>
    <w:bookmarkEnd w:id="1007"/>
    <w:bookmarkEnd w:id="1008"/>
    <w:p w14:paraId="375701B0">
      <w:pPr>
        <w:spacing w:line="360" w:lineRule="auto"/>
        <w:ind w:firstLine="420" w:firstLineChars="200"/>
        <w:outlineLvl w:val="0"/>
        <w:rPr>
          <w:rFonts w:hint="eastAsia" w:ascii="宋体" w:hAnsi="宋体" w:eastAsia="宋体" w:cs="宋体"/>
          <w:color w:val="auto"/>
          <w:szCs w:val="21"/>
          <w:highlight w:val="none"/>
        </w:rPr>
      </w:pPr>
      <w:bookmarkStart w:id="1009" w:name="_Toc106695196"/>
      <w:bookmarkStart w:id="1010" w:name="_Toc27378048"/>
      <w:bookmarkStart w:id="1011" w:name="_Toc499891635"/>
      <w:bookmarkStart w:id="1012" w:name="_Toc36136587"/>
      <w:bookmarkStart w:id="1013" w:name="_Toc500865870"/>
      <w:bookmarkStart w:id="1014" w:name="_Toc20816"/>
      <w:bookmarkStart w:id="1015" w:name="_Toc500864480"/>
      <w:bookmarkStart w:id="1016" w:name="_Toc106695349"/>
      <w:bookmarkStart w:id="1017" w:name="_Toc21289"/>
      <w:bookmarkStart w:id="1018" w:name="_Toc499892826"/>
      <w:r>
        <w:rPr>
          <w:rFonts w:hint="eastAsia" w:ascii="宋体" w:hAnsi="宋体" w:eastAsia="宋体" w:cs="宋体"/>
          <w:color w:val="auto"/>
          <w:szCs w:val="21"/>
          <w:highlight w:val="none"/>
        </w:rPr>
        <w:t>1.1 词语定义</w:t>
      </w:r>
      <w:bookmarkEnd w:id="1009"/>
      <w:bookmarkEnd w:id="1010"/>
      <w:bookmarkEnd w:id="1011"/>
      <w:bookmarkEnd w:id="1012"/>
      <w:bookmarkEnd w:id="1013"/>
      <w:bookmarkEnd w:id="1014"/>
      <w:bookmarkEnd w:id="1015"/>
      <w:bookmarkEnd w:id="1016"/>
      <w:bookmarkEnd w:id="1017"/>
      <w:bookmarkEnd w:id="1018"/>
    </w:p>
    <w:p w14:paraId="51211329">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1.1.1合同</w:t>
      </w:r>
    </w:p>
    <w:p w14:paraId="26C454C8">
      <w:pPr>
        <w:spacing w:line="360" w:lineRule="auto"/>
        <w:ind w:left="1155" w:hanging="1155" w:hangingChars="5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1.1.1.10其他合同文件包括：</w:t>
      </w:r>
      <w:r>
        <w:rPr>
          <w:rFonts w:hint="eastAsia" w:ascii="宋体" w:hAnsi="宋体" w:eastAsia="宋体" w:cs="宋体"/>
          <w:color w:val="auto"/>
          <w:szCs w:val="21"/>
          <w:highlight w:val="none"/>
          <w:u w:val="single"/>
        </w:rPr>
        <w:t xml:space="preserve"> 按通用条款1.1.1条执行         </w:t>
      </w:r>
      <w:r>
        <w:rPr>
          <w:rFonts w:hint="eastAsia" w:ascii="宋体" w:hAnsi="宋体" w:eastAsia="宋体" w:cs="宋体"/>
          <w:color w:val="auto"/>
          <w:szCs w:val="21"/>
          <w:highlight w:val="none"/>
        </w:rPr>
        <w:t>。</w:t>
      </w:r>
    </w:p>
    <w:p w14:paraId="4A0072F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合同当事人及其他相关方</w:t>
      </w:r>
    </w:p>
    <w:p w14:paraId="14951E5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14:paraId="45C45F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0B1C894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0B045F5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0F46A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5704D70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5C1A227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1.1.2.5 设计人：</w:t>
      </w:r>
    </w:p>
    <w:p w14:paraId="41712BB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039DB4C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5E0BD03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60196A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0B4CF56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29BFEC2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工程和设备</w:t>
      </w:r>
    </w:p>
    <w:p w14:paraId="27D54D4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1.1.3.7 作为施工现场组成部分的其他场所包括：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按通用条款执行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9ADE462">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1.1.3.9 永久占地包括：</w:t>
      </w:r>
      <w:r>
        <w:rPr>
          <w:rFonts w:hint="eastAsia" w:ascii="宋体" w:hAnsi="宋体" w:eastAsia="宋体" w:cs="宋体"/>
          <w:color w:val="auto"/>
          <w:szCs w:val="21"/>
          <w:highlight w:val="none"/>
          <w:u w:val="single"/>
        </w:rPr>
        <w:t xml:space="preserve">    施工图设计所占面积，具体以发包人提供的红线图为准</w:t>
      </w:r>
      <w:r>
        <w:rPr>
          <w:rFonts w:hint="eastAsia" w:ascii="宋体" w:hAnsi="宋体" w:eastAsia="宋体" w:cs="宋体"/>
          <w:color w:val="auto"/>
          <w:kern w:val="0"/>
          <w:szCs w:val="21"/>
          <w:highlight w:val="none"/>
        </w:rPr>
        <w:t>。</w:t>
      </w:r>
    </w:p>
    <w:p w14:paraId="05EC856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1.1.3.10 临时占地包括：</w:t>
      </w:r>
      <w:r>
        <w:rPr>
          <w:rFonts w:hint="eastAsia" w:ascii="宋体" w:hAnsi="宋体" w:eastAsia="宋体" w:cs="宋体"/>
          <w:color w:val="auto"/>
          <w:szCs w:val="21"/>
          <w:highlight w:val="none"/>
          <w:u w:val="single"/>
        </w:rPr>
        <w:t>按通用条款执行。临时占地的申请、使用和恢复由承包人负责，相关费用包含在合同价格中</w:t>
      </w:r>
      <w:r>
        <w:rPr>
          <w:rFonts w:hint="eastAsia" w:ascii="宋体" w:hAnsi="宋体" w:eastAsia="宋体" w:cs="宋体"/>
          <w:color w:val="auto"/>
          <w:kern w:val="0"/>
          <w:szCs w:val="21"/>
          <w:highlight w:val="none"/>
        </w:rPr>
        <w:t>。</w:t>
      </w:r>
    </w:p>
    <w:p w14:paraId="110B4A0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 </w:t>
      </w:r>
    </w:p>
    <w:p w14:paraId="4A8711D1">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适用于合同的其他规范性文件：</w:t>
      </w:r>
      <w:r>
        <w:rPr>
          <w:rFonts w:hint="eastAsia" w:ascii="宋体" w:hAnsi="宋体" w:eastAsia="宋体" w:cs="宋体"/>
          <w:color w:val="auto"/>
          <w:szCs w:val="21"/>
          <w:highlight w:val="none"/>
          <w:u w:val="single"/>
        </w:rPr>
        <w:t xml:space="preserve">按通用条款执行     </w:t>
      </w:r>
      <w:r>
        <w:rPr>
          <w:rFonts w:hint="eastAsia" w:ascii="宋体" w:hAnsi="宋体" w:eastAsia="宋体" w:cs="宋体"/>
          <w:color w:val="auto"/>
          <w:szCs w:val="21"/>
          <w:highlight w:val="none"/>
        </w:rPr>
        <w:t>。</w:t>
      </w:r>
    </w:p>
    <w:p w14:paraId="3619C86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标准和规范</w:t>
      </w:r>
    </w:p>
    <w:p w14:paraId="119DE38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1.4.1适用于工程的标准规范包括：</w:t>
      </w:r>
      <w:r>
        <w:rPr>
          <w:rFonts w:hint="eastAsia" w:ascii="宋体" w:hAnsi="宋体" w:eastAsia="宋体" w:cs="宋体"/>
          <w:color w:val="auto"/>
          <w:szCs w:val="21"/>
          <w:highlight w:val="none"/>
          <w:u w:val="single"/>
        </w:rPr>
        <w:t>国家及、地方及行业与本工程相关的最新的标准规范</w:t>
      </w:r>
      <w:r>
        <w:rPr>
          <w:rFonts w:hint="eastAsia" w:ascii="宋体" w:hAnsi="宋体" w:eastAsia="宋体" w:cs="宋体"/>
          <w:color w:val="auto"/>
          <w:szCs w:val="21"/>
          <w:highlight w:val="none"/>
        </w:rPr>
        <w:t>。</w:t>
      </w:r>
    </w:p>
    <w:p w14:paraId="0C12A645">
      <w:pPr>
        <w:spacing w:line="360" w:lineRule="auto"/>
        <w:rPr>
          <w:rFonts w:hint="eastAsia" w:ascii="宋体" w:hAnsi="宋体" w:eastAsia="宋体" w:cs="宋体"/>
          <w:color w:val="auto"/>
          <w:kern w:val="0"/>
          <w:szCs w:val="21"/>
          <w:highlight w:val="none"/>
        </w:rPr>
      </w:pPr>
      <w:bookmarkStart w:id="1019" w:name="_Toc499892827"/>
      <w:bookmarkStart w:id="1020" w:name="_Toc499891636"/>
      <w:r>
        <w:rPr>
          <w:rFonts w:hint="eastAsia" w:ascii="宋体" w:hAnsi="宋体" w:eastAsia="宋体" w:cs="宋体"/>
          <w:color w:val="auto"/>
          <w:kern w:val="0"/>
          <w:szCs w:val="21"/>
          <w:highlight w:val="none"/>
        </w:rPr>
        <w:t>1.4.2 发包人提供国外标准、规范的名称：</w:t>
      </w:r>
      <w:bookmarkEnd w:id="1019"/>
      <w:bookmarkEnd w:id="1020"/>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3026D2CE">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发包人提供国外标准、规范的份数：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7346A72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发包人提供国外标准、规范的名称：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2A41F746">
      <w:pPr>
        <w:spacing w:line="360" w:lineRule="auto"/>
        <w:ind w:left="596" w:leftChars="28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1.4.3发包人对工程的技术标准和功能要求的特殊要求：</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以设计文件为准</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3044EFC5">
      <w:pPr>
        <w:spacing w:line="360" w:lineRule="auto"/>
        <w:ind w:firstLine="420" w:firstLineChars="200"/>
        <w:outlineLvl w:val="0"/>
        <w:rPr>
          <w:rFonts w:hint="eastAsia" w:ascii="宋体" w:hAnsi="宋体" w:eastAsia="宋体" w:cs="宋体"/>
          <w:color w:val="auto"/>
          <w:szCs w:val="21"/>
          <w:highlight w:val="none"/>
        </w:rPr>
      </w:pPr>
      <w:bookmarkStart w:id="1021" w:name="_Toc10916"/>
      <w:bookmarkStart w:id="1022" w:name="_Toc499891637"/>
      <w:bookmarkStart w:id="1023" w:name="_Toc106695350"/>
      <w:bookmarkStart w:id="1024" w:name="_Toc36136588"/>
      <w:bookmarkStart w:id="1025" w:name="_Toc499892828"/>
      <w:bookmarkStart w:id="1026" w:name="_Toc500865871"/>
      <w:bookmarkStart w:id="1027" w:name="_Toc500864481"/>
      <w:bookmarkStart w:id="1028" w:name="_Toc16121"/>
      <w:bookmarkStart w:id="1029" w:name="_Toc106695197"/>
      <w:bookmarkStart w:id="1030" w:name="_Toc27378049"/>
      <w:r>
        <w:rPr>
          <w:rFonts w:hint="eastAsia" w:ascii="宋体" w:hAnsi="宋体" w:eastAsia="宋体" w:cs="宋体"/>
          <w:color w:val="auto"/>
          <w:szCs w:val="21"/>
          <w:highlight w:val="none"/>
        </w:rPr>
        <w:t>1.5 合同文件的优先顺序</w:t>
      </w:r>
      <w:bookmarkEnd w:id="1021"/>
      <w:bookmarkEnd w:id="1022"/>
      <w:bookmarkEnd w:id="1023"/>
      <w:bookmarkEnd w:id="1024"/>
      <w:bookmarkEnd w:id="1025"/>
      <w:bookmarkEnd w:id="1026"/>
      <w:bookmarkEnd w:id="1027"/>
      <w:bookmarkEnd w:id="1028"/>
      <w:bookmarkEnd w:id="1029"/>
      <w:bookmarkEnd w:id="1030"/>
    </w:p>
    <w:p w14:paraId="52FB48F6">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合同文件组成及优先顺序为：</w:t>
      </w:r>
      <w:r>
        <w:rPr>
          <w:rFonts w:hint="eastAsia" w:ascii="宋体" w:hAnsi="宋体" w:eastAsia="宋体" w:cs="宋体"/>
          <w:color w:val="auto"/>
          <w:szCs w:val="21"/>
          <w:highlight w:val="none"/>
          <w:u w:val="single"/>
        </w:rPr>
        <w:t>1、施工合同协议书；2、中标通知书；3、投标书及其附件；</w:t>
      </w:r>
    </w:p>
    <w:p w14:paraId="02750E0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4、施工合同专用条款；5、施工合同通用条款；6、标准、规范及有关技术文件；7、图纸；8、工程量清单；9、工程报价单或预算书；10、双方有关工程的洽商、变更等书面协议或文件视为施工合同的组成部分。</w:t>
      </w:r>
    </w:p>
    <w:p w14:paraId="0AE58BBB">
      <w:pPr>
        <w:spacing w:line="360" w:lineRule="auto"/>
        <w:ind w:firstLine="420" w:firstLineChars="200"/>
        <w:outlineLvl w:val="0"/>
        <w:rPr>
          <w:rFonts w:hint="eastAsia" w:ascii="宋体" w:hAnsi="宋体" w:eastAsia="宋体" w:cs="宋体"/>
          <w:color w:val="auto"/>
          <w:szCs w:val="21"/>
          <w:highlight w:val="none"/>
        </w:rPr>
      </w:pPr>
      <w:bookmarkStart w:id="1031" w:name="_Toc500865872"/>
      <w:bookmarkStart w:id="1032" w:name="_Toc106695198"/>
      <w:bookmarkStart w:id="1033" w:name="_Toc499891638"/>
      <w:bookmarkStart w:id="1034" w:name="_Toc106695351"/>
      <w:bookmarkStart w:id="1035" w:name="_Toc13521"/>
      <w:bookmarkStart w:id="1036" w:name="_Toc36136589"/>
      <w:bookmarkStart w:id="1037" w:name="_Toc27378050"/>
      <w:bookmarkStart w:id="1038" w:name="_Toc500864482"/>
      <w:bookmarkStart w:id="1039" w:name="_Toc499892829"/>
      <w:bookmarkStart w:id="1040" w:name="_Toc20896"/>
      <w:r>
        <w:rPr>
          <w:rFonts w:hint="eastAsia" w:ascii="宋体" w:hAnsi="宋体" w:eastAsia="宋体" w:cs="宋体"/>
          <w:color w:val="auto"/>
          <w:szCs w:val="21"/>
          <w:highlight w:val="none"/>
        </w:rPr>
        <w:t>1.6 图纸和承包人文件</w:t>
      </w:r>
      <w:bookmarkEnd w:id="1031"/>
      <w:bookmarkEnd w:id="1032"/>
      <w:bookmarkEnd w:id="1033"/>
      <w:bookmarkEnd w:id="1034"/>
      <w:bookmarkEnd w:id="1035"/>
      <w:bookmarkEnd w:id="1036"/>
      <w:bookmarkEnd w:id="1037"/>
      <w:bookmarkEnd w:id="1038"/>
      <w:bookmarkEnd w:id="1039"/>
      <w:bookmarkEnd w:id="1040"/>
      <w:r>
        <w:rPr>
          <w:rFonts w:hint="eastAsia" w:ascii="宋体" w:hAnsi="宋体" w:eastAsia="宋体" w:cs="宋体"/>
          <w:color w:val="auto"/>
          <w:szCs w:val="21"/>
          <w:highlight w:val="none"/>
        </w:rPr>
        <w:tab/>
      </w:r>
    </w:p>
    <w:p w14:paraId="4348DB2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p>
    <w:p w14:paraId="55D1B50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签订合同后7天内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403805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42CE91C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全套工程施工图纸</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67E335E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 承包人文件</w:t>
      </w:r>
    </w:p>
    <w:p w14:paraId="2B3A2D20">
      <w:pPr>
        <w:spacing w:line="360" w:lineRule="auto"/>
        <w:ind w:left="596" w:leftChars="2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需要由承包人提供的文件，包括：</w:t>
      </w:r>
      <w:r>
        <w:rPr>
          <w:rFonts w:hint="eastAsia" w:ascii="宋体" w:hAnsi="宋体" w:eastAsia="宋体" w:cs="宋体"/>
          <w:color w:val="auto"/>
          <w:szCs w:val="21"/>
          <w:highlight w:val="none"/>
          <w:u w:val="single"/>
        </w:rPr>
        <w:t>企业营业执照、资质证书、安全生产许可证及按投标文件承诺拟派往本工程项目部管理人员的资格及岗位证书等；开工前7日提供施工总进度计划，当月25日报下月计划及当月完成情况</w:t>
      </w:r>
      <w:r>
        <w:rPr>
          <w:rFonts w:hint="eastAsia" w:ascii="宋体" w:hAnsi="宋体" w:eastAsia="宋体" w:cs="宋体"/>
          <w:color w:val="auto"/>
          <w:szCs w:val="21"/>
          <w:highlight w:val="none"/>
        </w:rPr>
        <w:t>；</w:t>
      </w:r>
    </w:p>
    <w:p w14:paraId="5D0F79E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6414583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0F745A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4C9A30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发包人审批承包人文件的期限：</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5F0F6A8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 现场图纸准备</w:t>
      </w:r>
    </w:p>
    <w:p w14:paraId="1DDD8E0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r>
        <w:rPr>
          <w:rFonts w:hint="eastAsia" w:ascii="宋体" w:hAnsi="宋体" w:eastAsia="宋体" w:cs="宋体"/>
          <w:color w:val="auto"/>
          <w:kern w:val="0"/>
          <w:szCs w:val="21"/>
          <w:highlight w:val="none"/>
          <w:u w:val="single"/>
        </w:rPr>
        <w:t>施工现场保留一套完整图纸供发包人、监理人及有关人员使用</w:t>
      </w:r>
      <w:r>
        <w:rPr>
          <w:rFonts w:hint="eastAsia" w:ascii="宋体" w:hAnsi="宋体" w:eastAsia="宋体" w:cs="宋体"/>
          <w:color w:val="auto"/>
          <w:szCs w:val="21"/>
          <w:highlight w:val="none"/>
        </w:rPr>
        <w:t>。</w:t>
      </w:r>
    </w:p>
    <w:p w14:paraId="3249D5A7">
      <w:pPr>
        <w:spacing w:line="360" w:lineRule="auto"/>
        <w:ind w:firstLine="420" w:firstLineChars="200"/>
        <w:outlineLvl w:val="0"/>
        <w:rPr>
          <w:rFonts w:hint="eastAsia" w:ascii="宋体" w:hAnsi="宋体" w:eastAsia="宋体" w:cs="宋体"/>
          <w:color w:val="auto"/>
          <w:szCs w:val="21"/>
          <w:highlight w:val="none"/>
        </w:rPr>
      </w:pPr>
      <w:bookmarkStart w:id="1041" w:name="_Toc106695199"/>
      <w:bookmarkStart w:id="1042" w:name="_Toc17176"/>
      <w:bookmarkStart w:id="1043" w:name="_Toc500864483"/>
      <w:bookmarkStart w:id="1044" w:name="_Toc4925"/>
      <w:bookmarkStart w:id="1045" w:name="_Toc27378051"/>
      <w:bookmarkStart w:id="1046" w:name="_Toc499892830"/>
      <w:bookmarkStart w:id="1047" w:name="_Toc36136590"/>
      <w:bookmarkStart w:id="1048" w:name="_Toc499891639"/>
      <w:bookmarkStart w:id="1049" w:name="_Toc500865873"/>
      <w:bookmarkStart w:id="1050" w:name="_Toc106695352"/>
      <w:r>
        <w:rPr>
          <w:rFonts w:hint="eastAsia" w:ascii="宋体" w:hAnsi="宋体" w:eastAsia="宋体" w:cs="宋体"/>
          <w:color w:val="auto"/>
          <w:szCs w:val="21"/>
          <w:highlight w:val="none"/>
        </w:rPr>
        <w:t>1.7 联络</w:t>
      </w:r>
      <w:bookmarkEnd w:id="1041"/>
      <w:bookmarkEnd w:id="1042"/>
      <w:bookmarkEnd w:id="1043"/>
      <w:bookmarkEnd w:id="1044"/>
      <w:bookmarkEnd w:id="1045"/>
      <w:bookmarkEnd w:id="1046"/>
      <w:bookmarkEnd w:id="1047"/>
      <w:bookmarkEnd w:id="1048"/>
      <w:bookmarkEnd w:id="1049"/>
      <w:bookmarkEnd w:id="1050"/>
    </w:p>
    <w:p w14:paraId="0832BBF6">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1.7.1发包人和承包人应当在</w:t>
      </w:r>
      <w:r>
        <w:rPr>
          <w:rFonts w:hint="eastAsia" w:ascii="宋体" w:hAnsi="宋体" w:eastAsia="宋体" w:cs="宋体"/>
          <w:color w:val="auto"/>
          <w:szCs w:val="21"/>
          <w:highlight w:val="none"/>
          <w:u w:val="single"/>
        </w:rPr>
        <w:t xml:space="preserve">  7  </w:t>
      </w:r>
      <w:r>
        <w:rPr>
          <w:rFonts w:hint="eastAsia" w:ascii="宋体" w:hAnsi="宋体" w:eastAsia="宋体" w:cs="宋体"/>
          <w:color w:val="auto"/>
          <w:kern w:val="0"/>
          <w:szCs w:val="21"/>
          <w:highlight w:val="none"/>
        </w:rPr>
        <w:t>天内将与合同有关的通知、批准、证明、证书、指示、指令、要求、请求、同意、意见、确定和决定等书面函件送达对方当事人。</w:t>
      </w:r>
    </w:p>
    <w:p w14:paraId="516C4463">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1.7.2 发包人接收文件的地点：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发包人指定的工程项目办公室</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rPr>
        <w:t>；</w:t>
      </w:r>
    </w:p>
    <w:p w14:paraId="7F9C2EBC">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发包人指定的接收人为：</w:t>
      </w:r>
      <w:r>
        <w:rPr>
          <w:rFonts w:hint="eastAsia" w:ascii="宋体" w:hAnsi="宋体" w:eastAsia="宋体" w:cs="宋体"/>
          <w:color w:val="auto"/>
          <w:szCs w:val="21"/>
          <w:highlight w:val="none"/>
          <w:u w:val="single"/>
        </w:rPr>
        <w:t>发包人代表        </w:t>
      </w:r>
      <w:r>
        <w:rPr>
          <w:rFonts w:hint="eastAsia" w:ascii="宋体" w:hAnsi="宋体" w:eastAsia="宋体" w:cs="宋体"/>
          <w:color w:val="auto"/>
          <w:kern w:val="0"/>
          <w:szCs w:val="21"/>
          <w:highlight w:val="none"/>
        </w:rPr>
        <w:t>。</w:t>
      </w:r>
    </w:p>
    <w:p w14:paraId="13CB1115">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承包人接收文件的地点：</w:t>
      </w:r>
      <w:r>
        <w:rPr>
          <w:rFonts w:hint="eastAsia" w:ascii="宋体" w:hAnsi="宋体" w:eastAsia="宋体" w:cs="宋体"/>
          <w:color w:val="auto"/>
          <w:szCs w:val="21"/>
          <w:highlight w:val="none"/>
          <w:u w:val="single"/>
        </w:rPr>
        <w:t> </w:t>
      </w:r>
      <w:r>
        <w:rPr>
          <w:rFonts w:hint="eastAsia" w:ascii="宋体" w:hAnsi="宋体" w:eastAsia="宋体" w:cs="宋体"/>
          <w:color w:val="auto"/>
          <w:kern w:val="0"/>
          <w:szCs w:val="21"/>
          <w:highlight w:val="none"/>
          <w:u w:val="single"/>
        </w:rPr>
        <w:t>工程现场承包人项目部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w:t>
      </w:r>
    </w:p>
    <w:p w14:paraId="48225A0C">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承包人指定的接收人为：</w:t>
      </w:r>
      <w:r>
        <w:rPr>
          <w:rFonts w:hint="eastAsia" w:ascii="宋体" w:hAnsi="宋体" w:eastAsia="宋体" w:cs="宋体"/>
          <w:color w:val="auto"/>
          <w:szCs w:val="21"/>
          <w:highlight w:val="none"/>
          <w:u w:val="single"/>
        </w:rPr>
        <w:t> 项目经理       </w:t>
      </w:r>
      <w:r>
        <w:rPr>
          <w:rFonts w:hint="eastAsia" w:ascii="宋体" w:hAnsi="宋体" w:eastAsia="宋体" w:cs="宋体"/>
          <w:color w:val="auto"/>
          <w:kern w:val="0"/>
          <w:szCs w:val="21"/>
          <w:highlight w:val="none"/>
        </w:rPr>
        <w:t>。</w:t>
      </w:r>
    </w:p>
    <w:p w14:paraId="2588D7D9">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监理人接收文件的地点：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工程现场监理人项目部</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kern w:val="0"/>
          <w:szCs w:val="21"/>
          <w:highlight w:val="none"/>
        </w:rPr>
        <w:t>；</w:t>
      </w:r>
    </w:p>
    <w:p w14:paraId="66F41194">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监理人指定的接收人为：</w:t>
      </w:r>
      <w:r>
        <w:rPr>
          <w:rFonts w:hint="eastAsia" w:ascii="宋体" w:hAnsi="宋体" w:eastAsia="宋体" w:cs="宋体"/>
          <w:color w:val="auto"/>
          <w:szCs w:val="21"/>
          <w:highlight w:val="none"/>
          <w:u w:val="single"/>
        </w:rPr>
        <w:t>总监理工程师       </w:t>
      </w:r>
      <w:r>
        <w:rPr>
          <w:rFonts w:hint="eastAsia" w:ascii="宋体" w:hAnsi="宋体" w:eastAsia="宋体" w:cs="宋体"/>
          <w:color w:val="auto"/>
          <w:kern w:val="0"/>
          <w:szCs w:val="21"/>
          <w:highlight w:val="none"/>
        </w:rPr>
        <w:t>。</w:t>
      </w:r>
    </w:p>
    <w:p w14:paraId="765CE539">
      <w:pPr>
        <w:spacing w:line="360" w:lineRule="auto"/>
        <w:ind w:firstLine="420" w:firstLineChars="200"/>
        <w:outlineLvl w:val="0"/>
        <w:rPr>
          <w:rFonts w:hint="eastAsia" w:ascii="宋体" w:hAnsi="宋体" w:eastAsia="宋体" w:cs="宋体"/>
          <w:color w:val="auto"/>
          <w:szCs w:val="21"/>
          <w:highlight w:val="none"/>
        </w:rPr>
      </w:pPr>
      <w:bookmarkStart w:id="1051" w:name="_Toc12121"/>
      <w:bookmarkStart w:id="1052" w:name="_Toc499892831"/>
      <w:bookmarkStart w:id="1053" w:name="_Toc499891640"/>
      <w:bookmarkStart w:id="1054" w:name="_Toc106695353"/>
      <w:bookmarkStart w:id="1055" w:name="_Toc106695200"/>
      <w:bookmarkStart w:id="1056" w:name="_Toc36136591"/>
      <w:bookmarkStart w:id="1057" w:name="_Toc500864484"/>
      <w:bookmarkStart w:id="1058" w:name="_Toc27378052"/>
      <w:bookmarkStart w:id="1059" w:name="_Toc500865874"/>
      <w:bookmarkStart w:id="1060" w:name="_Toc720"/>
      <w:r>
        <w:rPr>
          <w:rFonts w:hint="eastAsia" w:ascii="宋体" w:hAnsi="宋体" w:eastAsia="宋体" w:cs="宋体"/>
          <w:color w:val="auto"/>
          <w:szCs w:val="21"/>
          <w:highlight w:val="none"/>
        </w:rPr>
        <w:t>1.10 交通运输</w:t>
      </w:r>
      <w:bookmarkEnd w:id="1051"/>
      <w:bookmarkEnd w:id="1052"/>
      <w:bookmarkEnd w:id="1053"/>
      <w:bookmarkEnd w:id="1054"/>
      <w:bookmarkEnd w:id="1055"/>
      <w:bookmarkEnd w:id="1056"/>
      <w:bookmarkEnd w:id="1057"/>
      <w:bookmarkEnd w:id="1058"/>
      <w:bookmarkEnd w:id="1059"/>
      <w:bookmarkEnd w:id="1060"/>
    </w:p>
    <w:p w14:paraId="0B1E1414">
      <w:pPr>
        <w:spacing w:line="360" w:lineRule="auto"/>
        <w:ind w:firstLine="420" w:firstLineChars="200"/>
        <w:outlineLvl w:val="0"/>
        <w:rPr>
          <w:rFonts w:hint="eastAsia" w:ascii="宋体" w:hAnsi="宋体" w:eastAsia="宋体" w:cs="宋体"/>
          <w:color w:val="auto"/>
          <w:szCs w:val="21"/>
          <w:highlight w:val="none"/>
        </w:rPr>
      </w:pPr>
      <w:bookmarkStart w:id="1061" w:name="_Toc500864485"/>
      <w:bookmarkStart w:id="1062" w:name="_Toc106695201"/>
      <w:bookmarkStart w:id="1063" w:name="_Toc499891641"/>
      <w:bookmarkStart w:id="1064" w:name="_Toc36136592"/>
      <w:bookmarkStart w:id="1065" w:name="_Toc27378053"/>
      <w:bookmarkStart w:id="1066" w:name="_Toc499892832"/>
      <w:bookmarkStart w:id="1067" w:name="_Toc106695354"/>
      <w:bookmarkStart w:id="1068" w:name="_Toc29569"/>
      <w:bookmarkStart w:id="1069" w:name="_Toc3268"/>
      <w:bookmarkStart w:id="1070" w:name="_Toc500865875"/>
      <w:r>
        <w:rPr>
          <w:rFonts w:hint="eastAsia" w:ascii="宋体" w:hAnsi="宋体" w:eastAsia="宋体" w:cs="宋体"/>
          <w:color w:val="auto"/>
          <w:szCs w:val="21"/>
          <w:highlight w:val="none"/>
        </w:rPr>
        <w:t>1</w:t>
      </w:r>
      <w:bookmarkStart w:id="1071" w:name="_Toc300934943"/>
      <w:bookmarkStart w:id="1072" w:name="_Toc312677986"/>
      <w:bookmarkStart w:id="1073" w:name="_Toc303539100"/>
      <w:bookmarkStart w:id="1074" w:name="_Toc304295521"/>
      <w:bookmarkStart w:id="1075" w:name="_Toc318581155"/>
      <w:r>
        <w:rPr>
          <w:rFonts w:hint="eastAsia" w:ascii="宋体" w:hAnsi="宋体" w:eastAsia="宋体" w:cs="宋体"/>
          <w:color w:val="auto"/>
          <w:szCs w:val="21"/>
          <w:highlight w:val="none"/>
        </w:rPr>
        <w:t>.10.1 出入现场的权利</w:t>
      </w:r>
      <w:bookmarkEnd w:id="1061"/>
      <w:bookmarkEnd w:id="1062"/>
      <w:bookmarkEnd w:id="1063"/>
      <w:bookmarkEnd w:id="1064"/>
      <w:bookmarkEnd w:id="1065"/>
      <w:bookmarkEnd w:id="1066"/>
      <w:bookmarkEnd w:id="1067"/>
      <w:bookmarkEnd w:id="1068"/>
      <w:bookmarkEnd w:id="1069"/>
      <w:bookmarkEnd w:id="1070"/>
    </w:p>
    <w:p w14:paraId="5131D16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关于出入现场的权利的约定：</w:t>
      </w:r>
      <w:r>
        <w:rPr>
          <w:rFonts w:hint="eastAsia" w:ascii="宋体" w:hAnsi="宋体" w:eastAsia="宋体" w:cs="宋体"/>
          <w:color w:val="auto"/>
          <w:szCs w:val="21"/>
          <w:highlight w:val="none"/>
          <w:u w:val="single"/>
        </w:rPr>
        <w:t>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071"/>
    <w:bookmarkEnd w:id="1072"/>
    <w:bookmarkEnd w:id="1073"/>
    <w:bookmarkEnd w:id="1074"/>
    <w:bookmarkEnd w:id="1075"/>
    <w:p w14:paraId="50D3C040">
      <w:pPr>
        <w:spacing w:line="360" w:lineRule="auto"/>
        <w:ind w:firstLine="420" w:firstLineChars="200"/>
        <w:jc w:val="left"/>
        <w:outlineLvl w:val="0"/>
        <w:rPr>
          <w:rFonts w:hint="eastAsia" w:ascii="宋体" w:hAnsi="宋体" w:eastAsia="宋体" w:cs="宋体"/>
          <w:color w:val="auto"/>
          <w:szCs w:val="21"/>
          <w:highlight w:val="none"/>
        </w:rPr>
      </w:pPr>
      <w:bookmarkStart w:id="1076" w:name="_Toc106695355"/>
      <w:bookmarkStart w:id="1077" w:name="_Toc500864486"/>
      <w:bookmarkStart w:id="1078" w:name="_Toc106695202"/>
      <w:bookmarkStart w:id="1079" w:name="_Toc27378054"/>
      <w:bookmarkStart w:id="1080" w:name="_Toc8554"/>
      <w:bookmarkStart w:id="1081" w:name="_Toc499892833"/>
      <w:bookmarkStart w:id="1082" w:name="_Toc865"/>
      <w:bookmarkStart w:id="1083" w:name="_Toc499891642"/>
      <w:bookmarkStart w:id="1084" w:name="_Toc500865876"/>
      <w:bookmarkStart w:id="1085" w:name="_Toc36136593"/>
      <w:r>
        <w:rPr>
          <w:rFonts w:hint="eastAsia" w:ascii="宋体" w:hAnsi="宋体" w:eastAsia="宋体" w:cs="宋体"/>
          <w:color w:val="auto"/>
          <w:szCs w:val="21"/>
          <w:highlight w:val="none"/>
        </w:rPr>
        <w:t>1</w:t>
      </w:r>
      <w:bookmarkStart w:id="1086" w:name="_Toc300934944"/>
      <w:bookmarkStart w:id="1087" w:name="_Toc303539101"/>
      <w:bookmarkStart w:id="1088" w:name="_Toc312677987"/>
      <w:bookmarkStart w:id="1089" w:name="_Toc318581156"/>
      <w:bookmarkStart w:id="1090" w:name="_Toc304295522"/>
      <w:r>
        <w:rPr>
          <w:rFonts w:hint="eastAsia" w:ascii="宋体" w:hAnsi="宋体" w:eastAsia="宋体" w:cs="宋体"/>
          <w:color w:val="auto"/>
          <w:szCs w:val="21"/>
          <w:highlight w:val="none"/>
        </w:rPr>
        <w:t>.10.3 场内交通</w:t>
      </w:r>
      <w:bookmarkEnd w:id="1076"/>
      <w:bookmarkEnd w:id="1077"/>
      <w:bookmarkEnd w:id="1078"/>
      <w:bookmarkEnd w:id="1079"/>
      <w:bookmarkEnd w:id="1080"/>
      <w:bookmarkEnd w:id="1081"/>
      <w:bookmarkEnd w:id="1082"/>
      <w:bookmarkEnd w:id="1083"/>
      <w:bookmarkEnd w:id="1084"/>
      <w:bookmarkEnd w:id="1085"/>
    </w:p>
    <w:p w14:paraId="43CB10C5">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关于场外交通和场内交通的边界的约定：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EF6B1D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bookmarkEnd w:id="1086"/>
      <w:bookmarkEnd w:id="1087"/>
      <w:bookmarkEnd w:id="1088"/>
      <w:bookmarkEnd w:id="1089"/>
      <w:bookmarkEnd w:id="1090"/>
      <w:r>
        <w:rPr>
          <w:rFonts w:hint="eastAsia" w:ascii="宋体" w:hAnsi="宋体" w:eastAsia="宋体" w:cs="宋体"/>
          <w:color w:val="auto"/>
          <w:szCs w:val="21"/>
          <w:highlight w:val="none"/>
        </w:rPr>
        <w:t xml:space="preserve">  </w:t>
      </w:r>
      <w:bookmarkStart w:id="1091" w:name="_Toc318581157"/>
    </w:p>
    <w:p w14:paraId="2F3B541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14:paraId="45E41E4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运输超大件或超重件所需的道路和桥梁临时加固改造费用和其他有关费用由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承担。</w:t>
      </w:r>
    </w:p>
    <w:bookmarkEnd w:id="1091"/>
    <w:p w14:paraId="743D0978">
      <w:pPr>
        <w:spacing w:line="360" w:lineRule="auto"/>
        <w:ind w:firstLine="420" w:firstLineChars="200"/>
        <w:outlineLvl w:val="0"/>
        <w:rPr>
          <w:rFonts w:hint="eastAsia" w:ascii="宋体" w:hAnsi="宋体" w:eastAsia="宋体" w:cs="宋体"/>
          <w:color w:val="auto"/>
          <w:szCs w:val="21"/>
          <w:highlight w:val="none"/>
        </w:rPr>
      </w:pPr>
      <w:bookmarkStart w:id="1092" w:name="_Toc106695356"/>
      <w:bookmarkStart w:id="1093" w:name="_Toc36136594"/>
      <w:bookmarkStart w:id="1094" w:name="_Toc25208"/>
      <w:bookmarkStart w:id="1095" w:name="_Toc500864487"/>
      <w:bookmarkStart w:id="1096" w:name="_Toc27378055"/>
      <w:bookmarkStart w:id="1097" w:name="_Toc500865877"/>
      <w:bookmarkStart w:id="1098" w:name="_Toc499891643"/>
      <w:bookmarkStart w:id="1099" w:name="_Toc3420"/>
      <w:bookmarkStart w:id="1100" w:name="_Toc499892834"/>
      <w:bookmarkStart w:id="1101" w:name="_Toc106695203"/>
      <w:r>
        <w:rPr>
          <w:rFonts w:hint="eastAsia" w:ascii="宋体" w:hAnsi="宋体" w:eastAsia="宋体" w:cs="宋体"/>
          <w:color w:val="auto"/>
          <w:szCs w:val="21"/>
          <w:highlight w:val="none"/>
        </w:rPr>
        <w:t>1.11 知识产权</w:t>
      </w:r>
      <w:bookmarkEnd w:id="1092"/>
      <w:bookmarkEnd w:id="1093"/>
      <w:bookmarkEnd w:id="1094"/>
      <w:bookmarkEnd w:id="1095"/>
      <w:bookmarkEnd w:id="1096"/>
      <w:bookmarkEnd w:id="1097"/>
      <w:bookmarkEnd w:id="1098"/>
      <w:bookmarkEnd w:id="1099"/>
      <w:bookmarkEnd w:id="1100"/>
      <w:bookmarkEnd w:id="1101"/>
    </w:p>
    <w:p w14:paraId="218AABD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按通用条款1.11.1  </w:t>
      </w:r>
      <w:r>
        <w:rPr>
          <w:rFonts w:hint="eastAsia" w:ascii="宋体" w:hAnsi="宋体" w:eastAsia="宋体" w:cs="宋体"/>
          <w:color w:val="auto"/>
          <w:szCs w:val="21"/>
          <w:highlight w:val="none"/>
        </w:rPr>
        <w:t>。</w:t>
      </w:r>
    </w:p>
    <w:p w14:paraId="6406E08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关于发包人提供的上述文件的使用限制的要求：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585E30A">
      <w:pPr>
        <w:spacing w:line="360" w:lineRule="auto"/>
        <w:ind w:firstLine="420" w:firstLineChars="200"/>
        <w:rPr>
          <w:rFonts w:hint="eastAsia" w:ascii="宋体" w:hAnsi="宋体" w:eastAsia="宋体" w:cs="宋体"/>
          <w:color w:val="auto"/>
          <w:szCs w:val="21"/>
          <w:highlight w:val="none"/>
        </w:rPr>
      </w:pPr>
      <w:bookmarkStart w:id="1102" w:name="_Toc499891644"/>
      <w:bookmarkStart w:id="1103" w:name="_Toc499892835"/>
      <w:r>
        <w:rPr>
          <w:rFonts w:hint="eastAsia" w:ascii="宋体" w:hAnsi="宋体" w:eastAsia="宋体" w:cs="宋体"/>
          <w:color w:val="auto"/>
          <w:szCs w:val="21"/>
          <w:highlight w:val="none"/>
        </w:rPr>
        <w:t>1.11.2 关于承包人为实施工程所编制文件的著作权的归属：</w:t>
      </w:r>
      <w:bookmarkEnd w:id="1102"/>
      <w:bookmarkEnd w:id="1103"/>
      <w:r>
        <w:rPr>
          <w:rFonts w:hint="eastAsia" w:ascii="宋体" w:hAnsi="宋体" w:eastAsia="宋体" w:cs="宋体"/>
          <w:color w:val="auto"/>
          <w:szCs w:val="21"/>
          <w:highlight w:val="none"/>
          <w:u w:val="single"/>
        </w:rPr>
        <w:t xml:space="preserve">  按通用条款1.11.2          </w:t>
      </w:r>
      <w:r>
        <w:rPr>
          <w:rFonts w:hint="eastAsia" w:ascii="宋体" w:hAnsi="宋体" w:eastAsia="宋体" w:cs="宋体"/>
          <w:color w:val="auto"/>
          <w:szCs w:val="21"/>
          <w:highlight w:val="none"/>
        </w:rPr>
        <w:t>。</w:t>
      </w:r>
    </w:p>
    <w:p w14:paraId="6B0B998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关于承包人提供的上述文件的使用限制的要求：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EC7560A">
      <w:pPr>
        <w:spacing w:line="360" w:lineRule="auto"/>
        <w:ind w:firstLine="420" w:firstLineChars="200"/>
        <w:outlineLvl w:val="0"/>
        <w:rPr>
          <w:rFonts w:hint="eastAsia" w:ascii="宋体" w:hAnsi="宋体" w:eastAsia="宋体" w:cs="宋体"/>
          <w:color w:val="auto"/>
          <w:kern w:val="0"/>
          <w:szCs w:val="21"/>
          <w:highlight w:val="none"/>
        </w:rPr>
      </w:pPr>
      <w:bookmarkStart w:id="1104" w:name="_Toc500864488"/>
      <w:bookmarkStart w:id="1105" w:name="_Toc25669"/>
      <w:bookmarkStart w:id="1106" w:name="_Toc27378056"/>
      <w:bookmarkStart w:id="1107" w:name="_Toc499891645"/>
      <w:bookmarkStart w:id="1108" w:name="_Toc36136595"/>
      <w:bookmarkStart w:id="1109" w:name="_Toc499892836"/>
      <w:bookmarkStart w:id="1110" w:name="_Toc20799"/>
      <w:bookmarkStart w:id="1111" w:name="_Toc500865878"/>
      <w:bookmarkStart w:id="1112" w:name="_Toc106695204"/>
      <w:bookmarkStart w:id="1113" w:name="_Toc106695357"/>
      <w:r>
        <w:rPr>
          <w:rFonts w:hint="eastAsia" w:ascii="宋体" w:hAnsi="宋体" w:eastAsia="宋体" w:cs="宋体"/>
          <w:color w:val="auto"/>
          <w:szCs w:val="21"/>
          <w:highlight w:val="none"/>
        </w:rPr>
        <w:t>1.11.4 承包人在施工过程中所采用的专利、专有技术、技术秘密的使用费的承担方式：</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承包人负责</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w:t>
      </w:r>
      <w:bookmarkEnd w:id="1104"/>
      <w:bookmarkEnd w:id="1105"/>
      <w:bookmarkEnd w:id="1106"/>
      <w:bookmarkEnd w:id="1107"/>
      <w:bookmarkEnd w:id="1108"/>
      <w:bookmarkEnd w:id="1109"/>
      <w:bookmarkEnd w:id="1110"/>
      <w:bookmarkEnd w:id="1111"/>
      <w:bookmarkEnd w:id="1112"/>
      <w:bookmarkEnd w:id="1113"/>
    </w:p>
    <w:p w14:paraId="42C3E6A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1.13工程量清单错误的修正</w:t>
      </w:r>
    </w:p>
    <w:p w14:paraId="7C4425C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出现工程量清单错误时，是否调整合同价格：</w:t>
      </w:r>
      <w:r>
        <w:rPr>
          <w:rFonts w:hint="eastAsia" w:ascii="宋体" w:hAnsi="宋体" w:eastAsia="宋体" w:cs="宋体"/>
          <w:color w:val="auto"/>
          <w:szCs w:val="21"/>
          <w:highlight w:val="none"/>
          <w:u w:val="single"/>
        </w:rPr>
        <w:t xml:space="preserve"> 按通用条款1.13      </w:t>
      </w:r>
      <w:r>
        <w:rPr>
          <w:rFonts w:hint="eastAsia" w:ascii="宋体" w:hAnsi="宋体" w:eastAsia="宋体" w:cs="宋体"/>
          <w:color w:val="auto"/>
          <w:kern w:val="0"/>
          <w:szCs w:val="21"/>
          <w:highlight w:val="none"/>
        </w:rPr>
        <w:t>。</w:t>
      </w:r>
    </w:p>
    <w:p w14:paraId="5FD6144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允许调整合同价格的工程量偏差范围：</w:t>
      </w:r>
      <w:r>
        <w:rPr>
          <w:rFonts w:hint="eastAsia" w:ascii="宋体" w:hAnsi="宋体" w:eastAsia="宋体" w:cs="宋体"/>
          <w:color w:val="auto"/>
          <w:szCs w:val="21"/>
          <w:highlight w:val="none"/>
          <w:u w:val="single"/>
        </w:rPr>
        <w:t>按通用条款执行。</w:t>
      </w:r>
    </w:p>
    <w:p w14:paraId="4336A3AC">
      <w:pPr>
        <w:pStyle w:val="5"/>
        <w:rPr>
          <w:rFonts w:hint="eastAsia" w:ascii="宋体" w:hAnsi="宋体" w:eastAsia="宋体" w:cs="宋体"/>
          <w:b w:val="0"/>
          <w:color w:val="auto"/>
          <w:szCs w:val="21"/>
          <w:highlight w:val="none"/>
        </w:rPr>
      </w:pPr>
      <w:bookmarkStart w:id="1114" w:name="_Toc351203634"/>
      <w:r>
        <w:rPr>
          <w:rFonts w:hint="eastAsia" w:ascii="宋体" w:hAnsi="宋体" w:eastAsia="宋体" w:cs="宋体"/>
          <w:b w:val="0"/>
          <w:color w:val="auto"/>
          <w:szCs w:val="21"/>
          <w:highlight w:val="none"/>
        </w:rPr>
        <w:t>2</w:t>
      </w:r>
      <w:bookmarkStart w:id="1115" w:name="_Toc296346658"/>
      <w:bookmarkStart w:id="1116" w:name="_Toc296891197"/>
      <w:bookmarkStart w:id="1117" w:name="_Toc297120457"/>
      <w:bookmarkStart w:id="1118" w:name="_Toc292559362"/>
      <w:bookmarkStart w:id="1119" w:name="_Toc296503157"/>
      <w:bookmarkStart w:id="1120" w:name="_Toc292559867"/>
      <w:bookmarkStart w:id="1121" w:name="_Toc296944496"/>
      <w:bookmarkStart w:id="1122" w:name="_Toc296890985"/>
      <w:bookmarkStart w:id="1123" w:name="_Toc296347156"/>
      <w:bookmarkStart w:id="1124" w:name="_Toc297048343"/>
      <w:r>
        <w:rPr>
          <w:rFonts w:hint="eastAsia" w:ascii="宋体" w:hAnsi="宋体" w:eastAsia="宋体" w:cs="宋体"/>
          <w:b w:val="0"/>
          <w:color w:val="auto"/>
          <w:szCs w:val="21"/>
          <w:highlight w:val="none"/>
        </w:rPr>
        <w:t>. 发包人</w:t>
      </w:r>
      <w:bookmarkEnd w:id="1114"/>
    </w:p>
    <w:bookmarkEnd w:id="1115"/>
    <w:bookmarkEnd w:id="1116"/>
    <w:bookmarkEnd w:id="1117"/>
    <w:bookmarkEnd w:id="1118"/>
    <w:bookmarkEnd w:id="1119"/>
    <w:bookmarkEnd w:id="1120"/>
    <w:bookmarkEnd w:id="1121"/>
    <w:bookmarkEnd w:id="1122"/>
    <w:bookmarkEnd w:id="1123"/>
    <w:bookmarkEnd w:id="1124"/>
    <w:p w14:paraId="4014651B">
      <w:pPr>
        <w:spacing w:line="360" w:lineRule="auto"/>
        <w:ind w:firstLine="420" w:firstLineChars="200"/>
        <w:outlineLvl w:val="0"/>
        <w:rPr>
          <w:rFonts w:hint="eastAsia" w:ascii="宋体" w:hAnsi="宋体" w:eastAsia="宋体" w:cs="宋体"/>
          <w:color w:val="auto"/>
          <w:szCs w:val="21"/>
          <w:highlight w:val="none"/>
        </w:rPr>
      </w:pPr>
      <w:bookmarkStart w:id="1125" w:name="_Toc106695205"/>
      <w:bookmarkStart w:id="1126" w:name="_Toc500865879"/>
      <w:bookmarkStart w:id="1127" w:name="_Toc36136596"/>
      <w:bookmarkStart w:id="1128" w:name="_Toc27378057"/>
      <w:bookmarkStart w:id="1129" w:name="_Toc499891646"/>
      <w:bookmarkStart w:id="1130" w:name="_Toc500864489"/>
      <w:bookmarkStart w:id="1131" w:name="_Toc499892837"/>
      <w:bookmarkStart w:id="1132" w:name="_Toc23533"/>
      <w:bookmarkStart w:id="1133" w:name="_Toc106695358"/>
      <w:bookmarkStart w:id="1134" w:name="_Toc8771"/>
      <w:r>
        <w:rPr>
          <w:rFonts w:hint="eastAsia" w:ascii="宋体" w:hAnsi="宋体" w:eastAsia="宋体" w:cs="宋体"/>
          <w:color w:val="auto"/>
          <w:szCs w:val="21"/>
          <w:highlight w:val="none"/>
        </w:rPr>
        <w:t>2.2 发包人代表</w:t>
      </w:r>
      <w:bookmarkEnd w:id="1125"/>
      <w:bookmarkEnd w:id="1126"/>
      <w:bookmarkEnd w:id="1127"/>
      <w:bookmarkEnd w:id="1128"/>
      <w:bookmarkEnd w:id="1129"/>
      <w:bookmarkEnd w:id="1130"/>
      <w:bookmarkEnd w:id="1131"/>
      <w:bookmarkEnd w:id="1132"/>
      <w:bookmarkEnd w:id="1133"/>
      <w:bookmarkEnd w:id="1134"/>
    </w:p>
    <w:p w14:paraId="1D6815D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发包人代表：</w:t>
      </w:r>
    </w:p>
    <w:p w14:paraId="42BE570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73B7A93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1A10A84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92E6BB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14:paraId="038B39E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14:paraId="023A721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2E711A23">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发包人对发包人代表的授权范围如下：</w:t>
      </w:r>
      <w:r>
        <w:rPr>
          <w:rFonts w:hint="eastAsia" w:ascii="宋体" w:hAnsi="宋体" w:eastAsia="宋体" w:cs="宋体"/>
          <w:color w:val="auto"/>
          <w:szCs w:val="21"/>
          <w:highlight w:val="none"/>
          <w:u w:val="single"/>
        </w:rPr>
        <w:t xml:space="preserve">按通用条款2.2条执行 </w:t>
      </w:r>
      <w:r>
        <w:rPr>
          <w:rFonts w:hint="eastAsia" w:ascii="宋体" w:hAnsi="宋体" w:eastAsia="宋体" w:cs="宋体"/>
          <w:color w:val="auto"/>
          <w:szCs w:val="21"/>
          <w:highlight w:val="none"/>
        </w:rPr>
        <w:t>。</w:t>
      </w:r>
    </w:p>
    <w:p w14:paraId="6D28A9CB">
      <w:pPr>
        <w:spacing w:line="360" w:lineRule="auto"/>
        <w:ind w:firstLine="420" w:firstLineChars="200"/>
        <w:outlineLvl w:val="0"/>
        <w:rPr>
          <w:rFonts w:hint="eastAsia" w:ascii="宋体" w:hAnsi="宋体" w:eastAsia="宋体" w:cs="宋体"/>
          <w:color w:val="auto"/>
          <w:szCs w:val="21"/>
          <w:highlight w:val="none"/>
        </w:rPr>
      </w:pPr>
      <w:bookmarkStart w:id="1135" w:name="_Toc27378058"/>
      <w:bookmarkStart w:id="1136" w:name="_Toc106695359"/>
      <w:bookmarkStart w:id="1137" w:name="_Toc500865880"/>
      <w:bookmarkStart w:id="1138" w:name="_Toc36136597"/>
      <w:bookmarkStart w:id="1139" w:name="_Toc499891647"/>
      <w:bookmarkStart w:id="1140" w:name="_Toc106695206"/>
      <w:bookmarkStart w:id="1141" w:name="_Toc499892838"/>
      <w:bookmarkStart w:id="1142" w:name="_Toc500864490"/>
      <w:bookmarkStart w:id="1143" w:name="_Toc32162"/>
      <w:bookmarkStart w:id="1144" w:name="_Toc12031"/>
      <w:r>
        <w:rPr>
          <w:rFonts w:hint="eastAsia" w:ascii="宋体" w:hAnsi="宋体" w:eastAsia="宋体" w:cs="宋体"/>
          <w:color w:val="auto"/>
          <w:szCs w:val="21"/>
          <w:highlight w:val="none"/>
        </w:rPr>
        <w:t>2.4 施工现场、施工条件和基础资料的提供</w:t>
      </w:r>
      <w:bookmarkEnd w:id="1135"/>
      <w:bookmarkEnd w:id="1136"/>
      <w:bookmarkEnd w:id="1137"/>
      <w:bookmarkEnd w:id="1138"/>
      <w:bookmarkEnd w:id="1139"/>
      <w:bookmarkEnd w:id="1140"/>
      <w:bookmarkEnd w:id="1141"/>
      <w:bookmarkEnd w:id="1142"/>
      <w:bookmarkEnd w:id="1143"/>
      <w:bookmarkEnd w:id="1144"/>
    </w:p>
    <w:p w14:paraId="717ABC6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提供施工现场</w:t>
      </w:r>
    </w:p>
    <w:p w14:paraId="3E0B828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关于发包人移交施工现场的期限要求：</w:t>
      </w:r>
      <w:r>
        <w:rPr>
          <w:rFonts w:hint="eastAsia" w:ascii="宋体" w:hAnsi="宋体" w:eastAsia="宋体" w:cs="宋体"/>
          <w:color w:val="auto"/>
          <w:szCs w:val="21"/>
          <w:highlight w:val="none"/>
          <w:u w:val="single"/>
        </w:rPr>
        <w:t>按通用条款</w:t>
      </w:r>
      <w:r>
        <w:rPr>
          <w:rFonts w:hint="eastAsia" w:ascii="宋体" w:hAnsi="宋体" w:eastAsia="宋体" w:cs="宋体"/>
          <w:color w:val="auto"/>
          <w:szCs w:val="21"/>
          <w:highlight w:val="none"/>
          <w:u w:val="single"/>
          <w:lang w:val="en-US" w:eastAsia="zh-CN"/>
        </w:rPr>
        <w:t>2.4.1</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7363978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提供施工条件</w:t>
      </w:r>
    </w:p>
    <w:p w14:paraId="4F042D67">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关于发包人应负责提供施工所需要的条件，包括：</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2.4.2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2B0C6CE2">
      <w:pPr>
        <w:spacing w:line="360" w:lineRule="auto"/>
        <w:ind w:firstLine="420" w:firstLineChars="200"/>
        <w:outlineLvl w:val="0"/>
        <w:rPr>
          <w:rFonts w:hint="eastAsia" w:ascii="宋体" w:hAnsi="宋体" w:eastAsia="宋体" w:cs="宋体"/>
          <w:color w:val="auto"/>
          <w:szCs w:val="21"/>
          <w:highlight w:val="none"/>
        </w:rPr>
      </w:pPr>
      <w:bookmarkStart w:id="1145" w:name="_Toc36136598"/>
      <w:bookmarkStart w:id="1146" w:name="_Toc499892839"/>
      <w:bookmarkStart w:id="1147" w:name="_Toc27378059"/>
      <w:bookmarkStart w:id="1148" w:name="_Toc499891648"/>
      <w:bookmarkStart w:id="1149" w:name="_Toc500865881"/>
      <w:bookmarkStart w:id="1150" w:name="_Toc14875"/>
      <w:bookmarkStart w:id="1151" w:name="_Toc500864491"/>
      <w:bookmarkStart w:id="1152" w:name="_Toc19697"/>
      <w:bookmarkStart w:id="1153" w:name="_Toc106695207"/>
      <w:bookmarkStart w:id="1154" w:name="_Toc106695360"/>
      <w:r>
        <w:rPr>
          <w:rFonts w:hint="eastAsia" w:ascii="宋体" w:hAnsi="宋体" w:eastAsia="宋体" w:cs="宋体"/>
          <w:color w:val="auto"/>
          <w:szCs w:val="21"/>
          <w:highlight w:val="none"/>
        </w:rPr>
        <w:t>2.5 资金来源证明及支付担保</w:t>
      </w:r>
      <w:bookmarkEnd w:id="1145"/>
      <w:bookmarkEnd w:id="1146"/>
      <w:bookmarkEnd w:id="1147"/>
      <w:bookmarkEnd w:id="1148"/>
      <w:bookmarkEnd w:id="1149"/>
      <w:bookmarkEnd w:id="1150"/>
      <w:bookmarkEnd w:id="1151"/>
      <w:bookmarkEnd w:id="1152"/>
      <w:bookmarkEnd w:id="1153"/>
      <w:bookmarkEnd w:id="1154"/>
    </w:p>
    <w:p w14:paraId="2BA1BB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 xml:space="preserve">按通用条款2.5执行    </w:t>
      </w:r>
      <w:r>
        <w:rPr>
          <w:rFonts w:hint="eastAsia" w:ascii="宋体" w:hAnsi="宋体" w:eastAsia="宋体" w:cs="宋体"/>
          <w:color w:val="auto"/>
          <w:szCs w:val="21"/>
          <w:highlight w:val="none"/>
        </w:rPr>
        <w:t>。</w:t>
      </w:r>
    </w:p>
    <w:p w14:paraId="4FA726C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不提供</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B48E89">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2788017">
      <w:pPr>
        <w:pStyle w:val="5"/>
        <w:rPr>
          <w:rFonts w:hint="eastAsia" w:ascii="宋体" w:hAnsi="宋体" w:eastAsia="宋体" w:cs="宋体"/>
          <w:b w:val="0"/>
          <w:color w:val="auto"/>
          <w:szCs w:val="21"/>
          <w:highlight w:val="none"/>
        </w:rPr>
      </w:pPr>
      <w:bookmarkStart w:id="1155" w:name="_Toc351203635"/>
      <w:r>
        <w:rPr>
          <w:rFonts w:hint="eastAsia" w:ascii="宋体" w:hAnsi="宋体" w:eastAsia="宋体" w:cs="宋体"/>
          <w:b w:val="0"/>
          <w:color w:val="auto"/>
          <w:szCs w:val="21"/>
          <w:highlight w:val="none"/>
        </w:rPr>
        <w:t>3</w:t>
      </w:r>
      <w:bookmarkStart w:id="1156" w:name="_Toc296944497"/>
      <w:bookmarkStart w:id="1157" w:name="_Toc292559363"/>
      <w:bookmarkStart w:id="1158" w:name="_Toc297120458"/>
      <w:bookmarkStart w:id="1159" w:name="_Toc296891198"/>
      <w:bookmarkStart w:id="1160" w:name="_Toc296890986"/>
      <w:bookmarkStart w:id="1161" w:name="_Toc292559868"/>
      <w:bookmarkStart w:id="1162" w:name="_Toc296347157"/>
      <w:bookmarkStart w:id="1163" w:name="_Toc296346659"/>
      <w:bookmarkStart w:id="1164" w:name="_Toc296503158"/>
      <w:bookmarkStart w:id="1165" w:name="_Toc297048344"/>
      <w:r>
        <w:rPr>
          <w:rFonts w:hint="eastAsia" w:ascii="宋体" w:hAnsi="宋体" w:eastAsia="宋体" w:cs="宋体"/>
          <w:b w:val="0"/>
          <w:color w:val="auto"/>
          <w:szCs w:val="21"/>
          <w:highlight w:val="none"/>
        </w:rPr>
        <w:t>. 承包人</w:t>
      </w:r>
      <w:bookmarkEnd w:id="1155"/>
    </w:p>
    <w:bookmarkEnd w:id="1156"/>
    <w:bookmarkEnd w:id="1157"/>
    <w:bookmarkEnd w:id="1158"/>
    <w:bookmarkEnd w:id="1159"/>
    <w:bookmarkEnd w:id="1160"/>
    <w:bookmarkEnd w:id="1161"/>
    <w:bookmarkEnd w:id="1162"/>
    <w:bookmarkEnd w:id="1163"/>
    <w:bookmarkEnd w:id="1164"/>
    <w:bookmarkEnd w:id="1165"/>
    <w:p w14:paraId="710CEA7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承包人的一般义务</w:t>
      </w:r>
    </w:p>
    <w:p w14:paraId="6B33A72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szCs w:val="21"/>
          <w:highlight w:val="none"/>
        </w:rPr>
        <w:t>承包人提交的竣工资料的内容：</w:t>
      </w:r>
      <w:r>
        <w:rPr>
          <w:rFonts w:hint="eastAsia" w:ascii="宋体" w:hAnsi="宋体" w:eastAsia="宋体" w:cs="宋体"/>
          <w:color w:val="auto"/>
          <w:szCs w:val="21"/>
          <w:highlight w:val="none"/>
          <w:u w:val="single"/>
        </w:rPr>
        <w:t xml:space="preserve">   向发包人提供全套施工资料  </w:t>
      </w:r>
      <w:r>
        <w:rPr>
          <w:rFonts w:hint="eastAsia" w:ascii="宋体" w:hAnsi="宋体" w:eastAsia="宋体" w:cs="宋体"/>
          <w:color w:val="auto"/>
          <w:szCs w:val="21"/>
          <w:highlight w:val="none"/>
        </w:rPr>
        <w:t>。</w:t>
      </w:r>
    </w:p>
    <w:p w14:paraId="37C4F33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承包人需要提交的竣工资料套数：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2053323">
      <w:pPr>
        <w:spacing w:line="360" w:lineRule="auto"/>
        <w:ind w:left="638" w:leftChars="30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B3CECD0">
      <w:pPr>
        <w:spacing w:line="360" w:lineRule="auto"/>
        <w:ind w:left="638" w:leftChars="30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r>
        <w:rPr>
          <w:rFonts w:hint="eastAsia" w:ascii="宋体" w:hAnsi="宋体" w:eastAsia="宋体" w:cs="宋体"/>
          <w:color w:val="auto"/>
          <w:szCs w:val="21"/>
          <w:highlight w:val="none"/>
          <w:u w:val="single"/>
        </w:rPr>
        <w:t xml:space="preserve">    程竣工验收前七日前        </w:t>
      </w:r>
      <w:r>
        <w:rPr>
          <w:rFonts w:hint="eastAsia" w:ascii="宋体" w:hAnsi="宋体" w:eastAsia="宋体" w:cs="宋体"/>
          <w:color w:val="auto"/>
          <w:szCs w:val="21"/>
          <w:highlight w:val="none"/>
        </w:rPr>
        <w:t>。</w:t>
      </w:r>
    </w:p>
    <w:p w14:paraId="2E52E3A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r>
        <w:rPr>
          <w:rFonts w:hint="eastAsia" w:ascii="宋体" w:hAnsi="宋体" w:eastAsia="宋体" w:cs="宋体"/>
          <w:color w:val="auto"/>
          <w:szCs w:val="21"/>
          <w:highlight w:val="none"/>
          <w:u w:val="single"/>
        </w:rPr>
        <w:t xml:space="preserve">        书面          </w:t>
      </w:r>
      <w:r>
        <w:rPr>
          <w:rFonts w:hint="eastAsia" w:ascii="宋体" w:hAnsi="宋体" w:eastAsia="宋体" w:cs="宋体"/>
          <w:color w:val="auto"/>
          <w:szCs w:val="21"/>
          <w:highlight w:val="none"/>
        </w:rPr>
        <w:t>。</w:t>
      </w:r>
    </w:p>
    <w:p w14:paraId="0F6823B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（10）承包人应履行的其他义务：</w:t>
      </w:r>
      <w:r>
        <w:rPr>
          <w:rFonts w:hint="eastAsia" w:ascii="宋体" w:hAnsi="宋体" w:eastAsia="宋体" w:cs="宋体"/>
          <w:color w:val="auto"/>
          <w:szCs w:val="21"/>
          <w:highlight w:val="none"/>
          <w:u w:val="single"/>
        </w:rPr>
        <w:t xml:space="preserve">   按通用条款3.1      </w:t>
      </w:r>
      <w:r>
        <w:rPr>
          <w:rFonts w:hint="eastAsia" w:ascii="宋体" w:hAnsi="宋体" w:eastAsia="宋体" w:cs="宋体"/>
          <w:color w:val="auto"/>
          <w:szCs w:val="21"/>
          <w:highlight w:val="none"/>
        </w:rPr>
        <w:t>。</w:t>
      </w:r>
    </w:p>
    <w:p w14:paraId="229B07F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项目经理</w:t>
      </w:r>
    </w:p>
    <w:p w14:paraId="1819587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 xml:space="preserve">3.2.1 </w:t>
      </w:r>
      <w:r>
        <w:rPr>
          <w:rFonts w:hint="eastAsia" w:ascii="宋体" w:hAnsi="宋体" w:eastAsia="宋体" w:cs="宋体"/>
          <w:color w:val="auto"/>
          <w:szCs w:val="21"/>
          <w:highlight w:val="none"/>
        </w:rPr>
        <w:t>项目经理：</w:t>
      </w:r>
    </w:p>
    <w:p w14:paraId="008665C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2F07B94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078332A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建造师执业资格等级：</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146B3A3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2AE717C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30608F0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063E0CB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7CEB00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495754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18E4E1F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承包人对项目经理的授权范围如下：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60A25F7">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关于项目经理每月在施工现场的时间要求：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46BF816">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承包人未提交劳动合同，以及没有为项目经理缴纳社会保险证明的违约责任：</w:t>
      </w:r>
      <w:r>
        <w:rPr>
          <w:rFonts w:hint="eastAsia" w:ascii="宋体" w:hAnsi="宋体" w:eastAsia="宋体" w:cs="宋体"/>
          <w:color w:val="auto"/>
          <w:szCs w:val="21"/>
          <w:highlight w:val="none"/>
          <w:u w:val="single"/>
        </w:rPr>
        <w:t xml:space="preserve"> 按通用条款3.2.1条执行 </w:t>
      </w:r>
      <w:r>
        <w:rPr>
          <w:rFonts w:hint="eastAsia" w:ascii="宋体" w:hAnsi="宋体" w:eastAsia="宋体" w:cs="宋体"/>
          <w:color w:val="auto"/>
          <w:szCs w:val="21"/>
          <w:highlight w:val="none"/>
        </w:rPr>
        <w:t>。</w:t>
      </w:r>
    </w:p>
    <w:p w14:paraId="3B99B650">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项目经理未经批准，擅自离开施工现场的违约责任：</w:t>
      </w:r>
      <w:r>
        <w:rPr>
          <w:rFonts w:hint="eastAsia" w:ascii="宋体" w:hAnsi="宋体" w:eastAsia="宋体" w:cs="宋体"/>
          <w:color w:val="auto"/>
          <w:szCs w:val="21"/>
          <w:highlight w:val="none"/>
          <w:u w:val="single"/>
        </w:rPr>
        <w:t xml:space="preserve"> 按通用条款3.2.1条执行</w:t>
      </w:r>
      <w:r>
        <w:rPr>
          <w:rFonts w:hint="eastAsia" w:ascii="宋体" w:hAnsi="宋体" w:eastAsia="宋体" w:cs="宋体"/>
          <w:color w:val="auto"/>
          <w:szCs w:val="21"/>
          <w:highlight w:val="none"/>
        </w:rPr>
        <w:t>。</w:t>
      </w:r>
    </w:p>
    <w:p w14:paraId="10E1C50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承包人擅自更换项目经理的违约责任：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39583607">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1166" w:name="_Toc106695361"/>
      <w:bookmarkStart w:id="1167" w:name="_Toc499892840"/>
      <w:bookmarkStart w:id="1168" w:name="_Toc499891649"/>
      <w:bookmarkStart w:id="1169" w:name="_Toc500864492"/>
      <w:bookmarkStart w:id="1170" w:name="_Toc27378060"/>
      <w:bookmarkStart w:id="1171" w:name="_Toc106695208"/>
      <w:bookmarkStart w:id="1172" w:name="_Toc36136599"/>
      <w:bookmarkStart w:id="1173" w:name="_Toc500865882"/>
      <w:bookmarkStart w:id="1174" w:name="_Toc13440"/>
      <w:bookmarkStart w:id="1175" w:name="_Toc5292"/>
      <w:r>
        <w:rPr>
          <w:rFonts w:hint="eastAsia" w:ascii="宋体" w:hAnsi="宋体" w:eastAsia="宋体" w:cs="宋体"/>
          <w:color w:val="auto"/>
          <w:szCs w:val="21"/>
          <w:highlight w:val="none"/>
        </w:rPr>
        <w:t>3.2.4 承包人无正当理由拒绝更换项目经理的违约责任：</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bookmarkEnd w:id="1166"/>
      <w:bookmarkEnd w:id="1167"/>
      <w:bookmarkEnd w:id="1168"/>
      <w:bookmarkEnd w:id="1169"/>
      <w:bookmarkEnd w:id="1170"/>
      <w:bookmarkEnd w:id="1171"/>
      <w:bookmarkEnd w:id="1172"/>
      <w:bookmarkEnd w:id="1173"/>
      <w:bookmarkEnd w:id="1174"/>
      <w:bookmarkEnd w:id="1175"/>
    </w:p>
    <w:p w14:paraId="0318226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承包人人员</w:t>
      </w:r>
    </w:p>
    <w:p w14:paraId="771D1AC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承包人提交项目管理机构及施工现场管理人员安排报告的期限：</w:t>
      </w:r>
      <w:r>
        <w:rPr>
          <w:rFonts w:hint="eastAsia" w:ascii="宋体" w:hAnsi="宋体" w:eastAsia="宋体" w:cs="宋体"/>
          <w:color w:val="auto"/>
          <w:szCs w:val="21"/>
          <w:highlight w:val="none"/>
          <w:u w:val="single"/>
        </w:rPr>
        <w:t xml:space="preserve"> 按通用条款3.</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.1条执行 </w:t>
      </w:r>
      <w:r>
        <w:rPr>
          <w:rFonts w:hint="eastAsia" w:ascii="宋体" w:hAnsi="宋体" w:eastAsia="宋体" w:cs="宋体"/>
          <w:color w:val="auto"/>
          <w:szCs w:val="21"/>
          <w:highlight w:val="none"/>
        </w:rPr>
        <w:t>。</w:t>
      </w:r>
    </w:p>
    <w:p w14:paraId="27D0A5F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承包人无正当理由拒绝撤换主要施工管理人员的违约责任：</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32220E70">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 承包人主要施工管理人员离开施工现场的批准要求：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AC2E3B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3.3.5承包人擅自更换主要施工管理人员的违约责任：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896260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承包人主要施工管理人员擅自离开施工现场的违约责任：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315EA8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1176" w:name="_Toc297123492"/>
      <w:bookmarkStart w:id="1177" w:name="_Toc296890987"/>
      <w:bookmarkStart w:id="1178" w:name="_Toc296346660"/>
      <w:bookmarkStart w:id="1179" w:name="_Toc303539102"/>
      <w:bookmarkStart w:id="1180" w:name="_Toc312677988"/>
      <w:bookmarkStart w:id="1181" w:name="_Toc304295523"/>
      <w:bookmarkStart w:id="1182" w:name="_Toc297120459"/>
      <w:bookmarkStart w:id="1183" w:name="_Toc297048345"/>
      <w:bookmarkStart w:id="1184" w:name="_Toc296891199"/>
      <w:bookmarkStart w:id="1185" w:name="_Toc296503159"/>
      <w:bookmarkStart w:id="1186" w:name="_Toc292559364"/>
      <w:bookmarkStart w:id="1187" w:name="_Toc297216151"/>
      <w:bookmarkStart w:id="1188" w:name="_Toc296347158"/>
      <w:bookmarkStart w:id="1189" w:name="_Toc296944498"/>
      <w:bookmarkStart w:id="1190" w:name="_Toc292559869"/>
      <w:bookmarkStart w:id="1191" w:name="_Toc300934945"/>
      <w:r>
        <w:rPr>
          <w:rFonts w:hint="eastAsia" w:ascii="宋体" w:hAnsi="宋体" w:eastAsia="宋体" w:cs="宋体"/>
          <w:color w:val="auto"/>
          <w:szCs w:val="21"/>
          <w:highlight w:val="none"/>
        </w:rPr>
        <w:t>.5 分包</w:t>
      </w:r>
    </w:p>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p w14:paraId="02D1B67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1192" w:name="_Toc297216152"/>
      <w:bookmarkStart w:id="1193" w:name="_Toc304295524"/>
      <w:bookmarkStart w:id="1194" w:name="_Toc297123493"/>
      <w:bookmarkStart w:id="1195" w:name="_Toc296944499"/>
      <w:bookmarkStart w:id="1196" w:name="_Toc303539103"/>
      <w:bookmarkStart w:id="1197" w:name="_Toc300934946"/>
      <w:bookmarkStart w:id="1198" w:name="_Toc296346661"/>
      <w:bookmarkStart w:id="1199" w:name="_Toc292559365"/>
      <w:bookmarkStart w:id="1200" w:name="_Toc297048346"/>
      <w:bookmarkStart w:id="1201" w:name="_Toc296891200"/>
      <w:bookmarkStart w:id="1202" w:name="_Toc296890988"/>
      <w:bookmarkStart w:id="1203" w:name="_Toc296347159"/>
      <w:bookmarkStart w:id="1204" w:name="_Toc297120460"/>
      <w:bookmarkStart w:id="1205" w:name="_Toc296503160"/>
      <w:bookmarkStart w:id="1206" w:name="_Toc292559870"/>
      <w:bookmarkStart w:id="1207" w:name="_Toc318581158"/>
      <w:bookmarkStart w:id="1208" w:name="_Toc312677989"/>
      <w:r>
        <w:rPr>
          <w:rFonts w:hint="eastAsia" w:ascii="宋体" w:hAnsi="宋体" w:eastAsia="宋体" w:cs="宋体"/>
          <w:color w:val="auto"/>
          <w:szCs w:val="21"/>
          <w:highlight w:val="none"/>
        </w:rPr>
        <w:t>.5.1 分包的一般约定</w:t>
      </w:r>
    </w:p>
    <w:p w14:paraId="353A5E1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2319403">
      <w:pP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主体结构、关键性工作的范围：</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Start w:id="1209" w:name="_Toc297120461"/>
      <w:bookmarkStart w:id="1210" w:name="_Toc296347160"/>
      <w:bookmarkStart w:id="1211" w:name="_Toc303539104"/>
      <w:bookmarkStart w:id="1212" w:name="_Toc300934947"/>
      <w:bookmarkStart w:id="1213" w:name="_Toc296346662"/>
      <w:bookmarkStart w:id="1214" w:name="_Toc304295525"/>
      <w:bookmarkStart w:id="1215" w:name="_Toc296944500"/>
      <w:bookmarkStart w:id="1216" w:name="_Toc297123494"/>
      <w:bookmarkStart w:id="1217" w:name="_Toc296890989"/>
      <w:bookmarkStart w:id="1218" w:name="_Toc297048347"/>
      <w:bookmarkStart w:id="1219" w:name="_Toc296891201"/>
      <w:bookmarkStart w:id="1220" w:name="_Toc296503161"/>
      <w:bookmarkStart w:id="1221" w:name="_Toc297216153"/>
    </w:p>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p w14:paraId="35A5FE1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w:t>
      </w:r>
      <w:bookmarkStart w:id="1222" w:name="_Toc312677990"/>
      <w:bookmarkStart w:id="1223" w:name="_Toc318581159"/>
      <w:r>
        <w:rPr>
          <w:rFonts w:hint="eastAsia" w:ascii="宋体" w:hAnsi="宋体" w:eastAsia="宋体" w:cs="宋体"/>
          <w:color w:val="auto"/>
          <w:szCs w:val="21"/>
          <w:highlight w:val="none"/>
        </w:rPr>
        <w:t>.5.2分包的确定</w:t>
      </w:r>
    </w:p>
    <w:p w14:paraId="7D97C69D">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允许分包的专业工程包括：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D9A03A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不允许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496CAF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 分包合同价款</w:t>
      </w:r>
    </w:p>
    <w:p w14:paraId="703B05C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关于分包合同价款支付的约定：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222"/>
    <w:bookmarkEnd w:id="1223"/>
    <w:p w14:paraId="4882CB9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 工程照管与成品、半成品保护</w:t>
      </w:r>
    </w:p>
    <w:p w14:paraId="5D2BDA29">
      <w:pPr>
        <w:autoSpaceDE w:val="0"/>
        <w:autoSpaceDN w:val="0"/>
        <w:adjustRightInd w:val="0"/>
        <w:spacing w:line="360" w:lineRule="auto"/>
        <w:ind w:right="-34" w:rightChars="-16" w:firstLine="210" w:firstLineChars="1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承包人负责照管工程及工程相关的材料、工程设备的起始时间：</w:t>
      </w:r>
      <w:r>
        <w:rPr>
          <w:rFonts w:hint="eastAsia" w:ascii="宋体" w:hAnsi="宋体" w:eastAsia="宋体" w:cs="宋体"/>
          <w:color w:val="auto"/>
          <w:kern w:val="0"/>
          <w:szCs w:val="21"/>
          <w:highlight w:val="none"/>
          <w:u w:val="single"/>
        </w:rPr>
        <w:t xml:space="preserve"> 竣工验收交付使用前  </w:t>
      </w:r>
      <w:r>
        <w:rPr>
          <w:rFonts w:hint="eastAsia" w:ascii="宋体" w:hAnsi="宋体" w:eastAsia="宋体" w:cs="宋体"/>
          <w:color w:val="auto"/>
          <w:kern w:val="0"/>
          <w:szCs w:val="21"/>
          <w:highlight w:val="none"/>
        </w:rPr>
        <w:t>。</w:t>
      </w:r>
    </w:p>
    <w:p w14:paraId="7D5DAD6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14:paraId="05D13AB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不</w:t>
      </w:r>
      <w:r>
        <w:rPr>
          <w:rFonts w:hint="eastAsia" w:ascii="宋体" w:hAnsi="宋体" w:eastAsia="宋体" w:cs="宋体"/>
          <w:color w:val="auto"/>
          <w:szCs w:val="21"/>
          <w:highlight w:val="none"/>
          <w:u w:val="single"/>
        </w:rPr>
        <w:t>提供</w:t>
      </w:r>
      <w:r>
        <w:rPr>
          <w:rFonts w:hint="eastAsia" w:ascii="宋体" w:hAnsi="宋体" w:eastAsia="宋体" w:cs="宋体"/>
          <w:color w:val="auto"/>
          <w:szCs w:val="21"/>
          <w:highlight w:val="none"/>
        </w:rPr>
        <w:t>。</w:t>
      </w:r>
    </w:p>
    <w:p w14:paraId="64B0C3D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承包人提供履约担保的形式、金额：</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w:t>
      </w:r>
    </w:p>
    <w:p w14:paraId="57474A8F">
      <w:pPr>
        <w:pStyle w:val="5"/>
        <w:rPr>
          <w:rFonts w:hint="eastAsia" w:ascii="宋体" w:hAnsi="宋体" w:eastAsia="宋体" w:cs="宋体"/>
          <w:b w:val="0"/>
          <w:color w:val="auto"/>
          <w:szCs w:val="21"/>
          <w:highlight w:val="none"/>
        </w:rPr>
      </w:pPr>
      <w:bookmarkStart w:id="1224" w:name="_Toc351203636"/>
      <w:r>
        <w:rPr>
          <w:rFonts w:hint="eastAsia" w:ascii="宋体" w:hAnsi="宋体" w:eastAsia="宋体" w:cs="宋体"/>
          <w:b w:val="0"/>
          <w:color w:val="auto"/>
          <w:szCs w:val="21"/>
          <w:highlight w:val="none"/>
        </w:rPr>
        <w:t>4</w:t>
      </w:r>
      <w:bookmarkStart w:id="1225" w:name="_Toc296890990"/>
      <w:bookmarkStart w:id="1226" w:name="_Toc296347161"/>
      <w:bookmarkStart w:id="1227" w:name="_Toc297120462"/>
      <w:bookmarkStart w:id="1228" w:name="_Toc297048348"/>
      <w:bookmarkStart w:id="1229" w:name="_Toc267251413"/>
      <w:bookmarkStart w:id="1230" w:name="_Toc296944501"/>
      <w:bookmarkStart w:id="1231" w:name="_Toc292559366"/>
      <w:bookmarkStart w:id="1232" w:name="_Toc296891202"/>
      <w:bookmarkStart w:id="1233" w:name="_Toc296346663"/>
      <w:bookmarkStart w:id="1234" w:name="_Toc296503162"/>
      <w:bookmarkStart w:id="1235" w:name="_Toc292559871"/>
      <w:r>
        <w:rPr>
          <w:rFonts w:hint="eastAsia" w:ascii="宋体" w:hAnsi="宋体" w:eastAsia="宋体" w:cs="宋体"/>
          <w:b w:val="0"/>
          <w:color w:val="auto"/>
          <w:szCs w:val="21"/>
          <w:highlight w:val="none"/>
        </w:rPr>
        <w:t>. 监</w:t>
      </w:r>
      <w:bookmarkEnd w:id="1225"/>
      <w:bookmarkEnd w:id="1226"/>
      <w:bookmarkEnd w:id="1227"/>
      <w:bookmarkEnd w:id="1228"/>
      <w:bookmarkEnd w:id="1229"/>
      <w:bookmarkEnd w:id="1230"/>
      <w:bookmarkEnd w:id="1231"/>
      <w:bookmarkEnd w:id="1232"/>
      <w:bookmarkEnd w:id="1233"/>
      <w:bookmarkEnd w:id="1234"/>
      <w:bookmarkEnd w:id="1235"/>
      <w:r>
        <w:rPr>
          <w:rFonts w:hint="eastAsia" w:ascii="宋体" w:hAnsi="宋体" w:eastAsia="宋体" w:cs="宋体"/>
          <w:b w:val="0"/>
          <w:color w:val="auto"/>
          <w:szCs w:val="21"/>
          <w:highlight w:val="none"/>
        </w:rPr>
        <w:t>理人</w:t>
      </w:r>
      <w:bookmarkEnd w:id="1224"/>
    </w:p>
    <w:p w14:paraId="08086B3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4.1监理人的一般规定</w:t>
      </w:r>
    </w:p>
    <w:p w14:paraId="3991019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r>
        <w:rPr>
          <w:rFonts w:hint="eastAsia" w:ascii="宋体" w:hAnsi="宋体" w:eastAsia="宋体" w:cs="宋体"/>
          <w:color w:val="auto"/>
          <w:szCs w:val="21"/>
          <w:highlight w:val="none"/>
          <w:u w:val="single"/>
        </w:rPr>
        <w:t xml:space="preserve">  按国家及地方规定、监理合同约定执行 </w:t>
      </w:r>
      <w:r>
        <w:rPr>
          <w:rFonts w:hint="eastAsia" w:ascii="宋体" w:hAnsi="宋体" w:eastAsia="宋体" w:cs="宋体"/>
          <w:color w:val="auto"/>
          <w:szCs w:val="21"/>
          <w:highlight w:val="none"/>
        </w:rPr>
        <w:t>。</w:t>
      </w:r>
    </w:p>
    <w:p w14:paraId="7C9F24C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关于监理人的监理权限：</w:t>
      </w:r>
      <w:r>
        <w:rPr>
          <w:rFonts w:hint="eastAsia" w:ascii="宋体" w:hAnsi="宋体" w:eastAsia="宋体" w:cs="宋体"/>
          <w:color w:val="auto"/>
          <w:szCs w:val="21"/>
          <w:highlight w:val="none"/>
          <w:u w:val="single"/>
        </w:rPr>
        <w:t xml:space="preserve">   按国家及地方规定、监理合同约定执行  </w:t>
      </w:r>
      <w:r>
        <w:rPr>
          <w:rFonts w:hint="eastAsia" w:ascii="宋体" w:hAnsi="宋体" w:eastAsia="宋体" w:cs="宋体"/>
          <w:color w:val="auto"/>
          <w:szCs w:val="21"/>
          <w:highlight w:val="none"/>
        </w:rPr>
        <w:t xml:space="preserve">。 </w:t>
      </w:r>
    </w:p>
    <w:p w14:paraId="087BABB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r>
        <w:rPr>
          <w:rFonts w:hint="eastAsia" w:ascii="宋体" w:hAnsi="宋体" w:eastAsia="宋体" w:cs="宋体"/>
          <w:color w:val="auto"/>
          <w:szCs w:val="21"/>
          <w:highlight w:val="none"/>
          <w:u w:val="single"/>
        </w:rPr>
        <w:t xml:space="preserve">  有监理公司负责承担 </w:t>
      </w:r>
      <w:r>
        <w:rPr>
          <w:rFonts w:hint="eastAsia" w:ascii="宋体" w:hAnsi="宋体" w:eastAsia="宋体" w:cs="宋体"/>
          <w:color w:val="auto"/>
          <w:szCs w:val="21"/>
          <w:highlight w:val="none"/>
        </w:rPr>
        <w:t>。</w:t>
      </w:r>
    </w:p>
    <w:p w14:paraId="6470CBB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监理人员</w:t>
      </w:r>
    </w:p>
    <w:p w14:paraId="70EC435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6A96AC9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321FBC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30D9AA6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0DB90A9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20007FA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3D20FDD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7F4FF3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2630600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 商定或确定</w:t>
      </w:r>
    </w:p>
    <w:p w14:paraId="1A79A38E">
      <w:pPr>
        <w:spacing w:line="360" w:lineRule="auto"/>
        <w:ind w:firstLine="420" w:firstLineChars="200"/>
        <w:rPr>
          <w:rFonts w:hint="eastAsia" w:ascii="宋体" w:hAnsi="宋体" w:eastAsia="宋体" w:cs="宋体"/>
          <w:color w:val="auto"/>
          <w:szCs w:val="21"/>
          <w:highlight w:val="none"/>
        </w:rPr>
      </w:pPr>
      <w:bookmarkStart w:id="1236" w:name="_Toc267251418"/>
      <w:r>
        <w:rPr>
          <w:rFonts w:hint="eastAsia" w:ascii="宋体" w:hAnsi="宋体" w:eastAsia="宋体" w:cs="宋体"/>
          <w:color w:val="auto"/>
          <w:szCs w:val="21"/>
          <w:highlight w:val="none"/>
        </w:rPr>
        <w:t>在发包人和承包人不能通过协商达成一致意见时，发包人授权监理人对以下事项进行确定：</w:t>
      </w:r>
    </w:p>
    <w:p w14:paraId="4457108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zCs w:val="21"/>
          <w:highlight w:val="none"/>
          <w:u w:val="single"/>
        </w:rPr>
        <w:t xml:space="preserve">    按通用条款4.4条执行          </w:t>
      </w:r>
      <w:r>
        <w:rPr>
          <w:rFonts w:hint="eastAsia" w:ascii="宋体" w:hAnsi="宋体" w:eastAsia="宋体" w:cs="宋体"/>
          <w:color w:val="auto"/>
          <w:szCs w:val="21"/>
          <w:highlight w:val="none"/>
        </w:rPr>
        <w:t>；</w:t>
      </w:r>
    </w:p>
    <w:p w14:paraId="6BF6F30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F24A3AC">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8872190">
      <w:pPr>
        <w:pStyle w:val="5"/>
        <w:rPr>
          <w:rFonts w:hint="eastAsia" w:ascii="宋体" w:hAnsi="宋体" w:eastAsia="宋体" w:cs="宋体"/>
          <w:b w:val="0"/>
          <w:color w:val="auto"/>
          <w:szCs w:val="21"/>
          <w:highlight w:val="none"/>
        </w:rPr>
      </w:pPr>
      <w:bookmarkStart w:id="1237" w:name="_Toc351203637"/>
      <w:r>
        <w:rPr>
          <w:rFonts w:hint="eastAsia" w:ascii="宋体" w:hAnsi="宋体" w:eastAsia="宋体" w:cs="宋体"/>
          <w:b w:val="0"/>
          <w:color w:val="auto"/>
          <w:szCs w:val="21"/>
          <w:highlight w:val="none"/>
        </w:rPr>
        <w:t>5</w:t>
      </w:r>
      <w:bookmarkEnd w:id="1236"/>
      <w:bookmarkStart w:id="1238" w:name="_Toc292559872"/>
      <w:bookmarkStart w:id="1239" w:name="_Toc297048349"/>
      <w:bookmarkStart w:id="1240" w:name="_Toc296347162"/>
      <w:bookmarkStart w:id="1241" w:name="_Toc296346664"/>
      <w:bookmarkStart w:id="1242" w:name="_Toc296891203"/>
      <w:bookmarkStart w:id="1243" w:name="_Toc297120463"/>
      <w:bookmarkStart w:id="1244" w:name="_Toc296890991"/>
      <w:bookmarkStart w:id="1245" w:name="_Toc296503163"/>
      <w:bookmarkStart w:id="1246" w:name="_Toc292559367"/>
      <w:bookmarkStart w:id="1247" w:name="_Toc296944502"/>
      <w:r>
        <w:rPr>
          <w:rFonts w:hint="eastAsia" w:ascii="宋体" w:hAnsi="宋体" w:eastAsia="宋体" w:cs="宋体"/>
          <w:b w:val="0"/>
          <w:color w:val="auto"/>
          <w:szCs w:val="21"/>
          <w:highlight w:val="none"/>
        </w:rPr>
        <w:t>. 工程质量</w:t>
      </w:r>
      <w:bookmarkEnd w:id="1237"/>
    </w:p>
    <w:p w14:paraId="29F5CC9B">
      <w:pPr>
        <w:spacing w:line="360" w:lineRule="auto"/>
        <w:ind w:firstLine="420" w:firstLineChars="200"/>
        <w:outlineLvl w:val="0"/>
        <w:rPr>
          <w:rFonts w:hint="eastAsia" w:ascii="宋体" w:hAnsi="宋体" w:eastAsia="宋体" w:cs="宋体"/>
          <w:color w:val="auto"/>
          <w:szCs w:val="21"/>
          <w:highlight w:val="none"/>
        </w:rPr>
      </w:pPr>
      <w:bookmarkStart w:id="1248" w:name="_Toc500865883"/>
      <w:bookmarkStart w:id="1249" w:name="_Toc106695209"/>
      <w:bookmarkStart w:id="1250" w:name="_Toc106695362"/>
      <w:bookmarkStart w:id="1251" w:name="_Toc36136600"/>
      <w:bookmarkStart w:id="1252" w:name="_Toc500864493"/>
      <w:bookmarkStart w:id="1253" w:name="_Toc499891650"/>
      <w:bookmarkStart w:id="1254" w:name="_Toc27378061"/>
      <w:bookmarkStart w:id="1255" w:name="_Toc499892841"/>
      <w:bookmarkStart w:id="1256" w:name="_Toc14358"/>
      <w:bookmarkStart w:id="1257" w:name="_Toc20152"/>
      <w:r>
        <w:rPr>
          <w:rFonts w:hint="eastAsia" w:ascii="宋体" w:hAnsi="宋体" w:eastAsia="宋体" w:cs="宋体"/>
          <w:color w:val="auto"/>
          <w:szCs w:val="21"/>
          <w:highlight w:val="none"/>
        </w:rPr>
        <w:t>5.1 质量要求</w:t>
      </w:r>
      <w:bookmarkEnd w:id="1248"/>
      <w:bookmarkEnd w:id="1249"/>
      <w:bookmarkEnd w:id="1250"/>
      <w:bookmarkEnd w:id="1251"/>
      <w:bookmarkEnd w:id="1252"/>
      <w:bookmarkEnd w:id="1253"/>
      <w:bookmarkEnd w:id="1254"/>
      <w:bookmarkEnd w:id="1255"/>
      <w:bookmarkEnd w:id="1256"/>
      <w:bookmarkEnd w:id="1257"/>
    </w:p>
    <w:p w14:paraId="74BDE8D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bookmarkStart w:id="1258" w:name="_Toc318581164"/>
      <w:bookmarkStart w:id="1259" w:name="_Toc303539106"/>
      <w:bookmarkStart w:id="1260" w:name="_Toc312677997"/>
      <w:bookmarkStart w:id="1261" w:name="_Toc304295527"/>
      <w:bookmarkStart w:id="1262" w:name="_Toc300934949"/>
      <w:bookmarkStart w:id="1263" w:name="_Toc297216155"/>
      <w:bookmarkStart w:id="1264" w:name="_Toc297123496"/>
      <w:r>
        <w:rPr>
          <w:rFonts w:hint="eastAsia" w:ascii="宋体" w:hAnsi="宋体" w:eastAsia="宋体" w:cs="宋体"/>
          <w:color w:val="auto"/>
          <w:szCs w:val="21"/>
          <w:highlight w:val="none"/>
        </w:rPr>
        <w:t>.1.1 特殊质量标准和要求：</w:t>
      </w:r>
      <w:r>
        <w:rPr>
          <w:rFonts w:hint="eastAsia" w:ascii="宋体" w:hAnsi="宋体" w:eastAsia="宋体" w:cs="宋体"/>
          <w:color w:val="auto"/>
          <w:szCs w:val="21"/>
          <w:highlight w:val="none"/>
          <w:u w:val="single"/>
        </w:rPr>
        <w:t xml:space="preserve">   按通用条款5执行    </w:t>
      </w:r>
      <w:r>
        <w:rPr>
          <w:rFonts w:hint="eastAsia" w:ascii="宋体" w:hAnsi="宋体" w:eastAsia="宋体" w:cs="宋体"/>
          <w:color w:val="auto"/>
          <w:szCs w:val="21"/>
          <w:highlight w:val="none"/>
        </w:rPr>
        <w:t>。</w:t>
      </w:r>
    </w:p>
    <w:p w14:paraId="0E24DF8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关于工程奖项的约定：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1C6CC723">
      <w:pPr>
        <w:spacing w:line="360" w:lineRule="auto"/>
        <w:ind w:firstLine="420" w:firstLineChars="200"/>
        <w:outlineLvl w:val="0"/>
        <w:rPr>
          <w:rFonts w:hint="eastAsia" w:ascii="宋体" w:hAnsi="宋体" w:eastAsia="宋体" w:cs="宋体"/>
          <w:color w:val="auto"/>
          <w:szCs w:val="21"/>
          <w:highlight w:val="none"/>
        </w:rPr>
      </w:pPr>
      <w:bookmarkStart w:id="1265" w:name="_Toc106695363"/>
      <w:bookmarkStart w:id="1266" w:name="_Toc36136601"/>
      <w:bookmarkStart w:id="1267" w:name="_Toc500864494"/>
      <w:bookmarkStart w:id="1268" w:name="_Toc499892842"/>
      <w:bookmarkStart w:id="1269" w:name="_Toc17204"/>
      <w:bookmarkStart w:id="1270" w:name="_Toc27378062"/>
      <w:bookmarkStart w:id="1271" w:name="_Toc500865884"/>
      <w:bookmarkStart w:id="1272" w:name="_Toc106695210"/>
      <w:bookmarkStart w:id="1273" w:name="_Toc499891651"/>
      <w:bookmarkStart w:id="1274" w:name="_Toc5713"/>
      <w:r>
        <w:rPr>
          <w:rFonts w:hint="eastAsia" w:ascii="宋体" w:hAnsi="宋体" w:eastAsia="宋体" w:cs="宋体"/>
          <w:color w:val="auto"/>
          <w:szCs w:val="21"/>
          <w:highlight w:val="none"/>
        </w:rPr>
        <w:t>5.3 隐蔽工程检查</w:t>
      </w:r>
      <w:bookmarkEnd w:id="1265"/>
      <w:bookmarkEnd w:id="1266"/>
      <w:bookmarkEnd w:id="1267"/>
      <w:bookmarkEnd w:id="1268"/>
      <w:bookmarkEnd w:id="1269"/>
      <w:bookmarkEnd w:id="1270"/>
      <w:bookmarkEnd w:id="1271"/>
      <w:bookmarkEnd w:id="1272"/>
      <w:bookmarkEnd w:id="1273"/>
      <w:bookmarkEnd w:id="1274"/>
    </w:p>
    <w:p w14:paraId="35C5432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5.3.2承包人提前通知监理人隐蔽工程检查的期限的约定：</w:t>
      </w:r>
      <w:r>
        <w:rPr>
          <w:rFonts w:hint="eastAsia" w:ascii="宋体" w:hAnsi="宋体" w:eastAsia="宋体" w:cs="宋体"/>
          <w:color w:val="auto"/>
          <w:szCs w:val="21"/>
          <w:highlight w:val="none"/>
          <w:u w:val="single"/>
        </w:rPr>
        <w:t xml:space="preserve"> 按通用条款5.3及建筑工程质量监督站有关规定  。</w:t>
      </w:r>
    </w:p>
    <w:p w14:paraId="7FDED7C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小时提交书面延期要求。</w:t>
      </w:r>
    </w:p>
    <w:p w14:paraId="5FB088E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小时。</w:t>
      </w:r>
    </w:p>
    <w:p w14:paraId="241B42D1">
      <w:pPr>
        <w:pStyle w:val="5"/>
        <w:rPr>
          <w:rFonts w:hint="eastAsia" w:ascii="宋体" w:hAnsi="宋体" w:eastAsia="宋体" w:cs="宋体"/>
          <w:b w:val="0"/>
          <w:color w:val="auto"/>
          <w:szCs w:val="21"/>
          <w:highlight w:val="none"/>
        </w:rPr>
      </w:pPr>
      <w:bookmarkStart w:id="1275" w:name="_Toc351203638"/>
      <w:r>
        <w:rPr>
          <w:rFonts w:hint="eastAsia" w:ascii="宋体" w:hAnsi="宋体" w:eastAsia="宋体" w:cs="宋体"/>
          <w:b w:val="0"/>
          <w:color w:val="auto"/>
          <w:szCs w:val="21"/>
          <w:highlight w:val="none"/>
        </w:rPr>
        <w:t>6. 安全文明施工与环境保护</w:t>
      </w:r>
      <w:bookmarkEnd w:id="1275"/>
    </w:p>
    <w:p w14:paraId="2FE352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6.1安全文明施工</w:t>
      </w:r>
    </w:p>
    <w:p w14:paraId="6D396CF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 项目安全生产的达标目标及相应事项的约定：</w:t>
      </w:r>
      <w:r>
        <w:rPr>
          <w:rFonts w:hint="eastAsia" w:ascii="宋体" w:hAnsi="宋体" w:eastAsia="宋体" w:cs="宋体"/>
          <w:color w:val="auto"/>
          <w:szCs w:val="21"/>
          <w:highlight w:val="none"/>
          <w:u w:val="single"/>
        </w:rPr>
        <w:t xml:space="preserve">  按通用条款6.1.1条执行  </w:t>
      </w:r>
      <w:r>
        <w:rPr>
          <w:rFonts w:hint="eastAsia" w:ascii="宋体" w:hAnsi="宋体" w:eastAsia="宋体" w:cs="宋体"/>
          <w:color w:val="auto"/>
          <w:szCs w:val="21"/>
          <w:highlight w:val="none"/>
        </w:rPr>
        <w:t>。</w:t>
      </w:r>
    </w:p>
    <w:p w14:paraId="7A30901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 关于治安保卫的特别约定：</w:t>
      </w:r>
      <w:r>
        <w:rPr>
          <w:rFonts w:hint="eastAsia" w:ascii="宋体" w:hAnsi="宋体" w:eastAsia="宋体" w:cs="宋体"/>
          <w:color w:val="auto"/>
          <w:szCs w:val="21"/>
          <w:highlight w:val="none"/>
          <w:u w:val="single"/>
        </w:rPr>
        <w:t xml:space="preserve">  按通用条款6.1.</w:t>
      </w:r>
      <w:r>
        <w:rPr>
          <w:rFonts w:hint="eastAsia" w:ascii="宋体" w:hAnsi="宋体" w:eastAsia="宋体" w:cs="宋体"/>
          <w:color w:val="auto"/>
          <w:szCs w:val="21"/>
          <w:highlight w:val="none"/>
          <w:u w:val="single"/>
          <w:lang w:val="en-US" w:eastAsia="zh-CN"/>
        </w:rPr>
        <w:t>4</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164B7CF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关于编制施工场地治安管理计划的约定：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270C9E3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 文明施工</w:t>
      </w:r>
    </w:p>
    <w:p w14:paraId="098B558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合同当事人对文明施工的要求：</w:t>
      </w:r>
      <w:r>
        <w:rPr>
          <w:rFonts w:hint="eastAsia" w:ascii="宋体" w:hAnsi="宋体" w:eastAsia="宋体" w:cs="宋体"/>
          <w:color w:val="auto"/>
          <w:szCs w:val="21"/>
          <w:highlight w:val="none"/>
          <w:u w:val="single"/>
        </w:rPr>
        <w:t xml:space="preserve">      按通用条款6.1.5条执行          </w:t>
      </w:r>
      <w:r>
        <w:rPr>
          <w:rFonts w:hint="eastAsia" w:ascii="宋体" w:hAnsi="宋体" w:eastAsia="宋体" w:cs="宋体"/>
          <w:color w:val="auto"/>
          <w:szCs w:val="21"/>
          <w:highlight w:val="none"/>
        </w:rPr>
        <w:t>。</w:t>
      </w:r>
    </w:p>
    <w:p w14:paraId="3C20560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 关于安全文明施工费支付比例和支付期限的约定：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258"/>
    <w:bookmarkEnd w:id="1259"/>
    <w:bookmarkEnd w:id="1260"/>
    <w:bookmarkEnd w:id="1261"/>
    <w:bookmarkEnd w:id="1262"/>
    <w:bookmarkEnd w:id="1263"/>
    <w:bookmarkEnd w:id="1264"/>
    <w:p w14:paraId="02332899">
      <w:pPr>
        <w:pStyle w:val="5"/>
        <w:rPr>
          <w:rFonts w:hint="eastAsia" w:ascii="宋体" w:hAnsi="宋体" w:eastAsia="宋体" w:cs="宋体"/>
          <w:b w:val="0"/>
          <w:color w:val="auto"/>
          <w:szCs w:val="21"/>
          <w:highlight w:val="none"/>
        </w:rPr>
      </w:pPr>
      <w:bookmarkStart w:id="1276" w:name="_Toc351203639"/>
      <w:r>
        <w:rPr>
          <w:rFonts w:hint="eastAsia" w:ascii="宋体" w:hAnsi="宋体" w:eastAsia="宋体" w:cs="宋体"/>
          <w:b w:val="0"/>
          <w:color w:val="auto"/>
          <w:szCs w:val="21"/>
          <w:highlight w:val="none"/>
        </w:rPr>
        <w:t>7. 工期和进度</w:t>
      </w:r>
      <w:bookmarkEnd w:id="1276"/>
    </w:p>
    <w:p w14:paraId="274F13F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施工组织设计</w:t>
      </w:r>
    </w:p>
    <w:p w14:paraId="507A9B18">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7.1.1 合</w:t>
      </w:r>
      <w:r>
        <w:rPr>
          <w:rFonts w:hint="eastAsia" w:ascii="宋体" w:hAnsi="宋体" w:eastAsia="宋体" w:cs="宋体"/>
          <w:color w:val="auto"/>
          <w:kern w:val="0"/>
          <w:szCs w:val="21"/>
          <w:highlight w:val="none"/>
        </w:rPr>
        <w:t>同当事人约定的施工组织设计应包括的其他内容：</w:t>
      </w:r>
      <w:r>
        <w:rPr>
          <w:rFonts w:hint="eastAsia" w:ascii="宋体" w:hAnsi="宋体" w:eastAsia="宋体" w:cs="宋体"/>
          <w:color w:val="auto"/>
          <w:szCs w:val="21"/>
          <w:highlight w:val="none"/>
          <w:u w:val="single"/>
        </w:rPr>
        <w:t xml:space="preserve"> 按通用条款7.1.1条执行  </w:t>
      </w:r>
      <w:r>
        <w:rPr>
          <w:rFonts w:hint="eastAsia" w:ascii="宋体" w:hAnsi="宋体" w:eastAsia="宋体" w:cs="宋体"/>
          <w:color w:val="auto"/>
          <w:szCs w:val="21"/>
          <w:highlight w:val="none"/>
        </w:rPr>
        <w:t>。</w:t>
      </w:r>
    </w:p>
    <w:p w14:paraId="46815C8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 xml:space="preserve">7.1.2 </w:t>
      </w:r>
      <w:r>
        <w:rPr>
          <w:rFonts w:hint="eastAsia" w:ascii="宋体" w:hAnsi="宋体" w:eastAsia="宋体" w:cs="宋体"/>
          <w:color w:val="auto"/>
          <w:kern w:val="0"/>
          <w:szCs w:val="21"/>
          <w:highlight w:val="none"/>
        </w:rPr>
        <w:t>施工组织设计的提交和修改</w:t>
      </w:r>
    </w:p>
    <w:p w14:paraId="13280C6A">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承包人提交详细施工组织设计的期限的约定：</w:t>
      </w:r>
      <w:r>
        <w:rPr>
          <w:rFonts w:hint="eastAsia" w:ascii="宋体" w:hAnsi="宋体" w:eastAsia="宋体" w:cs="宋体"/>
          <w:color w:val="auto"/>
          <w:szCs w:val="21"/>
          <w:highlight w:val="none"/>
          <w:u w:val="single"/>
        </w:rPr>
        <w:t xml:space="preserve">    按通用条款7.1.</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34DDDBF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r>
        <w:rPr>
          <w:rFonts w:hint="eastAsia" w:ascii="宋体" w:hAnsi="宋体" w:eastAsia="宋体" w:cs="宋体"/>
          <w:color w:val="auto"/>
          <w:szCs w:val="21"/>
          <w:highlight w:val="none"/>
          <w:u w:val="single"/>
        </w:rPr>
        <w:t xml:space="preserve"> 按通用条款7.1.</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06BC3DE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77" w:name="_Toc300934966"/>
      <w:bookmarkStart w:id="1278" w:name="_Toc303539123"/>
      <w:bookmarkStart w:id="1279" w:name="_Toc312678005"/>
      <w:bookmarkStart w:id="1280" w:name="_Toc304295541"/>
      <w:bookmarkStart w:id="1281" w:name="_Toc297216173"/>
      <w:bookmarkStart w:id="1282" w:name="_Toc297123514"/>
      <w:bookmarkStart w:id="1283" w:name="_Toc312677479"/>
      <w:r>
        <w:rPr>
          <w:rFonts w:hint="eastAsia" w:ascii="宋体" w:hAnsi="宋体" w:eastAsia="宋体" w:cs="宋体"/>
          <w:color w:val="auto"/>
          <w:szCs w:val="21"/>
          <w:highlight w:val="none"/>
        </w:rPr>
        <w:t>.2 施工进度计划</w:t>
      </w:r>
    </w:p>
    <w:p w14:paraId="3158EA1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 施工进度计划的修订</w:t>
      </w:r>
    </w:p>
    <w:p w14:paraId="14CDB2A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r>
        <w:rPr>
          <w:rFonts w:hint="eastAsia" w:ascii="宋体" w:hAnsi="宋体" w:eastAsia="宋体" w:cs="宋体"/>
          <w:color w:val="auto"/>
          <w:szCs w:val="21"/>
          <w:highlight w:val="none"/>
          <w:u w:val="single"/>
        </w:rPr>
        <w:t xml:space="preserve"> 按通用条款7.</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126407F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开工</w:t>
      </w:r>
    </w:p>
    <w:p w14:paraId="32459DD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 开工准备</w:t>
      </w:r>
    </w:p>
    <w:p w14:paraId="1A889739">
      <w:pPr>
        <w:spacing w:line="360" w:lineRule="auto"/>
        <w:ind w:firstLine="6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关于承包人提交</w:t>
      </w:r>
      <w:r>
        <w:rPr>
          <w:rFonts w:hint="eastAsia" w:ascii="宋体" w:hAnsi="宋体" w:eastAsia="宋体" w:cs="宋体"/>
          <w:color w:val="auto"/>
          <w:kern w:val="0"/>
          <w:szCs w:val="21"/>
          <w:highlight w:val="none"/>
        </w:rPr>
        <w:t>工程开工报审表的期限：</w:t>
      </w:r>
      <w:r>
        <w:rPr>
          <w:rFonts w:hint="eastAsia" w:ascii="宋体" w:hAnsi="宋体" w:eastAsia="宋体" w:cs="宋体"/>
          <w:color w:val="auto"/>
          <w:szCs w:val="21"/>
          <w:highlight w:val="none"/>
          <w:u w:val="single"/>
        </w:rPr>
        <w:t xml:space="preserve">  最迟开工前7天  </w:t>
      </w:r>
      <w:r>
        <w:rPr>
          <w:rFonts w:hint="eastAsia" w:ascii="宋体" w:hAnsi="宋体" w:eastAsia="宋体" w:cs="宋体"/>
          <w:color w:val="auto"/>
          <w:szCs w:val="21"/>
          <w:highlight w:val="none"/>
        </w:rPr>
        <w:t>。</w:t>
      </w:r>
    </w:p>
    <w:p w14:paraId="4FC181F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关于发包人应完成的其他开工准备工作及期限：</w:t>
      </w:r>
      <w:r>
        <w:rPr>
          <w:rFonts w:hint="eastAsia" w:ascii="宋体" w:hAnsi="宋体" w:eastAsia="宋体" w:cs="宋体"/>
          <w:color w:val="auto"/>
          <w:szCs w:val="21"/>
          <w:highlight w:val="none"/>
          <w:u w:val="single"/>
        </w:rPr>
        <w:t xml:space="preserve">  按通用条款7.3</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1执行   </w:t>
      </w:r>
      <w:r>
        <w:rPr>
          <w:rFonts w:hint="eastAsia" w:ascii="宋体" w:hAnsi="宋体" w:eastAsia="宋体" w:cs="宋体"/>
          <w:color w:val="auto"/>
          <w:szCs w:val="21"/>
          <w:highlight w:val="none"/>
        </w:rPr>
        <w:t>。</w:t>
      </w:r>
    </w:p>
    <w:p w14:paraId="77748FA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r>
        <w:rPr>
          <w:rFonts w:hint="eastAsia" w:ascii="宋体" w:hAnsi="宋体" w:eastAsia="宋体" w:cs="宋体"/>
          <w:color w:val="auto"/>
          <w:szCs w:val="21"/>
          <w:highlight w:val="none"/>
          <w:u w:val="single"/>
        </w:rPr>
        <w:t xml:space="preserve">  按通用条款7.3</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1执行   </w:t>
      </w:r>
      <w:r>
        <w:rPr>
          <w:rFonts w:hint="eastAsia" w:ascii="宋体" w:hAnsi="宋体" w:eastAsia="宋体" w:cs="宋体"/>
          <w:color w:val="auto"/>
          <w:szCs w:val="21"/>
          <w:highlight w:val="none"/>
        </w:rPr>
        <w:t>。</w:t>
      </w:r>
    </w:p>
    <w:p w14:paraId="5B29B6C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14:paraId="24FAC00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天内发出开工通知的，承包人有权提出价格调整要求，或者解除合同。</w:t>
      </w:r>
    </w:p>
    <w:bookmarkEnd w:id="1277"/>
    <w:bookmarkEnd w:id="1278"/>
    <w:bookmarkEnd w:id="1279"/>
    <w:bookmarkEnd w:id="1280"/>
    <w:bookmarkEnd w:id="1281"/>
    <w:bookmarkEnd w:id="1282"/>
    <w:bookmarkEnd w:id="1283"/>
    <w:p w14:paraId="33F72B6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测量放线</w:t>
      </w:r>
    </w:p>
    <w:p w14:paraId="07DE1594">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 开工前7天</w:t>
      </w:r>
      <w:r>
        <w:rPr>
          <w:rFonts w:hint="eastAsia" w:ascii="宋体" w:hAnsi="宋体" w:eastAsia="宋体" w:cs="宋体"/>
          <w:color w:val="auto"/>
          <w:szCs w:val="21"/>
          <w:highlight w:val="none"/>
        </w:rPr>
        <w:t>。</w:t>
      </w:r>
    </w:p>
    <w:p w14:paraId="6EC6D29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84" w:name="_Toc304295546"/>
      <w:bookmarkStart w:id="1285" w:name="_Toc312677484"/>
      <w:bookmarkStart w:id="1286" w:name="_Toc300934968"/>
      <w:bookmarkStart w:id="1287" w:name="_Toc297216175"/>
      <w:bookmarkStart w:id="1288" w:name="_Toc312678010"/>
      <w:bookmarkStart w:id="1289" w:name="_Toc303539125"/>
      <w:bookmarkStart w:id="1290" w:name="_Toc297123516"/>
      <w:r>
        <w:rPr>
          <w:rFonts w:hint="eastAsia" w:ascii="宋体" w:hAnsi="宋体" w:eastAsia="宋体" w:cs="宋体"/>
          <w:color w:val="auto"/>
          <w:szCs w:val="21"/>
          <w:highlight w:val="none"/>
        </w:rPr>
        <w:t>.5 工期延误</w:t>
      </w:r>
    </w:p>
    <w:bookmarkEnd w:id="1284"/>
    <w:bookmarkEnd w:id="1285"/>
    <w:bookmarkEnd w:id="1286"/>
    <w:bookmarkEnd w:id="1287"/>
    <w:bookmarkEnd w:id="1288"/>
    <w:bookmarkEnd w:id="1289"/>
    <w:bookmarkEnd w:id="1290"/>
    <w:p w14:paraId="54B4487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 因发包人原因导致工期延误</w:t>
      </w:r>
    </w:p>
    <w:p w14:paraId="792C358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（7）因发包人原因导致工期延误的其他情形：</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B89CAD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91" w:name="_Toc312677486"/>
      <w:bookmarkStart w:id="1292" w:name="_Toc318581169"/>
      <w:bookmarkStart w:id="1293" w:name="_Toc312678012"/>
      <w:bookmarkStart w:id="1294" w:name="_Toc304295548"/>
      <w:bookmarkStart w:id="1295" w:name="_Toc297216177"/>
      <w:bookmarkStart w:id="1296" w:name="_Toc303539127"/>
      <w:bookmarkStart w:id="1297" w:name="_Toc300934970"/>
      <w:bookmarkStart w:id="1298" w:name="_Toc297123518"/>
      <w:r>
        <w:rPr>
          <w:rFonts w:hint="eastAsia" w:ascii="宋体" w:hAnsi="宋体" w:eastAsia="宋体" w:cs="宋体"/>
          <w:color w:val="auto"/>
          <w:szCs w:val="21"/>
          <w:highlight w:val="none"/>
        </w:rPr>
        <w:t>.5.2 因承包人原因导致工期延误</w:t>
      </w:r>
    </w:p>
    <w:bookmarkEnd w:id="1291"/>
    <w:bookmarkEnd w:id="1292"/>
    <w:bookmarkEnd w:id="1293"/>
    <w:p w14:paraId="71D7C54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w:t>
      </w:r>
      <w:bookmarkStart w:id="1299" w:name="_Toc312677487"/>
      <w:bookmarkStart w:id="1300" w:name="_Toc312678013"/>
      <w:bookmarkStart w:id="1301" w:name="_Toc318581170"/>
      <w:r>
        <w:rPr>
          <w:rFonts w:hint="eastAsia" w:ascii="宋体" w:hAnsi="宋体" w:eastAsia="宋体" w:cs="宋体"/>
          <w:color w:val="auto"/>
          <w:szCs w:val="21"/>
          <w:highlight w:val="none"/>
        </w:rPr>
        <w:t>承包人原因造成工期延误，逾期竣工违约金的计算方法为：</w:t>
      </w:r>
      <w:r>
        <w:rPr>
          <w:rFonts w:hint="eastAsia" w:ascii="宋体" w:hAnsi="宋体" w:eastAsia="宋体" w:cs="宋体"/>
          <w:color w:val="auto"/>
          <w:szCs w:val="21"/>
          <w:highlight w:val="none"/>
          <w:u w:val="single"/>
        </w:rPr>
        <w:t xml:space="preserve">   双方协商约定 </w:t>
      </w:r>
      <w:r>
        <w:rPr>
          <w:rFonts w:hint="eastAsia" w:ascii="宋体" w:hAnsi="宋体" w:eastAsia="宋体" w:cs="宋体"/>
          <w:color w:val="auto"/>
          <w:szCs w:val="21"/>
          <w:highlight w:val="none"/>
        </w:rPr>
        <w:t>。</w:t>
      </w:r>
      <w:bookmarkEnd w:id="1294"/>
      <w:bookmarkEnd w:id="1295"/>
      <w:bookmarkEnd w:id="1296"/>
      <w:bookmarkEnd w:id="1297"/>
      <w:bookmarkEnd w:id="1298"/>
      <w:bookmarkEnd w:id="1299"/>
      <w:bookmarkEnd w:id="1300"/>
    </w:p>
    <w:bookmarkEnd w:id="1301"/>
    <w:p w14:paraId="51E1BB1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w:t>
      </w:r>
      <w:bookmarkStart w:id="1302" w:name="_Toc318581171"/>
      <w:bookmarkStart w:id="1303" w:name="_Toc312678014"/>
      <w:r>
        <w:rPr>
          <w:rFonts w:hint="eastAsia" w:ascii="宋体" w:hAnsi="宋体" w:eastAsia="宋体" w:cs="宋体"/>
          <w:color w:val="auto"/>
          <w:szCs w:val="21"/>
          <w:highlight w:val="none"/>
        </w:rPr>
        <w:t>期竣工违约金的上限：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302"/>
    <w:bookmarkEnd w:id="1303"/>
    <w:p w14:paraId="38C75A7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304" w:name="_Toc297216178"/>
      <w:bookmarkStart w:id="1305" w:name="_Toc303539128"/>
      <w:bookmarkStart w:id="1306" w:name="_Toc304295549"/>
      <w:bookmarkStart w:id="1307" w:name="_Toc300934971"/>
      <w:bookmarkStart w:id="1308" w:name="_Toc312678015"/>
      <w:bookmarkStart w:id="1309" w:name="_Toc297123519"/>
      <w:r>
        <w:rPr>
          <w:rFonts w:hint="eastAsia" w:ascii="宋体" w:hAnsi="宋体" w:eastAsia="宋体" w:cs="宋体"/>
          <w:color w:val="auto"/>
          <w:szCs w:val="21"/>
          <w:highlight w:val="none"/>
        </w:rPr>
        <w:t>.6 不</w:t>
      </w:r>
      <w:bookmarkEnd w:id="1304"/>
      <w:bookmarkEnd w:id="1305"/>
      <w:bookmarkEnd w:id="1306"/>
      <w:bookmarkEnd w:id="1307"/>
      <w:bookmarkEnd w:id="1308"/>
      <w:bookmarkEnd w:id="1309"/>
      <w:r>
        <w:rPr>
          <w:rFonts w:hint="eastAsia" w:ascii="宋体" w:hAnsi="宋体" w:eastAsia="宋体" w:cs="宋体"/>
          <w:color w:val="auto"/>
          <w:szCs w:val="21"/>
          <w:highlight w:val="none"/>
        </w:rPr>
        <w:t>利物质条件</w:t>
      </w:r>
    </w:p>
    <w:p w14:paraId="08CACCC2">
      <w:pPr>
        <w:spacing w:line="360" w:lineRule="auto"/>
        <w:jc w:val="left"/>
        <w:rPr>
          <w:rFonts w:hint="eastAsia" w:ascii="宋体" w:hAnsi="宋体" w:eastAsia="宋体" w:cs="宋体"/>
          <w:color w:val="auto"/>
          <w:szCs w:val="21"/>
          <w:highlight w:val="none"/>
        </w:rPr>
      </w:pPr>
      <w:bookmarkStart w:id="1310" w:name="_Toc304295550"/>
      <w:bookmarkStart w:id="1311" w:name="_Toc303539129"/>
      <w:bookmarkStart w:id="1312" w:name="_Toc312678016"/>
      <w:bookmarkStart w:id="1313" w:name="_Toc297216179"/>
      <w:bookmarkStart w:id="1314" w:name="_Toc300934972"/>
      <w:bookmarkStart w:id="1315" w:name="_Toc297123520"/>
      <w:bookmarkStart w:id="1316" w:name="_Toc318581172"/>
      <w:r>
        <w:rPr>
          <w:rFonts w:hint="eastAsia" w:ascii="宋体" w:hAnsi="宋体" w:eastAsia="宋体" w:cs="宋体"/>
          <w:color w:val="auto"/>
          <w:szCs w:val="21"/>
          <w:highlight w:val="none"/>
        </w:rPr>
        <w:t>不利物质条件的其他情形和有关约定：</w:t>
      </w:r>
      <w:r>
        <w:rPr>
          <w:rFonts w:hint="eastAsia" w:ascii="宋体" w:hAnsi="宋体" w:eastAsia="宋体" w:cs="宋体"/>
          <w:color w:val="auto"/>
          <w:szCs w:val="21"/>
          <w:highlight w:val="none"/>
          <w:u w:val="single"/>
        </w:rPr>
        <w:t xml:space="preserve">  按通用条款7.</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bookmarkEnd w:id="1310"/>
    <w:bookmarkEnd w:id="1311"/>
    <w:bookmarkEnd w:id="1312"/>
    <w:bookmarkEnd w:id="1313"/>
    <w:bookmarkEnd w:id="1314"/>
    <w:bookmarkEnd w:id="1315"/>
    <w:bookmarkEnd w:id="1316"/>
    <w:p w14:paraId="539134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317" w:name="_Toc297123521"/>
      <w:bookmarkStart w:id="1318" w:name="_Toc300934973"/>
      <w:bookmarkStart w:id="1319" w:name="_Toc303539130"/>
      <w:bookmarkStart w:id="1320" w:name="_Toc297216180"/>
      <w:bookmarkStart w:id="1321" w:name="_Toc312678017"/>
      <w:bookmarkStart w:id="1322" w:name="_Toc304295551"/>
      <w:r>
        <w:rPr>
          <w:rFonts w:hint="eastAsia" w:ascii="宋体" w:hAnsi="宋体" w:eastAsia="宋体" w:cs="宋体"/>
          <w:color w:val="auto"/>
          <w:szCs w:val="21"/>
          <w:highlight w:val="none"/>
        </w:rPr>
        <w:t>.7异常恶劣的气候条件</w:t>
      </w:r>
    </w:p>
    <w:bookmarkEnd w:id="1317"/>
    <w:bookmarkEnd w:id="1318"/>
    <w:bookmarkEnd w:id="1319"/>
    <w:bookmarkEnd w:id="1320"/>
    <w:bookmarkEnd w:id="1321"/>
    <w:bookmarkEnd w:id="1322"/>
    <w:p w14:paraId="2492448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发包人和承包人同意以下情形视为异常恶劣的气候条件：</w:t>
      </w:r>
    </w:p>
    <w:p w14:paraId="01C0B10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BCCD68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D832FB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F175974">
      <w:pPr>
        <w:spacing w:line="360" w:lineRule="auto"/>
        <w:ind w:firstLine="420" w:firstLineChars="200"/>
        <w:outlineLvl w:val="0"/>
        <w:rPr>
          <w:rFonts w:hint="eastAsia" w:ascii="宋体" w:hAnsi="宋体" w:eastAsia="宋体" w:cs="宋体"/>
          <w:color w:val="auto"/>
          <w:szCs w:val="21"/>
          <w:highlight w:val="none"/>
        </w:rPr>
      </w:pPr>
      <w:bookmarkStart w:id="1323" w:name="_Toc499891652"/>
      <w:bookmarkStart w:id="1324" w:name="_Toc500864495"/>
      <w:bookmarkStart w:id="1325" w:name="_Toc27378063"/>
      <w:bookmarkStart w:id="1326" w:name="_Toc499892843"/>
      <w:bookmarkStart w:id="1327" w:name="_Toc106695211"/>
      <w:bookmarkStart w:id="1328" w:name="_Toc21932"/>
      <w:bookmarkStart w:id="1329" w:name="_Toc36136602"/>
      <w:bookmarkStart w:id="1330" w:name="_Toc106695364"/>
      <w:bookmarkStart w:id="1331" w:name="_Toc500865885"/>
      <w:bookmarkStart w:id="1332" w:name="_Toc8702"/>
      <w:r>
        <w:rPr>
          <w:rFonts w:hint="eastAsia" w:ascii="宋体" w:hAnsi="宋体" w:eastAsia="宋体" w:cs="宋体"/>
          <w:color w:val="auto"/>
          <w:szCs w:val="21"/>
          <w:highlight w:val="none"/>
        </w:rPr>
        <w:t>7.9 提前竣工的奖励</w:t>
      </w:r>
      <w:bookmarkEnd w:id="1323"/>
      <w:bookmarkEnd w:id="1324"/>
      <w:bookmarkEnd w:id="1325"/>
      <w:bookmarkEnd w:id="1326"/>
      <w:bookmarkEnd w:id="1327"/>
      <w:bookmarkEnd w:id="1328"/>
      <w:bookmarkEnd w:id="1329"/>
      <w:bookmarkEnd w:id="1330"/>
      <w:bookmarkEnd w:id="1331"/>
      <w:bookmarkEnd w:id="1332"/>
    </w:p>
    <w:p w14:paraId="4973B05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r>
        <w:rPr>
          <w:rFonts w:hint="eastAsia" w:ascii="宋体" w:hAnsi="宋体" w:eastAsia="宋体" w:cs="宋体"/>
          <w:color w:val="auto"/>
          <w:szCs w:val="21"/>
          <w:highlight w:val="none"/>
          <w:u w:val="single"/>
        </w:rPr>
        <w:t xml:space="preserve">      双方协商约定         </w:t>
      </w:r>
      <w:r>
        <w:rPr>
          <w:rFonts w:hint="eastAsia" w:ascii="宋体" w:hAnsi="宋体" w:eastAsia="宋体" w:cs="宋体"/>
          <w:color w:val="auto"/>
          <w:szCs w:val="21"/>
          <w:highlight w:val="none"/>
        </w:rPr>
        <w:t>。</w:t>
      </w:r>
    </w:p>
    <w:p w14:paraId="1775BBFC">
      <w:pPr>
        <w:pStyle w:val="5"/>
        <w:rPr>
          <w:rFonts w:hint="eastAsia" w:ascii="宋体" w:hAnsi="宋体" w:eastAsia="宋体" w:cs="宋体"/>
          <w:b w:val="0"/>
          <w:color w:val="auto"/>
          <w:szCs w:val="21"/>
          <w:highlight w:val="none"/>
        </w:rPr>
      </w:pPr>
      <w:bookmarkStart w:id="1333" w:name="_Toc351203640"/>
      <w:r>
        <w:rPr>
          <w:rFonts w:hint="eastAsia" w:ascii="宋体" w:hAnsi="宋体" w:eastAsia="宋体" w:cs="宋体"/>
          <w:b w:val="0"/>
          <w:color w:val="auto"/>
          <w:szCs w:val="21"/>
          <w:highlight w:val="none"/>
        </w:rPr>
        <w:t>8. 材料与设备</w:t>
      </w:r>
      <w:bookmarkEnd w:id="1333"/>
    </w:p>
    <w:bookmarkEnd w:id="1238"/>
    <w:bookmarkEnd w:id="1239"/>
    <w:bookmarkEnd w:id="1240"/>
    <w:bookmarkEnd w:id="1241"/>
    <w:bookmarkEnd w:id="1242"/>
    <w:bookmarkEnd w:id="1243"/>
    <w:bookmarkEnd w:id="1244"/>
    <w:bookmarkEnd w:id="1245"/>
    <w:bookmarkEnd w:id="1246"/>
    <w:bookmarkEnd w:id="1247"/>
    <w:p w14:paraId="26E1284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bookmarkStart w:id="1334" w:name="_Toc303539136"/>
      <w:bookmarkStart w:id="1335" w:name="_Toc296890995"/>
      <w:bookmarkStart w:id="1336" w:name="_Toc300934979"/>
      <w:bookmarkStart w:id="1337" w:name="_Toc312678019"/>
      <w:bookmarkStart w:id="1338" w:name="_Toc296346668"/>
      <w:bookmarkStart w:id="1339" w:name="_Toc297123527"/>
      <w:bookmarkStart w:id="1340" w:name="_Toc304295556"/>
      <w:bookmarkStart w:id="1341" w:name="_Toc292559372"/>
      <w:bookmarkStart w:id="1342" w:name="_Toc292559877"/>
      <w:bookmarkStart w:id="1343" w:name="_Toc280868654"/>
      <w:bookmarkStart w:id="1344" w:name="_Toc296503167"/>
      <w:bookmarkStart w:id="1345" w:name="_Toc312677493"/>
      <w:bookmarkStart w:id="1346" w:name="_Toc297048353"/>
      <w:bookmarkStart w:id="1347" w:name="_Toc296891207"/>
      <w:bookmarkStart w:id="1348" w:name="_Toc297120467"/>
      <w:bookmarkStart w:id="1349" w:name="_Toc296347166"/>
      <w:bookmarkStart w:id="1350" w:name="_Toc297216186"/>
      <w:bookmarkStart w:id="1351" w:name="_Toc296944506"/>
      <w:bookmarkStart w:id="1352" w:name="_Toc267251424"/>
      <w:bookmarkStart w:id="1353" w:name="_Toc280868655"/>
      <w:bookmarkStart w:id="1354" w:name="_Toc280868656"/>
      <w:r>
        <w:rPr>
          <w:rFonts w:hint="eastAsia" w:ascii="宋体" w:hAnsi="宋体" w:eastAsia="宋体" w:cs="宋体"/>
          <w:color w:val="auto"/>
          <w:szCs w:val="21"/>
          <w:highlight w:val="none"/>
        </w:rPr>
        <w:t>.4材料与工程设备的保管与使用</w:t>
      </w:r>
    </w:p>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p w14:paraId="0F6EFF2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bookmarkStart w:id="1355" w:name="_Toc292559373"/>
      <w:bookmarkStart w:id="1356" w:name="_Toc292559878"/>
      <w:bookmarkStart w:id="1357" w:name="_Toc297048354"/>
      <w:bookmarkStart w:id="1358" w:name="_Toc297120468"/>
      <w:bookmarkStart w:id="1359" w:name="_Toc296944507"/>
      <w:bookmarkStart w:id="1360" w:name="_Toc304295557"/>
      <w:bookmarkStart w:id="1361" w:name="_Toc296346669"/>
      <w:bookmarkStart w:id="1362" w:name="_Toc297216187"/>
      <w:bookmarkStart w:id="1363" w:name="_Toc312677494"/>
      <w:bookmarkStart w:id="1364" w:name="_Toc296891208"/>
      <w:bookmarkStart w:id="1365" w:name="_Toc296890996"/>
      <w:bookmarkStart w:id="1366" w:name="_Toc296503168"/>
      <w:bookmarkStart w:id="1367" w:name="_Toc318581173"/>
      <w:bookmarkStart w:id="1368" w:name="_Toc303539137"/>
      <w:bookmarkStart w:id="1369" w:name="_Toc300934980"/>
      <w:bookmarkStart w:id="1370" w:name="_Toc312678020"/>
      <w:bookmarkStart w:id="1371" w:name="_Toc297123528"/>
      <w:bookmarkStart w:id="1372" w:name="_Toc296347167"/>
      <w:r>
        <w:rPr>
          <w:rFonts w:hint="eastAsia" w:ascii="宋体" w:hAnsi="宋体" w:eastAsia="宋体" w:cs="宋体"/>
          <w:color w:val="auto"/>
          <w:szCs w:val="21"/>
          <w:highlight w:val="none"/>
        </w:rPr>
        <w:t>.4.1发包人供应的材料设备的保管费用的承担：</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8.4</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bookmarkEnd w:id="1355"/>
      <w:bookmarkEnd w:id="1356"/>
    </w:p>
    <w:p w14:paraId="20B36D9B">
      <w:pPr>
        <w:spacing w:line="360" w:lineRule="auto"/>
        <w:ind w:firstLine="420" w:firstLineChars="200"/>
        <w:outlineLvl w:val="0"/>
        <w:rPr>
          <w:rFonts w:hint="eastAsia" w:ascii="宋体" w:hAnsi="宋体" w:eastAsia="宋体" w:cs="宋体"/>
          <w:color w:val="auto"/>
          <w:szCs w:val="21"/>
          <w:highlight w:val="none"/>
        </w:rPr>
      </w:pPr>
      <w:bookmarkStart w:id="1373" w:name="_Toc25207"/>
      <w:bookmarkStart w:id="1374" w:name="_Toc499892844"/>
      <w:bookmarkStart w:id="1375" w:name="_Toc19580"/>
      <w:bookmarkStart w:id="1376" w:name="_Toc106695212"/>
      <w:bookmarkStart w:id="1377" w:name="_Toc500864496"/>
      <w:bookmarkStart w:id="1378" w:name="_Toc499891653"/>
      <w:bookmarkStart w:id="1379" w:name="_Toc500865886"/>
      <w:bookmarkStart w:id="1380" w:name="_Toc36136603"/>
      <w:bookmarkStart w:id="1381" w:name="_Toc106695365"/>
      <w:bookmarkStart w:id="1382" w:name="_Toc27378064"/>
      <w:r>
        <w:rPr>
          <w:rFonts w:hint="eastAsia" w:ascii="宋体" w:hAnsi="宋体" w:eastAsia="宋体" w:cs="宋体"/>
          <w:color w:val="auto"/>
          <w:szCs w:val="21"/>
          <w:highlight w:val="none"/>
        </w:rPr>
        <w:t>8.6 样品</w:t>
      </w:r>
      <w:bookmarkEnd w:id="1373"/>
      <w:bookmarkEnd w:id="1374"/>
      <w:bookmarkEnd w:id="1375"/>
      <w:bookmarkEnd w:id="1376"/>
      <w:bookmarkEnd w:id="1377"/>
      <w:bookmarkEnd w:id="1378"/>
      <w:bookmarkEnd w:id="1379"/>
      <w:bookmarkEnd w:id="1380"/>
      <w:bookmarkEnd w:id="1381"/>
      <w:bookmarkEnd w:id="1382"/>
    </w:p>
    <w:p w14:paraId="7F6682D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8.6.1</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样品的报送与封存</w:t>
      </w:r>
    </w:p>
    <w:p w14:paraId="4ABED0BB">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需要承包人报送样品的材料或工程设备，样品的种类、名称、规格、数量要求：</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691290A0">
      <w:pPr>
        <w:spacing w:line="360" w:lineRule="auto"/>
        <w:ind w:firstLine="420" w:firstLineChars="200"/>
        <w:outlineLvl w:val="0"/>
        <w:rPr>
          <w:rFonts w:hint="eastAsia" w:ascii="宋体" w:hAnsi="宋体" w:eastAsia="宋体" w:cs="宋体"/>
          <w:color w:val="auto"/>
          <w:szCs w:val="21"/>
          <w:highlight w:val="none"/>
        </w:rPr>
      </w:pPr>
      <w:bookmarkStart w:id="1383" w:name="_Toc27378065"/>
      <w:bookmarkStart w:id="1384" w:name="_Toc499892845"/>
      <w:bookmarkStart w:id="1385" w:name="_Toc36136604"/>
      <w:bookmarkStart w:id="1386" w:name="_Toc106695366"/>
      <w:bookmarkStart w:id="1387" w:name="_Toc499891654"/>
      <w:bookmarkStart w:id="1388" w:name="_Toc500865887"/>
      <w:bookmarkStart w:id="1389" w:name="_Toc106695213"/>
      <w:bookmarkStart w:id="1390" w:name="_Toc500864497"/>
      <w:bookmarkStart w:id="1391" w:name="_Toc17824"/>
      <w:r>
        <w:rPr>
          <w:rFonts w:hint="eastAsia" w:ascii="宋体" w:hAnsi="宋体" w:eastAsia="宋体" w:cs="宋体"/>
          <w:color w:val="auto"/>
          <w:szCs w:val="21"/>
          <w:highlight w:val="none"/>
        </w:rPr>
        <w:t>8.8 施工设备和临时设施</w:t>
      </w:r>
      <w:bookmarkEnd w:id="1383"/>
      <w:bookmarkEnd w:id="1384"/>
      <w:bookmarkEnd w:id="1385"/>
      <w:bookmarkEnd w:id="1386"/>
      <w:bookmarkEnd w:id="1387"/>
      <w:bookmarkEnd w:id="1388"/>
      <w:bookmarkEnd w:id="1389"/>
      <w:bookmarkEnd w:id="1390"/>
      <w:bookmarkEnd w:id="1391"/>
    </w:p>
    <w:p w14:paraId="6170077A">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 承包人提供的施工设备和临时设施</w:t>
      </w:r>
    </w:p>
    <w:p w14:paraId="2967C8AA">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r>
        <w:rPr>
          <w:rFonts w:hint="eastAsia" w:ascii="宋体" w:hAnsi="宋体" w:eastAsia="宋体" w:cs="宋体"/>
          <w:color w:val="auto"/>
          <w:szCs w:val="21"/>
          <w:highlight w:val="none"/>
          <w:u w:val="single"/>
        </w:rPr>
        <w:t xml:space="preserve">  由承包人自行承担 </w:t>
      </w:r>
      <w:r>
        <w:rPr>
          <w:rFonts w:hint="eastAsia" w:ascii="宋体" w:hAnsi="宋体" w:eastAsia="宋体" w:cs="宋体"/>
          <w:color w:val="auto"/>
          <w:szCs w:val="21"/>
          <w:highlight w:val="none"/>
        </w:rPr>
        <w:t>。</w:t>
      </w:r>
    </w:p>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p w14:paraId="495FC05A">
      <w:pPr>
        <w:pStyle w:val="5"/>
        <w:rPr>
          <w:rFonts w:hint="eastAsia" w:ascii="宋体" w:hAnsi="宋体" w:eastAsia="宋体" w:cs="宋体"/>
          <w:b w:val="0"/>
          <w:color w:val="auto"/>
          <w:szCs w:val="21"/>
          <w:highlight w:val="none"/>
        </w:rPr>
      </w:pPr>
      <w:bookmarkStart w:id="1392" w:name="_Toc351203641"/>
      <w:r>
        <w:rPr>
          <w:rFonts w:hint="eastAsia" w:ascii="宋体" w:hAnsi="宋体" w:eastAsia="宋体" w:cs="宋体"/>
          <w:b w:val="0"/>
          <w:color w:val="auto"/>
          <w:szCs w:val="21"/>
          <w:highlight w:val="none"/>
        </w:rPr>
        <w:t>9</w:t>
      </w:r>
      <w:bookmarkEnd w:id="1352"/>
      <w:bookmarkEnd w:id="1353"/>
      <w:bookmarkEnd w:id="1354"/>
      <w:bookmarkStart w:id="1393" w:name="_Toc297123533"/>
      <w:bookmarkStart w:id="1394" w:name="_Toc312678021"/>
      <w:bookmarkStart w:id="1395" w:name="_Toc304295559"/>
      <w:bookmarkStart w:id="1396" w:name="_Toc297216192"/>
      <w:bookmarkStart w:id="1397" w:name="_Toc300934982"/>
      <w:bookmarkStart w:id="1398" w:name="_Toc312677495"/>
      <w:bookmarkStart w:id="1399" w:name="_Toc303539139"/>
      <w:bookmarkStart w:id="1400" w:name="_Toc297048359"/>
      <w:bookmarkStart w:id="1401" w:name="_Toc292559883"/>
      <w:bookmarkStart w:id="1402" w:name="_Toc296347172"/>
      <w:bookmarkStart w:id="1403" w:name="_Toc292559378"/>
      <w:bookmarkStart w:id="1404" w:name="_Toc296346674"/>
      <w:bookmarkStart w:id="1405" w:name="_Toc267251427"/>
      <w:bookmarkStart w:id="1406" w:name="_Toc296503173"/>
      <w:bookmarkStart w:id="1407" w:name="_Toc296891001"/>
      <w:bookmarkStart w:id="1408" w:name="_Toc296891213"/>
      <w:bookmarkStart w:id="1409" w:name="_Toc267251428"/>
      <w:bookmarkStart w:id="1410" w:name="_Toc297120473"/>
      <w:bookmarkStart w:id="1411" w:name="_Toc296944512"/>
      <w:r>
        <w:rPr>
          <w:rFonts w:hint="eastAsia" w:ascii="宋体" w:hAnsi="宋体" w:eastAsia="宋体" w:cs="宋体"/>
          <w:b w:val="0"/>
          <w:color w:val="auto"/>
          <w:szCs w:val="21"/>
          <w:highlight w:val="none"/>
        </w:rPr>
        <w:t>. 试验与检验</w:t>
      </w:r>
      <w:bookmarkEnd w:id="1392"/>
    </w:p>
    <w:bookmarkEnd w:id="1393"/>
    <w:bookmarkEnd w:id="1394"/>
    <w:bookmarkEnd w:id="1395"/>
    <w:bookmarkEnd w:id="1396"/>
    <w:bookmarkEnd w:id="1397"/>
    <w:bookmarkEnd w:id="1398"/>
    <w:bookmarkEnd w:id="1399"/>
    <w:p w14:paraId="7A2510D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1412" w:name="_Toc312677496"/>
      <w:bookmarkStart w:id="1413" w:name="_Toc303539140"/>
      <w:bookmarkStart w:id="1414" w:name="_Toc297216193"/>
      <w:bookmarkStart w:id="1415" w:name="_Toc304295560"/>
      <w:bookmarkStart w:id="1416" w:name="_Toc297123534"/>
      <w:bookmarkStart w:id="1417" w:name="_Toc300934983"/>
      <w:bookmarkStart w:id="1418" w:name="_Toc312678022"/>
      <w:r>
        <w:rPr>
          <w:rFonts w:hint="eastAsia" w:ascii="宋体" w:hAnsi="宋体" w:eastAsia="宋体" w:cs="宋体"/>
          <w:color w:val="auto"/>
          <w:szCs w:val="21"/>
          <w:highlight w:val="none"/>
        </w:rPr>
        <w:t>.1试验设备与试验人员</w:t>
      </w:r>
    </w:p>
    <w:bookmarkEnd w:id="1412"/>
    <w:bookmarkEnd w:id="1413"/>
    <w:bookmarkEnd w:id="1414"/>
    <w:bookmarkEnd w:id="1415"/>
    <w:bookmarkEnd w:id="1416"/>
    <w:bookmarkEnd w:id="1417"/>
    <w:bookmarkEnd w:id="1418"/>
    <w:p w14:paraId="36B630E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1419" w:name="_Toc300934984"/>
      <w:bookmarkStart w:id="1420" w:name="_Toc312678023"/>
      <w:bookmarkStart w:id="1421" w:name="_Toc303539141"/>
      <w:bookmarkStart w:id="1422" w:name="_Toc297216194"/>
      <w:bookmarkStart w:id="1423" w:name="_Toc312677497"/>
      <w:bookmarkStart w:id="1424" w:name="_Toc297123535"/>
      <w:bookmarkStart w:id="1425" w:name="_Toc304295561"/>
      <w:bookmarkStart w:id="1426" w:name="_Toc318581174"/>
      <w:r>
        <w:rPr>
          <w:rFonts w:hint="eastAsia" w:ascii="宋体" w:hAnsi="宋体" w:eastAsia="宋体" w:cs="宋体"/>
          <w:color w:val="auto"/>
          <w:szCs w:val="21"/>
          <w:highlight w:val="none"/>
        </w:rPr>
        <w:t>.1.2 试验设备</w:t>
      </w:r>
    </w:p>
    <w:p w14:paraId="29E7323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施工现场需要配置的试验场所：</w:t>
      </w:r>
      <w:bookmarkEnd w:id="1419"/>
      <w:bookmarkEnd w:id="1420"/>
      <w:bookmarkEnd w:id="1421"/>
      <w:bookmarkEnd w:id="1422"/>
      <w:bookmarkEnd w:id="1423"/>
      <w:bookmarkEnd w:id="1424"/>
      <w:bookmarkEnd w:id="1425"/>
      <w:bookmarkStart w:id="1427" w:name="_Toc312678024"/>
      <w:bookmarkStart w:id="1428" w:name="_Toc297216195"/>
      <w:bookmarkStart w:id="1429" w:name="_Toc300934985"/>
      <w:bookmarkStart w:id="1430" w:name="_Toc312677498"/>
      <w:bookmarkStart w:id="1431" w:name="_Toc304295562"/>
      <w:bookmarkStart w:id="1432" w:name="_Toc297123536"/>
      <w:bookmarkStart w:id="1433" w:name="_Toc303539142"/>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 xml:space="preserve">。 </w:t>
      </w:r>
    </w:p>
    <w:p w14:paraId="004AF64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施工现场需要配备的试验设备：</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5A34AC6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施工现场需要具备的其他试验条件：</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1182E40E">
      <w:pPr>
        <w:spacing w:line="360" w:lineRule="auto"/>
        <w:ind w:firstLine="420" w:firstLineChars="200"/>
        <w:outlineLvl w:val="0"/>
        <w:rPr>
          <w:rFonts w:hint="eastAsia" w:ascii="宋体" w:hAnsi="宋体" w:eastAsia="宋体" w:cs="宋体"/>
          <w:color w:val="auto"/>
          <w:szCs w:val="21"/>
          <w:highlight w:val="none"/>
        </w:rPr>
      </w:pPr>
      <w:bookmarkStart w:id="1434" w:name="_Toc500864498"/>
      <w:bookmarkStart w:id="1435" w:name="_Toc500865888"/>
      <w:bookmarkStart w:id="1436" w:name="_Toc106695214"/>
      <w:bookmarkStart w:id="1437" w:name="_Toc27378066"/>
      <w:bookmarkStart w:id="1438" w:name="_Toc36136605"/>
      <w:bookmarkStart w:id="1439" w:name="_Toc499891655"/>
      <w:bookmarkStart w:id="1440" w:name="_Toc499892846"/>
      <w:bookmarkStart w:id="1441" w:name="_Toc106695367"/>
      <w:bookmarkStart w:id="1442" w:name="_Toc3278"/>
      <w:bookmarkStart w:id="1443" w:name="_Toc26302"/>
      <w:r>
        <w:rPr>
          <w:rFonts w:hint="eastAsia" w:ascii="宋体" w:hAnsi="宋体" w:eastAsia="宋体" w:cs="宋体"/>
          <w:color w:val="auto"/>
          <w:szCs w:val="21"/>
          <w:highlight w:val="none"/>
        </w:rPr>
        <w:t>9.4 现场工艺试验</w:t>
      </w:r>
      <w:bookmarkEnd w:id="1434"/>
      <w:bookmarkEnd w:id="1435"/>
      <w:bookmarkEnd w:id="1436"/>
      <w:bookmarkEnd w:id="1437"/>
      <w:bookmarkEnd w:id="1438"/>
      <w:bookmarkEnd w:id="1439"/>
      <w:bookmarkEnd w:id="1440"/>
      <w:bookmarkEnd w:id="1441"/>
      <w:bookmarkEnd w:id="1442"/>
      <w:bookmarkEnd w:id="1443"/>
      <w:r>
        <w:rPr>
          <w:rFonts w:hint="eastAsia" w:ascii="宋体" w:hAnsi="宋体" w:eastAsia="宋体" w:cs="宋体"/>
          <w:color w:val="auto"/>
          <w:szCs w:val="21"/>
          <w:highlight w:val="none"/>
        </w:rPr>
        <w:t xml:space="preserve"> </w:t>
      </w:r>
    </w:p>
    <w:p w14:paraId="2FECE90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现场工艺试验的有关约定：</w:t>
      </w:r>
      <w:r>
        <w:rPr>
          <w:rFonts w:hint="eastAsia" w:ascii="宋体" w:hAnsi="宋体" w:eastAsia="宋体" w:cs="宋体"/>
          <w:color w:val="auto"/>
          <w:szCs w:val="21"/>
          <w:highlight w:val="none"/>
          <w:u w:val="single"/>
        </w:rPr>
        <w:t xml:space="preserve">   按通用条款9.4执行             </w:t>
      </w:r>
      <w:r>
        <w:rPr>
          <w:rFonts w:hint="eastAsia" w:ascii="宋体" w:hAnsi="宋体" w:eastAsia="宋体" w:cs="宋体"/>
          <w:color w:val="auto"/>
          <w:szCs w:val="21"/>
          <w:highlight w:val="none"/>
        </w:rPr>
        <w:t>。</w:t>
      </w:r>
    </w:p>
    <w:bookmarkEnd w:id="1426"/>
    <w:bookmarkEnd w:id="1427"/>
    <w:bookmarkEnd w:id="1428"/>
    <w:bookmarkEnd w:id="1429"/>
    <w:bookmarkEnd w:id="1430"/>
    <w:bookmarkEnd w:id="1431"/>
    <w:bookmarkEnd w:id="1432"/>
    <w:bookmarkEnd w:id="1433"/>
    <w:p w14:paraId="23AE1924">
      <w:pPr>
        <w:pStyle w:val="5"/>
        <w:rPr>
          <w:rFonts w:hint="eastAsia" w:ascii="宋体" w:hAnsi="宋体" w:eastAsia="宋体" w:cs="宋体"/>
          <w:b w:val="0"/>
          <w:color w:val="auto"/>
          <w:szCs w:val="21"/>
          <w:highlight w:val="none"/>
        </w:rPr>
      </w:pPr>
      <w:bookmarkStart w:id="1444" w:name="_Toc351203642"/>
      <w:r>
        <w:rPr>
          <w:rFonts w:hint="eastAsia" w:ascii="宋体" w:hAnsi="宋体" w:eastAsia="宋体" w:cs="宋体"/>
          <w:b w:val="0"/>
          <w:color w:val="auto"/>
          <w:szCs w:val="21"/>
          <w:highlight w:val="none"/>
        </w:rPr>
        <w:t>1</w:t>
      </w:r>
      <w:bookmarkEnd w:id="1400"/>
      <w:bookmarkEnd w:id="1401"/>
      <w:bookmarkEnd w:id="1402"/>
      <w:bookmarkEnd w:id="1403"/>
      <w:bookmarkEnd w:id="1404"/>
      <w:bookmarkEnd w:id="1405"/>
      <w:bookmarkEnd w:id="1406"/>
      <w:bookmarkEnd w:id="1407"/>
      <w:bookmarkEnd w:id="1408"/>
      <w:bookmarkEnd w:id="1409"/>
      <w:bookmarkEnd w:id="1410"/>
      <w:bookmarkEnd w:id="1411"/>
      <w:bookmarkStart w:id="1445" w:name="_Toc304295566"/>
      <w:bookmarkStart w:id="1446" w:name="_Toc297120493"/>
      <w:bookmarkStart w:id="1447" w:name="_Toc296346694"/>
      <w:bookmarkStart w:id="1448" w:name="_Toc297048379"/>
      <w:bookmarkStart w:id="1449" w:name="_Toc296891233"/>
      <w:bookmarkStart w:id="1450" w:name="_Toc296944532"/>
      <w:bookmarkStart w:id="1451" w:name="_Toc297123540"/>
      <w:bookmarkStart w:id="1452" w:name="_Toc297216199"/>
      <w:bookmarkStart w:id="1453" w:name="_Toc300934989"/>
      <w:bookmarkStart w:id="1454" w:name="_Toc296347192"/>
      <w:bookmarkStart w:id="1455" w:name="_Toc296503193"/>
      <w:bookmarkStart w:id="1456" w:name="_Toc292559398"/>
      <w:bookmarkStart w:id="1457" w:name="_Toc296891021"/>
      <w:bookmarkStart w:id="1458" w:name="_Toc303539146"/>
      <w:bookmarkStart w:id="1459" w:name="_Toc292559903"/>
      <w:bookmarkStart w:id="1460" w:name="_Toc312678025"/>
      <w:bookmarkStart w:id="1461" w:name="_Toc312677499"/>
      <w:bookmarkStart w:id="1462" w:name="_Toc267251439"/>
      <w:bookmarkStart w:id="1463" w:name="_Toc267251441"/>
      <w:bookmarkStart w:id="1464" w:name="_Toc267251433"/>
      <w:bookmarkStart w:id="1465" w:name="_Toc267251440"/>
      <w:bookmarkStart w:id="1466" w:name="_Toc267251437"/>
      <w:bookmarkStart w:id="1467" w:name="_Toc267251435"/>
      <w:bookmarkStart w:id="1468" w:name="_Toc267251442"/>
      <w:r>
        <w:rPr>
          <w:rFonts w:hint="eastAsia" w:ascii="宋体" w:hAnsi="宋体" w:eastAsia="宋体" w:cs="宋体"/>
          <w:b w:val="0"/>
          <w:color w:val="auto"/>
          <w:szCs w:val="21"/>
          <w:highlight w:val="none"/>
        </w:rPr>
        <w:t>0. 变更</w:t>
      </w:r>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p>
    <w:bookmarkEnd w:id="1460"/>
    <w:bookmarkEnd w:id="1461"/>
    <w:p w14:paraId="6D3DFFC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1469" w:name="_Toc297120494"/>
      <w:bookmarkStart w:id="1470" w:name="_Toc304295567"/>
      <w:bookmarkStart w:id="1471" w:name="_Toc296346695"/>
      <w:bookmarkStart w:id="1472" w:name="_Toc296347193"/>
      <w:bookmarkStart w:id="1473" w:name="_Toc296891234"/>
      <w:bookmarkStart w:id="1474" w:name="_Toc297216200"/>
      <w:bookmarkStart w:id="1475" w:name="_Toc292559399"/>
      <w:bookmarkStart w:id="1476" w:name="_Toc297123541"/>
      <w:bookmarkStart w:id="1477" w:name="_Toc300934990"/>
      <w:bookmarkStart w:id="1478" w:name="_Toc303539147"/>
      <w:bookmarkStart w:id="1479" w:name="_Toc296891022"/>
      <w:bookmarkStart w:id="1480" w:name="_Toc296944533"/>
      <w:bookmarkStart w:id="1481" w:name="_Toc292559904"/>
      <w:bookmarkStart w:id="1482" w:name="_Toc297048380"/>
      <w:bookmarkStart w:id="1483" w:name="_Toc312678026"/>
      <w:bookmarkStart w:id="1484" w:name="_Toc312677500"/>
      <w:bookmarkStart w:id="1485" w:name="_Toc296503194"/>
      <w:r>
        <w:rPr>
          <w:rFonts w:hint="eastAsia" w:ascii="宋体" w:hAnsi="宋体" w:eastAsia="宋体" w:cs="宋体"/>
          <w:color w:val="auto"/>
          <w:szCs w:val="21"/>
          <w:highlight w:val="none"/>
        </w:rPr>
        <w:t>0.1变更的范围</w:t>
      </w:r>
    </w:p>
    <w:p w14:paraId="54B137C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w:t>
      </w:r>
      <w:r>
        <w:rPr>
          <w:rFonts w:hint="eastAsia" w:ascii="宋体" w:hAnsi="宋体" w:eastAsia="宋体" w:cs="宋体"/>
          <w:color w:val="auto"/>
          <w:szCs w:val="21"/>
          <w:highlight w:val="none"/>
          <w:u w:val="single"/>
        </w:rPr>
        <w:t>按通用条款</w:t>
      </w:r>
      <w:r>
        <w:rPr>
          <w:rFonts w:hint="eastAsia" w:ascii="宋体" w:hAnsi="宋体" w:eastAsia="宋体" w:cs="宋体"/>
          <w:color w:val="auto"/>
          <w:szCs w:val="21"/>
          <w:highlight w:val="none"/>
          <w:u w:val="single"/>
          <w:lang w:val="en-US" w:eastAsia="zh-CN"/>
        </w:rPr>
        <w:t>10.1</w:t>
      </w:r>
      <w:r>
        <w:rPr>
          <w:rFonts w:hint="eastAsia" w:ascii="宋体" w:hAnsi="宋体" w:eastAsia="宋体" w:cs="宋体"/>
          <w:color w:val="auto"/>
          <w:szCs w:val="21"/>
          <w:highlight w:val="none"/>
          <w:u w:val="single"/>
        </w:rPr>
        <w:t xml:space="preserve">执行  </w:t>
      </w:r>
    </w:p>
    <w:p w14:paraId="6BAD3C53">
      <w:pPr>
        <w:spacing w:line="360" w:lineRule="auto"/>
        <w:ind w:firstLine="420" w:firstLineChars="200"/>
        <w:outlineLvl w:val="0"/>
        <w:rPr>
          <w:rFonts w:hint="eastAsia" w:ascii="宋体" w:hAnsi="宋体" w:eastAsia="宋体" w:cs="宋体"/>
          <w:color w:val="auto"/>
          <w:szCs w:val="21"/>
          <w:highlight w:val="none"/>
        </w:rPr>
      </w:pPr>
      <w:bookmarkStart w:id="1486" w:name="_Toc499892847"/>
      <w:bookmarkStart w:id="1487" w:name="_Toc500865889"/>
      <w:bookmarkStart w:id="1488" w:name="_Toc106695215"/>
      <w:bookmarkStart w:id="1489" w:name="_Toc106695368"/>
      <w:bookmarkStart w:id="1490" w:name="_Toc36136606"/>
      <w:bookmarkStart w:id="1491" w:name="_Toc27560"/>
      <w:bookmarkStart w:id="1492" w:name="_Toc2594"/>
      <w:bookmarkStart w:id="1493" w:name="_Toc499891656"/>
      <w:bookmarkStart w:id="1494" w:name="_Toc27378067"/>
      <w:bookmarkStart w:id="1495" w:name="_Toc500864499"/>
      <w:r>
        <w:rPr>
          <w:rFonts w:hint="eastAsia" w:ascii="宋体" w:hAnsi="宋体" w:eastAsia="宋体" w:cs="宋体"/>
          <w:color w:val="auto"/>
          <w:szCs w:val="21"/>
          <w:highlight w:val="none"/>
        </w:rPr>
        <w:t>10.4 变更估价</w:t>
      </w:r>
      <w:bookmarkEnd w:id="1486"/>
      <w:bookmarkEnd w:id="1487"/>
      <w:bookmarkEnd w:id="1488"/>
      <w:bookmarkEnd w:id="1489"/>
      <w:bookmarkEnd w:id="1490"/>
      <w:bookmarkEnd w:id="1491"/>
      <w:bookmarkEnd w:id="1492"/>
      <w:bookmarkEnd w:id="1493"/>
      <w:bookmarkEnd w:id="1494"/>
      <w:bookmarkEnd w:id="1495"/>
    </w:p>
    <w:p w14:paraId="5FEDC8D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 变更估价原则</w:t>
      </w:r>
    </w:p>
    <w:p w14:paraId="54DB389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关于变更估价的约定: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D1AB81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Start w:id="1496" w:name="_Toc292559907"/>
      <w:bookmarkStart w:id="1497" w:name="_Toc296503197"/>
      <w:bookmarkStart w:id="1498" w:name="_Toc296891237"/>
      <w:bookmarkStart w:id="1499" w:name="_Toc303539150"/>
      <w:bookmarkStart w:id="1500" w:name="_Toc292559402"/>
      <w:bookmarkStart w:id="1501" w:name="_Toc296347196"/>
      <w:bookmarkStart w:id="1502" w:name="_Toc297048383"/>
      <w:bookmarkStart w:id="1503" w:name="_Toc300934993"/>
      <w:bookmarkStart w:id="1504" w:name="_Toc297120497"/>
      <w:bookmarkStart w:id="1505" w:name="_Toc297123544"/>
      <w:bookmarkStart w:id="1506" w:name="_Toc296891025"/>
      <w:bookmarkStart w:id="1507" w:name="_Toc296346698"/>
      <w:bookmarkStart w:id="1508" w:name="_Toc296944536"/>
      <w:bookmarkStart w:id="1509" w:name="_Toc297216203"/>
      <w:bookmarkStart w:id="1510" w:name="_Toc312678029"/>
      <w:bookmarkStart w:id="1511" w:name="_Toc312677503"/>
      <w:bookmarkStart w:id="1512" w:name="_Toc304295570"/>
      <w:r>
        <w:rPr>
          <w:rFonts w:hint="eastAsia" w:ascii="宋体" w:hAnsi="宋体" w:eastAsia="宋体" w:cs="宋体"/>
          <w:color w:val="auto"/>
          <w:szCs w:val="21"/>
          <w:highlight w:val="none"/>
        </w:rPr>
        <w:t>0.5承</w:t>
      </w:r>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Start w:id="1513" w:name="_Toc300934994"/>
      <w:bookmarkStart w:id="1514" w:name="_Toc296891243"/>
      <w:bookmarkStart w:id="1515" w:name="_Toc292559913"/>
      <w:bookmarkStart w:id="1516" w:name="_Toc296944542"/>
      <w:bookmarkStart w:id="1517" w:name="_Toc303539151"/>
      <w:bookmarkStart w:id="1518" w:name="_Toc297123545"/>
      <w:bookmarkStart w:id="1519" w:name="_Toc296503203"/>
      <w:bookmarkStart w:id="1520" w:name="_Toc297120503"/>
      <w:bookmarkStart w:id="1521" w:name="_Toc296346704"/>
      <w:bookmarkStart w:id="1522" w:name="_Toc292559408"/>
      <w:bookmarkStart w:id="1523" w:name="_Toc296347202"/>
      <w:bookmarkStart w:id="1524" w:name="_Toc297216204"/>
      <w:bookmarkStart w:id="1525" w:name="_Toc297048389"/>
      <w:bookmarkStart w:id="1526" w:name="_Toc296891031"/>
      <w:r>
        <w:rPr>
          <w:rFonts w:hint="eastAsia" w:ascii="宋体" w:hAnsi="宋体" w:eastAsia="宋体" w:cs="宋体"/>
          <w:color w:val="auto"/>
          <w:szCs w:val="21"/>
          <w:highlight w:val="none"/>
        </w:rPr>
        <w:t>包人的合理化建议</w:t>
      </w:r>
    </w:p>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p w14:paraId="14F907D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E67E00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ADAD847">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w:t>
      </w:r>
      <w:bookmarkStart w:id="1527" w:name="_Toc318581175"/>
      <w:bookmarkStart w:id="1528" w:name="_Toc296891244"/>
      <w:bookmarkStart w:id="1529" w:name="_Toc297123546"/>
      <w:bookmarkStart w:id="1530" w:name="_Toc292559914"/>
      <w:bookmarkStart w:id="1531" w:name="_Toc296503204"/>
      <w:bookmarkStart w:id="1532" w:name="_Toc297048390"/>
      <w:bookmarkStart w:id="1533" w:name="_Toc297120504"/>
      <w:bookmarkStart w:id="1534" w:name="_Toc296891032"/>
      <w:bookmarkStart w:id="1535" w:name="_Toc304295571"/>
      <w:bookmarkStart w:id="1536" w:name="_Toc296346705"/>
      <w:bookmarkStart w:id="1537" w:name="_Toc292559409"/>
      <w:bookmarkStart w:id="1538" w:name="_Toc296347203"/>
      <w:bookmarkStart w:id="1539" w:name="_Toc303539152"/>
      <w:bookmarkStart w:id="1540" w:name="_Toc297216205"/>
      <w:bookmarkStart w:id="1541" w:name="_Toc300934995"/>
      <w:bookmarkStart w:id="1542" w:name="_Toc312677504"/>
      <w:bookmarkStart w:id="1543" w:name="_Toc296944543"/>
      <w:bookmarkStart w:id="1544" w:name="_Toc312678030"/>
      <w:r>
        <w:rPr>
          <w:rFonts w:hint="eastAsia" w:ascii="宋体" w:hAnsi="宋体" w:eastAsia="宋体" w:cs="宋体"/>
          <w:color w:val="auto"/>
          <w:szCs w:val="21"/>
          <w:highlight w:val="none"/>
        </w:rPr>
        <w:t>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p w14:paraId="77056CA9">
      <w:pPr>
        <w:spacing w:line="360" w:lineRule="auto"/>
        <w:ind w:firstLine="420" w:firstLineChars="200"/>
        <w:outlineLvl w:val="0"/>
        <w:rPr>
          <w:rFonts w:hint="eastAsia" w:ascii="宋体" w:hAnsi="宋体" w:eastAsia="宋体" w:cs="宋体"/>
          <w:color w:val="auto"/>
          <w:szCs w:val="21"/>
          <w:highlight w:val="none"/>
        </w:rPr>
      </w:pPr>
      <w:bookmarkStart w:id="1545" w:name="_Toc27378068"/>
      <w:bookmarkStart w:id="1546" w:name="_Toc6520"/>
      <w:bookmarkStart w:id="1547" w:name="_Toc500864500"/>
      <w:bookmarkStart w:id="1548" w:name="_Toc3062"/>
      <w:bookmarkStart w:id="1549" w:name="_Toc500865890"/>
      <w:bookmarkStart w:id="1550" w:name="_Toc36136607"/>
      <w:bookmarkStart w:id="1551" w:name="_Toc499891657"/>
      <w:bookmarkStart w:id="1552" w:name="_Toc499892848"/>
      <w:bookmarkStart w:id="1553" w:name="_Toc106695216"/>
      <w:bookmarkStart w:id="1554" w:name="_Toc106695369"/>
      <w:r>
        <w:rPr>
          <w:rFonts w:hint="eastAsia" w:ascii="宋体" w:hAnsi="宋体" w:eastAsia="宋体" w:cs="宋体"/>
          <w:color w:val="auto"/>
          <w:szCs w:val="21"/>
          <w:highlight w:val="none"/>
        </w:rPr>
        <w:t>1</w:t>
      </w:r>
      <w:bookmarkStart w:id="1555" w:name="_Toc296891027"/>
      <w:bookmarkStart w:id="1556" w:name="_Toc292559909"/>
      <w:bookmarkStart w:id="1557" w:name="_Toc303539154"/>
      <w:bookmarkStart w:id="1558" w:name="_Toc296347198"/>
      <w:bookmarkStart w:id="1559" w:name="_Toc296346700"/>
      <w:bookmarkStart w:id="1560" w:name="_Toc292559404"/>
      <w:bookmarkStart w:id="1561" w:name="_Toc304295574"/>
      <w:bookmarkStart w:id="1562" w:name="_Toc312677507"/>
      <w:bookmarkStart w:id="1563" w:name="_Toc297123548"/>
      <w:bookmarkStart w:id="1564" w:name="_Toc296891239"/>
      <w:bookmarkStart w:id="1565" w:name="_Toc297048385"/>
      <w:bookmarkStart w:id="1566" w:name="_Toc297120499"/>
      <w:bookmarkStart w:id="1567" w:name="_Toc312678033"/>
      <w:bookmarkStart w:id="1568" w:name="_Toc296944538"/>
      <w:bookmarkStart w:id="1569" w:name="_Toc297216207"/>
      <w:bookmarkStart w:id="1570" w:name="_Toc296503199"/>
      <w:bookmarkStart w:id="1571" w:name="_Toc300934997"/>
      <w:r>
        <w:rPr>
          <w:rFonts w:hint="eastAsia" w:ascii="宋体" w:hAnsi="宋体" w:eastAsia="宋体" w:cs="宋体"/>
          <w:color w:val="auto"/>
          <w:szCs w:val="21"/>
          <w:highlight w:val="none"/>
        </w:rPr>
        <w:t>0.7 暂估价</w:t>
      </w:r>
      <w:bookmarkEnd w:id="1545"/>
      <w:bookmarkEnd w:id="1546"/>
      <w:bookmarkEnd w:id="1547"/>
      <w:bookmarkEnd w:id="1548"/>
      <w:bookmarkEnd w:id="1549"/>
      <w:bookmarkEnd w:id="1550"/>
      <w:bookmarkEnd w:id="1551"/>
      <w:bookmarkEnd w:id="1552"/>
      <w:bookmarkEnd w:id="1553"/>
      <w:bookmarkEnd w:id="1554"/>
    </w:p>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p w14:paraId="68CE143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暂</w:t>
      </w:r>
      <w:bookmarkStart w:id="1572" w:name="_Toc312678034"/>
      <w:bookmarkStart w:id="1573" w:name="_Toc312677508"/>
      <w:bookmarkStart w:id="1574" w:name="_Toc318581176"/>
      <w:r>
        <w:rPr>
          <w:rFonts w:hint="eastAsia" w:ascii="宋体" w:hAnsi="宋体" w:eastAsia="宋体" w:cs="宋体"/>
          <w:color w:val="auto"/>
          <w:kern w:val="0"/>
          <w:szCs w:val="21"/>
          <w:highlight w:val="none"/>
        </w:rPr>
        <w:t>估价材料和工程设备的明细详见附件11：《</w:t>
      </w:r>
      <w:r>
        <w:rPr>
          <w:rFonts w:hint="eastAsia" w:ascii="宋体" w:hAnsi="宋体" w:eastAsia="宋体" w:cs="宋体"/>
          <w:color w:val="auto"/>
          <w:szCs w:val="21"/>
          <w:highlight w:val="none"/>
        </w:rPr>
        <w:t>暂估价一览表》</w:t>
      </w:r>
      <w:r>
        <w:rPr>
          <w:rFonts w:hint="eastAsia" w:ascii="宋体" w:hAnsi="宋体" w:eastAsia="宋体" w:cs="宋体"/>
          <w:color w:val="auto"/>
          <w:kern w:val="0"/>
          <w:szCs w:val="21"/>
          <w:highlight w:val="none"/>
        </w:rPr>
        <w:t>。</w:t>
      </w:r>
    </w:p>
    <w:bookmarkEnd w:id="1572"/>
    <w:bookmarkEnd w:id="1573"/>
    <w:bookmarkEnd w:id="1574"/>
    <w:p w14:paraId="60A811D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1575" w:name="_Toc312677509"/>
      <w:bookmarkStart w:id="1576" w:name="_Toc318581177"/>
      <w:bookmarkStart w:id="1577" w:name="_Toc312678035"/>
      <w:r>
        <w:rPr>
          <w:rFonts w:hint="eastAsia" w:ascii="宋体" w:hAnsi="宋体" w:eastAsia="宋体" w:cs="宋体"/>
          <w:color w:val="auto"/>
          <w:szCs w:val="21"/>
          <w:highlight w:val="none"/>
        </w:rPr>
        <w:t>0.7.1 依法必须招标的暂估价项目</w:t>
      </w:r>
    </w:p>
    <w:bookmarkEnd w:id="1575"/>
    <w:bookmarkEnd w:id="1576"/>
    <w:bookmarkEnd w:id="1577"/>
    <w:p w14:paraId="3DE2873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种方式确定。</w:t>
      </w:r>
    </w:p>
    <w:p w14:paraId="1227878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 不属于依法必须招标的暂估价项目</w:t>
      </w:r>
    </w:p>
    <w:p w14:paraId="298D29B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种方式确定。</w:t>
      </w:r>
    </w:p>
    <w:p w14:paraId="1EC2264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0BE9DB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 暂列金额</w:t>
      </w:r>
    </w:p>
    <w:p w14:paraId="15CED797">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合同当事人关于暂列金额使用的约定：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10.8</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kern w:val="0"/>
          <w:szCs w:val="21"/>
          <w:highlight w:val="none"/>
        </w:rPr>
        <w:t>。</w:t>
      </w:r>
    </w:p>
    <w:p w14:paraId="50ADD2FF">
      <w:pPr>
        <w:pStyle w:val="5"/>
        <w:rPr>
          <w:rFonts w:hint="eastAsia" w:ascii="宋体" w:hAnsi="宋体" w:eastAsia="宋体" w:cs="宋体"/>
          <w:b w:val="0"/>
          <w:color w:val="auto"/>
          <w:szCs w:val="21"/>
          <w:highlight w:val="none"/>
        </w:rPr>
      </w:pPr>
      <w:bookmarkStart w:id="1578" w:name="_Toc351203643"/>
      <w:r>
        <w:rPr>
          <w:rFonts w:hint="eastAsia" w:ascii="宋体" w:hAnsi="宋体" w:eastAsia="宋体" w:cs="宋体"/>
          <w:b w:val="0"/>
          <w:color w:val="auto"/>
          <w:szCs w:val="21"/>
          <w:highlight w:val="none"/>
        </w:rPr>
        <w:t>11. 价格调整</w:t>
      </w:r>
      <w:bookmarkEnd w:id="1578"/>
    </w:p>
    <w:p w14:paraId="36F9E3E1">
      <w:pPr>
        <w:spacing w:line="360" w:lineRule="auto"/>
        <w:ind w:firstLine="420" w:firstLineChars="200"/>
        <w:rPr>
          <w:rFonts w:hint="eastAsia" w:ascii="宋体" w:hAnsi="宋体" w:eastAsia="宋体" w:cs="宋体"/>
          <w:color w:val="auto"/>
          <w:szCs w:val="21"/>
          <w:highlight w:val="none"/>
        </w:rPr>
      </w:pPr>
      <w:bookmarkStart w:id="1579" w:name="_Toc296347200"/>
      <w:bookmarkStart w:id="1580" w:name="_Toc292559911"/>
      <w:bookmarkStart w:id="1581" w:name="_Toc296346702"/>
      <w:bookmarkStart w:id="1582" w:name="_Toc297123550"/>
      <w:bookmarkStart w:id="1583" w:name="_Toc304295577"/>
      <w:bookmarkStart w:id="1584" w:name="_Toc296891241"/>
      <w:bookmarkStart w:id="1585" w:name="_Toc292559406"/>
      <w:bookmarkStart w:id="1586" w:name="_Toc296891029"/>
      <w:bookmarkStart w:id="1587" w:name="_Toc297216209"/>
      <w:bookmarkStart w:id="1588" w:name="_Toc300935000"/>
      <w:bookmarkStart w:id="1589" w:name="_Toc296503201"/>
      <w:bookmarkStart w:id="1590" w:name="_Toc297048387"/>
      <w:bookmarkStart w:id="1591" w:name="_Toc303539157"/>
      <w:bookmarkStart w:id="1592" w:name="_Toc297120501"/>
      <w:bookmarkStart w:id="1593" w:name="_Toc312678039"/>
      <w:bookmarkStart w:id="1594" w:name="_Toc296944540"/>
      <w:r>
        <w:rPr>
          <w:rFonts w:hint="eastAsia" w:ascii="宋体" w:hAnsi="宋体" w:eastAsia="宋体" w:cs="宋体"/>
          <w:color w:val="auto"/>
          <w:szCs w:val="21"/>
          <w:highlight w:val="none"/>
        </w:rPr>
        <w:t>11.1 市场价格波动引起的调整</w:t>
      </w:r>
    </w:p>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p w14:paraId="2CFE537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市场价格波动是否调整合同价格的约定：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0FC65D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因市场价格波动调整合同价格，采用以下第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种方式对合同价格进行调整：</w:t>
      </w:r>
    </w:p>
    <w:p w14:paraId="7B5717D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第1种方式：采用价格指数进行价格调整。</w:t>
      </w:r>
    </w:p>
    <w:p w14:paraId="6E7531DD">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关于各可调因子、定值和变值权重，以及基本价格指数及其来源的约定：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30C613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第2种方式：采用造价信息进行价格调整。</w:t>
      </w:r>
    </w:p>
    <w:p w14:paraId="1872FBA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（2）关于基准价格的约定：</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42F291F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%时，或材料单价跌幅以已标价工程量清单或预算书中载明材料单价为基础超过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4A61C5A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%时，材料单价涨幅以已标价工程量清单或预算书中载明材料单价为基础超过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028C590B">
      <w:pPr>
        <w:spacing w:line="360" w:lineRule="auto"/>
        <w:ind w:firstLine="6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68C06438">
      <w:pPr>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第3种方式：其他价格调整方式：</w:t>
      </w:r>
      <w:r>
        <w:rPr>
          <w:rFonts w:hint="eastAsia" w:ascii="宋体" w:hAnsi="宋体" w:eastAsia="宋体" w:cs="宋体"/>
          <w:color w:val="auto"/>
          <w:szCs w:val="21"/>
          <w:highlight w:val="none"/>
          <w:u w:val="single"/>
        </w:rPr>
        <w:t>采用驻马店发布的造价信息进行价格调整，基准价格以该工程招标控制价为基础，在合同履行期限间材料价格涨跌幅部分超过±5％时，其超过部分据实作增减调整。</w:t>
      </w:r>
    </w:p>
    <w:bookmarkEnd w:id="1462"/>
    <w:bookmarkEnd w:id="1463"/>
    <w:bookmarkEnd w:id="1464"/>
    <w:bookmarkEnd w:id="1465"/>
    <w:bookmarkEnd w:id="1466"/>
    <w:bookmarkEnd w:id="1467"/>
    <w:p w14:paraId="311ED6A7">
      <w:pPr>
        <w:pStyle w:val="5"/>
        <w:rPr>
          <w:rFonts w:hint="eastAsia" w:ascii="宋体" w:hAnsi="宋体" w:eastAsia="宋体" w:cs="宋体"/>
          <w:b w:val="0"/>
          <w:color w:val="auto"/>
          <w:szCs w:val="21"/>
          <w:highlight w:val="none"/>
        </w:rPr>
      </w:pPr>
      <w:bookmarkStart w:id="1595" w:name="_Toc292559410"/>
      <w:bookmarkStart w:id="1596" w:name="_Toc296503205"/>
      <w:bookmarkStart w:id="1597" w:name="_Toc296891033"/>
      <w:bookmarkStart w:id="1598" w:name="_Toc297048391"/>
      <w:bookmarkStart w:id="1599" w:name="_Toc296891245"/>
      <w:bookmarkStart w:id="1600" w:name="_Toc296347204"/>
      <w:bookmarkStart w:id="1601" w:name="_Toc292559915"/>
      <w:bookmarkStart w:id="1602" w:name="_Toc297120505"/>
      <w:bookmarkStart w:id="1603" w:name="_Toc296346706"/>
      <w:bookmarkStart w:id="1604" w:name="_Toc296944544"/>
      <w:bookmarkStart w:id="1605" w:name="_Toc351203644"/>
      <w:bookmarkStart w:id="1606" w:name="_Toc303539159"/>
      <w:bookmarkStart w:id="1607" w:name="_Toc297216211"/>
      <w:bookmarkStart w:id="1608" w:name="_Toc304295579"/>
      <w:bookmarkStart w:id="1609" w:name="_Toc312678040"/>
      <w:bookmarkStart w:id="1610" w:name="_Toc300935002"/>
      <w:bookmarkStart w:id="1611" w:name="_Toc297123552"/>
      <w:r>
        <w:rPr>
          <w:rFonts w:hint="eastAsia" w:ascii="宋体" w:hAnsi="宋体" w:eastAsia="宋体" w:cs="宋体"/>
          <w:b w:val="0"/>
          <w:color w:val="auto"/>
          <w:szCs w:val="21"/>
          <w:highlight w:val="none"/>
        </w:rPr>
        <w:t xml:space="preserve">12. </w:t>
      </w:r>
      <w:bookmarkEnd w:id="1595"/>
      <w:bookmarkEnd w:id="1596"/>
      <w:bookmarkEnd w:id="1597"/>
      <w:bookmarkEnd w:id="1598"/>
      <w:bookmarkEnd w:id="1599"/>
      <w:bookmarkEnd w:id="1600"/>
      <w:bookmarkEnd w:id="1601"/>
      <w:bookmarkEnd w:id="1602"/>
      <w:bookmarkEnd w:id="1603"/>
      <w:bookmarkEnd w:id="1604"/>
      <w:r>
        <w:rPr>
          <w:rFonts w:hint="eastAsia" w:ascii="宋体" w:hAnsi="宋体" w:eastAsia="宋体" w:cs="宋体"/>
          <w:b w:val="0"/>
          <w:color w:val="auto"/>
          <w:szCs w:val="21"/>
          <w:highlight w:val="none"/>
        </w:rPr>
        <w:t>合同价格、计量与支付</w:t>
      </w:r>
      <w:bookmarkEnd w:id="1605"/>
    </w:p>
    <w:bookmarkEnd w:id="1606"/>
    <w:bookmarkEnd w:id="1607"/>
    <w:bookmarkEnd w:id="1608"/>
    <w:bookmarkEnd w:id="1609"/>
    <w:bookmarkEnd w:id="1610"/>
    <w:bookmarkEnd w:id="1611"/>
    <w:p w14:paraId="0DE8BE31">
      <w:pPr>
        <w:spacing w:line="360" w:lineRule="auto"/>
        <w:ind w:firstLine="420" w:firstLineChars="200"/>
        <w:rPr>
          <w:rFonts w:hint="eastAsia" w:ascii="宋体" w:hAnsi="宋体" w:eastAsia="宋体" w:cs="宋体"/>
          <w:color w:val="auto"/>
          <w:szCs w:val="21"/>
          <w:highlight w:val="none"/>
        </w:rPr>
      </w:pPr>
      <w:bookmarkStart w:id="1612" w:name="_Toc292559916"/>
      <w:bookmarkStart w:id="1613" w:name="_Toc267251461"/>
      <w:bookmarkStart w:id="1614" w:name="_Toc292559411"/>
      <w:bookmarkStart w:id="1615" w:name="_Toc296347205"/>
      <w:bookmarkStart w:id="1616" w:name="_Toc297120506"/>
      <w:bookmarkStart w:id="1617" w:name="_Toc296503206"/>
      <w:bookmarkStart w:id="1618" w:name="_Toc296346707"/>
      <w:bookmarkStart w:id="1619" w:name="_Toc296891034"/>
      <w:bookmarkStart w:id="1620" w:name="_Toc296944545"/>
      <w:bookmarkStart w:id="1621" w:name="_Toc297048392"/>
      <w:bookmarkStart w:id="1622" w:name="_Toc296891246"/>
      <w:bookmarkStart w:id="1623" w:name="_Toc300935003"/>
      <w:bookmarkStart w:id="1624" w:name="_Toc303539160"/>
      <w:bookmarkStart w:id="1625" w:name="_Toc312678041"/>
      <w:bookmarkStart w:id="1626" w:name="_Toc297216212"/>
      <w:bookmarkStart w:id="1627" w:name="_Toc304295580"/>
      <w:bookmarkStart w:id="1628" w:name="_Toc297123553"/>
      <w:r>
        <w:rPr>
          <w:rFonts w:hint="eastAsia" w:ascii="宋体" w:hAnsi="宋体" w:eastAsia="宋体" w:cs="宋体"/>
          <w:color w:val="auto"/>
          <w:szCs w:val="21"/>
          <w:highlight w:val="none"/>
        </w:rPr>
        <w:t>12.1 合</w:t>
      </w:r>
      <w:bookmarkEnd w:id="1612"/>
      <w:bookmarkEnd w:id="1613"/>
      <w:bookmarkEnd w:id="1614"/>
      <w:r>
        <w:rPr>
          <w:rFonts w:hint="eastAsia" w:ascii="宋体" w:hAnsi="宋体" w:eastAsia="宋体" w:cs="宋体"/>
          <w:color w:val="auto"/>
          <w:szCs w:val="21"/>
          <w:highlight w:val="none"/>
        </w:rPr>
        <w:t>同价</w:t>
      </w:r>
      <w:bookmarkEnd w:id="1615"/>
      <w:bookmarkEnd w:id="1616"/>
      <w:bookmarkEnd w:id="1617"/>
      <w:bookmarkEnd w:id="1618"/>
      <w:bookmarkEnd w:id="1619"/>
      <w:bookmarkEnd w:id="1620"/>
      <w:bookmarkEnd w:id="1621"/>
      <w:bookmarkEnd w:id="1622"/>
      <w:r>
        <w:rPr>
          <w:rFonts w:hint="eastAsia" w:ascii="宋体" w:hAnsi="宋体" w:eastAsia="宋体" w:cs="宋体"/>
          <w:color w:val="auto"/>
          <w:szCs w:val="21"/>
          <w:highlight w:val="none"/>
        </w:rPr>
        <w:t>格形式</w:t>
      </w:r>
    </w:p>
    <w:bookmarkEnd w:id="1623"/>
    <w:bookmarkEnd w:id="1624"/>
    <w:bookmarkEnd w:id="1625"/>
    <w:bookmarkEnd w:id="1626"/>
    <w:bookmarkEnd w:id="1627"/>
    <w:bookmarkEnd w:id="1628"/>
    <w:p w14:paraId="2027A04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w:t>
      </w:r>
    </w:p>
    <w:p w14:paraId="63654BD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综合单价包含的风险范围：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224D95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ADB0EE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15622A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w:t>
      </w:r>
    </w:p>
    <w:p w14:paraId="53D0008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总价包含的风险范围：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593A95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8F6C5E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D3D2EE7">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D209C95">
      <w:pPr>
        <w:spacing w:line="360" w:lineRule="auto"/>
        <w:ind w:firstLine="420" w:firstLineChars="200"/>
        <w:rPr>
          <w:rFonts w:hint="eastAsia" w:ascii="宋体" w:hAnsi="宋体" w:eastAsia="宋体" w:cs="宋体"/>
          <w:color w:val="auto"/>
          <w:szCs w:val="21"/>
          <w:highlight w:val="none"/>
        </w:rPr>
      </w:pPr>
      <w:bookmarkStart w:id="1629" w:name="_Toc303539161"/>
      <w:bookmarkStart w:id="1630" w:name="_Toc304295581"/>
      <w:bookmarkStart w:id="1631" w:name="_Toc300935004"/>
      <w:bookmarkStart w:id="1632" w:name="_Toc312678042"/>
      <w:bookmarkStart w:id="1633" w:name="_Toc297123554"/>
      <w:bookmarkStart w:id="1634" w:name="_Toc297216213"/>
      <w:bookmarkStart w:id="1635" w:name="_Toc296347206"/>
      <w:bookmarkStart w:id="1636" w:name="_Toc296503207"/>
      <w:bookmarkStart w:id="1637" w:name="_Toc297120507"/>
      <w:bookmarkStart w:id="1638" w:name="_Toc292559917"/>
      <w:bookmarkStart w:id="1639" w:name="_Toc296346708"/>
      <w:bookmarkStart w:id="1640" w:name="_Toc297048393"/>
      <w:bookmarkStart w:id="1641" w:name="_Toc292559412"/>
      <w:bookmarkStart w:id="1642" w:name="_Toc296891035"/>
      <w:bookmarkStart w:id="1643" w:name="_Toc296891247"/>
      <w:bookmarkStart w:id="1644" w:name="_Toc296944546"/>
      <w:r>
        <w:rPr>
          <w:rFonts w:hint="eastAsia" w:ascii="宋体" w:hAnsi="宋体" w:eastAsia="宋体" w:cs="宋体"/>
          <w:color w:val="auto"/>
          <w:szCs w:val="21"/>
          <w:highlight w:val="none"/>
        </w:rPr>
        <w:t>12.2 预付款</w:t>
      </w:r>
    </w:p>
    <w:bookmarkEnd w:id="1629"/>
    <w:bookmarkEnd w:id="1630"/>
    <w:bookmarkEnd w:id="1631"/>
    <w:bookmarkEnd w:id="1632"/>
    <w:bookmarkEnd w:id="1633"/>
    <w:bookmarkEnd w:id="1634"/>
    <w:p w14:paraId="6B5D0C5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 预付款的支付</w:t>
      </w:r>
    </w:p>
    <w:p w14:paraId="02CD93A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预付款支付比例或金额：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EAB5D5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A30EBF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预付款扣回的方式：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0AD881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12.2.2 预付款担保</w:t>
      </w:r>
    </w:p>
    <w:p w14:paraId="07ABC3D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0C53E0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预付款担保的形式为：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635"/>
    <w:bookmarkEnd w:id="1636"/>
    <w:bookmarkEnd w:id="1637"/>
    <w:bookmarkEnd w:id="1638"/>
    <w:bookmarkEnd w:id="1639"/>
    <w:bookmarkEnd w:id="1640"/>
    <w:bookmarkEnd w:id="1641"/>
    <w:bookmarkEnd w:id="1642"/>
    <w:bookmarkEnd w:id="1643"/>
    <w:bookmarkEnd w:id="1644"/>
    <w:p w14:paraId="3385509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 计量</w:t>
      </w:r>
    </w:p>
    <w:p w14:paraId="7B72EA6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 计量原则</w:t>
      </w:r>
    </w:p>
    <w:p w14:paraId="5F0403D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工程量计算规则：</w:t>
      </w:r>
      <w:r>
        <w:rPr>
          <w:rFonts w:hint="eastAsia" w:ascii="宋体" w:hAnsi="宋体" w:eastAsia="宋体" w:cs="宋体"/>
          <w:color w:val="auto"/>
          <w:szCs w:val="21"/>
          <w:highlight w:val="none"/>
          <w:u w:val="single"/>
        </w:rPr>
        <w:t xml:space="preserve">    按通用条款12.3.1和国家规范     </w:t>
      </w:r>
      <w:r>
        <w:rPr>
          <w:rFonts w:hint="eastAsia" w:ascii="宋体" w:hAnsi="宋体" w:eastAsia="宋体" w:cs="宋体"/>
          <w:color w:val="auto"/>
          <w:szCs w:val="21"/>
          <w:highlight w:val="none"/>
        </w:rPr>
        <w:t>。</w:t>
      </w:r>
    </w:p>
    <w:p w14:paraId="5AE845F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 计量周期</w:t>
      </w:r>
    </w:p>
    <w:p w14:paraId="615A736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12.3.2</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6A502A4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 单价合同的计量</w:t>
      </w:r>
    </w:p>
    <w:p w14:paraId="32016AB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04E2AA6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 总价合同的计量</w:t>
      </w:r>
    </w:p>
    <w:p w14:paraId="6AF0AC6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12.3.4</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09AFFAD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w:t>
      </w:r>
      <w:r>
        <w:rPr>
          <w:rFonts w:hint="eastAsia" w:ascii="宋体" w:hAnsi="宋体" w:eastAsia="宋体" w:cs="宋体"/>
          <w:color w:val="auto"/>
          <w:kern w:val="0"/>
          <w:szCs w:val="21"/>
          <w:highlight w:val="none"/>
        </w:rPr>
        <w:t xml:space="preserve">12.3.4 </w:t>
      </w:r>
      <w:r>
        <w:rPr>
          <w:rFonts w:hint="eastAsia" w:ascii="宋体" w:hAnsi="宋体" w:eastAsia="宋体" w:cs="宋体"/>
          <w:color w:val="auto"/>
          <w:szCs w:val="21"/>
          <w:highlight w:val="none"/>
        </w:rPr>
        <w:t>项</w:t>
      </w:r>
      <w:r>
        <w:rPr>
          <w:rFonts w:hint="eastAsia" w:ascii="宋体" w:hAnsi="宋体" w:eastAsia="宋体" w:cs="宋体"/>
          <w:color w:val="auto"/>
          <w:kern w:val="0"/>
          <w:szCs w:val="21"/>
          <w:highlight w:val="none"/>
        </w:rPr>
        <w:t>〔总价合同的计量〕</w:t>
      </w:r>
      <w:r>
        <w:rPr>
          <w:rFonts w:hint="eastAsia" w:ascii="宋体" w:hAnsi="宋体" w:eastAsia="宋体" w:cs="宋体"/>
          <w:color w:val="auto"/>
          <w:szCs w:val="21"/>
          <w:highlight w:val="none"/>
        </w:rPr>
        <w:t>约定进行计量：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3D210D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 其他价格形式合同的计量</w:t>
      </w:r>
    </w:p>
    <w:p w14:paraId="7091F29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CA7D8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 工程进度款支付</w:t>
      </w:r>
    </w:p>
    <w:p w14:paraId="348B0131">
      <w:pPr>
        <w:spacing w:line="360" w:lineRule="auto"/>
        <w:ind w:firstLine="420" w:firstLineChars="200"/>
        <w:jc w:val="left"/>
        <w:rPr>
          <w:rFonts w:hint="eastAsia" w:ascii="宋体" w:hAnsi="宋体" w:eastAsia="宋体" w:cs="宋体"/>
          <w:color w:val="auto"/>
          <w:szCs w:val="21"/>
          <w:highlight w:val="none"/>
        </w:rPr>
      </w:pPr>
      <w:bookmarkStart w:id="1645" w:name="_Toc296891251"/>
      <w:bookmarkStart w:id="1646" w:name="_Toc300935006"/>
      <w:bookmarkStart w:id="1647" w:name="_Toc297123556"/>
      <w:bookmarkStart w:id="1648" w:name="_Toc296346712"/>
      <w:bookmarkStart w:id="1649" w:name="_Toc303539163"/>
      <w:bookmarkStart w:id="1650" w:name="_Toc292559416"/>
      <w:bookmarkStart w:id="1651" w:name="_Toc296891039"/>
      <w:bookmarkStart w:id="1652" w:name="_Toc297048397"/>
      <w:bookmarkStart w:id="1653" w:name="_Toc296503211"/>
      <w:bookmarkStart w:id="1654" w:name="_Toc296944550"/>
      <w:bookmarkStart w:id="1655" w:name="_Toc297120511"/>
      <w:bookmarkStart w:id="1656" w:name="_Toc297216215"/>
      <w:bookmarkStart w:id="1657" w:name="_Toc292559921"/>
      <w:bookmarkStart w:id="1658" w:name="_Toc296347210"/>
      <w:r>
        <w:rPr>
          <w:rFonts w:hint="eastAsia" w:ascii="宋体" w:hAnsi="宋体" w:eastAsia="宋体" w:cs="宋体"/>
          <w:color w:val="auto"/>
          <w:szCs w:val="21"/>
          <w:highlight w:val="none"/>
        </w:rPr>
        <w:t>12.4.1 付款周期</w:t>
      </w:r>
    </w:p>
    <w:p w14:paraId="41E5C1B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719B4FB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 进度付款申请单的编制</w:t>
      </w:r>
    </w:p>
    <w:p w14:paraId="09255FF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关于进度付款申请单编制的约定：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12.4.2</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4ABC305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r>
        <w:rPr>
          <w:rFonts w:hint="eastAsia" w:ascii="宋体" w:hAnsi="宋体" w:eastAsia="宋体" w:cs="宋体"/>
          <w:color w:val="auto"/>
          <w:szCs w:val="21"/>
          <w:highlight w:val="none"/>
        </w:rPr>
        <w:t>2.4.3 进度付款申请单的提交</w:t>
      </w:r>
    </w:p>
    <w:p w14:paraId="79C6FE4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0C49F27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1CA9AA2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（3）其他价格形式合同进度付款申请单提交的约定：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7953C5E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 进度款审核和支付</w:t>
      </w:r>
    </w:p>
    <w:p w14:paraId="2DE26257">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（1）监理人审查并报送发包人的期限：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7天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26309E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发包人完成审批并签发进度款支付证书的期限：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12.4.4（1）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662874B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（2）发包人支付进度款的期限：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6060AC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0C3BEE67">
      <w:pPr>
        <w:spacing w:line="360" w:lineRule="auto"/>
        <w:ind w:firstLine="525" w:firstLineChars="2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 支付分解表的编制</w:t>
      </w:r>
    </w:p>
    <w:p w14:paraId="63D0577D">
      <w:pPr>
        <w:spacing w:line="360" w:lineRule="auto"/>
        <w:ind w:left="4200" w:hanging="4200" w:hangingChars="20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2、总价合同支付分解表的编制与审批：</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6FD78C5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3、单价合同的总价项目支付分解表的编制与审批：</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468"/>
    <w:p w14:paraId="7990AE88">
      <w:pPr>
        <w:pStyle w:val="5"/>
        <w:rPr>
          <w:rFonts w:hint="eastAsia" w:ascii="宋体" w:hAnsi="宋体" w:eastAsia="宋体" w:cs="宋体"/>
          <w:b w:val="0"/>
          <w:color w:val="auto"/>
          <w:szCs w:val="21"/>
          <w:highlight w:val="none"/>
        </w:rPr>
      </w:pPr>
      <w:bookmarkStart w:id="1659" w:name="_Toc351203645"/>
      <w:bookmarkStart w:id="1660" w:name="_Toc304295593"/>
      <w:bookmarkStart w:id="1661" w:name="_Toc296347218"/>
      <w:bookmarkStart w:id="1662" w:name="_Toc296503219"/>
      <w:bookmarkStart w:id="1663" w:name="_Toc297216223"/>
      <w:bookmarkStart w:id="1664" w:name="_Toc292559929"/>
      <w:bookmarkStart w:id="1665" w:name="_Toc296891259"/>
      <w:bookmarkStart w:id="1666" w:name="_Toc297048405"/>
      <w:bookmarkStart w:id="1667" w:name="_Toc300935015"/>
      <w:bookmarkStart w:id="1668" w:name="_Toc297123564"/>
      <w:bookmarkStart w:id="1669" w:name="_Toc296944558"/>
      <w:bookmarkStart w:id="1670" w:name="_Toc292559424"/>
      <w:bookmarkStart w:id="1671" w:name="_Toc312678053"/>
      <w:bookmarkStart w:id="1672" w:name="_Toc297120519"/>
      <w:bookmarkStart w:id="1673" w:name="_Toc296891047"/>
      <w:bookmarkStart w:id="1674" w:name="_Toc296346720"/>
      <w:bookmarkStart w:id="1675" w:name="_Toc303539172"/>
      <w:r>
        <w:rPr>
          <w:rFonts w:hint="eastAsia" w:ascii="宋体" w:hAnsi="宋体" w:eastAsia="宋体" w:cs="宋体"/>
          <w:b w:val="0"/>
          <w:color w:val="auto"/>
          <w:szCs w:val="21"/>
          <w:highlight w:val="none"/>
        </w:rPr>
        <w:t>13. 验收和工程试车</w:t>
      </w:r>
      <w:bookmarkEnd w:id="1659"/>
    </w:p>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p w14:paraId="438B11F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分部分项工程验收</w:t>
      </w:r>
    </w:p>
    <w:p w14:paraId="179CB71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24</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小时提交书面延期要求。</w:t>
      </w:r>
    </w:p>
    <w:p w14:paraId="0C209CD9">
      <w:pPr>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48</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w:t>
      </w:r>
    </w:p>
    <w:p w14:paraId="639A07FF">
      <w:pPr>
        <w:spacing w:line="360" w:lineRule="auto"/>
        <w:ind w:firstLine="420" w:firstLineChars="200"/>
        <w:rPr>
          <w:rFonts w:hint="eastAsia" w:ascii="宋体" w:hAnsi="宋体" w:eastAsia="宋体" w:cs="宋体"/>
          <w:color w:val="auto"/>
          <w:szCs w:val="21"/>
          <w:highlight w:val="none"/>
        </w:rPr>
      </w:pPr>
      <w:bookmarkStart w:id="1676" w:name="_Toc292559933"/>
      <w:bookmarkStart w:id="1677" w:name="_Toc312678056"/>
      <w:bookmarkStart w:id="1678" w:name="_Toc304295596"/>
      <w:bookmarkStart w:id="1679" w:name="_Toc296944562"/>
      <w:bookmarkStart w:id="1680" w:name="_Toc297123565"/>
      <w:bookmarkStart w:id="1681" w:name="_Toc296346724"/>
      <w:bookmarkStart w:id="1682" w:name="_Toc297120523"/>
      <w:bookmarkStart w:id="1683" w:name="_Toc303539173"/>
      <w:bookmarkStart w:id="1684" w:name="_Toc297048409"/>
      <w:bookmarkStart w:id="1685" w:name="_Toc300935016"/>
      <w:bookmarkStart w:id="1686" w:name="_Toc296891051"/>
      <w:bookmarkStart w:id="1687" w:name="_Toc292559428"/>
      <w:bookmarkStart w:id="1688" w:name="_Toc297216224"/>
      <w:bookmarkStart w:id="1689" w:name="_Toc296347222"/>
      <w:bookmarkStart w:id="1690" w:name="_Toc296891263"/>
      <w:bookmarkStart w:id="1691" w:name="_Toc296503223"/>
      <w:bookmarkStart w:id="1692" w:name="_Toc267251473"/>
      <w:bookmarkStart w:id="1693" w:name="_Toc267251475"/>
      <w:bookmarkStart w:id="1694" w:name="_Toc267251476"/>
      <w:bookmarkStart w:id="1695" w:name="_Toc267251474"/>
      <w:bookmarkStart w:id="1696" w:name="_Toc267251472"/>
      <w:bookmarkStart w:id="1697" w:name="_Toc267251471"/>
      <w:bookmarkStart w:id="1698" w:name="_Toc267251470"/>
      <w:r>
        <w:rPr>
          <w:rFonts w:hint="eastAsia" w:ascii="宋体" w:hAnsi="宋体" w:eastAsia="宋体" w:cs="宋体"/>
          <w:color w:val="auto"/>
          <w:szCs w:val="21"/>
          <w:highlight w:val="none"/>
        </w:rPr>
        <w:t>13.2 竣工验收</w:t>
      </w:r>
    </w:p>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p w14:paraId="4C486C63">
      <w:pPr>
        <w:spacing w:line="360" w:lineRule="auto"/>
        <w:ind w:firstLine="420" w:firstLineChars="200"/>
        <w:jc w:val="left"/>
        <w:rPr>
          <w:rFonts w:hint="eastAsia" w:ascii="宋体" w:hAnsi="宋体" w:eastAsia="宋体" w:cs="宋体"/>
          <w:color w:val="auto"/>
          <w:szCs w:val="21"/>
          <w:highlight w:val="none"/>
        </w:rPr>
      </w:pPr>
      <w:bookmarkStart w:id="1699" w:name="_Toc280868704"/>
      <w:bookmarkStart w:id="1700" w:name="_Toc280868705"/>
      <w:bookmarkStart w:id="1701" w:name="_Toc280868706"/>
      <w:bookmarkStart w:id="1702" w:name="_Toc280868707"/>
      <w:bookmarkStart w:id="1703" w:name="_Toc280868708"/>
      <w:bookmarkStart w:id="1704" w:name="_Toc280868709"/>
      <w:r>
        <w:rPr>
          <w:rFonts w:hint="eastAsia" w:ascii="宋体" w:hAnsi="宋体" w:eastAsia="宋体" w:cs="宋体"/>
          <w:color w:val="auto"/>
          <w:szCs w:val="21"/>
          <w:highlight w:val="none"/>
        </w:rPr>
        <w:t>13.2.2竣工验收程序</w:t>
      </w:r>
    </w:p>
    <w:bookmarkEnd w:id="1699"/>
    <w:p w14:paraId="491F2A6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关于竣工验收程序的约定：</w:t>
      </w:r>
      <w:r>
        <w:rPr>
          <w:rFonts w:hint="eastAsia" w:ascii="宋体" w:hAnsi="宋体" w:eastAsia="宋体" w:cs="宋体"/>
          <w:color w:val="auto"/>
          <w:szCs w:val="21"/>
          <w:highlight w:val="none"/>
          <w:u w:val="single"/>
        </w:rPr>
        <w:t xml:space="preserve">   （1）承包人完成工程项目施工后，应当按照国家有关规定和合同约定向发包人提交竣工验收报告。 （2）发包人收到竣工验收报告后14天内组织竣工验收。 （3）验收合格的，发包人应在验收合格后7个工作日内向承包人签发工程接收证书。 （4）验收不合格的，发包人应当在验收后7个工作日内通知承包人，并指明在何处不符合要求，承包人应当在收到通知后14天内进行整改，并重新提交验收  </w:t>
      </w:r>
      <w:r>
        <w:rPr>
          <w:rFonts w:hint="eastAsia" w:ascii="宋体" w:hAnsi="宋体" w:eastAsia="宋体" w:cs="宋体"/>
          <w:color w:val="auto"/>
          <w:szCs w:val="21"/>
          <w:highlight w:val="none"/>
        </w:rPr>
        <w:t>。</w:t>
      </w:r>
    </w:p>
    <w:p w14:paraId="41042C4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发包人不按照本项约定组织竣工验收、颁发工程接收证书的违约金的计算方法：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700"/>
    <w:p w14:paraId="7718627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bookmarkEnd w:id="1701"/>
    <w:p w14:paraId="4ECD6928">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承包人向发包人移交工程的期限：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13.2.5</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67F0B320">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发包人未按本合同约定接收全部或部分工程的，违约金的计算方法为：</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702"/>
    <w:p w14:paraId="0EA64DE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承包人未按时移交工程的，违约金的计算方法为：</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5A88148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工程试车</w:t>
      </w:r>
    </w:p>
    <w:bookmarkEnd w:id="1703"/>
    <w:p w14:paraId="04DF7200">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13.3.1 试车程序</w:t>
      </w:r>
    </w:p>
    <w:p w14:paraId="3A81A13A">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工程试车内容：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FA01D7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（1）单机无负荷试车费用由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承担；</w:t>
      </w:r>
    </w:p>
    <w:p w14:paraId="64B96B5F">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（2）无负荷联动试车费用由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承担。</w:t>
      </w:r>
    </w:p>
    <w:p w14:paraId="173A4BB0">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13.3.3 投料试车</w:t>
      </w:r>
    </w:p>
    <w:p w14:paraId="223FFCA4">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关于投料试车相关事项的约定：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E2C6024">
      <w:pPr>
        <w:spacing w:line="360" w:lineRule="auto"/>
        <w:ind w:firstLine="420" w:firstLineChars="200"/>
        <w:outlineLvl w:val="0"/>
        <w:rPr>
          <w:rFonts w:hint="eastAsia" w:ascii="宋体" w:hAnsi="宋体" w:eastAsia="宋体" w:cs="宋体"/>
          <w:color w:val="auto"/>
          <w:szCs w:val="21"/>
          <w:highlight w:val="none"/>
        </w:rPr>
      </w:pPr>
      <w:bookmarkStart w:id="1705" w:name="_Toc106695217"/>
      <w:bookmarkStart w:id="1706" w:name="_Toc36136608"/>
      <w:bookmarkStart w:id="1707" w:name="_Toc500864501"/>
      <w:bookmarkStart w:id="1708" w:name="_Toc499891658"/>
      <w:bookmarkStart w:id="1709" w:name="_Toc500865891"/>
      <w:bookmarkStart w:id="1710" w:name="_Toc106695370"/>
      <w:bookmarkStart w:id="1711" w:name="_Toc5552"/>
      <w:bookmarkStart w:id="1712" w:name="_Toc27378069"/>
      <w:bookmarkStart w:id="1713" w:name="_Toc2525"/>
      <w:bookmarkStart w:id="1714" w:name="_Toc499892849"/>
      <w:r>
        <w:rPr>
          <w:rFonts w:hint="eastAsia" w:ascii="宋体" w:hAnsi="宋体" w:eastAsia="宋体" w:cs="宋体"/>
          <w:color w:val="auto"/>
          <w:szCs w:val="21"/>
          <w:highlight w:val="none"/>
        </w:rPr>
        <w:t>13.6 竣工退场</w:t>
      </w:r>
      <w:bookmarkEnd w:id="1705"/>
      <w:bookmarkEnd w:id="1706"/>
      <w:bookmarkEnd w:id="1707"/>
      <w:bookmarkEnd w:id="1708"/>
      <w:bookmarkEnd w:id="1709"/>
      <w:bookmarkEnd w:id="1710"/>
      <w:bookmarkEnd w:id="1711"/>
      <w:bookmarkEnd w:id="1712"/>
      <w:bookmarkEnd w:id="1713"/>
      <w:bookmarkEnd w:id="1714"/>
    </w:p>
    <w:p w14:paraId="3634A4A1">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13.6.1 竣工退场</w:t>
      </w:r>
    </w:p>
    <w:p w14:paraId="05514138">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承包人完成竣工退场的期限：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13.6.1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kern w:val="0"/>
          <w:szCs w:val="21"/>
          <w:highlight w:val="none"/>
        </w:rPr>
        <w:t>。</w:t>
      </w:r>
    </w:p>
    <w:p w14:paraId="33B54F85">
      <w:pPr>
        <w:pStyle w:val="5"/>
        <w:rPr>
          <w:rFonts w:hint="eastAsia" w:ascii="宋体" w:hAnsi="宋体" w:eastAsia="宋体" w:cs="宋体"/>
          <w:b w:val="0"/>
          <w:color w:val="auto"/>
          <w:szCs w:val="21"/>
          <w:highlight w:val="none"/>
        </w:rPr>
      </w:pPr>
      <w:bookmarkStart w:id="1715" w:name="_Toc351203646"/>
      <w:r>
        <w:rPr>
          <w:rFonts w:hint="eastAsia" w:ascii="宋体" w:hAnsi="宋体" w:eastAsia="宋体" w:cs="宋体"/>
          <w:b w:val="0"/>
          <w:color w:val="auto"/>
          <w:szCs w:val="21"/>
          <w:highlight w:val="none"/>
        </w:rPr>
        <w:t>14. 竣工结算</w:t>
      </w:r>
      <w:bookmarkEnd w:id="1715"/>
    </w:p>
    <w:p w14:paraId="044B208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竣工结算申请</w:t>
      </w:r>
    </w:p>
    <w:p w14:paraId="377D356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承包人提交竣工结算申请单的期限：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28天内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6ED13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竣工结算申请单应包括的内容：</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14.1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1F03B968">
      <w:pPr>
        <w:spacing w:line="360" w:lineRule="auto"/>
        <w:ind w:firstLine="420" w:firstLineChars="200"/>
        <w:outlineLvl w:val="0"/>
        <w:rPr>
          <w:rFonts w:hint="eastAsia" w:ascii="宋体" w:hAnsi="宋体" w:eastAsia="宋体" w:cs="宋体"/>
          <w:color w:val="auto"/>
          <w:szCs w:val="21"/>
          <w:highlight w:val="none"/>
        </w:rPr>
      </w:pPr>
      <w:bookmarkStart w:id="1716" w:name="_Toc500864502"/>
      <w:bookmarkStart w:id="1717" w:name="_Toc106695371"/>
      <w:bookmarkStart w:id="1718" w:name="_Toc36136609"/>
      <w:bookmarkStart w:id="1719" w:name="_Toc106695218"/>
      <w:bookmarkStart w:id="1720" w:name="_Toc499891659"/>
      <w:bookmarkStart w:id="1721" w:name="_Toc499892850"/>
      <w:bookmarkStart w:id="1722" w:name="_Toc27378070"/>
      <w:bookmarkStart w:id="1723" w:name="_Toc500865892"/>
      <w:bookmarkStart w:id="1724" w:name="_Toc28644"/>
      <w:bookmarkStart w:id="1725" w:name="_Toc8652"/>
      <w:r>
        <w:rPr>
          <w:rFonts w:hint="eastAsia" w:ascii="宋体" w:hAnsi="宋体" w:eastAsia="宋体" w:cs="宋体"/>
          <w:color w:val="auto"/>
          <w:szCs w:val="21"/>
          <w:highlight w:val="none"/>
        </w:rPr>
        <w:t>14.2 竣工结算审核</w:t>
      </w:r>
      <w:bookmarkEnd w:id="1716"/>
      <w:bookmarkEnd w:id="1717"/>
      <w:bookmarkEnd w:id="1718"/>
      <w:bookmarkEnd w:id="1719"/>
      <w:bookmarkEnd w:id="1720"/>
      <w:bookmarkEnd w:id="1721"/>
      <w:bookmarkEnd w:id="1722"/>
      <w:bookmarkEnd w:id="1723"/>
      <w:bookmarkEnd w:id="1724"/>
      <w:bookmarkEnd w:id="1725"/>
    </w:p>
    <w:p w14:paraId="07CCF87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3个月内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433634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E60679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关于竣工付款证书异议部分复核的方式和程序：</w:t>
      </w:r>
      <w:r>
        <w:rPr>
          <w:rFonts w:hint="eastAsia" w:ascii="宋体" w:hAnsi="宋体" w:eastAsia="宋体" w:cs="宋体"/>
          <w:color w:val="auto"/>
          <w:szCs w:val="21"/>
          <w:highlight w:val="none"/>
          <w:u w:val="single"/>
        </w:rPr>
        <w:t xml:space="preserve">按通用条款执行  </w:t>
      </w:r>
      <w:r>
        <w:rPr>
          <w:rFonts w:hint="eastAsia" w:ascii="宋体" w:hAnsi="宋体" w:eastAsia="宋体" w:cs="宋体"/>
          <w:color w:val="auto"/>
          <w:szCs w:val="21"/>
          <w:highlight w:val="none"/>
        </w:rPr>
        <w:t>。</w:t>
      </w:r>
    </w:p>
    <w:p w14:paraId="63FD0BA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 最终结清</w:t>
      </w:r>
    </w:p>
    <w:p w14:paraId="2E396F12">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14.4.1 最终结清申请单</w:t>
      </w:r>
    </w:p>
    <w:p w14:paraId="4B212762">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承包人提交最终结清申请单的份数：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二份</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4B241C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承包人提交最终结算申请单的期限：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14天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016AA7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 最终结清证书和支付</w:t>
      </w:r>
    </w:p>
    <w:p w14:paraId="5EC7051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 xml:space="preserve">  收到申请28天内 </w:t>
      </w:r>
      <w:r>
        <w:rPr>
          <w:rFonts w:hint="eastAsia" w:ascii="宋体" w:hAnsi="宋体" w:eastAsia="宋体" w:cs="宋体"/>
          <w:color w:val="auto"/>
          <w:szCs w:val="21"/>
          <w:highlight w:val="none"/>
        </w:rPr>
        <w:t>。</w:t>
      </w:r>
    </w:p>
    <w:p w14:paraId="0F0FB9A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 xml:space="preserve"> 收到监理报批申请14天内和专用合同条款12.4.1 </w:t>
      </w:r>
      <w:r>
        <w:rPr>
          <w:rFonts w:hint="eastAsia" w:ascii="宋体" w:hAnsi="宋体" w:eastAsia="宋体" w:cs="宋体"/>
          <w:color w:val="auto"/>
          <w:szCs w:val="21"/>
          <w:highlight w:val="none"/>
        </w:rPr>
        <w:t>。</w:t>
      </w:r>
    </w:p>
    <w:bookmarkEnd w:id="1692"/>
    <w:bookmarkEnd w:id="1693"/>
    <w:bookmarkEnd w:id="1694"/>
    <w:bookmarkEnd w:id="1695"/>
    <w:bookmarkEnd w:id="1696"/>
    <w:bookmarkEnd w:id="1697"/>
    <w:bookmarkEnd w:id="1698"/>
    <w:bookmarkEnd w:id="1704"/>
    <w:p w14:paraId="1FAFC704">
      <w:pPr>
        <w:pStyle w:val="5"/>
        <w:rPr>
          <w:rFonts w:hint="eastAsia" w:ascii="宋体" w:hAnsi="宋体" w:eastAsia="宋体" w:cs="宋体"/>
          <w:b w:val="0"/>
          <w:color w:val="auto"/>
          <w:szCs w:val="21"/>
          <w:highlight w:val="none"/>
        </w:rPr>
      </w:pPr>
      <w:bookmarkStart w:id="1726" w:name="_Toc351203647"/>
      <w:bookmarkStart w:id="1727" w:name="_Toc267251483"/>
      <w:bookmarkStart w:id="1728" w:name="_Toc267251482"/>
      <w:bookmarkStart w:id="1729" w:name="_Toc267251484"/>
      <w:bookmarkStart w:id="1730" w:name="_Toc267251485"/>
      <w:bookmarkStart w:id="1731" w:name="_Toc267251489"/>
      <w:bookmarkStart w:id="1732" w:name="_Toc267251486"/>
      <w:bookmarkStart w:id="1733" w:name="_Toc267251490"/>
      <w:bookmarkStart w:id="1734" w:name="_Toc267251488"/>
      <w:bookmarkStart w:id="1735" w:name="_Toc267251491"/>
      <w:bookmarkStart w:id="1736" w:name="_Toc267251502"/>
      <w:bookmarkStart w:id="1737" w:name="_Toc267251492"/>
      <w:bookmarkStart w:id="1738" w:name="_Toc267251499"/>
      <w:bookmarkStart w:id="1739" w:name="_Toc267251496"/>
      <w:bookmarkStart w:id="1740" w:name="_Toc267251498"/>
      <w:bookmarkStart w:id="1741" w:name="_Toc267251497"/>
      <w:bookmarkStart w:id="1742" w:name="_Toc267251501"/>
      <w:bookmarkStart w:id="1743" w:name="_Toc267251494"/>
      <w:bookmarkStart w:id="1744" w:name="_Toc267251503"/>
      <w:bookmarkStart w:id="1745" w:name="_Toc267251493"/>
      <w:bookmarkStart w:id="1746" w:name="_Toc267251495"/>
      <w:bookmarkStart w:id="1747" w:name="_Toc267251506"/>
      <w:bookmarkStart w:id="1748" w:name="_Toc267251504"/>
      <w:bookmarkStart w:id="1749" w:name="_Toc267251507"/>
      <w:bookmarkStart w:id="1750" w:name="_Toc267251508"/>
      <w:bookmarkStart w:id="1751" w:name="_Toc267251513"/>
      <w:bookmarkStart w:id="1752" w:name="_Toc267251510"/>
      <w:bookmarkStart w:id="1753" w:name="_Toc267251509"/>
      <w:bookmarkStart w:id="1754" w:name="_Toc267251514"/>
      <w:bookmarkStart w:id="1755" w:name="_Toc267251511"/>
      <w:bookmarkStart w:id="1756" w:name="_Toc267251515"/>
      <w:r>
        <w:rPr>
          <w:rFonts w:hint="eastAsia" w:ascii="宋体" w:hAnsi="宋体" w:eastAsia="宋体" w:cs="宋体"/>
          <w:b w:val="0"/>
          <w:color w:val="auto"/>
          <w:szCs w:val="21"/>
          <w:highlight w:val="none"/>
        </w:rPr>
        <w:t>15. 缺陷责任期与保修</w:t>
      </w:r>
      <w:bookmarkEnd w:id="1726"/>
    </w:p>
    <w:p w14:paraId="082CDAF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15.2缺陷责任期</w:t>
      </w:r>
      <w:bookmarkEnd w:id="1727"/>
    </w:p>
    <w:p w14:paraId="51B30EB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缺陷责任期的具体期限：</w:t>
      </w:r>
      <w:r>
        <w:rPr>
          <w:rFonts w:hint="eastAsia" w:ascii="宋体" w:hAnsi="宋体" w:eastAsia="宋体" w:cs="宋体"/>
          <w:color w:val="auto"/>
          <w:szCs w:val="21"/>
          <w:highlight w:val="none"/>
          <w:u w:val="single"/>
        </w:rPr>
        <w:t xml:space="preserve">   自工程竣工验收合格之日起</w:t>
      </w:r>
      <w:r>
        <w:rPr>
          <w:rFonts w:hint="eastAsia" w:ascii="宋体" w:hAnsi="宋体" w:eastAsia="宋体" w:cs="宋体"/>
          <w:color w:val="auto"/>
          <w:szCs w:val="21"/>
          <w:highlight w:val="none"/>
          <w:u w:val="single"/>
          <w:lang w:val="en-US" w:eastAsia="zh-CN"/>
        </w:rPr>
        <w:t>12</w:t>
      </w:r>
      <w:r>
        <w:rPr>
          <w:rFonts w:hint="eastAsia" w:ascii="宋体" w:hAnsi="宋体" w:eastAsia="宋体" w:cs="宋体"/>
          <w:color w:val="auto"/>
          <w:szCs w:val="21"/>
          <w:highlight w:val="none"/>
          <w:u w:val="single"/>
        </w:rPr>
        <w:t xml:space="preserve">个月   </w:t>
      </w:r>
      <w:r>
        <w:rPr>
          <w:rFonts w:hint="eastAsia" w:ascii="宋体" w:hAnsi="宋体" w:eastAsia="宋体" w:cs="宋体"/>
          <w:color w:val="auto"/>
          <w:szCs w:val="21"/>
          <w:highlight w:val="none"/>
        </w:rPr>
        <w:t>。</w:t>
      </w:r>
    </w:p>
    <w:p w14:paraId="772FA94E">
      <w:pPr>
        <w:spacing w:line="360" w:lineRule="auto"/>
        <w:ind w:firstLine="420" w:firstLineChars="200"/>
        <w:outlineLvl w:val="0"/>
        <w:rPr>
          <w:rFonts w:hint="eastAsia" w:ascii="宋体" w:hAnsi="宋体" w:eastAsia="宋体" w:cs="宋体"/>
          <w:color w:val="auto"/>
          <w:szCs w:val="21"/>
          <w:highlight w:val="none"/>
        </w:rPr>
      </w:pPr>
      <w:bookmarkStart w:id="1757" w:name="_Toc36136610"/>
      <w:bookmarkStart w:id="1758" w:name="_Toc27147"/>
      <w:bookmarkStart w:id="1759" w:name="_Toc499892851"/>
      <w:bookmarkStart w:id="1760" w:name="_Toc106695219"/>
      <w:bookmarkStart w:id="1761" w:name="_Toc499891660"/>
      <w:bookmarkStart w:id="1762" w:name="_Toc500865893"/>
      <w:bookmarkStart w:id="1763" w:name="_Toc106695372"/>
      <w:bookmarkStart w:id="1764" w:name="_Toc500864503"/>
      <w:bookmarkStart w:id="1765" w:name="_Toc27378071"/>
      <w:r>
        <w:rPr>
          <w:rFonts w:hint="eastAsia" w:ascii="宋体" w:hAnsi="宋体" w:eastAsia="宋体" w:cs="宋体"/>
          <w:color w:val="auto"/>
          <w:szCs w:val="21"/>
          <w:highlight w:val="none"/>
        </w:rPr>
        <w:t>15.3 质量保证金</w:t>
      </w:r>
      <w:bookmarkEnd w:id="1757"/>
      <w:bookmarkEnd w:id="1758"/>
      <w:bookmarkEnd w:id="1759"/>
      <w:bookmarkEnd w:id="1760"/>
      <w:bookmarkEnd w:id="1761"/>
      <w:bookmarkEnd w:id="1762"/>
      <w:bookmarkEnd w:id="1763"/>
      <w:bookmarkEnd w:id="1764"/>
      <w:bookmarkEnd w:id="1765"/>
    </w:p>
    <w:p w14:paraId="40E3EAC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扣留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。在工程项目竣工前，承包人按专用合同条款第3.7条提供履约担保的，发包人不得同时预留工程质量保证金。</w:t>
      </w:r>
    </w:p>
    <w:p w14:paraId="6AE4DEB7">
      <w:pPr>
        <w:spacing w:line="360" w:lineRule="auto"/>
        <w:ind w:firstLine="420" w:firstLineChars="200"/>
        <w:jc w:val="left"/>
        <w:outlineLvl w:val="0"/>
        <w:rPr>
          <w:rFonts w:hint="eastAsia" w:ascii="宋体" w:hAnsi="宋体" w:eastAsia="宋体" w:cs="宋体"/>
          <w:color w:val="auto"/>
          <w:szCs w:val="21"/>
          <w:highlight w:val="none"/>
        </w:rPr>
      </w:pPr>
      <w:bookmarkStart w:id="1766" w:name="_Toc10363"/>
      <w:bookmarkStart w:id="1767" w:name="_Toc499891661"/>
      <w:bookmarkStart w:id="1768" w:name="_Toc106695373"/>
      <w:bookmarkStart w:id="1769" w:name="_Toc500864504"/>
      <w:bookmarkStart w:id="1770" w:name="_Toc36136611"/>
      <w:bookmarkStart w:id="1771" w:name="_Toc500865894"/>
      <w:bookmarkStart w:id="1772" w:name="_Toc27378072"/>
      <w:bookmarkStart w:id="1773" w:name="_Toc499892852"/>
      <w:bookmarkStart w:id="1774" w:name="_Toc106695220"/>
      <w:bookmarkStart w:id="1775" w:name="_Toc21649"/>
      <w:r>
        <w:rPr>
          <w:rFonts w:hint="eastAsia" w:ascii="宋体" w:hAnsi="宋体" w:eastAsia="宋体" w:cs="宋体"/>
          <w:color w:val="auto"/>
          <w:szCs w:val="21"/>
          <w:highlight w:val="none"/>
        </w:rPr>
        <w:t>15.3.1 承包人提供质量保证金的方式</w:t>
      </w:r>
      <w:bookmarkEnd w:id="1766"/>
      <w:bookmarkEnd w:id="1767"/>
      <w:bookmarkEnd w:id="1768"/>
      <w:bookmarkEnd w:id="1769"/>
      <w:bookmarkEnd w:id="1770"/>
      <w:bookmarkEnd w:id="1771"/>
      <w:bookmarkEnd w:id="1772"/>
      <w:bookmarkEnd w:id="1773"/>
      <w:bookmarkEnd w:id="1774"/>
      <w:bookmarkEnd w:id="1775"/>
    </w:p>
    <w:p w14:paraId="0DC2B00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6B850EFB">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（1）质量保证金保函，保证金额为：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0C87566F">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u w:val="single"/>
        </w:rPr>
        <w:t xml:space="preserve">  3    </w:t>
      </w:r>
      <w:r>
        <w:rPr>
          <w:rFonts w:hint="eastAsia" w:ascii="宋体" w:hAnsi="宋体" w:eastAsia="宋体" w:cs="宋体"/>
          <w:color w:val="auto"/>
          <w:kern w:val="0"/>
          <w:szCs w:val="21"/>
          <w:highlight w:val="none"/>
        </w:rPr>
        <w:t>%的工程款；</w:t>
      </w:r>
    </w:p>
    <w:p w14:paraId="61D3E65C">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（3）其他方式: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19C21C1C">
      <w:pPr>
        <w:spacing w:line="360" w:lineRule="auto"/>
        <w:ind w:firstLine="420" w:firstLineChars="200"/>
        <w:jc w:val="left"/>
        <w:outlineLvl w:val="0"/>
        <w:rPr>
          <w:rFonts w:hint="eastAsia" w:ascii="宋体" w:hAnsi="宋体" w:eastAsia="宋体" w:cs="宋体"/>
          <w:color w:val="auto"/>
          <w:szCs w:val="21"/>
          <w:highlight w:val="none"/>
        </w:rPr>
      </w:pPr>
      <w:bookmarkStart w:id="1776" w:name="_Toc106695374"/>
      <w:bookmarkStart w:id="1777" w:name="_Toc27378073"/>
      <w:bookmarkStart w:id="1778" w:name="_Toc32362"/>
      <w:bookmarkStart w:id="1779" w:name="_Toc12537"/>
      <w:bookmarkStart w:id="1780" w:name="_Toc499892853"/>
      <w:bookmarkStart w:id="1781" w:name="_Toc499891662"/>
      <w:bookmarkStart w:id="1782" w:name="_Toc36136612"/>
      <w:bookmarkStart w:id="1783" w:name="_Toc106695221"/>
      <w:bookmarkStart w:id="1784" w:name="_Toc500864505"/>
      <w:bookmarkStart w:id="1785" w:name="_Toc500865895"/>
      <w:r>
        <w:rPr>
          <w:rFonts w:hint="eastAsia" w:ascii="宋体" w:hAnsi="宋体" w:eastAsia="宋体" w:cs="宋体"/>
          <w:color w:val="auto"/>
          <w:szCs w:val="21"/>
          <w:highlight w:val="none"/>
        </w:rPr>
        <w:t>15.3.2 质量保证金的扣留</w:t>
      </w:r>
      <w:bookmarkEnd w:id="1776"/>
      <w:bookmarkEnd w:id="1777"/>
      <w:bookmarkEnd w:id="1778"/>
      <w:bookmarkEnd w:id="1779"/>
      <w:bookmarkEnd w:id="1780"/>
      <w:bookmarkEnd w:id="1781"/>
      <w:bookmarkEnd w:id="1782"/>
      <w:bookmarkEnd w:id="1783"/>
      <w:bookmarkEnd w:id="1784"/>
      <w:bookmarkEnd w:id="1785"/>
      <w:r>
        <w:rPr>
          <w:rFonts w:hint="eastAsia" w:ascii="宋体" w:hAnsi="宋体" w:eastAsia="宋体" w:cs="宋体"/>
          <w:color w:val="auto"/>
          <w:szCs w:val="21"/>
          <w:highlight w:val="none"/>
        </w:rPr>
        <w:t xml:space="preserve"> </w:t>
      </w:r>
    </w:p>
    <w:p w14:paraId="751A088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2FC92E20">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（1）在支付工程进度款时逐次扣留，在此情形下，质量保证金的计算基数不包括预付款的支付、扣回以及价格调整的金额；</w:t>
      </w:r>
    </w:p>
    <w:p w14:paraId="0837F0B9">
      <w:pPr>
        <w:autoSpaceDE w:val="0"/>
        <w:autoSpaceDN w:val="0"/>
        <w:adjustRightInd w:val="0"/>
        <w:spacing w:line="360" w:lineRule="auto"/>
        <w:ind w:firstLine="420" w:firstLineChars="200"/>
        <w:jc w:val="left"/>
        <w:outlineLvl w:val="0"/>
        <w:rPr>
          <w:rFonts w:hint="eastAsia" w:ascii="宋体" w:hAnsi="宋体" w:eastAsia="宋体" w:cs="宋体"/>
          <w:color w:val="auto"/>
          <w:kern w:val="0"/>
          <w:szCs w:val="21"/>
          <w:highlight w:val="none"/>
        </w:rPr>
      </w:pPr>
      <w:bookmarkStart w:id="1786" w:name="_Toc500864506"/>
      <w:bookmarkStart w:id="1787" w:name="_Toc106695375"/>
      <w:bookmarkStart w:id="1788" w:name="_Toc4870"/>
      <w:bookmarkStart w:id="1789" w:name="_Toc106695222"/>
      <w:bookmarkStart w:id="1790" w:name="_Toc36136613"/>
      <w:bookmarkStart w:id="1791" w:name="_Toc27378074"/>
      <w:bookmarkStart w:id="1792" w:name="_Toc499892854"/>
      <w:bookmarkStart w:id="1793" w:name="_Toc500865896"/>
      <w:bookmarkStart w:id="1794" w:name="_Toc1175"/>
      <w:bookmarkStart w:id="1795" w:name="_Toc499891663"/>
      <w:r>
        <w:rPr>
          <w:rFonts w:hint="eastAsia" w:ascii="宋体" w:hAnsi="宋体" w:eastAsia="宋体" w:cs="宋体"/>
          <w:color w:val="auto"/>
          <w:kern w:val="0"/>
          <w:szCs w:val="21"/>
          <w:highlight w:val="none"/>
        </w:rPr>
        <w:t>（2）工程竣工结算时一次性扣留质量保证金；</w:t>
      </w:r>
      <w:bookmarkEnd w:id="1786"/>
      <w:bookmarkEnd w:id="1787"/>
      <w:bookmarkEnd w:id="1788"/>
      <w:bookmarkEnd w:id="1789"/>
      <w:bookmarkEnd w:id="1790"/>
      <w:bookmarkEnd w:id="1791"/>
      <w:bookmarkEnd w:id="1792"/>
      <w:bookmarkEnd w:id="1793"/>
      <w:bookmarkEnd w:id="1794"/>
      <w:bookmarkEnd w:id="1795"/>
    </w:p>
    <w:p w14:paraId="6AD2C4E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（3）其他扣留方式: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7164742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关于质量保证金的补充约定：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bookmarkEnd w:id="1728"/>
    <w:bookmarkEnd w:id="1729"/>
    <w:p w14:paraId="52D850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15.4保修</w:t>
      </w:r>
    </w:p>
    <w:bookmarkEnd w:id="1730"/>
    <w:p w14:paraId="68A22470">
      <w:pPr>
        <w:spacing w:line="360" w:lineRule="auto"/>
        <w:ind w:firstLine="409" w:firstLineChars="19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 保修责任</w:t>
      </w:r>
    </w:p>
    <w:p w14:paraId="188C92E3">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工程保修期为：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B9E9801">
      <w:pPr>
        <w:spacing w:line="360" w:lineRule="auto"/>
        <w:ind w:firstLine="409" w:firstLineChars="19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 修复通知</w:t>
      </w:r>
    </w:p>
    <w:p w14:paraId="378CF84A">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承包人收到保修通知并到达工程现场的合理时间：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48小时</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bookmarkEnd w:id="1731"/>
    <w:bookmarkEnd w:id="1732"/>
    <w:bookmarkEnd w:id="1733"/>
    <w:bookmarkEnd w:id="1734"/>
    <w:p w14:paraId="3E4EB98E">
      <w:pPr>
        <w:pStyle w:val="5"/>
        <w:rPr>
          <w:rFonts w:hint="eastAsia" w:ascii="宋体" w:hAnsi="宋体" w:eastAsia="宋体" w:cs="宋体"/>
          <w:b w:val="0"/>
          <w:color w:val="auto"/>
          <w:szCs w:val="21"/>
          <w:highlight w:val="none"/>
        </w:rPr>
      </w:pPr>
      <w:bookmarkStart w:id="1796" w:name="_Toc351203648"/>
      <w:bookmarkStart w:id="1797" w:name="_Toc280868717"/>
      <w:bookmarkStart w:id="1798" w:name="_Toc280868718"/>
      <w:r>
        <w:rPr>
          <w:rFonts w:hint="eastAsia" w:ascii="宋体" w:hAnsi="宋体" w:eastAsia="宋体" w:cs="宋体"/>
          <w:b w:val="0"/>
          <w:color w:val="auto"/>
          <w:szCs w:val="21"/>
          <w:highlight w:val="none"/>
        </w:rPr>
        <w:t>16. 违约</w:t>
      </w:r>
      <w:bookmarkEnd w:id="1796"/>
    </w:p>
    <w:p w14:paraId="48540F75">
      <w:pPr>
        <w:spacing w:line="360" w:lineRule="auto"/>
        <w:ind w:firstLine="420" w:firstLineChars="200"/>
        <w:outlineLvl w:val="0"/>
        <w:rPr>
          <w:rFonts w:hint="eastAsia" w:ascii="宋体" w:hAnsi="宋体" w:eastAsia="宋体" w:cs="宋体"/>
          <w:color w:val="auto"/>
          <w:szCs w:val="21"/>
          <w:highlight w:val="none"/>
        </w:rPr>
      </w:pPr>
      <w:bookmarkStart w:id="1799" w:name="_Toc500864507"/>
      <w:bookmarkStart w:id="1800" w:name="_Toc36136614"/>
      <w:bookmarkStart w:id="1801" w:name="_Toc499891664"/>
      <w:bookmarkStart w:id="1802" w:name="_Toc499892855"/>
      <w:bookmarkStart w:id="1803" w:name="_Toc27378075"/>
      <w:bookmarkStart w:id="1804" w:name="_Toc106695376"/>
      <w:bookmarkStart w:id="1805" w:name="_Toc8912"/>
      <w:bookmarkStart w:id="1806" w:name="_Toc25985"/>
      <w:bookmarkStart w:id="1807" w:name="_Toc500865897"/>
      <w:bookmarkStart w:id="1808" w:name="_Toc106695223"/>
      <w:r>
        <w:rPr>
          <w:rFonts w:hint="eastAsia" w:ascii="宋体" w:hAnsi="宋体" w:eastAsia="宋体" w:cs="宋体"/>
          <w:color w:val="auto"/>
          <w:szCs w:val="21"/>
          <w:highlight w:val="none"/>
        </w:rPr>
        <w:t>16.1 发包人违约</w:t>
      </w:r>
      <w:bookmarkEnd w:id="1799"/>
      <w:bookmarkEnd w:id="1800"/>
      <w:bookmarkEnd w:id="1801"/>
      <w:bookmarkEnd w:id="1802"/>
      <w:bookmarkEnd w:id="1803"/>
      <w:bookmarkEnd w:id="1804"/>
      <w:bookmarkEnd w:id="1805"/>
      <w:bookmarkEnd w:id="1806"/>
      <w:bookmarkEnd w:id="1807"/>
      <w:bookmarkEnd w:id="1808"/>
    </w:p>
    <w:p w14:paraId="1AC6E92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14:paraId="2D1D4D44">
      <w:pPr>
        <w:spacing w:line="360" w:lineRule="auto"/>
        <w:ind w:left="1050" w:hanging="1050" w:hangingChars="5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发包人违约的其他情形：</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4064DBFA">
      <w:pPr>
        <w:spacing w:line="360" w:lineRule="auto"/>
        <w:ind w:left="1050" w:hanging="1050" w:hangingChars="5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16.1.2 发包人违约的责任</w:t>
      </w:r>
    </w:p>
    <w:p w14:paraId="52A4A9E2">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发包人违约责任的承担方式和计算方法：</w:t>
      </w:r>
    </w:p>
    <w:p w14:paraId="01CDEF39">
      <w:pPr>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（1）因发包人原因未能在计划开工日期前7天内下达开工通知的违约责任：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rPr>
        <w:t>。</w:t>
      </w:r>
    </w:p>
    <w:p w14:paraId="59608C77">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（2）因发包人原因未能按合同约定支付合同价款的违约责任：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76F2354">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（3）发包人违反第10.1款〔变更的范围〕第（2）项约定，自行实施被取消的工作或转由他人实施的违约责任：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E9BCA9A">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731C5FF1">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（5）因发包人违反合同约定造成暂停施工的违约责任：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06EB58E7">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（6）发包人无正当理由没有在约定期限内发出复工指示，导致承包人无法复工的违约责任：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3194503D">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（7）其他：</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41CFCE5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因发包人违约解除合同</w:t>
      </w:r>
    </w:p>
    <w:p w14:paraId="3191513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承包人按16.1.1项〔发包人违约的情形〕约定暂停施工满</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天后发包人仍不纠正其违约行为并致使合同目的不能实现的，承包人有权解除合同。</w:t>
      </w:r>
    </w:p>
    <w:p w14:paraId="3678E59F">
      <w:pPr>
        <w:spacing w:line="360" w:lineRule="auto"/>
        <w:ind w:firstLine="420" w:firstLineChars="200"/>
        <w:outlineLvl w:val="0"/>
        <w:rPr>
          <w:rFonts w:hint="eastAsia" w:ascii="宋体" w:hAnsi="宋体" w:eastAsia="宋体" w:cs="宋体"/>
          <w:color w:val="auto"/>
          <w:szCs w:val="21"/>
          <w:highlight w:val="none"/>
        </w:rPr>
      </w:pPr>
      <w:bookmarkStart w:id="1809" w:name="_Toc500865898"/>
      <w:bookmarkStart w:id="1810" w:name="_Toc499892856"/>
      <w:bookmarkStart w:id="1811" w:name="_Toc10461"/>
      <w:bookmarkStart w:id="1812" w:name="_Toc500864508"/>
      <w:bookmarkStart w:id="1813" w:name="_Toc27378076"/>
      <w:bookmarkStart w:id="1814" w:name="_Toc106695377"/>
      <w:bookmarkStart w:id="1815" w:name="_Toc106695224"/>
      <w:bookmarkStart w:id="1816" w:name="_Toc36136615"/>
      <w:bookmarkStart w:id="1817" w:name="_Toc499891665"/>
      <w:bookmarkStart w:id="1818" w:name="_Toc7124"/>
      <w:r>
        <w:rPr>
          <w:rFonts w:hint="eastAsia" w:ascii="宋体" w:hAnsi="宋体" w:eastAsia="宋体" w:cs="宋体"/>
          <w:color w:val="auto"/>
          <w:szCs w:val="21"/>
          <w:highlight w:val="none"/>
        </w:rPr>
        <w:t>16.2 承包人违约</w:t>
      </w:r>
      <w:bookmarkEnd w:id="1809"/>
      <w:bookmarkEnd w:id="1810"/>
      <w:bookmarkEnd w:id="1811"/>
      <w:bookmarkEnd w:id="1812"/>
      <w:bookmarkEnd w:id="1813"/>
      <w:bookmarkEnd w:id="1814"/>
      <w:bookmarkEnd w:id="1815"/>
      <w:bookmarkEnd w:id="1816"/>
      <w:bookmarkEnd w:id="1817"/>
      <w:bookmarkEnd w:id="1818"/>
    </w:p>
    <w:p w14:paraId="4C20DB0C">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16.2.1 承包人违约的情形</w:t>
      </w:r>
    </w:p>
    <w:p w14:paraId="40C2F3C1">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承包人违约的其他情形：</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按通用条款16.2.1条执行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ED00E3E">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16.2.2承包人违约的责任</w:t>
      </w:r>
    </w:p>
    <w:p w14:paraId="77BCE466">
      <w:pPr>
        <w:spacing w:line="360" w:lineRule="auto"/>
        <w:ind w:left="1050" w:hanging="1050" w:hangingChars="5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承包人违约责任的承担方式和计算方法：</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 xml:space="preserve">    </w:t>
      </w:r>
    </w:p>
    <w:p w14:paraId="68A682B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 因承包人违约解除合同</w:t>
      </w:r>
    </w:p>
    <w:p w14:paraId="730001D3">
      <w:pP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关于承包人违约解除合同的特别约定：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按通用条款16.2.</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条执行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7A8AAE9E">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151D369">
      <w:pPr>
        <w:pStyle w:val="5"/>
        <w:rPr>
          <w:rFonts w:hint="eastAsia" w:ascii="宋体" w:hAnsi="宋体" w:eastAsia="宋体" w:cs="宋体"/>
          <w:b w:val="0"/>
          <w:color w:val="auto"/>
          <w:szCs w:val="21"/>
          <w:highlight w:val="none"/>
        </w:rPr>
      </w:pPr>
      <w:bookmarkStart w:id="1819" w:name="_Toc351203649"/>
      <w:r>
        <w:rPr>
          <w:rFonts w:hint="eastAsia" w:ascii="宋体" w:hAnsi="宋体" w:eastAsia="宋体" w:cs="宋体"/>
          <w:b w:val="0"/>
          <w:color w:val="auto"/>
          <w:szCs w:val="21"/>
          <w:highlight w:val="none"/>
        </w:rPr>
        <w:t>17. 不可抗力</w:t>
      </w:r>
      <w:bookmarkEnd w:id="1819"/>
      <w:r>
        <w:rPr>
          <w:rFonts w:hint="eastAsia" w:ascii="宋体" w:hAnsi="宋体" w:eastAsia="宋体" w:cs="宋体"/>
          <w:b w:val="0"/>
          <w:color w:val="auto"/>
          <w:szCs w:val="21"/>
          <w:highlight w:val="none"/>
        </w:rPr>
        <w:t xml:space="preserve"> </w:t>
      </w:r>
      <w:bookmarkEnd w:id="1797"/>
    </w:p>
    <w:p w14:paraId="66BB548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不可抗力的确认</w:t>
      </w:r>
    </w:p>
    <w:p w14:paraId="5C5EF8B5">
      <w:pPr>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 xml:space="preserve">除通用合同条款约定的不可抗力事件之外，视为不可抗力的其他情形：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410D58A2">
      <w:pPr>
        <w:spacing w:line="360" w:lineRule="auto"/>
        <w:ind w:firstLine="420" w:firstLineChars="200"/>
        <w:outlineLvl w:val="0"/>
        <w:rPr>
          <w:rFonts w:hint="eastAsia" w:ascii="宋体" w:hAnsi="宋体" w:eastAsia="宋体" w:cs="宋体"/>
          <w:color w:val="auto"/>
          <w:szCs w:val="21"/>
          <w:highlight w:val="none"/>
        </w:rPr>
      </w:pPr>
      <w:bookmarkStart w:id="1820" w:name="_Toc500864509"/>
      <w:bookmarkStart w:id="1821" w:name="_Toc84"/>
      <w:bookmarkStart w:id="1822" w:name="_Toc500865899"/>
      <w:bookmarkStart w:id="1823" w:name="_Toc17391"/>
      <w:bookmarkStart w:id="1824" w:name="_Toc36136616"/>
      <w:bookmarkStart w:id="1825" w:name="_Toc499891666"/>
      <w:bookmarkStart w:id="1826" w:name="_Toc106695378"/>
      <w:bookmarkStart w:id="1827" w:name="_Toc27378077"/>
      <w:bookmarkStart w:id="1828" w:name="_Toc106695225"/>
      <w:bookmarkStart w:id="1829" w:name="_Toc499892857"/>
      <w:r>
        <w:rPr>
          <w:rFonts w:hint="eastAsia" w:ascii="宋体" w:hAnsi="宋体" w:eastAsia="宋体" w:cs="宋体"/>
          <w:color w:val="auto"/>
          <w:szCs w:val="21"/>
          <w:highlight w:val="none"/>
        </w:rPr>
        <w:t>17.4 因不可抗力解除合同</w:t>
      </w:r>
      <w:bookmarkEnd w:id="1820"/>
      <w:bookmarkEnd w:id="1821"/>
      <w:bookmarkEnd w:id="1822"/>
      <w:bookmarkEnd w:id="1823"/>
      <w:bookmarkEnd w:id="1824"/>
      <w:bookmarkEnd w:id="1825"/>
      <w:bookmarkEnd w:id="1826"/>
      <w:bookmarkEnd w:id="1827"/>
      <w:bookmarkEnd w:id="1828"/>
      <w:bookmarkEnd w:id="1829"/>
    </w:p>
    <w:p w14:paraId="2F24E50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天内完成款项的支付。</w:t>
      </w:r>
    </w:p>
    <w:p w14:paraId="66553D25">
      <w:pPr>
        <w:pStyle w:val="5"/>
        <w:rPr>
          <w:rFonts w:hint="eastAsia" w:ascii="宋体" w:hAnsi="宋体" w:eastAsia="宋体" w:cs="宋体"/>
          <w:b w:val="0"/>
          <w:color w:val="auto"/>
          <w:szCs w:val="21"/>
          <w:highlight w:val="none"/>
        </w:rPr>
      </w:pPr>
      <w:bookmarkStart w:id="1830" w:name="_Toc351203650"/>
      <w:r>
        <w:rPr>
          <w:rFonts w:hint="eastAsia" w:ascii="宋体" w:hAnsi="宋体" w:eastAsia="宋体" w:cs="宋体"/>
          <w:b w:val="0"/>
          <w:color w:val="auto"/>
          <w:szCs w:val="21"/>
          <w:highlight w:val="none"/>
        </w:rPr>
        <w:t>18. 保险</w:t>
      </w:r>
      <w:bookmarkEnd w:id="1830"/>
    </w:p>
    <w:bookmarkEnd w:id="1798"/>
    <w:p w14:paraId="6A0A151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工程保险</w:t>
      </w:r>
    </w:p>
    <w:p w14:paraId="78AB662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30DA69A1">
      <w:pPr>
        <w:spacing w:line="360" w:lineRule="auto"/>
        <w:ind w:firstLine="420" w:firstLineChars="200"/>
        <w:outlineLvl w:val="0"/>
        <w:rPr>
          <w:rFonts w:hint="eastAsia" w:ascii="宋体" w:hAnsi="宋体" w:eastAsia="宋体" w:cs="宋体"/>
          <w:color w:val="auto"/>
          <w:szCs w:val="21"/>
          <w:highlight w:val="none"/>
        </w:rPr>
      </w:pPr>
      <w:bookmarkStart w:id="1831" w:name="_Toc106695226"/>
      <w:bookmarkStart w:id="1832" w:name="_Toc36136617"/>
      <w:bookmarkStart w:id="1833" w:name="_Toc27378078"/>
      <w:bookmarkStart w:id="1834" w:name="_Toc10139"/>
      <w:bookmarkStart w:id="1835" w:name="_Toc500865900"/>
      <w:bookmarkStart w:id="1836" w:name="_Toc499891667"/>
      <w:bookmarkStart w:id="1837" w:name="_Toc106695379"/>
      <w:bookmarkStart w:id="1838" w:name="_Toc24440"/>
      <w:bookmarkStart w:id="1839" w:name="_Toc500864510"/>
      <w:bookmarkStart w:id="1840" w:name="_Toc499892858"/>
      <w:r>
        <w:rPr>
          <w:rFonts w:hint="eastAsia" w:ascii="宋体" w:hAnsi="宋体" w:eastAsia="宋体" w:cs="宋体"/>
          <w:color w:val="auto"/>
          <w:szCs w:val="21"/>
          <w:highlight w:val="none"/>
        </w:rPr>
        <w:t>18.3 其他保险</w:t>
      </w:r>
      <w:bookmarkEnd w:id="1831"/>
      <w:bookmarkEnd w:id="1832"/>
      <w:bookmarkEnd w:id="1833"/>
      <w:bookmarkEnd w:id="1834"/>
      <w:bookmarkEnd w:id="1835"/>
      <w:bookmarkEnd w:id="1836"/>
      <w:bookmarkEnd w:id="1837"/>
      <w:bookmarkEnd w:id="1838"/>
      <w:bookmarkEnd w:id="1839"/>
      <w:bookmarkEnd w:id="1840"/>
    </w:p>
    <w:p w14:paraId="1F5A16E5">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关于其他保险的约定：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18DEB637">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承包人是否应为其施工设备等办理财产保险：</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0BFA7CE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 通知义务</w:t>
      </w:r>
    </w:p>
    <w:p w14:paraId="1A6E6C9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关于变更保险合同时的通知义务的约定：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735"/>
    <w:bookmarkEnd w:id="1736"/>
    <w:bookmarkEnd w:id="1737"/>
    <w:bookmarkEnd w:id="1738"/>
    <w:bookmarkEnd w:id="1739"/>
    <w:bookmarkEnd w:id="1740"/>
    <w:bookmarkEnd w:id="1741"/>
    <w:bookmarkEnd w:id="1742"/>
    <w:bookmarkEnd w:id="1743"/>
    <w:bookmarkEnd w:id="1744"/>
    <w:bookmarkEnd w:id="1745"/>
    <w:bookmarkEnd w:id="1746"/>
    <w:p w14:paraId="40635796">
      <w:pPr>
        <w:pStyle w:val="5"/>
        <w:rPr>
          <w:rFonts w:hint="eastAsia" w:ascii="宋体" w:hAnsi="宋体" w:eastAsia="宋体" w:cs="宋体"/>
          <w:b w:val="0"/>
          <w:color w:val="auto"/>
          <w:szCs w:val="21"/>
          <w:highlight w:val="none"/>
        </w:rPr>
      </w:pPr>
      <w:bookmarkStart w:id="1841" w:name="_Toc351203651"/>
      <w:r>
        <w:rPr>
          <w:rFonts w:hint="eastAsia" w:ascii="宋体" w:hAnsi="宋体" w:eastAsia="宋体" w:cs="宋体"/>
          <w:b w:val="0"/>
          <w:color w:val="auto"/>
          <w:szCs w:val="21"/>
          <w:highlight w:val="none"/>
        </w:rPr>
        <w:t>20. 争议解决</w:t>
      </w:r>
      <w:bookmarkEnd w:id="1841"/>
    </w:p>
    <w:bookmarkEnd w:id="1747"/>
    <w:bookmarkEnd w:id="1748"/>
    <w:p w14:paraId="0A06F3EB">
      <w:pPr>
        <w:spacing w:line="360" w:lineRule="auto"/>
        <w:ind w:firstLine="420" w:firstLineChars="200"/>
        <w:outlineLvl w:val="0"/>
        <w:rPr>
          <w:rFonts w:hint="eastAsia" w:ascii="宋体" w:hAnsi="宋体" w:eastAsia="宋体" w:cs="宋体"/>
          <w:color w:val="auto"/>
          <w:szCs w:val="21"/>
          <w:highlight w:val="none"/>
        </w:rPr>
      </w:pPr>
      <w:bookmarkStart w:id="1842" w:name="_Toc499891668"/>
      <w:bookmarkStart w:id="1843" w:name="_Toc26705"/>
      <w:bookmarkStart w:id="1844" w:name="_Toc499892859"/>
      <w:bookmarkStart w:id="1845" w:name="_Toc36136618"/>
      <w:bookmarkStart w:id="1846" w:name="_Toc500864511"/>
      <w:bookmarkStart w:id="1847" w:name="_Toc500865901"/>
      <w:bookmarkStart w:id="1848" w:name="_Toc106695380"/>
      <w:bookmarkStart w:id="1849" w:name="_Toc29408"/>
      <w:bookmarkStart w:id="1850" w:name="_Toc106695227"/>
      <w:bookmarkStart w:id="1851" w:name="_Toc27378079"/>
      <w:r>
        <w:rPr>
          <w:rFonts w:hint="eastAsia" w:ascii="宋体" w:hAnsi="宋体" w:eastAsia="宋体" w:cs="宋体"/>
          <w:color w:val="auto"/>
          <w:szCs w:val="21"/>
          <w:highlight w:val="none"/>
        </w:rPr>
        <w:t>20.3 争</w:t>
      </w:r>
      <w:bookmarkEnd w:id="1749"/>
      <w:r>
        <w:rPr>
          <w:rFonts w:hint="eastAsia" w:ascii="宋体" w:hAnsi="宋体" w:eastAsia="宋体" w:cs="宋体"/>
          <w:color w:val="auto"/>
          <w:szCs w:val="21"/>
          <w:highlight w:val="none"/>
        </w:rPr>
        <w:t>议评审</w:t>
      </w:r>
      <w:bookmarkEnd w:id="1842"/>
      <w:bookmarkEnd w:id="1843"/>
      <w:bookmarkEnd w:id="1844"/>
      <w:bookmarkEnd w:id="1845"/>
      <w:bookmarkEnd w:id="1846"/>
      <w:bookmarkEnd w:id="1847"/>
      <w:bookmarkEnd w:id="1848"/>
      <w:bookmarkEnd w:id="1849"/>
      <w:bookmarkEnd w:id="1850"/>
      <w:bookmarkEnd w:id="1851"/>
    </w:p>
    <w:p w14:paraId="5C791C3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合同当事人是否同意将工程争议提交争议评审小组决定：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 xml:space="preserve">。  </w:t>
      </w:r>
    </w:p>
    <w:p w14:paraId="5C05857B">
      <w:pPr>
        <w:spacing w:line="360" w:lineRule="auto"/>
        <w:ind w:firstLine="420" w:firstLineChars="200"/>
        <w:jc w:val="left"/>
        <w:outlineLvl w:val="0"/>
        <w:rPr>
          <w:rFonts w:hint="eastAsia" w:ascii="宋体" w:hAnsi="宋体" w:eastAsia="宋体" w:cs="宋体"/>
          <w:color w:val="auto"/>
          <w:szCs w:val="21"/>
          <w:highlight w:val="none"/>
        </w:rPr>
      </w:pPr>
      <w:bookmarkStart w:id="1852" w:name="_Toc27378080"/>
      <w:bookmarkStart w:id="1853" w:name="_Toc106695228"/>
      <w:bookmarkStart w:id="1854" w:name="_Toc36136619"/>
      <w:bookmarkStart w:id="1855" w:name="_Toc500864512"/>
      <w:bookmarkStart w:id="1856" w:name="_Toc500865902"/>
      <w:bookmarkStart w:id="1857" w:name="_Toc499891669"/>
      <w:bookmarkStart w:id="1858" w:name="_Toc499892860"/>
      <w:bookmarkStart w:id="1859" w:name="_Toc9196"/>
      <w:bookmarkStart w:id="1860" w:name="_Toc106695381"/>
      <w:bookmarkStart w:id="1861" w:name="_Toc16864"/>
      <w:r>
        <w:rPr>
          <w:rFonts w:hint="eastAsia" w:ascii="宋体" w:hAnsi="宋体" w:eastAsia="宋体" w:cs="宋体"/>
          <w:color w:val="auto"/>
          <w:szCs w:val="21"/>
          <w:highlight w:val="none"/>
        </w:rPr>
        <w:t>20.3.1 争议评审小组的确定</w:t>
      </w:r>
      <w:bookmarkEnd w:id="1852"/>
      <w:bookmarkEnd w:id="1853"/>
      <w:bookmarkEnd w:id="1854"/>
      <w:bookmarkEnd w:id="1855"/>
      <w:bookmarkEnd w:id="1856"/>
      <w:bookmarkEnd w:id="1857"/>
      <w:bookmarkEnd w:id="1858"/>
      <w:bookmarkEnd w:id="1859"/>
      <w:bookmarkEnd w:id="1860"/>
      <w:bookmarkEnd w:id="1861"/>
    </w:p>
    <w:p w14:paraId="27A53276">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争议评审小组成员的确定：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3FD9C07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6BA2481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A9363C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2FD65173">
      <w:pPr>
        <w:autoSpaceDE w:val="0"/>
        <w:autoSpaceDN w:val="0"/>
        <w:adjustRightInd w:val="0"/>
        <w:spacing w:line="360" w:lineRule="auto"/>
        <w:ind w:firstLine="420" w:firstLineChars="200"/>
        <w:jc w:val="left"/>
        <w:outlineLvl w:val="0"/>
        <w:rPr>
          <w:rFonts w:hint="eastAsia" w:ascii="宋体" w:hAnsi="宋体" w:eastAsia="宋体" w:cs="宋体"/>
          <w:color w:val="auto"/>
          <w:kern w:val="0"/>
          <w:szCs w:val="21"/>
          <w:highlight w:val="none"/>
        </w:rPr>
      </w:pPr>
      <w:bookmarkStart w:id="1862" w:name="_Toc36136620"/>
      <w:bookmarkStart w:id="1863" w:name="_Toc499891670"/>
      <w:bookmarkStart w:id="1864" w:name="_Toc499892861"/>
      <w:bookmarkStart w:id="1865" w:name="_Toc500864513"/>
      <w:bookmarkStart w:id="1866" w:name="_Toc9772"/>
      <w:bookmarkStart w:id="1867" w:name="_Toc106695382"/>
      <w:bookmarkStart w:id="1868" w:name="_Toc27378081"/>
      <w:bookmarkStart w:id="1869" w:name="_Toc106695229"/>
      <w:bookmarkStart w:id="1870" w:name="_Toc500865903"/>
      <w:bookmarkStart w:id="1871" w:name="_Toc29972"/>
      <w:r>
        <w:rPr>
          <w:rFonts w:hint="eastAsia" w:ascii="宋体" w:hAnsi="宋体" w:eastAsia="宋体" w:cs="宋体"/>
          <w:color w:val="auto"/>
          <w:kern w:val="0"/>
          <w:szCs w:val="21"/>
          <w:highlight w:val="none"/>
        </w:rPr>
        <w:t>20.3.2 争议评审小组的决定</w:t>
      </w:r>
      <w:bookmarkEnd w:id="1862"/>
      <w:bookmarkEnd w:id="1863"/>
      <w:bookmarkEnd w:id="1864"/>
      <w:bookmarkEnd w:id="1865"/>
      <w:bookmarkEnd w:id="1866"/>
      <w:bookmarkEnd w:id="1867"/>
      <w:bookmarkEnd w:id="1868"/>
      <w:bookmarkEnd w:id="1869"/>
      <w:bookmarkEnd w:id="1870"/>
      <w:bookmarkEnd w:id="1871"/>
    </w:p>
    <w:p w14:paraId="45ACD60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1135B252">
      <w:pPr>
        <w:spacing w:line="360" w:lineRule="auto"/>
        <w:ind w:firstLine="420" w:firstLineChars="200"/>
        <w:outlineLvl w:val="0"/>
        <w:rPr>
          <w:rFonts w:hint="eastAsia" w:ascii="宋体" w:hAnsi="宋体" w:eastAsia="宋体" w:cs="宋体"/>
          <w:color w:val="auto"/>
          <w:szCs w:val="21"/>
          <w:highlight w:val="none"/>
        </w:rPr>
      </w:pPr>
      <w:bookmarkStart w:id="1872" w:name="_Toc499892862"/>
      <w:bookmarkStart w:id="1873" w:name="_Toc499891671"/>
      <w:bookmarkStart w:id="1874" w:name="_Toc36136621"/>
      <w:bookmarkStart w:id="1875" w:name="_Toc32401"/>
      <w:bookmarkStart w:id="1876" w:name="_Toc500865904"/>
      <w:bookmarkStart w:id="1877" w:name="_Toc106695383"/>
      <w:bookmarkStart w:id="1878" w:name="_Toc27378082"/>
      <w:bookmarkStart w:id="1879" w:name="_Toc500864514"/>
      <w:bookmarkStart w:id="1880" w:name="_Toc15910"/>
      <w:bookmarkStart w:id="1881" w:name="_Toc106695230"/>
      <w:r>
        <w:rPr>
          <w:rFonts w:hint="eastAsia" w:ascii="宋体" w:hAnsi="宋体" w:eastAsia="宋体" w:cs="宋体"/>
          <w:color w:val="auto"/>
          <w:szCs w:val="21"/>
          <w:highlight w:val="none"/>
        </w:rPr>
        <w:t>20.4仲裁或诉讼</w:t>
      </w:r>
      <w:bookmarkEnd w:id="1750"/>
      <w:bookmarkEnd w:id="1872"/>
      <w:bookmarkEnd w:id="1873"/>
      <w:bookmarkEnd w:id="1874"/>
      <w:bookmarkEnd w:id="1875"/>
      <w:bookmarkEnd w:id="1876"/>
      <w:bookmarkEnd w:id="1877"/>
      <w:bookmarkEnd w:id="1878"/>
      <w:bookmarkEnd w:id="1879"/>
      <w:bookmarkEnd w:id="1880"/>
      <w:bookmarkEnd w:id="1881"/>
    </w:p>
    <w:p w14:paraId="3668DB2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2271BCB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1"/>
          <w:szCs w:val="21"/>
          <w:highlight w:val="none"/>
          <w:u w:val="single"/>
        </w:rPr>
        <w:t>项目所在地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02222C3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1"/>
          <w:szCs w:val="21"/>
          <w:highlight w:val="none"/>
          <w:u w:val="single"/>
        </w:rPr>
        <w:t>项目所在地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人民法院起诉。</w:t>
      </w:r>
      <w:bookmarkEnd w:id="1751"/>
      <w:bookmarkEnd w:id="1752"/>
      <w:bookmarkEnd w:id="1753"/>
      <w:bookmarkEnd w:id="1754"/>
      <w:bookmarkEnd w:id="1755"/>
      <w:bookmarkEnd w:id="1756"/>
    </w:p>
    <w:p w14:paraId="2592A8B7">
      <w:pPr>
        <w:spacing w:line="360" w:lineRule="auto"/>
        <w:jc w:val="left"/>
        <w:rPr>
          <w:rFonts w:hint="eastAsia" w:ascii="宋体" w:hAnsi="宋体" w:eastAsia="宋体" w:cs="宋体"/>
          <w:b/>
          <w:color w:val="auto"/>
          <w:szCs w:val="21"/>
          <w:highlight w:val="none"/>
        </w:rPr>
      </w:pPr>
    </w:p>
    <w:p w14:paraId="2E2097B2">
      <w:pPr>
        <w:spacing w:line="360" w:lineRule="auto"/>
        <w:jc w:val="left"/>
        <w:rPr>
          <w:rFonts w:hint="eastAsia" w:ascii="宋体" w:hAnsi="宋体" w:eastAsia="宋体" w:cs="宋体"/>
          <w:b/>
          <w:color w:val="auto"/>
          <w:szCs w:val="21"/>
          <w:highlight w:val="none"/>
        </w:rPr>
      </w:pPr>
    </w:p>
    <w:p w14:paraId="794A1088">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附件</w:t>
      </w:r>
    </w:p>
    <w:p w14:paraId="47D969D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协议书附件：</w:t>
      </w:r>
    </w:p>
    <w:p w14:paraId="11A5A417">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附件1：承包人承揽工程项目一览表</w:t>
      </w:r>
    </w:p>
    <w:p w14:paraId="49D360C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专用合同条款附件：</w:t>
      </w:r>
    </w:p>
    <w:p w14:paraId="35FD057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附件2：发包人供应材料设备一览表</w:t>
      </w:r>
    </w:p>
    <w:p w14:paraId="0984AD6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附件3：工程质量保修书</w:t>
      </w:r>
    </w:p>
    <w:p w14:paraId="038F0BB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附件4：主要建设工程文件目录</w:t>
      </w:r>
    </w:p>
    <w:p w14:paraId="773E0E4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附件5：承包人用于本工程施工的机械设备表</w:t>
      </w:r>
    </w:p>
    <w:p w14:paraId="59ADE39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附件6：承包人主要施工管理人员表</w:t>
      </w:r>
    </w:p>
    <w:p w14:paraId="7AEAD7C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附件7：分包人主要施工管理人员表</w:t>
      </w:r>
    </w:p>
    <w:p w14:paraId="0B29C93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附件8：履约担保格式</w:t>
      </w:r>
    </w:p>
    <w:p w14:paraId="07B0224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附件9：预付款担保格式</w:t>
      </w:r>
    </w:p>
    <w:p w14:paraId="7847330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附件10：支付担保格式</w:t>
      </w:r>
    </w:p>
    <w:p w14:paraId="3A09B536">
      <w:pPr>
        <w:spacing w:line="360" w:lineRule="auto"/>
        <w:jc w:val="left"/>
        <w:rPr>
          <w:rFonts w:hint="eastAsia" w:ascii="宋体" w:hAnsi="宋体" w:eastAsia="宋体" w:cs="宋体"/>
          <w:color w:val="auto"/>
          <w:szCs w:val="21"/>
          <w:highlight w:val="none"/>
        </w:rPr>
        <w:sectPr>
          <w:pgSz w:w="11906" w:h="16838"/>
          <w:pgMar w:top="1440" w:right="1423" w:bottom="1440" w:left="1423" w:header="851" w:footer="992" w:gutter="0"/>
          <w:pgNumType w:fmt="decimal"/>
          <w:cols w:space="720" w:num="1"/>
          <w:titlePg/>
          <w:docGrid w:linePitch="312" w:charSpace="0"/>
        </w:sectPr>
      </w:pPr>
      <w:r>
        <w:rPr>
          <w:rFonts w:hint="eastAsia" w:ascii="宋体" w:hAnsi="宋体" w:eastAsia="宋体" w:cs="宋体"/>
          <w:color w:val="auto"/>
          <w:szCs w:val="21"/>
          <w:highlight w:val="none"/>
        </w:rPr>
        <w:t>附件11：暂估价一览表</w:t>
      </w:r>
    </w:p>
    <w:p w14:paraId="45A6162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w:t>
      </w:r>
    </w:p>
    <w:p w14:paraId="4B1663F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承包人承揽工程项目一览表</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49E7D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277" w:type="dxa"/>
            <w:tcBorders>
              <w:top w:val="single" w:color="auto" w:sz="12" w:space="0"/>
              <w:bottom w:val="double" w:color="auto" w:sz="6" w:space="0"/>
            </w:tcBorders>
            <w:vAlign w:val="center"/>
          </w:tcPr>
          <w:p w14:paraId="6C0809A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单位工程名称</w:t>
            </w:r>
          </w:p>
        </w:tc>
        <w:tc>
          <w:tcPr>
            <w:tcW w:w="1843" w:type="dxa"/>
            <w:tcBorders>
              <w:top w:val="single" w:color="auto" w:sz="12" w:space="0"/>
              <w:bottom w:val="double" w:color="auto" w:sz="6" w:space="0"/>
            </w:tcBorders>
            <w:vAlign w:val="center"/>
          </w:tcPr>
          <w:p w14:paraId="44BF779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建设规模</w:t>
            </w:r>
          </w:p>
        </w:tc>
        <w:tc>
          <w:tcPr>
            <w:tcW w:w="1417" w:type="dxa"/>
            <w:tcBorders>
              <w:top w:val="single" w:color="auto" w:sz="12" w:space="0"/>
              <w:bottom w:val="double" w:color="auto" w:sz="6" w:space="0"/>
            </w:tcBorders>
            <w:vAlign w:val="center"/>
          </w:tcPr>
          <w:p w14:paraId="68F3912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建筑面积(平方米)</w:t>
            </w:r>
          </w:p>
        </w:tc>
        <w:tc>
          <w:tcPr>
            <w:tcW w:w="2410" w:type="dxa"/>
            <w:tcBorders>
              <w:top w:val="single" w:color="auto" w:sz="12" w:space="0"/>
              <w:bottom w:val="double" w:color="auto" w:sz="6" w:space="0"/>
            </w:tcBorders>
            <w:vAlign w:val="center"/>
          </w:tcPr>
          <w:p w14:paraId="53091E4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结构形式</w:t>
            </w:r>
          </w:p>
        </w:tc>
        <w:tc>
          <w:tcPr>
            <w:tcW w:w="850" w:type="dxa"/>
            <w:tcBorders>
              <w:top w:val="single" w:color="auto" w:sz="12" w:space="0"/>
              <w:bottom w:val="double" w:color="auto" w:sz="6" w:space="0"/>
            </w:tcBorders>
            <w:vAlign w:val="center"/>
          </w:tcPr>
          <w:p w14:paraId="6C04FB2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层数</w:t>
            </w:r>
          </w:p>
        </w:tc>
        <w:tc>
          <w:tcPr>
            <w:tcW w:w="1560" w:type="dxa"/>
            <w:tcBorders>
              <w:top w:val="single" w:color="auto" w:sz="12" w:space="0"/>
              <w:bottom w:val="double" w:color="auto" w:sz="6" w:space="0"/>
            </w:tcBorders>
            <w:vAlign w:val="center"/>
          </w:tcPr>
          <w:p w14:paraId="57C4E30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生产能力</w:t>
            </w:r>
          </w:p>
        </w:tc>
        <w:tc>
          <w:tcPr>
            <w:tcW w:w="2126" w:type="dxa"/>
            <w:tcBorders>
              <w:top w:val="single" w:color="auto" w:sz="12" w:space="0"/>
              <w:bottom w:val="double" w:color="auto" w:sz="6" w:space="0"/>
            </w:tcBorders>
            <w:vAlign w:val="center"/>
          </w:tcPr>
          <w:p w14:paraId="6D8E920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设备安装内容</w:t>
            </w:r>
          </w:p>
        </w:tc>
        <w:tc>
          <w:tcPr>
            <w:tcW w:w="1417" w:type="dxa"/>
            <w:tcBorders>
              <w:top w:val="single" w:color="auto" w:sz="12" w:space="0"/>
              <w:bottom w:val="double" w:color="auto" w:sz="6" w:space="0"/>
            </w:tcBorders>
            <w:vAlign w:val="center"/>
          </w:tcPr>
          <w:p w14:paraId="0F11E81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合同价格（元）</w:t>
            </w:r>
          </w:p>
        </w:tc>
        <w:tc>
          <w:tcPr>
            <w:tcW w:w="851" w:type="dxa"/>
            <w:tcBorders>
              <w:top w:val="single" w:color="auto" w:sz="12" w:space="0"/>
              <w:bottom w:val="double" w:color="auto" w:sz="6" w:space="0"/>
            </w:tcBorders>
            <w:vAlign w:val="center"/>
          </w:tcPr>
          <w:p w14:paraId="017E3C3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开工日期</w:t>
            </w:r>
          </w:p>
        </w:tc>
        <w:tc>
          <w:tcPr>
            <w:tcW w:w="850" w:type="dxa"/>
            <w:tcBorders>
              <w:top w:val="single" w:color="auto" w:sz="12" w:space="0"/>
              <w:bottom w:val="double" w:color="auto" w:sz="6" w:space="0"/>
            </w:tcBorders>
            <w:vAlign w:val="center"/>
          </w:tcPr>
          <w:p w14:paraId="31E59BF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竣工日期</w:t>
            </w:r>
          </w:p>
        </w:tc>
      </w:tr>
      <w:tr w14:paraId="4882A3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double" w:color="auto" w:sz="6" w:space="0"/>
              <w:bottom w:val="single" w:color="auto" w:sz="6" w:space="0"/>
            </w:tcBorders>
            <w:vAlign w:val="center"/>
          </w:tcPr>
          <w:p w14:paraId="0D513FF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double" w:color="auto" w:sz="6" w:space="0"/>
              <w:bottom w:val="single" w:color="auto" w:sz="6" w:space="0"/>
            </w:tcBorders>
            <w:vAlign w:val="center"/>
          </w:tcPr>
          <w:p w14:paraId="2D31793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double" w:color="auto" w:sz="6" w:space="0"/>
              <w:bottom w:val="single" w:color="auto" w:sz="6" w:space="0"/>
            </w:tcBorders>
            <w:vAlign w:val="center"/>
          </w:tcPr>
          <w:p w14:paraId="505A3DE3">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double" w:color="auto" w:sz="6" w:space="0"/>
              <w:bottom w:val="single" w:color="auto" w:sz="6" w:space="0"/>
            </w:tcBorders>
            <w:vAlign w:val="center"/>
          </w:tcPr>
          <w:p w14:paraId="388398B6">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262349A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double" w:color="auto" w:sz="6" w:space="0"/>
              <w:bottom w:val="single" w:color="auto" w:sz="6" w:space="0"/>
            </w:tcBorders>
            <w:vAlign w:val="center"/>
          </w:tcPr>
          <w:p w14:paraId="41F77F4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double" w:color="auto" w:sz="6" w:space="0"/>
              <w:bottom w:val="single" w:color="auto" w:sz="6" w:space="0"/>
            </w:tcBorders>
            <w:vAlign w:val="center"/>
          </w:tcPr>
          <w:p w14:paraId="5577F0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double" w:color="auto" w:sz="6" w:space="0"/>
              <w:bottom w:val="single" w:color="auto" w:sz="6" w:space="0"/>
            </w:tcBorders>
            <w:vAlign w:val="center"/>
          </w:tcPr>
          <w:p w14:paraId="270E532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315FB80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02CBF3E6">
            <w:pPr>
              <w:pStyle w:val="17"/>
              <w:keepNext/>
              <w:spacing w:after="0" w:line="360" w:lineRule="auto"/>
              <w:ind w:left="63" w:right="63"/>
              <w:rPr>
                <w:rFonts w:hint="eastAsia" w:ascii="宋体" w:hAnsi="宋体" w:eastAsia="宋体" w:cs="宋体"/>
                <w:color w:val="auto"/>
                <w:kern w:val="2"/>
                <w:sz w:val="21"/>
                <w:szCs w:val="21"/>
                <w:highlight w:val="none"/>
              </w:rPr>
            </w:pPr>
          </w:p>
        </w:tc>
      </w:tr>
      <w:tr w14:paraId="45F39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4535ACB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3EC10F5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646EFC39">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6300FDD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4144EEF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41A4FEE8">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4D674A9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5C7F7E7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4D06261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7562E594">
            <w:pPr>
              <w:pStyle w:val="17"/>
              <w:keepNext/>
              <w:spacing w:after="0" w:line="360" w:lineRule="auto"/>
              <w:ind w:left="63" w:right="63"/>
              <w:rPr>
                <w:rFonts w:hint="eastAsia" w:ascii="宋体" w:hAnsi="宋体" w:eastAsia="宋体" w:cs="宋体"/>
                <w:color w:val="auto"/>
                <w:kern w:val="2"/>
                <w:sz w:val="21"/>
                <w:szCs w:val="21"/>
                <w:highlight w:val="none"/>
              </w:rPr>
            </w:pPr>
          </w:p>
        </w:tc>
      </w:tr>
      <w:tr w14:paraId="125E6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731C712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64D93E4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39165B53">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389EFC9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1C09CF1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2179F35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69AD90C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4F95371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718D52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0E87B22C">
            <w:pPr>
              <w:pStyle w:val="17"/>
              <w:keepNext/>
              <w:spacing w:after="0" w:line="360" w:lineRule="auto"/>
              <w:ind w:left="63" w:right="63"/>
              <w:rPr>
                <w:rFonts w:hint="eastAsia" w:ascii="宋体" w:hAnsi="宋体" w:eastAsia="宋体" w:cs="宋体"/>
                <w:color w:val="auto"/>
                <w:kern w:val="2"/>
                <w:sz w:val="21"/>
                <w:szCs w:val="21"/>
                <w:highlight w:val="none"/>
              </w:rPr>
            </w:pPr>
          </w:p>
        </w:tc>
      </w:tr>
      <w:tr w14:paraId="20E790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2B11FC0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550163A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2A514517">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4085507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48C4D8A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7B9C5D11">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0BF1D0B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0F1D10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35D9E5F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79BEE74A">
            <w:pPr>
              <w:pStyle w:val="17"/>
              <w:keepNext/>
              <w:spacing w:after="0" w:line="360" w:lineRule="auto"/>
              <w:ind w:left="63" w:right="63"/>
              <w:rPr>
                <w:rFonts w:hint="eastAsia" w:ascii="宋体" w:hAnsi="宋体" w:eastAsia="宋体" w:cs="宋体"/>
                <w:color w:val="auto"/>
                <w:kern w:val="2"/>
                <w:sz w:val="21"/>
                <w:szCs w:val="21"/>
                <w:highlight w:val="none"/>
              </w:rPr>
            </w:pPr>
          </w:p>
        </w:tc>
      </w:tr>
      <w:tr w14:paraId="3C194D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2CFC967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0CAE776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5DB7510D">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49467549">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2BC7B9E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25CAD1FC">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4FA11AD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34DABA5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39ABFD8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1A40BB05">
            <w:pPr>
              <w:pStyle w:val="17"/>
              <w:keepNext/>
              <w:spacing w:after="0" w:line="360" w:lineRule="auto"/>
              <w:ind w:left="63" w:right="63"/>
              <w:rPr>
                <w:rFonts w:hint="eastAsia" w:ascii="宋体" w:hAnsi="宋体" w:eastAsia="宋体" w:cs="宋体"/>
                <w:color w:val="auto"/>
                <w:kern w:val="2"/>
                <w:sz w:val="21"/>
                <w:szCs w:val="21"/>
                <w:highlight w:val="none"/>
              </w:rPr>
            </w:pPr>
          </w:p>
        </w:tc>
      </w:tr>
      <w:tr w14:paraId="46760F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6293A54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1019F0B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7D6B01F4">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0AEFDE3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49491EE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11FC79A7">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1E3279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1E24FF6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5F1B6C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01F067B8">
            <w:pPr>
              <w:pStyle w:val="17"/>
              <w:keepNext/>
              <w:spacing w:after="0" w:line="360" w:lineRule="auto"/>
              <w:ind w:left="63" w:right="63"/>
              <w:rPr>
                <w:rFonts w:hint="eastAsia" w:ascii="宋体" w:hAnsi="宋体" w:eastAsia="宋体" w:cs="宋体"/>
                <w:color w:val="auto"/>
                <w:kern w:val="2"/>
                <w:sz w:val="21"/>
                <w:szCs w:val="21"/>
                <w:highlight w:val="none"/>
              </w:rPr>
            </w:pPr>
          </w:p>
        </w:tc>
      </w:tr>
      <w:tr w14:paraId="613DF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3656269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34E237B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1F3B5B00">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3FFB352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4115F94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5EB7FBC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630FD9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506FE0B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53EFC38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1917A242">
            <w:pPr>
              <w:pStyle w:val="17"/>
              <w:keepNext/>
              <w:spacing w:after="0" w:line="360" w:lineRule="auto"/>
              <w:ind w:left="63" w:right="63"/>
              <w:rPr>
                <w:rFonts w:hint="eastAsia" w:ascii="宋体" w:hAnsi="宋体" w:eastAsia="宋体" w:cs="宋体"/>
                <w:color w:val="auto"/>
                <w:kern w:val="2"/>
                <w:sz w:val="21"/>
                <w:szCs w:val="21"/>
                <w:highlight w:val="none"/>
              </w:rPr>
            </w:pPr>
          </w:p>
        </w:tc>
      </w:tr>
      <w:tr w14:paraId="3F9C49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01234E6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5B091A4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0C7935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63FA0E8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6DA30D5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2F7E2E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6F52CB6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0D9A6EE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1C51F19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0804A9C7">
            <w:pPr>
              <w:pStyle w:val="17"/>
              <w:keepNext/>
              <w:spacing w:after="0" w:line="360" w:lineRule="auto"/>
              <w:ind w:left="63" w:right="63"/>
              <w:rPr>
                <w:rFonts w:hint="eastAsia" w:ascii="宋体" w:hAnsi="宋体" w:eastAsia="宋体" w:cs="宋体"/>
                <w:color w:val="auto"/>
                <w:kern w:val="2"/>
                <w:sz w:val="21"/>
                <w:szCs w:val="21"/>
                <w:highlight w:val="none"/>
              </w:rPr>
            </w:pPr>
          </w:p>
        </w:tc>
      </w:tr>
      <w:tr w14:paraId="4261A3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194115B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52D1A42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44E3B05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213F0FC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0D9EE1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23E7EB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45517D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7B84D1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743F309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407E6C20">
            <w:pPr>
              <w:pStyle w:val="17"/>
              <w:keepNext/>
              <w:spacing w:after="0" w:line="360" w:lineRule="auto"/>
              <w:ind w:left="63" w:right="63"/>
              <w:rPr>
                <w:rFonts w:hint="eastAsia" w:ascii="宋体" w:hAnsi="宋体" w:eastAsia="宋体" w:cs="宋体"/>
                <w:color w:val="auto"/>
                <w:kern w:val="2"/>
                <w:sz w:val="21"/>
                <w:szCs w:val="21"/>
                <w:highlight w:val="none"/>
              </w:rPr>
            </w:pPr>
          </w:p>
        </w:tc>
      </w:tr>
      <w:tr w14:paraId="71BC39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613AE30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49F6551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5D23520A">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766F095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6A7E9F7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57515364">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78EDA4E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28A2A18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38B933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6C720E11">
            <w:pPr>
              <w:pStyle w:val="17"/>
              <w:keepNext/>
              <w:spacing w:after="0" w:line="360" w:lineRule="auto"/>
              <w:ind w:left="63" w:right="63"/>
              <w:rPr>
                <w:rFonts w:hint="eastAsia" w:ascii="宋体" w:hAnsi="宋体" w:eastAsia="宋体" w:cs="宋体"/>
                <w:color w:val="auto"/>
                <w:kern w:val="2"/>
                <w:sz w:val="21"/>
                <w:szCs w:val="21"/>
                <w:highlight w:val="none"/>
              </w:rPr>
            </w:pPr>
          </w:p>
        </w:tc>
      </w:tr>
      <w:tr w14:paraId="55A94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1CA3EA7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362D90D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080D0D71">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1649285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7DD6759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229450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700E64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6B90953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26A860E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577637DA">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3C684679">
      <w:pPr>
        <w:spacing w:line="360" w:lineRule="auto"/>
        <w:rPr>
          <w:rFonts w:hint="eastAsia" w:ascii="宋体" w:hAnsi="宋体" w:eastAsia="宋体" w:cs="宋体"/>
          <w:b/>
          <w:color w:val="auto"/>
          <w:szCs w:val="21"/>
          <w:highlight w:val="none"/>
        </w:rPr>
        <w:sectPr>
          <w:pgSz w:w="16838" w:h="11906" w:orient="landscape"/>
          <w:pgMar w:top="1588" w:right="2098" w:bottom="1588" w:left="2098" w:header="851" w:footer="992" w:gutter="0"/>
          <w:pgNumType w:fmt="decimal"/>
          <w:cols w:space="720" w:num="1"/>
          <w:titlePg/>
          <w:docGrid w:linePitch="312" w:charSpace="0"/>
        </w:sectPr>
      </w:pPr>
    </w:p>
    <w:p w14:paraId="3CFC14A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82" w:name="_Toc296944564"/>
      <w:bookmarkStart w:id="1883" w:name="_Toc267261692"/>
      <w:bookmarkStart w:id="1884" w:name="_Toc296891053"/>
      <w:bookmarkStart w:id="1885" w:name="_Toc296503225"/>
      <w:bookmarkStart w:id="1886" w:name="_Toc296347224"/>
      <w:bookmarkStart w:id="1887" w:name="_Toc296891265"/>
      <w:bookmarkStart w:id="1888" w:name="_Toc296346726"/>
      <w:r>
        <w:rPr>
          <w:rFonts w:hint="eastAsia" w:ascii="宋体" w:hAnsi="宋体" w:eastAsia="宋体" w:cs="宋体"/>
          <w:color w:val="auto"/>
          <w:szCs w:val="21"/>
          <w:highlight w:val="none"/>
        </w:rPr>
        <w:t>件2：</w:t>
      </w:r>
    </w:p>
    <w:bookmarkEnd w:id="1882"/>
    <w:bookmarkEnd w:id="1883"/>
    <w:bookmarkEnd w:id="1884"/>
    <w:bookmarkEnd w:id="1885"/>
    <w:bookmarkEnd w:id="1886"/>
    <w:bookmarkEnd w:id="1887"/>
    <w:bookmarkEnd w:id="1888"/>
    <w:p w14:paraId="4EBC06A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发包人供应材料设备一览表</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4C6DE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2B3569B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1276" w:type="dxa"/>
            <w:tcBorders>
              <w:top w:val="single" w:color="auto" w:sz="12" w:space="0"/>
              <w:bottom w:val="double" w:color="auto" w:sz="6" w:space="0"/>
            </w:tcBorders>
            <w:vAlign w:val="center"/>
          </w:tcPr>
          <w:p w14:paraId="0742F8EB">
            <w:pPr>
              <w:pStyle w:val="17"/>
              <w:keepNext/>
              <w:spacing w:after="0" w:line="360" w:lineRule="auto"/>
              <w:ind w:left="63" w:right="63"/>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材料、设备品种</w:t>
            </w:r>
          </w:p>
        </w:tc>
        <w:tc>
          <w:tcPr>
            <w:tcW w:w="1418" w:type="dxa"/>
            <w:tcBorders>
              <w:top w:val="single" w:color="auto" w:sz="12" w:space="0"/>
              <w:bottom w:val="double" w:color="auto" w:sz="6" w:space="0"/>
            </w:tcBorders>
            <w:vAlign w:val="center"/>
          </w:tcPr>
          <w:p w14:paraId="4E5ED3E8">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规格型号</w:t>
            </w:r>
          </w:p>
        </w:tc>
        <w:tc>
          <w:tcPr>
            <w:tcW w:w="940" w:type="dxa"/>
            <w:tcBorders>
              <w:top w:val="single" w:color="auto" w:sz="12" w:space="0"/>
              <w:bottom w:val="double" w:color="auto" w:sz="6" w:space="0"/>
            </w:tcBorders>
            <w:vAlign w:val="center"/>
          </w:tcPr>
          <w:p w14:paraId="78C15FF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w:t>
            </w:r>
          </w:p>
        </w:tc>
        <w:tc>
          <w:tcPr>
            <w:tcW w:w="851" w:type="dxa"/>
            <w:tcBorders>
              <w:top w:val="single" w:color="auto" w:sz="12" w:space="0"/>
              <w:bottom w:val="double" w:color="auto" w:sz="6" w:space="0"/>
            </w:tcBorders>
            <w:vAlign w:val="center"/>
          </w:tcPr>
          <w:p w14:paraId="7102ED91">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1044" w:type="dxa"/>
            <w:tcBorders>
              <w:top w:val="single" w:color="auto" w:sz="12" w:space="0"/>
              <w:bottom w:val="double" w:color="auto" w:sz="6" w:space="0"/>
            </w:tcBorders>
            <w:vAlign w:val="center"/>
          </w:tcPr>
          <w:p w14:paraId="6F5138E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单价（元）</w:t>
            </w:r>
          </w:p>
        </w:tc>
        <w:tc>
          <w:tcPr>
            <w:tcW w:w="992" w:type="dxa"/>
            <w:tcBorders>
              <w:top w:val="single" w:color="auto" w:sz="12" w:space="0"/>
              <w:bottom w:val="double" w:color="auto" w:sz="6" w:space="0"/>
            </w:tcBorders>
            <w:vAlign w:val="center"/>
          </w:tcPr>
          <w:p w14:paraId="2672756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质量等级</w:t>
            </w:r>
          </w:p>
        </w:tc>
        <w:tc>
          <w:tcPr>
            <w:tcW w:w="851" w:type="dxa"/>
            <w:tcBorders>
              <w:top w:val="single" w:color="auto" w:sz="12" w:space="0"/>
              <w:bottom w:val="double" w:color="auto" w:sz="6" w:space="0"/>
            </w:tcBorders>
            <w:vAlign w:val="center"/>
          </w:tcPr>
          <w:p w14:paraId="489A37A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供应时间</w:t>
            </w:r>
          </w:p>
        </w:tc>
        <w:tc>
          <w:tcPr>
            <w:tcW w:w="1487" w:type="dxa"/>
            <w:tcBorders>
              <w:top w:val="single" w:color="auto" w:sz="12" w:space="0"/>
              <w:bottom w:val="double" w:color="auto" w:sz="6" w:space="0"/>
            </w:tcBorders>
            <w:vAlign w:val="center"/>
          </w:tcPr>
          <w:p w14:paraId="1BABC69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送达地点</w:t>
            </w:r>
          </w:p>
        </w:tc>
        <w:tc>
          <w:tcPr>
            <w:tcW w:w="992" w:type="dxa"/>
            <w:tcBorders>
              <w:top w:val="single" w:color="auto" w:sz="12" w:space="0"/>
              <w:bottom w:val="double" w:color="auto" w:sz="6" w:space="0"/>
            </w:tcBorders>
            <w:vAlign w:val="center"/>
          </w:tcPr>
          <w:p w14:paraId="6957D9C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67A0EA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1588EEE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double" w:color="auto" w:sz="6" w:space="0"/>
              <w:bottom w:val="single" w:color="auto" w:sz="6" w:space="0"/>
            </w:tcBorders>
            <w:vAlign w:val="center"/>
          </w:tcPr>
          <w:p w14:paraId="236BD9A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double" w:color="auto" w:sz="6" w:space="0"/>
              <w:bottom w:val="single" w:color="auto" w:sz="6" w:space="0"/>
            </w:tcBorders>
            <w:vAlign w:val="center"/>
          </w:tcPr>
          <w:p w14:paraId="5D40C4A3">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tcBorders>
              <w:top w:val="double" w:color="auto" w:sz="6" w:space="0"/>
              <w:bottom w:val="single" w:color="auto" w:sz="6" w:space="0"/>
            </w:tcBorders>
            <w:vAlign w:val="center"/>
          </w:tcPr>
          <w:p w14:paraId="3D80741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7E68871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tcBorders>
              <w:top w:val="double" w:color="auto" w:sz="6" w:space="0"/>
              <w:bottom w:val="single" w:color="auto" w:sz="6" w:space="0"/>
            </w:tcBorders>
            <w:vAlign w:val="center"/>
          </w:tcPr>
          <w:p w14:paraId="31E9E6E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double" w:color="auto" w:sz="6" w:space="0"/>
              <w:bottom w:val="single" w:color="auto" w:sz="6" w:space="0"/>
            </w:tcBorders>
            <w:vAlign w:val="center"/>
          </w:tcPr>
          <w:p w14:paraId="48CABF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3E17F77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tcBorders>
              <w:top w:val="double" w:color="auto" w:sz="6" w:space="0"/>
              <w:bottom w:val="single" w:color="auto" w:sz="6" w:space="0"/>
            </w:tcBorders>
            <w:vAlign w:val="center"/>
          </w:tcPr>
          <w:p w14:paraId="49CBF9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double" w:color="auto" w:sz="6" w:space="0"/>
              <w:bottom w:val="single" w:color="auto" w:sz="6" w:space="0"/>
            </w:tcBorders>
            <w:vAlign w:val="center"/>
          </w:tcPr>
          <w:p w14:paraId="33FAE1B4">
            <w:pPr>
              <w:pStyle w:val="17"/>
              <w:keepNext/>
              <w:spacing w:after="0" w:line="360" w:lineRule="auto"/>
              <w:ind w:left="63" w:right="63"/>
              <w:rPr>
                <w:rFonts w:hint="eastAsia" w:ascii="宋体" w:hAnsi="宋体" w:eastAsia="宋体" w:cs="宋体"/>
                <w:color w:val="auto"/>
                <w:kern w:val="2"/>
                <w:sz w:val="21"/>
                <w:szCs w:val="21"/>
                <w:highlight w:val="none"/>
              </w:rPr>
            </w:pPr>
          </w:p>
        </w:tc>
      </w:tr>
      <w:tr w14:paraId="58240E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4D31957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nil"/>
            </w:tcBorders>
            <w:vAlign w:val="center"/>
          </w:tcPr>
          <w:p w14:paraId="178509A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nil"/>
            </w:tcBorders>
            <w:vAlign w:val="center"/>
          </w:tcPr>
          <w:p w14:paraId="11D6520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tcBorders>
              <w:top w:val="nil"/>
            </w:tcBorders>
            <w:vAlign w:val="center"/>
          </w:tcPr>
          <w:p w14:paraId="3EE82AD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3E18CE2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tcBorders>
              <w:top w:val="nil"/>
            </w:tcBorders>
            <w:vAlign w:val="center"/>
          </w:tcPr>
          <w:p w14:paraId="2A8946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nil"/>
            </w:tcBorders>
            <w:vAlign w:val="center"/>
          </w:tcPr>
          <w:p w14:paraId="7425F0C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43F598F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tcBorders>
              <w:top w:val="nil"/>
            </w:tcBorders>
            <w:vAlign w:val="center"/>
          </w:tcPr>
          <w:p w14:paraId="3678DED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nil"/>
            </w:tcBorders>
            <w:vAlign w:val="center"/>
          </w:tcPr>
          <w:p w14:paraId="042E649B">
            <w:pPr>
              <w:pStyle w:val="17"/>
              <w:keepNext/>
              <w:spacing w:after="0" w:line="360" w:lineRule="auto"/>
              <w:ind w:left="63" w:right="63"/>
              <w:rPr>
                <w:rFonts w:hint="eastAsia" w:ascii="宋体" w:hAnsi="宋体" w:eastAsia="宋体" w:cs="宋体"/>
                <w:color w:val="auto"/>
                <w:kern w:val="2"/>
                <w:sz w:val="21"/>
                <w:szCs w:val="21"/>
                <w:highlight w:val="none"/>
              </w:rPr>
            </w:pPr>
          </w:p>
        </w:tc>
      </w:tr>
      <w:tr w14:paraId="7A6CB3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F9F26B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6936976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AE3C32A">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510E161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31CC734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031340B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1831C2D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76A512E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4A9AA3CD">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6F7764EA">
            <w:pPr>
              <w:pStyle w:val="17"/>
              <w:keepNext/>
              <w:spacing w:after="0" w:line="360" w:lineRule="auto"/>
              <w:ind w:left="63" w:right="63"/>
              <w:rPr>
                <w:rFonts w:hint="eastAsia" w:ascii="宋体" w:hAnsi="宋体" w:eastAsia="宋体" w:cs="宋体"/>
                <w:color w:val="auto"/>
                <w:kern w:val="2"/>
                <w:sz w:val="21"/>
                <w:szCs w:val="21"/>
                <w:highlight w:val="none"/>
              </w:rPr>
            </w:pPr>
          </w:p>
        </w:tc>
      </w:tr>
      <w:tr w14:paraId="6A38AB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AB6744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429143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910348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7FF06309">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A86FFE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5C704BF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6A1103C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270BF2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29F54B87">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2DDCD3B8">
            <w:pPr>
              <w:pStyle w:val="17"/>
              <w:keepNext/>
              <w:spacing w:after="0" w:line="360" w:lineRule="auto"/>
              <w:ind w:left="63" w:right="63"/>
              <w:rPr>
                <w:rFonts w:hint="eastAsia" w:ascii="宋体" w:hAnsi="宋体" w:eastAsia="宋体" w:cs="宋体"/>
                <w:color w:val="auto"/>
                <w:kern w:val="2"/>
                <w:sz w:val="21"/>
                <w:szCs w:val="21"/>
                <w:highlight w:val="none"/>
              </w:rPr>
            </w:pPr>
          </w:p>
        </w:tc>
      </w:tr>
      <w:tr w14:paraId="2A1FC3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925F23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277FC09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AE24664">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6F1E8A6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64382EE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1711FCB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6F32B08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CB7A3B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4E356CF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2BE882B3">
            <w:pPr>
              <w:pStyle w:val="17"/>
              <w:keepNext/>
              <w:spacing w:after="0" w:line="360" w:lineRule="auto"/>
              <w:ind w:left="63" w:right="63"/>
              <w:rPr>
                <w:rFonts w:hint="eastAsia" w:ascii="宋体" w:hAnsi="宋体" w:eastAsia="宋体" w:cs="宋体"/>
                <w:color w:val="auto"/>
                <w:kern w:val="2"/>
                <w:sz w:val="21"/>
                <w:szCs w:val="21"/>
                <w:highlight w:val="none"/>
              </w:rPr>
            </w:pPr>
          </w:p>
        </w:tc>
      </w:tr>
      <w:tr w14:paraId="17F3BC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C25152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78A65B7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4774DBE9">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02B5D54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6E09312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5409F34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1979C5C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26254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5D4CEF2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75BEA901">
            <w:pPr>
              <w:pStyle w:val="17"/>
              <w:keepNext/>
              <w:spacing w:after="0" w:line="360" w:lineRule="auto"/>
              <w:ind w:left="63" w:right="63"/>
              <w:rPr>
                <w:rFonts w:hint="eastAsia" w:ascii="宋体" w:hAnsi="宋体" w:eastAsia="宋体" w:cs="宋体"/>
                <w:color w:val="auto"/>
                <w:kern w:val="2"/>
                <w:sz w:val="21"/>
                <w:szCs w:val="21"/>
                <w:highlight w:val="none"/>
              </w:rPr>
            </w:pPr>
          </w:p>
        </w:tc>
      </w:tr>
      <w:tr w14:paraId="663BEC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AAC16F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1549C1D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2372DD0D">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647C927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698606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29A4800C">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6F30FA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676E641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730443B0">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01A571A">
            <w:pPr>
              <w:pStyle w:val="17"/>
              <w:keepNext/>
              <w:spacing w:after="0" w:line="360" w:lineRule="auto"/>
              <w:ind w:left="63" w:right="63"/>
              <w:rPr>
                <w:rFonts w:hint="eastAsia" w:ascii="宋体" w:hAnsi="宋体" w:eastAsia="宋体" w:cs="宋体"/>
                <w:color w:val="auto"/>
                <w:kern w:val="2"/>
                <w:sz w:val="21"/>
                <w:szCs w:val="21"/>
                <w:highlight w:val="none"/>
              </w:rPr>
            </w:pPr>
          </w:p>
        </w:tc>
      </w:tr>
      <w:tr w14:paraId="69223B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F6F843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7763FD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FF06688">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7C29D57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612BD8C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47E7A168">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3B3482D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6BE6568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2D881FBA">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358B381">
            <w:pPr>
              <w:pStyle w:val="17"/>
              <w:keepNext/>
              <w:spacing w:after="0" w:line="360" w:lineRule="auto"/>
              <w:ind w:left="63" w:right="63"/>
              <w:rPr>
                <w:rFonts w:hint="eastAsia" w:ascii="宋体" w:hAnsi="宋体" w:eastAsia="宋体" w:cs="宋体"/>
                <w:color w:val="auto"/>
                <w:kern w:val="2"/>
                <w:sz w:val="21"/>
                <w:szCs w:val="21"/>
                <w:highlight w:val="none"/>
              </w:rPr>
            </w:pPr>
          </w:p>
        </w:tc>
      </w:tr>
      <w:tr w14:paraId="74269F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CF2B27F">
            <w:pPr>
              <w:spacing w:line="360" w:lineRule="auto"/>
              <w:jc w:val="center"/>
              <w:rPr>
                <w:rFonts w:hint="eastAsia" w:ascii="宋体" w:hAnsi="宋体" w:eastAsia="宋体" w:cs="宋体"/>
                <w:color w:val="auto"/>
                <w:szCs w:val="21"/>
                <w:highlight w:val="none"/>
              </w:rPr>
            </w:pPr>
          </w:p>
        </w:tc>
        <w:tc>
          <w:tcPr>
            <w:tcW w:w="1276" w:type="dxa"/>
            <w:vAlign w:val="center"/>
          </w:tcPr>
          <w:p w14:paraId="1044A7C9">
            <w:pPr>
              <w:spacing w:line="360" w:lineRule="auto"/>
              <w:jc w:val="center"/>
              <w:rPr>
                <w:rFonts w:hint="eastAsia" w:ascii="宋体" w:hAnsi="宋体" w:eastAsia="宋体" w:cs="宋体"/>
                <w:color w:val="auto"/>
                <w:szCs w:val="21"/>
                <w:highlight w:val="none"/>
              </w:rPr>
            </w:pPr>
          </w:p>
        </w:tc>
        <w:tc>
          <w:tcPr>
            <w:tcW w:w="1418" w:type="dxa"/>
            <w:vAlign w:val="center"/>
          </w:tcPr>
          <w:p w14:paraId="343DC719">
            <w:pPr>
              <w:spacing w:line="360" w:lineRule="auto"/>
              <w:jc w:val="center"/>
              <w:rPr>
                <w:rFonts w:hint="eastAsia" w:ascii="宋体" w:hAnsi="宋体" w:eastAsia="宋体" w:cs="宋体"/>
                <w:color w:val="auto"/>
                <w:szCs w:val="21"/>
                <w:highlight w:val="none"/>
              </w:rPr>
            </w:pPr>
          </w:p>
        </w:tc>
        <w:tc>
          <w:tcPr>
            <w:tcW w:w="940" w:type="dxa"/>
            <w:vAlign w:val="center"/>
          </w:tcPr>
          <w:p w14:paraId="748C3E9B">
            <w:pPr>
              <w:spacing w:line="360" w:lineRule="auto"/>
              <w:jc w:val="center"/>
              <w:rPr>
                <w:rFonts w:hint="eastAsia" w:ascii="宋体" w:hAnsi="宋体" w:eastAsia="宋体" w:cs="宋体"/>
                <w:color w:val="auto"/>
                <w:szCs w:val="21"/>
                <w:highlight w:val="none"/>
              </w:rPr>
            </w:pPr>
          </w:p>
        </w:tc>
        <w:tc>
          <w:tcPr>
            <w:tcW w:w="851" w:type="dxa"/>
            <w:vAlign w:val="center"/>
          </w:tcPr>
          <w:p w14:paraId="0A482F11">
            <w:pPr>
              <w:spacing w:line="360" w:lineRule="auto"/>
              <w:jc w:val="center"/>
              <w:rPr>
                <w:rFonts w:hint="eastAsia" w:ascii="宋体" w:hAnsi="宋体" w:eastAsia="宋体" w:cs="宋体"/>
                <w:color w:val="auto"/>
                <w:szCs w:val="21"/>
                <w:highlight w:val="none"/>
              </w:rPr>
            </w:pPr>
          </w:p>
        </w:tc>
        <w:tc>
          <w:tcPr>
            <w:tcW w:w="1044" w:type="dxa"/>
            <w:vAlign w:val="center"/>
          </w:tcPr>
          <w:p w14:paraId="64AD0000">
            <w:pPr>
              <w:spacing w:line="360" w:lineRule="auto"/>
              <w:jc w:val="center"/>
              <w:rPr>
                <w:rFonts w:hint="eastAsia" w:ascii="宋体" w:hAnsi="宋体" w:eastAsia="宋体" w:cs="宋体"/>
                <w:color w:val="auto"/>
                <w:szCs w:val="21"/>
                <w:highlight w:val="none"/>
              </w:rPr>
            </w:pPr>
          </w:p>
        </w:tc>
        <w:tc>
          <w:tcPr>
            <w:tcW w:w="992" w:type="dxa"/>
            <w:vAlign w:val="center"/>
          </w:tcPr>
          <w:p w14:paraId="1FC4844A">
            <w:pPr>
              <w:spacing w:line="360" w:lineRule="auto"/>
              <w:jc w:val="center"/>
              <w:rPr>
                <w:rFonts w:hint="eastAsia" w:ascii="宋体" w:hAnsi="宋体" w:eastAsia="宋体" w:cs="宋体"/>
                <w:color w:val="auto"/>
                <w:szCs w:val="21"/>
                <w:highlight w:val="none"/>
              </w:rPr>
            </w:pPr>
          </w:p>
        </w:tc>
        <w:tc>
          <w:tcPr>
            <w:tcW w:w="851" w:type="dxa"/>
            <w:vAlign w:val="center"/>
          </w:tcPr>
          <w:p w14:paraId="662687DD">
            <w:pPr>
              <w:spacing w:line="360" w:lineRule="auto"/>
              <w:jc w:val="center"/>
              <w:rPr>
                <w:rFonts w:hint="eastAsia" w:ascii="宋体" w:hAnsi="宋体" w:eastAsia="宋体" w:cs="宋体"/>
                <w:color w:val="auto"/>
                <w:szCs w:val="21"/>
                <w:highlight w:val="none"/>
              </w:rPr>
            </w:pPr>
          </w:p>
        </w:tc>
        <w:tc>
          <w:tcPr>
            <w:tcW w:w="1487" w:type="dxa"/>
            <w:vAlign w:val="center"/>
          </w:tcPr>
          <w:p w14:paraId="18F20B7E">
            <w:pPr>
              <w:spacing w:line="360" w:lineRule="auto"/>
              <w:jc w:val="center"/>
              <w:rPr>
                <w:rFonts w:hint="eastAsia" w:ascii="宋体" w:hAnsi="宋体" w:eastAsia="宋体" w:cs="宋体"/>
                <w:color w:val="auto"/>
                <w:szCs w:val="21"/>
                <w:highlight w:val="none"/>
              </w:rPr>
            </w:pPr>
          </w:p>
        </w:tc>
        <w:tc>
          <w:tcPr>
            <w:tcW w:w="992" w:type="dxa"/>
            <w:vAlign w:val="center"/>
          </w:tcPr>
          <w:p w14:paraId="4D2AA09F">
            <w:pPr>
              <w:spacing w:line="360" w:lineRule="auto"/>
              <w:jc w:val="center"/>
              <w:rPr>
                <w:rFonts w:hint="eastAsia" w:ascii="宋体" w:hAnsi="宋体" w:eastAsia="宋体" w:cs="宋体"/>
                <w:color w:val="auto"/>
                <w:szCs w:val="21"/>
                <w:highlight w:val="none"/>
              </w:rPr>
            </w:pPr>
          </w:p>
        </w:tc>
      </w:tr>
      <w:tr w14:paraId="3C21CF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41C60B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1086141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810439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10C3F71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779B3EA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50546580">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413004D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2D2775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1AF97849">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CE233BE">
            <w:pPr>
              <w:pStyle w:val="17"/>
              <w:keepNext/>
              <w:spacing w:after="0" w:line="360" w:lineRule="auto"/>
              <w:ind w:left="63" w:right="63"/>
              <w:rPr>
                <w:rFonts w:hint="eastAsia" w:ascii="宋体" w:hAnsi="宋体" w:eastAsia="宋体" w:cs="宋体"/>
                <w:color w:val="auto"/>
                <w:kern w:val="2"/>
                <w:sz w:val="21"/>
                <w:szCs w:val="21"/>
                <w:highlight w:val="none"/>
              </w:rPr>
            </w:pPr>
          </w:p>
        </w:tc>
      </w:tr>
      <w:tr w14:paraId="2752C9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07F25A0">
            <w:pPr>
              <w:spacing w:line="360" w:lineRule="auto"/>
              <w:jc w:val="center"/>
              <w:rPr>
                <w:rFonts w:hint="eastAsia" w:ascii="宋体" w:hAnsi="宋体" w:eastAsia="宋体" w:cs="宋体"/>
                <w:color w:val="auto"/>
                <w:szCs w:val="21"/>
                <w:highlight w:val="none"/>
              </w:rPr>
            </w:pPr>
          </w:p>
        </w:tc>
        <w:tc>
          <w:tcPr>
            <w:tcW w:w="1276" w:type="dxa"/>
            <w:vAlign w:val="center"/>
          </w:tcPr>
          <w:p w14:paraId="14DFED72">
            <w:pPr>
              <w:spacing w:line="360" w:lineRule="auto"/>
              <w:jc w:val="center"/>
              <w:rPr>
                <w:rFonts w:hint="eastAsia" w:ascii="宋体" w:hAnsi="宋体" w:eastAsia="宋体" w:cs="宋体"/>
                <w:color w:val="auto"/>
                <w:szCs w:val="21"/>
                <w:highlight w:val="none"/>
              </w:rPr>
            </w:pPr>
          </w:p>
        </w:tc>
        <w:tc>
          <w:tcPr>
            <w:tcW w:w="1418" w:type="dxa"/>
            <w:vAlign w:val="center"/>
          </w:tcPr>
          <w:p w14:paraId="1054B769">
            <w:pPr>
              <w:spacing w:line="360" w:lineRule="auto"/>
              <w:jc w:val="center"/>
              <w:rPr>
                <w:rFonts w:hint="eastAsia" w:ascii="宋体" w:hAnsi="宋体" w:eastAsia="宋体" w:cs="宋体"/>
                <w:color w:val="auto"/>
                <w:szCs w:val="21"/>
                <w:highlight w:val="none"/>
              </w:rPr>
            </w:pPr>
          </w:p>
        </w:tc>
        <w:tc>
          <w:tcPr>
            <w:tcW w:w="940" w:type="dxa"/>
            <w:vAlign w:val="center"/>
          </w:tcPr>
          <w:p w14:paraId="0F734A02">
            <w:pPr>
              <w:spacing w:line="360" w:lineRule="auto"/>
              <w:jc w:val="center"/>
              <w:rPr>
                <w:rFonts w:hint="eastAsia" w:ascii="宋体" w:hAnsi="宋体" w:eastAsia="宋体" w:cs="宋体"/>
                <w:color w:val="auto"/>
                <w:szCs w:val="21"/>
                <w:highlight w:val="none"/>
              </w:rPr>
            </w:pPr>
          </w:p>
        </w:tc>
        <w:tc>
          <w:tcPr>
            <w:tcW w:w="851" w:type="dxa"/>
            <w:vAlign w:val="center"/>
          </w:tcPr>
          <w:p w14:paraId="7F7DEF01">
            <w:pPr>
              <w:spacing w:line="360" w:lineRule="auto"/>
              <w:jc w:val="center"/>
              <w:rPr>
                <w:rFonts w:hint="eastAsia" w:ascii="宋体" w:hAnsi="宋体" w:eastAsia="宋体" w:cs="宋体"/>
                <w:color w:val="auto"/>
                <w:szCs w:val="21"/>
                <w:highlight w:val="none"/>
              </w:rPr>
            </w:pPr>
          </w:p>
        </w:tc>
        <w:tc>
          <w:tcPr>
            <w:tcW w:w="1044" w:type="dxa"/>
            <w:vAlign w:val="center"/>
          </w:tcPr>
          <w:p w14:paraId="4BEAF088">
            <w:pPr>
              <w:spacing w:line="360" w:lineRule="auto"/>
              <w:jc w:val="center"/>
              <w:rPr>
                <w:rFonts w:hint="eastAsia" w:ascii="宋体" w:hAnsi="宋体" w:eastAsia="宋体" w:cs="宋体"/>
                <w:color w:val="auto"/>
                <w:szCs w:val="21"/>
                <w:highlight w:val="none"/>
              </w:rPr>
            </w:pPr>
          </w:p>
        </w:tc>
        <w:tc>
          <w:tcPr>
            <w:tcW w:w="992" w:type="dxa"/>
            <w:vAlign w:val="center"/>
          </w:tcPr>
          <w:p w14:paraId="78017B9E">
            <w:pPr>
              <w:spacing w:line="360" w:lineRule="auto"/>
              <w:jc w:val="center"/>
              <w:rPr>
                <w:rFonts w:hint="eastAsia" w:ascii="宋体" w:hAnsi="宋体" w:eastAsia="宋体" w:cs="宋体"/>
                <w:color w:val="auto"/>
                <w:szCs w:val="21"/>
                <w:highlight w:val="none"/>
              </w:rPr>
            </w:pPr>
          </w:p>
        </w:tc>
        <w:tc>
          <w:tcPr>
            <w:tcW w:w="851" w:type="dxa"/>
            <w:vAlign w:val="center"/>
          </w:tcPr>
          <w:p w14:paraId="3A5E00C3">
            <w:pPr>
              <w:spacing w:line="360" w:lineRule="auto"/>
              <w:jc w:val="center"/>
              <w:rPr>
                <w:rFonts w:hint="eastAsia" w:ascii="宋体" w:hAnsi="宋体" w:eastAsia="宋体" w:cs="宋体"/>
                <w:color w:val="auto"/>
                <w:szCs w:val="21"/>
                <w:highlight w:val="none"/>
              </w:rPr>
            </w:pPr>
          </w:p>
        </w:tc>
        <w:tc>
          <w:tcPr>
            <w:tcW w:w="1487" w:type="dxa"/>
            <w:vAlign w:val="center"/>
          </w:tcPr>
          <w:p w14:paraId="5D412E54">
            <w:pPr>
              <w:spacing w:line="360" w:lineRule="auto"/>
              <w:jc w:val="center"/>
              <w:rPr>
                <w:rFonts w:hint="eastAsia" w:ascii="宋体" w:hAnsi="宋体" w:eastAsia="宋体" w:cs="宋体"/>
                <w:color w:val="auto"/>
                <w:szCs w:val="21"/>
                <w:highlight w:val="none"/>
              </w:rPr>
            </w:pPr>
          </w:p>
        </w:tc>
        <w:tc>
          <w:tcPr>
            <w:tcW w:w="992" w:type="dxa"/>
            <w:vAlign w:val="center"/>
          </w:tcPr>
          <w:p w14:paraId="58B32F1B">
            <w:pPr>
              <w:spacing w:line="360" w:lineRule="auto"/>
              <w:jc w:val="center"/>
              <w:rPr>
                <w:rFonts w:hint="eastAsia" w:ascii="宋体" w:hAnsi="宋体" w:eastAsia="宋体" w:cs="宋体"/>
                <w:color w:val="auto"/>
                <w:szCs w:val="21"/>
                <w:highlight w:val="none"/>
              </w:rPr>
            </w:pPr>
          </w:p>
        </w:tc>
      </w:tr>
      <w:tr w14:paraId="60BB49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2486790">
            <w:pPr>
              <w:spacing w:line="360" w:lineRule="auto"/>
              <w:jc w:val="center"/>
              <w:rPr>
                <w:rFonts w:hint="eastAsia" w:ascii="宋体" w:hAnsi="宋体" w:eastAsia="宋体" w:cs="宋体"/>
                <w:color w:val="auto"/>
                <w:szCs w:val="21"/>
                <w:highlight w:val="none"/>
              </w:rPr>
            </w:pPr>
          </w:p>
        </w:tc>
        <w:tc>
          <w:tcPr>
            <w:tcW w:w="1276" w:type="dxa"/>
            <w:vAlign w:val="center"/>
          </w:tcPr>
          <w:p w14:paraId="38737C23">
            <w:pPr>
              <w:spacing w:line="360" w:lineRule="auto"/>
              <w:jc w:val="center"/>
              <w:rPr>
                <w:rFonts w:hint="eastAsia" w:ascii="宋体" w:hAnsi="宋体" w:eastAsia="宋体" w:cs="宋体"/>
                <w:color w:val="auto"/>
                <w:szCs w:val="21"/>
                <w:highlight w:val="none"/>
              </w:rPr>
            </w:pPr>
          </w:p>
        </w:tc>
        <w:tc>
          <w:tcPr>
            <w:tcW w:w="1418" w:type="dxa"/>
            <w:vAlign w:val="center"/>
          </w:tcPr>
          <w:p w14:paraId="08CAA84D">
            <w:pPr>
              <w:spacing w:line="360" w:lineRule="auto"/>
              <w:jc w:val="center"/>
              <w:rPr>
                <w:rFonts w:hint="eastAsia" w:ascii="宋体" w:hAnsi="宋体" w:eastAsia="宋体" w:cs="宋体"/>
                <w:color w:val="auto"/>
                <w:szCs w:val="21"/>
                <w:highlight w:val="none"/>
              </w:rPr>
            </w:pPr>
          </w:p>
        </w:tc>
        <w:tc>
          <w:tcPr>
            <w:tcW w:w="940" w:type="dxa"/>
            <w:vAlign w:val="center"/>
          </w:tcPr>
          <w:p w14:paraId="725098EF">
            <w:pPr>
              <w:spacing w:line="360" w:lineRule="auto"/>
              <w:jc w:val="center"/>
              <w:rPr>
                <w:rFonts w:hint="eastAsia" w:ascii="宋体" w:hAnsi="宋体" w:eastAsia="宋体" w:cs="宋体"/>
                <w:color w:val="auto"/>
                <w:szCs w:val="21"/>
                <w:highlight w:val="none"/>
              </w:rPr>
            </w:pPr>
          </w:p>
        </w:tc>
        <w:tc>
          <w:tcPr>
            <w:tcW w:w="851" w:type="dxa"/>
            <w:vAlign w:val="center"/>
          </w:tcPr>
          <w:p w14:paraId="28B31F03">
            <w:pPr>
              <w:spacing w:line="360" w:lineRule="auto"/>
              <w:jc w:val="center"/>
              <w:rPr>
                <w:rFonts w:hint="eastAsia" w:ascii="宋体" w:hAnsi="宋体" w:eastAsia="宋体" w:cs="宋体"/>
                <w:color w:val="auto"/>
                <w:szCs w:val="21"/>
                <w:highlight w:val="none"/>
              </w:rPr>
            </w:pPr>
          </w:p>
        </w:tc>
        <w:tc>
          <w:tcPr>
            <w:tcW w:w="1044" w:type="dxa"/>
            <w:vAlign w:val="center"/>
          </w:tcPr>
          <w:p w14:paraId="2F64B901">
            <w:pPr>
              <w:spacing w:line="360" w:lineRule="auto"/>
              <w:jc w:val="center"/>
              <w:rPr>
                <w:rFonts w:hint="eastAsia" w:ascii="宋体" w:hAnsi="宋体" w:eastAsia="宋体" w:cs="宋体"/>
                <w:color w:val="auto"/>
                <w:szCs w:val="21"/>
                <w:highlight w:val="none"/>
              </w:rPr>
            </w:pPr>
          </w:p>
        </w:tc>
        <w:tc>
          <w:tcPr>
            <w:tcW w:w="992" w:type="dxa"/>
            <w:vAlign w:val="center"/>
          </w:tcPr>
          <w:p w14:paraId="457D9844">
            <w:pPr>
              <w:spacing w:line="360" w:lineRule="auto"/>
              <w:jc w:val="center"/>
              <w:rPr>
                <w:rFonts w:hint="eastAsia" w:ascii="宋体" w:hAnsi="宋体" w:eastAsia="宋体" w:cs="宋体"/>
                <w:color w:val="auto"/>
                <w:szCs w:val="21"/>
                <w:highlight w:val="none"/>
              </w:rPr>
            </w:pPr>
          </w:p>
        </w:tc>
        <w:tc>
          <w:tcPr>
            <w:tcW w:w="851" w:type="dxa"/>
            <w:vAlign w:val="center"/>
          </w:tcPr>
          <w:p w14:paraId="0BDDB5CC">
            <w:pPr>
              <w:spacing w:line="360" w:lineRule="auto"/>
              <w:jc w:val="center"/>
              <w:rPr>
                <w:rFonts w:hint="eastAsia" w:ascii="宋体" w:hAnsi="宋体" w:eastAsia="宋体" w:cs="宋体"/>
                <w:color w:val="auto"/>
                <w:szCs w:val="21"/>
                <w:highlight w:val="none"/>
              </w:rPr>
            </w:pPr>
          </w:p>
        </w:tc>
        <w:tc>
          <w:tcPr>
            <w:tcW w:w="1487" w:type="dxa"/>
            <w:vAlign w:val="center"/>
          </w:tcPr>
          <w:p w14:paraId="2808FC5E">
            <w:pPr>
              <w:spacing w:line="360" w:lineRule="auto"/>
              <w:jc w:val="center"/>
              <w:rPr>
                <w:rFonts w:hint="eastAsia" w:ascii="宋体" w:hAnsi="宋体" w:eastAsia="宋体" w:cs="宋体"/>
                <w:color w:val="auto"/>
                <w:szCs w:val="21"/>
                <w:highlight w:val="none"/>
              </w:rPr>
            </w:pPr>
          </w:p>
        </w:tc>
        <w:tc>
          <w:tcPr>
            <w:tcW w:w="992" w:type="dxa"/>
            <w:vAlign w:val="center"/>
          </w:tcPr>
          <w:p w14:paraId="10854470">
            <w:pPr>
              <w:spacing w:line="360" w:lineRule="auto"/>
              <w:jc w:val="center"/>
              <w:rPr>
                <w:rFonts w:hint="eastAsia" w:ascii="宋体" w:hAnsi="宋体" w:eastAsia="宋体" w:cs="宋体"/>
                <w:color w:val="auto"/>
                <w:szCs w:val="21"/>
                <w:highlight w:val="none"/>
              </w:rPr>
            </w:pPr>
          </w:p>
        </w:tc>
      </w:tr>
      <w:tr w14:paraId="6F433C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63BAB10">
            <w:pPr>
              <w:spacing w:line="360" w:lineRule="auto"/>
              <w:jc w:val="center"/>
              <w:rPr>
                <w:rFonts w:hint="eastAsia" w:ascii="宋体" w:hAnsi="宋体" w:eastAsia="宋体" w:cs="宋体"/>
                <w:color w:val="auto"/>
                <w:szCs w:val="21"/>
                <w:highlight w:val="none"/>
              </w:rPr>
            </w:pPr>
          </w:p>
        </w:tc>
        <w:tc>
          <w:tcPr>
            <w:tcW w:w="1276" w:type="dxa"/>
            <w:vAlign w:val="center"/>
          </w:tcPr>
          <w:p w14:paraId="4AC34991">
            <w:pPr>
              <w:spacing w:line="360" w:lineRule="auto"/>
              <w:jc w:val="center"/>
              <w:rPr>
                <w:rFonts w:hint="eastAsia" w:ascii="宋体" w:hAnsi="宋体" w:eastAsia="宋体" w:cs="宋体"/>
                <w:color w:val="auto"/>
                <w:szCs w:val="21"/>
                <w:highlight w:val="none"/>
              </w:rPr>
            </w:pPr>
          </w:p>
        </w:tc>
        <w:tc>
          <w:tcPr>
            <w:tcW w:w="1418" w:type="dxa"/>
            <w:vAlign w:val="center"/>
          </w:tcPr>
          <w:p w14:paraId="4687B598">
            <w:pPr>
              <w:spacing w:line="360" w:lineRule="auto"/>
              <w:jc w:val="center"/>
              <w:rPr>
                <w:rFonts w:hint="eastAsia" w:ascii="宋体" w:hAnsi="宋体" w:eastAsia="宋体" w:cs="宋体"/>
                <w:color w:val="auto"/>
                <w:szCs w:val="21"/>
                <w:highlight w:val="none"/>
              </w:rPr>
            </w:pPr>
          </w:p>
        </w:tc>
        <w:tc>
          <w:tcPr>
            <w:tcW w:w="940" w:type="dxa"/>
            <w:vAlign w:val="center"/>
          </w:tcPr>
          <w:p w14:paraId="661DFC8E">
            <w:pPr>
              <w:spacing w:line="360" w:lineRule="auto"/>
              <w:jc w:val="center"/>
              <w:rPr>
                <w:rFonts w:hint="eastAsia" w:ascii="宋体" w:hAnsi="宋体" w:eastAsia="宋体" w:cs="宋体"/>
                <w:color w:val="auto"/>
                <w:szCs w:val="21"/>
                <w:highlight w:val="none"/>
              </w:rPr>
            </w:pPr>
          </w:p>
        </w:tc>
        <w:tc>
          <w:tcPr>
            <w:tcW w:w="851" w:type="dxa"/>
            <w:vAlign w:val="center"/>
          </w:tcPr>
          <w:p w14:paraId="4DA445AD">
            <w:pPr>
              <w:spacing w:line="360" w:lineRule="auto"/>
              <w:jc w:val="center"/>
              <w:rPr>
                <w:rFonts w:hint="eastAsia" w:ascii="宋体" w:hAnsi="宋体" w:eastAsia="宋体" w:cs="宋体"/>
                <w:color w:val="auto"/>
                <w:szCs w:val="21"/>
                <w:highlight w:val="none"/>
              </w:rPr>
            </w:pPr>
          </w:p>
        </w:tc>
        <w:tc>
          <w:tcPr>
            <w:tcW w:w="1044" w:type="dxa"/>
            <w:vAlign w:val="center"/>
          </w:tcPr>
          <w:p w14:paraId="542C3DC1">
            <w:pPr>
              <w:spacing w:line="360" w:lineRule="auto"/>
              <w:jc w:val="center"/>
              <w:rPr>
                <w:rFonts w:hint="eastAsia" w:ascii="宋体" w:hAnsi="宋体" w:eastAsia="宋体" w:cs="宋体"/>
                <w:color w:val="auto"/>
                <w:szCs w:val="21"/>
                <w:highlight w:val="none"/>
              </w:rPr>
            </w:pPr>
          </w:p>
        </w:tc>
        <w:tc>
          <w:tcPr>
            <w:tcW w:w="992" w:type="dxa"/>
            <w:vAlign w:val="center"/>
          </w:tcPr>
          <w:p w14:paraId="05C90036">
            <w:pPr>
              <w:spacing w:line="360" w:lineRule="auto"/>
              <w:jc w:val="center"/>
              <w:rPr>
                <w:rFonts w:hint="eastAsia" w:ascii="宋体" w:hAnsi="宋体" w:eastAsia="宋体" w:cs="宋体"/>
                <w:color w:val="auto"/>
                <w:szCs w:val="21"/>
                <w:highlight w:val="none"/>
              </w:rPr>
            </w:pPr>
          </w:p>
        </w:tc>
        <w:tc>
          <w:tcPr>
            <w:tcW w:w="851" w:type="dxa"/>
            <w:vAlign w:val="center"/>
          </w:tcPr>
          <w:p w14:paraId="414535D2">
            <w:pPr>
              <w:spacing w:line="360" w:lineRule="auto"/>
              <w:jc w:val="center"/>
              <w:rPr>
                <w:rFonts w:hint="eastAsia" w:ascii="宋体" w:hAnsi="宋体" w:eastAsia="宋体" w:cs="宋体"/>
                <w:color w:val="auto"/>
                <w:szCs w:val="21"/>
                <w:highlight w:val="none"/>
              </w:rPr>
            </w:pPr>
          </w:p>
        </w:tc>
        <w:tc>
          <w:tcPr>
            <w:tcW w:w="1487" w:type="dxa"/>
            <w:vAlign w:val="center"/>
          </w:tcPr>
          <w:p w14:paraId="4A46CB74">
            <w:pPr>
              <w:spacing w:line="360" w:lineRule="auto"/>
              <w:jc w:val="center"/>
              <w:rPr>
                <w:rFonts w:hint="eastAsia" w:ascii="宋体" w:hAnsi="宋体" w:eastAsia="宋体" w:cs="宋体"/>
                <w:color w:val="auto"/>
                <w:szCs w:val="21"/>
                <w:highlight w:val="none"/>
              </w:rPr>
            </w:pPr>
          </w:p>
        </w:tc>
        <w:tc>
          <w:tcPr>
            <w:tcW w:w="992" w:type="dxa"/>
            <w:vAlign w:val="center"/>
          </w:tcPr>
          <w:p w14:paraId="0A8E6D69">
            <w:pPr>
              <w:spacing w:line="360" w:lineRule="auto"/>
              <w:jc w:val="center"/>
              <w:rPr>
                <w:rFonts w:hint="eastAsia" w:ascii="宋体" w:hAnsi="宋体" w:eastAsia="宋体" w:cs="宋体"/>
                <w:color w:val="auto"/>
                <w:szCs w:val="21"/>
                <w:highlight w:val="none"/>
              </w:rPr>
            </w:pPr>
          </w:p>
        </w:tc>
      </w:tr>
      <w:tr w14:paraId="1171AA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7929FC1">
            <w:pPr>
              <w:spacing w:line="360" w:lineRule="auto"/>
              <w:jc w:val="center"/>
              <w:rPr>
                <w:rFonts w:hint="eastAsia" w:ascii="宋体" w:hAnsi="宋体" w:eastAsia="宋体" w:cs="宋体"/>
                <w:color w:val="auto"/>
                <w:szCs w:val="21"/>
                <w:highlight w:val="none"/>
              </w:rPr>
            </w:pPr>
          </w:p>
        </w:tc>
        <w:tc>
          <w:tcPr>
            <w:tcW w:w="1276" w:type="dxa"/>
            <w:vAlign w:val="center"/>
          </w:tcPr>
          <w:p w14:paraId="7EE18F8E">
            <w:pPr>
              <w:spacing w:line="360" w:lineRule="auto"/>
              <w:jc w:val="center"/>
              <w:rPr>
                <w:rFonts w:hint="eastAsia" w:ascii="宋体" w:hAnsi="宋体" w:eastAsia="宋体" w:cs="宋体"/>
                <w:color w:val="auto"/>
                <w:szCs w:val="21"/>
                <w:highlight w:val="none"/>
              </w:rPr>
            </w:pPr>
          </w:p>
        </w:tc>
        <w:tc>
          <w:tcPr>
            <w:tcW w:w="1418" w:type="dxa"/>
            <w:vAlign w:val="center"/>
          </w:tcPr>
          <w:p w14:paraId="3A187830">
            <w:pPr>
              <w:spacing w:line="360" w:lineRule="auto"/>
              <w:jc w:val="center"/>
              <w:rPr>
                <w:rFonts w:hint="eastAsia" w:ascii="宋体" w:hAnsi="宋体" w:eastAsia="宋体" w:cs="宋体"/>
                <w:color w:val="auto"/>
                <w:szCs w:val="21"/>
                <w:highlight w:val="none"/>
              </w:rPr>
            </w:pPr>
          </w:p>
        </w:tc>
        <w:tc>
          <w:tcPr>
            <w:tcW w:w="940" w:type="dxa"/>
            <w:vAlign w:val="center"/>
          </w:tcPr>
          <w:p w14:paraId="30A38972">
            <w:pPr>
              <w:spacing w:line="360" w:lineRule="auto"/>
              <w:jc w:val="center"/>
              <w:rPr>
                <w:rFonts w:hint="eastAsia" w:ascii="宋体" w:hAnsi="宋体" w:eastAsia="宋体" w:cs="宋体"/>
                <w:color w:val="auto"/>
                <w:szCs w:val="21"/>
                <w:highlight w:val="none"/>
              </w:rPr>
            </w:pPr>
          </w:p>
        </w:tc>
        <w:tc>
          <w:tcPr>
            <w:tcW w:w="851" w:type="dxa"/>
            <w:vAlign w:val="center"/>
          </w:tcPr>
          <w:p w14:paraId="5FD697CE">
            <w:pPr>
              <w:spacing w:line="360" w:lineRule="auto"/>
              <w:jc w:val="center"/>
              <w:rPr>
                <w:rFonts w:hint="eastAsia" w:ascii="宋体" w:hAnsi="宋体" w:eastAsia="宋体" w:cs="宋体"/>
                <w:color w:val="auto"/>
                <w:szCs w:val="21"/>
                <w:highlight w:val="none"/>
              </w:rPr>
            </w:pPr>
          </w:p>
        </w:tc>
        <w:tc>
          <w:tcPr>
            <w:tcW w:w="1044" w:type="dxa"/>
            <w:vAlign w:val="center"/>
          </w:tcPr>
          <w:p w14:paraId="1DE30FEB">
            <w:pPr>
              <w:spacing w:line="360" w:lineRule="auto"/>
              <w:jc w:val="center"/>
              <w:rPr>
                <w:rFonts w:hint="eastAsia" w:ascii="宋体" w:hAnsi="宋体" w:eastAsia="宋体" w:cs="宋体"/>
                <w:color w:val="auto"/>
                <w:szCs w:val="21"/>
                <w:highlight w:val="none"/>
              </w:rPr>
            </w:pPr>
          </w:p>
        </w:tc>
        <w:tc>
          <w:tcPr>
            <w:tcW w:w="992" w:type="dxa"/>
            <w:vAlign w:val="center"/>
          </w:tcPr>
          <w:p w14:paraId="249BEB05">
            <w:pPr>
              <w:spacing w:line="360" w:lineRule="auto"/>
              <w:jc w:val="center"/>
              <w:rPr>
                <w:rFonts w:hint="eastAsia" w:ascii="宋体" w:hAnsi="宋体" w:eastAsia="宋体" w:cs="宋体"/>
                <w:color w:val="auto"/>
                <w:szCs w:val="21"/>
                <w:highlight w:val="none"/>
              </w:rPr>
            </w:pPr>
          </w:p>
        </w:tc>
        <w:tc>
          <w:tcPr>
            <w:tcW w:w="851" w:type="dxa"/>
            <w:vAlign w:val="center"/>
          </w:tcPr>
          <w:p w14:paraId="2ED07ED9">
            <w:pPr>
              <w:spacing w:line="360" w:lineRule="auto"/>
              <w:jc w:val="center"/>
              <w:rPr>
                <w:rFonts w:hint="eastAsia" w:ascii="宋体" w:hAnsi="宋体" w:eastAsia="宋体" w:cs="宋体"/>
                <w:color w:val="auto"/>
                <w:szCs w:val="21"/>
                <w:highlight w:val="none"/>
              </w:rPr>
            </w:pPr>
          </w:p>
        </w:tc>
        <w:tc>
          <w:tcPr>
            <w:tcW w:w="1487" w:type="dxa"/>
            <w:vAlign w:val="center"/>
          </w:tcPr>
          <w:p w14:paraId="463666CB">
            <w:pPr>
              <w:spacing w:line="360" w:lineRule="auto"/>
              <w:jc w:val="center"/>
              <w:rPr>
                <w:rFonts w:hint="eastAsia" w:ascii="宋体" w:hAnsi="宋体" w:eastAsia="宋体" w:cs="宋体"/>
                <w:color w:val="auto"/>
                <w:szCs w:val="21"/>
                <w:highlight w:val="none"/>
              </w:rPr>
            </w:pPr>
          </w:p>
        </w:tc>
        <w:tc>
          <w:tcPr>
            <w:tcW w:w="992" w:type="dxa"/>
            <w:vAlign w:val="center"/>
          </w:tcPr>
          <w:p w14:paraId="537FE45A">
            <w:pPr>
              <w:spacing w:line="360" w:lineRule="auto"/>
              <w:jc w:val="center"/>
              <w:rPr>
                <w:rFonts w:hint="eastAsia" w:ascii="宋体" w:hAnsi="宋体" w:eastAsia="宋体" w:cs="宋体"/>
                <w:color w:val="auto"/>
                <w:szCs w:val="21"/>
                <w:highlight w:val="none"/>
              </w:rPr>
            </w:pPr>
          </w:p>
        </w:tc>
      </w:tr>
      <w:tr w14:paraId="3F5C03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5318F2A">
            <w:pPr>
              <w:spacing w:line="360" w:lineRule="auto"/>
              <w:jc w:val="center"/>
              <w:rPr>
                <w:rFonts w:hint="eastAsia" w:ascii="宋体" w:hAnsi="宋体" w:eastAsia="宋体" w:cs="宋体"/>
                <w:color w:val="auto"/>
                <w:szCs w:val="21"/>
                <w:highlight w:val="none"/>
              </w:rPr>
            </w:pPr>
          </w:p>
        </w:tc>
        <w:tc>
          <w:tcPr>
            <w:tcW w:w="1276" w:type="dxa"/>
            <w:vAlign w:val="center"/>
          </w:tcPr>
          <w:p w14:paraId="0BA8381B">
            <w:pPr>
              <w:spacing w:line="360" w:lineRule="auto"/>
              <w:jc w:val="center"/>
              <w:rPr>
                <w:rFonts w:hint="eastAsia" w:ascii="宋体" w:hAnsi="宋体" w:eastAsia="宋体" w:cs="宋体"/>
                <w:color w:val="auto"/>
                <w:szCs w:val="21"/>
                <w:highlight w:val="none"/>
              </w:rPr>
            </w:pPr>
          </w:p>
        </w:tc>
        <w:tc>
          <w:tcPr>
            <w:tcW w:w="1418" w:type="dxa"/>
            <w:vAlign w:val="center"/>
          </w:tcPr>
          <w:p w14:paraId="642690F6">
            <w:pPr>
              <w:spacing w:line="360" w:lineRule="auto"/>
              <w:jc w:val="center"/>
              <w:rPr>
                <w:rFonts w:hint="eastAsia" w:ascii="宋体" w:hAnsi="宋体" w:eastAsia="宋体" w:cs="宋体"/>
                <w:color w:val="auto"/>
                <w:szCs w:val="21"/>
                <w:highlight w:val="none"/>
              </w:rPr>
            </w:pPr>
          </w:p>
        </w:tc>
        <w:tc>
          <w:tcPr>
            <w:tcW w:w="940" w:type="dxa"/>
            <w:vAlign w:val="center"/>
          </w:tcPr>
          <w:p w14:paraId="375D059E">
            <w:pPr>
              <w:spacing w:line="360" w:lineRule="auto"/>
              <w:jc w:val="center"/>
              <w:rPr>
                <w:rFonts w:hint="eastAsia" w:ascii="宋体" w:hAnsi="宋体" w:eastAsia="宋体" w:cs="宋体"/>
                <w:color w:val="auto"/>
                <w:szCs w:val="21"/>
                <w:highlight w:val="none"/>
              </w:rPr>
            </w:pPr>
          </w:p>
        </w:tc>
        <w:tc>
          <w:tcPr>
            <w:tcW w:w="851" w:type="dxa"/>
            <w:vAlign w:val="center"/>
          </w:tcPr>
          <w:p w14:paraId="03FE9BA8">
            <w:pPr>
              <w:spacing w:line="360" w:lineRule="auto"/>
              <w:jc w:val="center"/>
              <w:rPr>
                <w:rFonts w:hint="eastAsia" w:ascii="宋体" w:hAnsi="宋体" w:eastAsia="宋体" w:cs="宋体"/>
                <w:color w:val="auto"/>
                <w:szCs w:val="21"/>
                <w:highlight w:val="none"/>
              </w:rPr>
            </w:pPr>
          </w:p>
        </w:tc>
        <w:tc>
          <w:tcPr>
            <w:tcW w:w="1044" w:type="dxa"/>
            <w:vAlign w:val="center"/>
          </w:tcPr>
          <w:p w14:paraId="08C7B03B">
            <w:pPr>
              <w:spacing w:line="360" w:lineRule="auto"/>
              <w:jc w:val="center"/>
              <w:rPr>
                <w:rFonts w:hint="eastAsia" w:ascii="宋体" w:hAnsi="宋体" w:eastAsia="宋体" w:cs="宋体"/>
                <w:color w:val="auto"/>
                <w:szCs w:val="21"/>
                <w:highlight w:val="none"/>
              </w:rPr>
            </w:pPr>
          </w:p>
        </w:tc>
        <w:tc>
          <w:tcPr>
            <w:tcW w:w="992" w:type="dxa"/>
            <w:vAlign w:val="center"/>
          </w:tcPr>
          <w:p w14:paraId="70C267AE">
            <w:pPr>
              <w:spacing w:line="360" w:lineRule="auto"/>
              <w:jc w:val="center"/>
              <w:rPr>
                <w:rFonts w:hint="eastAsia" w:ascii="宋体" w:hAnsi="宋体" w:eastAsia="宋体" w:cs="宋体"/>
                <w:color w:val="auto"/>
                <w:szCs w:val="21"/>
                <w:highlight w:val="none"/>
              </w:rPr>
            </w:pPr>
          </w:p>
        </w:tc>
        <w:tc>
          <w:tcPr>
            <w:tcW w:w="851" w:type="dxa"/>
            <w:vAlign w:val="center"/>
          </w:tcPr>
          <w:p w14:paraId="2C0D553B">
            <w:pPr>
              <w:spacing w:line="360" w:lineRule="auto"/>
              <w:jc w:val="center"/>
              <w:rPr>
                <w:rFonts w:hint="eastAsia" w:ascii="宋体" w:hAnsi="宋体" w:eastAsia="宋体" w:cs="宋体"/>
                <w:color w:val="auto"/>
                <w:szCs w:val="21"/>
                <w:highlight w:val="none"/>
              </w:rPr>
            </w:pPr>
          </w:p>
        </w:tc>
        <w:tc>
          <w:tcPr>
            <w:tcW w:w="1487" w:type="dxa"/>
            <w:vAlign w:val="center"/>
          </w:tcPr>
          <w:p w14:paraId="1186ED41">
            <w:pPr>
              <w:spacing w:line="360" w:lineRule="auto"/>
              <w:jc w:val="center"/>
              <w:rPr>
                <w:rFonts w:hint="eastAsia" w:ascii="宋体" w:hAnsi="宋体" w:eastAsia="宋体" w:cs="宋体"/>
                <w:color w:val="auto"/>
                <w:szCs w:val="21"/>
                <w:highlight w:val="none"/>
              </w:rPr>
            </w:pPr>
          </w:p>
        </w:tc>
        <w:tc>
          <w:tcPr>
            <w:tcW w:w="992" w:type="dxa"/>
            <w:vAlign w:val="center"/>
          </w:tcPr>
          <w:p w14:paraId="2980413A">
            <w:pPr>
              <w:spacing w:line="360" w:lineRule="auto"/>
              <w:jc w:val="center"/>
              <w:rPr>
                <w:rFonts w:hint="eastAsia" w:ascii="宋体" w:hAnsi="宋体" w:eastAsia="宋体" w:cs="宋体"/>
                <w:color w:val="auto"/>
                <w:szCs w:val="21"/>
                <w:highlight w:val="none"/>
              </w:rPr>
            </w:pPr>
          </w:p>
        </w:tc>
      </w:tr>
      <w:tr w14:paraId="523B5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4306949">
            <w:pPr>
              <w:spacing w:line="360" w:lineRule="auto"/>
              <w:jc w:val="center"/>
              <w:rPr>
                <w:rFonts w:hint="eastAsia" w:ascii="宋体" w:hAnsi="宋体" w:eastAsia="宋体" w:cs="宋体"/>
                <w:color w:val="auto"/>
                <w:szCs w:val="21"/>
                <w:highlight w:val="none"/>
              </w:rPr>
            </w:pPr>
          </w:p>
        </w:tc>
        <w:tc>
          <w:tcPr>
            <w:tcW w:w="1276" w:type="dxa"/>
            <w:vAlign w:val="center"/>
          </w:tcPr>
          <w:p w14:paraId="1E08DAE6">
            <w:pPr>
              <w:spacing w:line="360" w:lineRule="auto"/>
              <w:jc w:val="center"/>
              <w:rPr>
                <w:rFonts w:hint="eastAsia" w:ascii="宋体" w:hAnsi="宋体" w:eastAsia="宋体" w:cs="宋体"/>
                <w:color w:val="auto"/>
                <w:szCs w:val="21"/>
                <w:highlight w:val="none"/>
              </w:rPr>
            </w:pPr>
          </w:p>
        </w:tc>
        <w:tc>
          <w:tcPr>
            <w:tcW w:w="1418" w:type="dxa"/>
            <w:vAlign w:val="center"/>
          </w:tcPr>
          <w:p w14:paraId="15D40430">
            <w:pPr>
              <w:spacing w:line="360" w:lineRule="auto"/>
              <w:jc w:val="center"/>
              <w:rPr>
                <w:rFonts w:hint="eastAsia" w:ascii="宋体" w:hAnsi="宋体" w:eastAsia="宋体" w:cs="宋体"/>
                <w:color w:val="auto"/>
                <w:szCs w:val="21"/>
                <w:highlight w:val="none"/>
              </w:rPr>
            </w:pPr>
          </w:p>
        </w:tc>
        <w:tc>
          <w:tcPr>
            <w:tcW w:w="940" w:type="dxa"/>
            <w:vAlign w:val="center"/>
          </w:tcPr>
          <w:p w14:paraId="023DE4AF">
            <w:pPr>
              <w:spacing w:line="360" w:lineRule="auto"/>
              <w:jc w:val="center"/>
              <w:rPr>
                <w:rFonts w:hint="eastAsia" w:ascii="宋体" w:hAnsi="宋体" w:eastAsia="宋体" w:cs="宋体"/>
                <w:color w:val="auto"/>
                <w:szCs w:val="21"/>
                <w:highlight w:val="none"/>
              </w:rPr>
            </w:pPr>
          </w:p>
        </w:tc>
        <w:tc>
          <w:tcPr>
            <w:tcW w:w="851" w:type="dxa"/>
            <w:vAlign w:val="center"/>
          </w:tcPr>
          <w:p w14:paraId="7D9E58A4">
            <w:pPr>
              <w:spacing w:line="360" w:lineRule="auto"/>
              <w:jc w:val="center"/>
              <w:rPr>
                <w:rFonts w:hint="eastAsia" w:ascii="宋体" w:hAnsi="宋体" w:eastAsia="宋体" w:cs="宋体"/>
                <w:color w:val="auto"/>
                <w:szCs w:val="21"/>
                <w:highlight w:val="none"/>
              </w:rPr>
            </w:pPr>
          </w:p>
        </w:tc>
        <w:tc>
          <w:tcPr>
            <w:tcW w:w="1044" w:type="dxa"/>
            <w:vAlign w:val="center"/>
          </w:tcPr>
          <w:p w14:paraId="3A4930B4">
            <w:pPr>
              <w:spacing w:line="360" w:lineRule="auto"/>
              <w:jc w:val="center"/>
              <w:rPr>
                <w:rFonts w:hint="eastAsia" w:ascii="宋体" w:hAnsi="宋体" w:eastAsia="宋体" w:cs="宋体"/>
                <w:color w:val="auto"/>
                <w:szCs w:val="21"/>
                <w:highlight w:val="none"/>
              </w:rPr>
            </w:pPr>
          </w:p>
        </w:tc>
        <w:tc>
          <w:tcPr>
            <w:tcW w:w="992" w:type="dxa"/>
            <w:vAlign w:val="center"/>
          </w:tcPr>
          <w:p w14:paraId="6461A841">
            <w:pPr>
              <w:spacing w:line="360" w:lineRule="auto"/>
              <w:jc w:val="center"/>
              <w:rPr>
                <w:rFonts w:hint="eastAsia" w:ascii="宋体" w:hAnsi="宋体" w:eastAsia="宋体" w:cs="宋体"/>
                <w:color w:val="auto"/>
                <w:szCs w:val="21"/>
                <w:highlight w:val="none"/>
              </w:rPr>
            </w:pPr>
          </w:p>
        </w:tc>
        <w:tc>
          <w:tcPr>
            <w:tcW w:w="851" w:type="dxa"/>
            <w:vAlign w:val="center"/>
          </w:tcPr>
          <w:p w14:paraId="752D924C">
            <w:pPr>
              <w:spacing w:line="360" w:lineRule="auto"/>
              <w:jc w:val="center"/>
              <w:rPr>
                <w:rFonts w:hint="eastAsia" w:ascii="宋体" w:hAnsi="宋体" w:eastAsia="宋体" w:cs="宋体"/>
                <w:color w:val="auto"/>
                <w:szCs w:val="21"/>
                <w:highlight w:val="none"/>
              </w:rPr>
            </w:pPr>
          </w:p>
        </w:tc>
        <w:tc>
          <w:tcPr>
            <w:tcW w:w="1487" w:type="dxa"/>
            <w:vAlign w:val="center"/>
          </w:tcPr>
          <w:p w14:paraId="73747EA7">
            <w:pPr>
              <w:spacing w:line="360" w:lineRule="auto"/>
              <w:jc w:val="center"/>
              <w:rPr>
                <w:rFonts w:hint="eastAsia" w:ascii="宋体" w:hAnsi="宋体" w:eastAsia="宋体" w:cs="宋体"/>
                <w:color w:val="auto"/>
                <w:szCs w:val="21"/>
                <w:highlight w:val="none"/>
              </w:rPr>
            </w:pPr>
          </w:p>
        </w:tc>
        <w:tc>
          <w:tcPr>
            <w:tcW w:w="992" w:type="dxa"/>
            <w:vAlign w:val="center"/>
          </w:tcPr>
          <w:p w14:paraId="7206ED05">
            <w:pPr>
              <w:spacing w:line="360" w:lineRule="auto"/>
              <w:jc w:val="center"/>
              <w:rPr>
                <w:rFonts w:hint="eastAsia" w:ascii="宋体" w:hAnsi="宋体" w:eastAsia="宋体" w:cs="宋体"/>
                <w:color w:val="auto"/>
                <w:szCs w:val="21"/>
                <w:highlight w:val="none"/>
              </w:rPr>
            </w:pPr>
          </w:p>
        </w:tc>
      </w:tr>
      <w:tr w14:paraId="1C9ABC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F093A08">
            <w:pPr>
              <w:spacing w:line="360" w:lineRule="auto"/>
              <w:jc w:val="center"/>
              <w:rPr>
                <w:rFonts w:hint="eastAsia" w:ascii="宋体" w:hAnsi="宋体" w:eastAsia="宋体" w:cs="宋体"/>
                <w:color w:val="auto"/>
                <w:szCs w:val="21"/>
                <w:highlight w:val="none"/>
              </w:rPr>
            </w:pPr>
          </w:p>
        </w:tc>
        <w:tc>
          <w:tcPr>
            <w:tcW w:w="1276" w:type="dxa"/>
            <w:vAlign w:val="center"/>
          </w:tcPr>
          <w:p w14:paraId="4C273768">
            <w:pPr>
              <w:spacing w:line="360" w:lineRule="auto"/>
              <w:jc w:val="center"/>
              <w:rPr>
                <w:rFonts w:hint="eastAsia" w:ascii="宋体" w:hAnsi="宋体" w:eastAsia="宋体" w:cs="宋体"/>
                <w:color w:val="auto"/>
                <w:szCs w:val="21"/>
                <w:highlight w:val="none"/>
              </w:rPr>
            </w:pPr>
          </w:p>
        </w:tc>
        <w:tc>
          <w:tcPr>
            <w:tcW w:w="1418" w:type="dxa"/>
            <w:vAlign w:val="center"/>
          </w:tcPr>
          <w:p w14:paraId="02636DF3">
            <w:pPr>
              <w:spacing w:line="360" w:lineRule="auto"/>
              <w:jc w:val="center"/>
              <w:rPr>
                <w:rFonts w:hint="eastAsia" w:ascii="宋体" w:hAnsi="宋体" w:eastAsia="宋体" w:cs="宋体"/>
                <w:color w:val="auto"/>
                <w:szCs w:val="21"/>
                <w:highlight w:val="none"/>
              </w:rPr>
            </w:pPr>
          </w:p>
        </w:tc>
        <w:tc>
          <w:tcPr>
            <w:tcW w:w="940" w:type="dxa"/>
            <w:vAlign w:val="center"/>
          </w:tcPr>
          <w:p w14:paraId="1955557F">
            <w:pPr>
              <w:spacing w:line="360" w:lineRule="auto"/>
              <w:jc w:val="center"/>
              <w:rPr>
                <w:rFonts w:hint="eastAsia" w:ascii="宋体" w:hAnsi="宋体" w:eastAsia="宋体" w:cs="宋体"/>
                <w:color w:val="auto"/>
                <w:szCs w:val="21"/>
                <w:highlight w:val="none"/>
              </w:rPr>
            </w:pPr>
          </w:p>
        </w:tc>
        <w:tc>
          <w:tcPr>
            <w:tcW w:w="851" w:type="dxa"/>
            <w:vAlign w:val="center"/>
          </w:tcPr>
          <w:p w14:paraId="59E12C7D">
            <w:pPr>
              <w:spacing w:line="360" w:lineRule="auto"/>
              <w:jc w:val="center"/>
              <w:rPr>
                <w:rFonts w:hint="eastAsia" w:ascii="宋体" w:hAnsi="宋体" w:eastAsia="宋体" w:cs="宋体"/>
                <w:color w:val="auto"/>
                <w:szCs w:val="21"/>
                <w:highlight w:val="none"/>
              </w:rPr>
            </w:pPr>
          </w:p>
        </w:tc>
        <w:tc>
          <w:tcPr>
            <w:tcW w:w="1044" w:type="dxa"/>
            <w:vAlign w:val="center"/>
          </w:tcPr>
          <w:p w14:paraId="1BA3A5F4">
            <w:pPr>
              <w:spacing w:line="360" w:lineRule="auto"/>
              <w:jc w:val="center"/>
              <w:rPr>
                <w:rFonts w:hint="eastAsia" w:ascii="宋体" w:hAnsi="宋体" w:eastAsia="宋体" w:cs="宋体"/>
                <w:color w:val="auto"/>
                <w:szCs w:val="21"/>
                <w:highlight w:val="none"/>
              </w:rPr>
            </w:pPr>
          </w:p>
        </w:tc>
        <w:tc>
          <w:tcPr>
            <w:tcW w:w="992" w:type="dxa"/>
            <w:vAlign w:val="center"/>
          </w:tcPr>
          <w:p w14:paraId="7F198108">
            <w:pPr>
              <w:spacing w:line="360" w:lineRule="auto"/>
              <w:jc w:val="center"/>
              <w:rPr>
                <w:rFonts w:hint="eastAsia" w:ascii="宋体" w:hAnsi="宋体" w:eastAsia="宋体" w:cs="宋体"/>
                <w:color w:val="auto"/>
                <w:szCs w:val="21"/>
                <w:highlight w:val="none"/>
              </w:rPr>
            </w:pPr>
          </w:p>
        </w:tc>
        <w:tc>
          <w:tcPr>
            <w:tcW w:w="851" w:type="dxa"/>
            <w:vAlign w:val="center"/>
          </w:tcPr>
          <w:p w14:paraId="182C4195">
            <w:pPr>
              <w:spacing w:line="360" w:lineRule="auto"/>
              <w:jc w:val="center"/>
              <w:rPr>
                <w:rFonts w:hint="eastAsia" w:ascii="宋体" w:hAnsi="宋体" w:eastAsia="宋体" w:cs="宋体"/>
                <w:color w:val="auto"/>
                <w:szCs w:val="21"/>
                <w:highlight w:val="none"/>
              </w:rPr>
            </w:pPr>
          </w:p>
        </w:tc>
        <w:tc>
          <w:tcPr>
            <w:tcW w:w="1487" w:type="dxa"/>
            <w:vAlign w:val="center"/>
          </w:tcPr>
          <w:p w14:paraId="614BCF8A">
            <w:pPr>
              <w:spacing w:line="360" w:lineRule="auto"/>
              <w:jc w:val="center"/>
              <w:rPr>
                <w:rFonts w:hint="eastAsia" w:ascii="宋体" w:hAnsi="宋体" w:eastAsia="宋体" w:cs="宋体"/>
                <w:color w:val="auto"/>
                <w:szCs w:val="21"/>
                <w:highlight w:val="none"/>
              </w:rPr>
            </w:pPr>
          </w:p>
        </w:tc>
        <w:tc>
          <w:tcPr>
            <w:tcW w:w="992" w:type="dxa"/>
            <w:vAlign w:val="center"/>
          </w:tcPr>
          <w:p w14:paraId="537AA8AA">
            <w:pPr>
              <w:spacing w:line="360" w:lineRule="auto"/>
              <w:jc w:val="center"/>
              <w:rPr>
                <w:rFonts w:hint="eastAsia" w:ascii="宋体" w:hAnsi="宋体" w:eastAsia="宋体" w:cs="宋体"/>
                <w:color w:val="auto"/>
                <w:szCs w:val="21"/>
                <w:highlight w:val="none"/>
              </w:rPr>
            </w:pPr>
          </w:p>
        </w:tc>
      </w:tr>
      <w:tr w14:paraId="1201E7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8AF3FBA">
            <w:pPr>
              <w:spacing w:line="360" w:lineRule="auto"/>
              <w:jc w:val="center"/>
              <w:rPr>
                <w:rFonts w:hint="eastAsia" w:ascii="宋体" w:hAnsi="宋体" w:eastAsia="宋体" w:cs="宋体"/>
                <w:color w:val="auto"/>
                <w:szCs w:val="21"/>
                <w:highlight w:val="none"/>
              </w:rPr>
            </w:pPr>
          </w:p>
        </w:tc>
        <w:tc>
          <w:tcPr>
            <w:tcW w:w="1276" w:type="dxa"/>
            <w:vAlign w:val="center"/>
          </w:tcPr>
          <w:p w14:paraId="002151B2">
            <w:pPr>
              <w:spacing w:line="360" w:lineRule="auto"/>
              <w:jc w:val="center"/>
              <w:rPr>
                <w:rFonts w:hint="eastAsia" w:ascii="宋体" w:hAnsi="宋体" w:eastAsia="宋体" w:cs="宋体"/>
                <w:color w:val="auto"/>
                <w:szCs w:val="21"/>
                <w:highlight w:val="none"/>
              </w:rPr>
            </w:pPr>
          </w:p>
        </w:tc>
        <w:tc>
          <w:tcPr>
            <w:tcW w:w="1418" w:type="dxa"/>
            <w:vAlign w:val="center"/>
          </w:tcPr>
          <w:p w14:paraId="44F69FFF">
            <w:pPr>
              <w:spacing w:line="360" w:lineRule="auto"/>
              <w:jc w:val="center"/>
              <w:rPr>
                <w:rFonts w:hint="eastAsia" w:ascii="宋体" w:hAnsi="宋体" w:eastAsia="宋体" w:cs="宋体"/>
                <w:color w:val="auto"/>
                <w:szCs w:val="21"/>
                <w:highlight w:val="none"/>
              </w:rPr>
            </w:pPr>
          </w:p>
        </w:tc>
        <w:tc>
          <w:tcPr>
            <w:tcW w:w="940" w:type="dxa"/>
            <w:vAlign w:val="center"/>
          </w:tcPr>
          <w:p w14:paraId="79F344BC">
            <w:pPr>
              <w:spacing w:line="360" w:lineRule="auto"/>
              <w:jc w:val="center"/>
              <w:rPr>
                <w:rFonts w:hint="eastAsia" w:ascii="宋体" w:hAnsi="宋体" w:eastAsia="宋体" w:cs="宋体"/>
                <w:color w:val="auto"/>
                <w:szCs w:val="21"/>
                <w:highlight w:val="none"/>
              </w:rPr>
            </w:pPr>
          </w:p>
        </w:tc>
        <w:tc>
          <w:tcPr>
            <w:tcW w:w="851" w:type="dxa"/>
            <w:vAlign w:val="center"/>
          </w:tcPr>
          <w:p w14:paraId="55A3BBB9">
            <w:pPr>
              <w:spacing w:line="360" w:lineRule="auto"/>
              <w:jc w:val="center"/>
              <w:rPr>
                <w:rFonts w:hint="eastAsia" w:ascii="宋体" w:hAnsi="宋体" w:eastAsia="宋体" w:cs="宋体"/>
                <w:color w:val="auto"/>
                <w:szCs w:val="21"/>
                <w:highlight w:val="none"/>
              </w:rPr>
            </w:pPr>
          </w:p>
        </w:tc>
        <w:tc>
          <w:tcPr>
            <w:tcW w:w="1044" w:type="dxa"/>
            <w:vAlign w:val="center"/>
          </w:tcPr>
          <w:p w14:paraId="2886E95F">
            <w:pPr>
              <w:spacing w:line="360" w:lineRule="auto"/>
              <w:jc w:val="center"/>
              <w:rPr>
                <w:rFonts w:hint="eastAsia" w:ascii="宋体" w:hAnsi="宋体" w:eastAsia="宋体" w:cs="宋体"/>
                <w:color w:val="auto"/>
                <w:szCs w:val="21"/>
                <w:highlight w:val="none"/>
              </w:rPr>
            </w:pPr>
          </w:p>
        </w:tc>
        <w:tc>
          <w:tcPr>
            <w:tcW w:w="992" w:type="dxa"/>
            <w:vAlign w:val="center"/>
          </w:tcPr>
          <w:p w14:paraId="6F4E8EF4">
            <w:pPr>
              <w:spacing w:line="360" w:lineRule="auto"/>
              <w:jc w:val="center"/>
              <w:rPr>
                <w:rFonts w:hint="eastAsia" w:ascii="宋体" w:hAnsi="宋体" w:eastAsia="宋体" w:cs="宋体"/>
                <w:color w:val="auto"/>
                <w:szCs w:val="21"/>
                <w:highlight w:val="none"/>
              </w:rPr>
            </w:pPr>
          </w:p>
        </w:tc>
        <w:tc>
          <w:tcPr>
            <w:tcW w:w="851" w:type="dxa"/>
            <w:vAlign w:val="center"/>
          </w:tcPr>
          <w:p w14:paraId="332498BA">
            <w:pPr>
              <w:spacing w:line="360" w:lineRule="auto"/>
              <w:jc w:val="center"/>
              <w:rPr>
                <w:rFonts w:hint="eastAsia" w:ascii="宋体" w:hAnsi="宋体" w:eastAsia="宋体" w:cs="宋体"/>
                <w:color w:val="auto"/>
                <w:szCs w:val="21"/>
                <w:highlight w:val="none"/>
              </w:rPr>
            </w:pPr>
          </w:p>
        </w:tc>
        <w:tc>
          <w:tcPr>
            <w:tcW w:w="1487" w:type="dxa"/>
            <w:vAlign w:val="center"/>
          </w:tcPr>
          <w:p w14:paraId="136A7EEA">
            <w:pPr>
              <w:spacing w:line="360" w:lineRule="auto"/>
              <w:jc w:val="center"/>
              <w:rPr>
                <w:rFonts w:hint="eastAsia" w:ascii="宋体" w:hAnsi="宋体" w:eastAsia="宋体" w:cs="宋体"/>
                <w:color w:val="auto"/>
                <w:szCs w:val="21"/>
                <w:highlight w:val="none"/>
              </w:rPr>
            </w:pPr>
          </w:p>
        </w:tc>
        <w:tc>
          <w:tcPr>
            <w:tcW w:w="992" w:type="dxa"/>
            <w:vAlign w:val="center"/>
          </w:tcPr>
          <w:p w14:paraId="6652999F">
            <w:pPr>
              <w:spacing w:line="360" w:lineRule="auto"/>
              <w:jc w:val="center"/>
              <w:rPr>
                <w:rFonts w:hint="eastAsia" w:ascii="宋体" w:hAnsi="宋体" w:eastAsia="宋体" w:cs="宋体"/>
                <w:color w:val="auto"/>
                <w:szCs w:val="21"/>
                <w:highlight w:val="none"/>
              </w:rPr>
            </w:pPr>
          </w:p>
        </w:tc>
      </w:tr>
    </w:tbl>
    <w:p w14:paraId="10FFA259">
      <w:pPr>
        <w:spacing w:line="360" w:lineRule="auto"/>
        <w:rPr>
          <w:rFonts w:hint="eastAsia" w:ascii="宋体" w:hAnsi="宋体" w:eastAsia="宋体" w:cs="宋体"/>
          <w:color w:val="auto"/>
          <w:szCs w:val="21"/>
          <w:highlight w:val="none"/>
        </w:rPr>
      </w:pPr>
    </w:p>
    <w:p w14:paraId="39581449">
      <w:pPr>
        <w:spacing w:line="360" w:lineRule="auto"/>
        <w:rPr>
          <w:rFonts w:hint="eastAsia" w:ascii="宋体" w:hAnsi="宋体" w:eastAsia="宋体" w:cs="宋体"/>
          <w:color w:val="auto"/>
          <w:szCs w:val="21"/>
          <w:highlight w:val="none"/>
        </w:rPr>
      </w:pPr>
    </w:p>
    <w:p w14:paraId="5FE31757">
      <w:pPr>
        <w:pStyle w:val="41"/>
        <w:rPr>
          <w:rFonts w:hint="eastAsia" w:ascii="宋体" w:hAnsi="宋体" w:eastAsia="宋体" w:cs="宋体"/>
          <w:color w:val="auto"/>
          <w:highlight w:val="none"/>
        </w:rPr>
      </w:pPr>
    </w:p>
    <w:p w14:paraId="12C163F2">
      <w:pPr>
        <w:spacing w:line="360" w:lineRule="auto"/>
        <w:rPr>
          <w:rFonts w:hint="eastAsia" w:ascii="宋体" w:hAnsi="宋体" w:eastAsia="宋体" w:cs="宋体"/>
          <w:color w:val="auto"/>
          <w:szCs w:val="21"/>
          <w:highlight w:val="none"/>
        </w:rPr>
      </w:pPr>
    </w:p>
    <w:p w14:paraId="51BCC20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89" w:name="_Toc296891266"/>
      <w:bookmarkStart w:id="1890" w:name="_Toc296347225"/>
      <w:bookmarkStart w:id="1891" w:name="_Toc296346727"/>
      <w:bookmarkStart w:id="1892" w:name="_Toc267261693"/>
      <w:bookmarkStart w:id="1893" w:name="_Toc296944565"/>
      <w:bookmarkStart w:id="1894" w:name="_Toc296891054"/>
      <w:bookmarkStart w:id="1895" w:name="_Toc296503226"/>
      <w:r>
        <w:rPr>
          <w:rFonts w:hint="eastAsia" w:ascii="宋体" w:hAnsi="宋体" w:eastAsia="宋体" w:cs="宋体"/>
          <w:color w:val="auto"/>
          <w:szCs w:val="21"/>
          <w:highlight w:val="none"/>
        </w:rPr>
        <w:t>件3：</w:t>
      </w:r>
      <w:bookmarkEnd w:id="1889"/>
      <w:bookmarkEnd w:id="1890"/>
      <w:bookmarkEnd w:id="1891"/>
      <w:bookmarkEnd w:id="1892"/>
      <w:bookmarkEnd w:id="1893"/>
      <w:bookmarkEnd w:id="1894"/>
      <w:bookmarkEnd w:id="1895"/>
      <w:r>
        <w:rPr>
          <w:rFonts w:hint="eastAsia" w:ascii="宋体" w:hAnsi="宋体" w:eastAsia="宋体" w:cs="宋体"/>
          <w:color w:val="auto"/>
          <w:szCs w:val="21"/>
          <w:highlight w:val="none"/>
        </w:rPr>
        <w:t xml:space="preserve">    </w:t>
      </w:r>
    </w:p>
    <w:p w14:paraId="1D7FCD74">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w:t>
      </w:r>
    </w:p>
    <w:p w14:paraId="6B613A1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发包人（全称）：</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西平县二郎镇人民政府</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1FDC328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承包人（全称）：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6D8FD098">
      <w:pPr>
        <w:spacing w:line="360" w:lineRule="auto"/>
        <w:rPr>
          <w:rFonts w:hint="eastAsia" w:ascii="宋体" w:hAnsi="宋体" w:eastAsia="宋体" w:cs="宋体"/>
          <w:color w:val="auto"/>
          <w:szCs w:val="21"/>
          <w:highlight w:val="none"/>
        </w:rPr>
      </w:pPr>
    </w:p>
    <w:p w14:paraId="0288AD7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发包人和承包人根据《中华人民共和国建筑法》和《建设工程质量管理条例》，经协商一致就</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西平县规划路（护城河路—塔东路）新建道路工程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签订工程质量保修书。</w:t>
      </w:r>
    </w:p>
    <w:p w14:paraId="11735A7C">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bookmarkStart w:id="1896" w:name="_Toc28879"/>
      <w:bookmarkStart w:id="1897" w:name="_Toc30494"/>
      <w:r>
        <w:rPr>
          <w:rFonts w:hint="eastAsia" w:ascii="宋体" w:hAnsi="宋体" w:eastAsia="宋体" w:cs="宋体"/>
          <w:color w:val="auto"/>
          <w:szCs w:val="21"/>
          <w:highlight w:val="none"/>
        </w:rPr>
        <w:t>一、工程质量保修范围和内容</w:t>
      </w:r>
      <w:bookmarkEnd w:id="1896"/>
      <w:bookmarkEnd w:id="1897"/>
    </w:p>
    <w:p w14:paraId="1503077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承包人在质量保修期内，按照有关法律规定和合同约定，承担工程质量保修责任。</w:t>
      </w:r>
    </w:p>
    <w:p w14:paraId="6FE49EE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1CDD1C5">
      <w:pPr>
        <w:spacing w:line="360" w:lineRule="auto"/>
        <w:outlineLvl w:val="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w:t>
      </w:r>
      <w:bookmarkStart w:id="1898" w:name="_Toc24112"/>
      <w:bookmarkStart w:id="1899" w:name="_Toc5402"/>
      <w:r>
        <w:rPr>
          <w:rFonts w:hint="eastAsia" w:ascii="宋体" w:hAnsi="宋体" w:eastAsia="宋体" w:cs="宋体"/>
          <w:color w:val="auto"/>
          <w:szCs w:val="21"/>
          <w:highlight w:val="none"/>
        </w:rPr>
        <w:t>二、质量保修期</w:t>
      </w:r>
      <w:bookmarkEnd w:id="1898"/>
      <w:bookmarkEnd w:id="1899"/>
    </w:p>
    <w:p w14:paraId="4AE9DE8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根据《建设工程质量管理条例》及有关规定，工程的质量保修期如下：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649E36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质量保修期自工程竣工验收合格之日起计算。</w:t>
      </w:r>
    </w:p>
    <w:p w14:paraId="76D24BF0">
      <w:pPr>
        <w:spacing w:line="360" w:lineRule="auto"/>
        <w:ind w:firstLine="420" w:firstLineChars="200"/>
        <w:outlineLvl w:val="0"/>
        <w:rPr>
          <w:rFonts w:hint="eastAsia" w:ascii="宋体" w:hAnsi="宋体" w:eastAsia="宋体" w:cs="宋体"/>
          <w:color w:val="auto"/>
          <w:szCs w:val="21"/>
          <w:highlight w:val="none"/>
        </w:rPr>
      </w:pPr>
      <w:bookmarkStart w:id="1900" w:name="_Toc24308"/>
      <w:bookmarkStart w:id="1901" w:name="_Toc29289"/>
      <w:r>
        <w:rPr>
          <w:rFonts w:hint="eastAsia" w:ascii="宋体" w:hAnsi="宋体" w:eastAsia="宋体" w:cs="宋体"/>
          <w:color w:val="auto"/>
          <w:szCs w:val="21"/>
          <w:highlight w:val="none"/>
        </w:rPr>
        <w:t>三、缺陷责任期</w:t>
      </w:r>
      <w:bookmarkEnd w:id="1900"/>
      <w:bookmarkEnd w:id="1901"/>
    </w:p>
    <w:p w14:paraId="3F830F5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工程缺陷责任期为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个月，缺陷责任期自工程通过竣工验收之日起计算。单位工程先于全部工程进行验收，单位工程缺陷责任期自单位工程验收合格之日起算。</w:t>
      </w:r>
    </w:p>
    <w:p w14:paraId="4357B8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缺陷责任期终止后，发包人应退还剩余的质量保证金。</w:t>
      </w:r>
    </w:p>
    <w:p w14:paraId="47943D03">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1902" w:name="_Toc16669"/>
      <w:r>
        <w:rPr>
          <w:rFonts w:hint="eastAsia" w:ascii="宋体" w:hAnsi="宋体" w:eastAsia="宋体" w:cs="宋体"/>
          <w:color w:val="auto"/>
          <w:szCs w:val="21"/>
          <w:highlight w:val="none"/>
        </w:rPr>
        <w:t>四、质量保修责任</w:t>
      </w:r>
      <w:bookmarkEnd w:id="1902"/>
    </w:p>
    <w:p w14:paraId="66C5AF60">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1．属于保修范围、内容的项目，承包人应当在接到保修通知之日起7天内派人保修。承包人不在约定期限内派人保修的，发包人可以委托他人修理。</w:t>
      </w:r>
    </w:p>
    <w:p w14:paraId="67AFBA43">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2．发生紧急事故需抢修的，承包人在接到事故通知后，应当立即到达事故现场抢修。</w:t>
      </w:r>
    </w:p>
    <w:p w14:paraId="549CA0CE">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9747CC2">
      <w:pPr>
        <w:spacing w:line="360" w:lineRule="auto"/>
        <w:ind w:left="420" w:leftChars="200" w:firstLine="105" w:firstLineChar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4．质量保修完成后，由发包人组织验收。</w:t>
      </w:r>
    </w:p>
    <w:p w14:paraId="2F133434">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bookmarkStart w:id="1903" w:name="_Toc8108"/>
      <w:bookmarkStart w:id="1904" w:name="_Toc4493"/>
      <w:r>
        <w:rPr>
          <w:rFonts w:hint="eastAsia" w:ascii="宋体" w:hAnsi="宋体" w:eastAsia="宋体" w:cs="宋体"/>
          <w:color w:val="auto"/>
          <w:szCs w:val="21"/>
          <w:highlight w:val="none"/>
        </w:rPr>
        <w:t>五、保修费用</w:t>
      </w:r>
      <w:bookmarkEnd w:id="1903"/>
      <w:bookmarkEnd w:id="1904"/>
    </w:p>
    <w:p w14:paraId="1ADCA64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保修费用由造成质量缺陷的责任方承担。</w:t>
      </w:r>
    </w:p>
    <w:p w14:paraId="036AA2AD">
      <w:pPr>
        <w:spacing w:line="360" w:lineRule="auto"/>
        <w:ind w:firstLine="420" w:firstLineChars="200"/>
        <w:jc w:val="left"/>
        <w:rPr>
          <w:rFonts w:hint="eastAsia" w:ascii="宋体" w:hAnsi="宋体" w:eastAsia="宋体" w:cs="宋体"/>
          <w:b w:val="0"/>
          <w:bCs/>
          <w:color w:val="auto"/>
          <w:szCs w:val="21"/>
          <w:highlight w:val="none"/>
        </w:rPr>
      </w:pPr>
      <w:bookmarkStart w:id="1905" w:name="_Toc2599"/>
      <w:bookmarkStart w:id="1906" w:name="_Toc22857"/>
      <w:r>
        <w:rPr>
          <w:rFonts w:hint="eastAsia" w:ascii="宋体" w:hAnsi="宋体" w:eastAsia="宋体" w:cs="宋体"/>
          <w:b w:val="0"/>
          <w:bCs/>
          <w:color w:val="auto"/>
          <w:szCs w:val="21"/>
          <w:highlight w:val="none"/>
        </w:rPr>
        <w:t>六、双方约定的其他工程质量保修事项：</w:t>
      </w:r>
      <w:bookmarkEnd w:id="1905"/>
      <w:bookmarkEnd w:id="1906"/>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u w:val="single"/>
          <w:lang w:eastAsia="zh-CN"/>
        </w:rPr>
        <w:t>双方协商约定</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w:t>
      </w:r>
    </w:p>
    <w:p w14:paraId="32D99376">
      <w:pPr>
        <w:spacing w:line="360" w:lineRule="auto"/>
        <w:ind w:firstLine="399" w:firstLineChars="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工程质量保修书由发包人、承包人在工程竣工验收前共同签署，作为施工合同附件，其有效期限至保修期满。</w:t>
      </w:r>
    </w:p>
    <w:p w14:paraId="2999C0C6">
      <w:pPr>
        <w:spacing w:line="360" w:lineRule="auto"/>
        <w:ind w:firstLine="420"/>
        <w:rPr>
          <w:rFonts w:hint="eastAsia" w:ascii="宋体" w:hAnsi="宋体" w:eastAsia="宋体" w:cs="宋体"/>
          <w:color w:val="auto"/>
          <w:szCs w:val="21"/>
          <w:highlight w:val="none"/>
        </w:rPr>
      </w:pPr>
    </w:p>
    <w:p w14:paraId="22BFFB8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 </w:t>
      </w:r>
    </w:p>
    <w:p w14:paraId="79F46E5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      </w:t>
      </w:r>
    </w:p>
    <w:p w14:paraId="068B700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       </w:t>
      </w:r>
    </w:p>
    <w:p w14:paraId="20D36CB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       </w:t>
      </w:r>
    </w:p>
    <w:p w14:paraId="4E8BBF3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2E95DA1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p>
    <w:p w14:paraId="6BA26CB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p>
    <w:p w14:paraId="1B3E928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p>
    <w:p w14:paraId="192305E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rPr>
        <w:br w:type="page"/>
      </w:r>
      <w:r>
        <w:rPr>
          <w:rFonts w:hint="eastAsia" w:ascii="宋体" w:hAnsi="宋体" w:eastAsia="宋体" w:cs="宋体"/>
          <w:color w:val="auto"/>
          <w:szCs w:val="21"/>
          <w:highlight w:val="none"/>
        </w:rPr>
        <w:t>附件4：</w:t>
      </w:r>
    </w:p>
    <w:p w14:paraId="5A126B90">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主要建设工程文件目录</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76D70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74359920">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文件名称</w:t>
            </w:r>
          </w:p>
        </w:tc>
        <w:tc>
          <w:tcPr>
            <w:tcW w:w="1276" w:type="dxa"/>
            <w:tcBorders>
              <w:top w:val="single" w:color="auto" w:sz="12" w:space="0"/>
              <w:bottom w:val="double" w:color="auto" w:sz="6" w:space="0"/>
            </w:tcBorders>
            <w:vAlign w:val="center"/>
          </w:tcPr>
          <w:p w14:paraId="0D8C609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套数</w:t>
            </w:r>
          </w:p>
        </w:tc>
        <w:tc>
          <w:tcPr>
            <w:tcW w:w="1450" w:type="dxa"/>
            <w:tcBorders>
              <w:top w:val="single" w:color="auto" w:sz="12" w:space="0"/>
              <w:bottom w:val="double" w:color="auto" w:sz="6" w:space="0"/>
            </w:tcBorders>
            <w:vAlign w:val="center"/>
          </w:tcPr>
          <w:p w14:paraId="3183217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费用（元）</w:t>
            </w:r>
          </w:p>
        </w:tc>
        <w:tc>
          <w:tcPr>
            <w:tcW w:w="1243" w:type="dxa"/>
            <w:tcBorders>
              <w:top w:val="single" w:color="auto" w:sz="12" w:space="0"/>
              <w:bottom w:val="double" w:color="auto" w:sz="6" w:space="0"/>
            </w:tcBorders>
            <w:vAlign w:val="center"/>
          </w:tcPr>
          <w:p w14:paraId="0FF511B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w:t>
            </w:r>
          </w:p>
        </w:tc>
        <w:tc>
          <w:tcPr>
            <w:tcW w:w="1450" w:type="dxa"/>
            <w:tcBorders>
              <w:top w:val="single" w:color="auto" w:sz="12" w:space="0"/>
              <w:bottom w:val="double" w:color="auto" w:sz="6" w:space="0"/>
            </w:tcBorders>
          </w:tcPr>
          <w:p w14:paraId="1448824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移交时间</w:t>
            </w:r>
          </w:p>
        </w:tc>
        <w:tc>
          <w:tcPr>
            <w:tcW w:w="1667" w:type="dxa"/>
            <w:tcBorders>
              <w:top w:val="single" w:color="auto" w:sz="12" w:space="0"/>
              <w:bottom w:val="double" w:color="auto" w:sz="6" w:space="0"/>
            </w:tcBorders>
          </w:tcPr>
          <w:p w14:paraId="3DAB4DF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责任人</w:t>
            </w:r>
          </w:p>
        </w:tc>
      </w:tr>
      <w:tr w14:paraId="257EC9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1C8D690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double" w:color="auto" w:sz="6" w:space="0"/>
              <w:bottom w:val="single" w:color="auto" w:sz="6" w:space="0"/>
            </w:tcBorders>
            <w:vAlign w:val="center"/>
          </w:tcPr>
          <w:p w14:paraId="10E5EEE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double" w:color="auto" w:sz="6" w:space="0"/>
              <w:bottom w:val="single" w:color="auto" w:sz="6" w:space="0"/>
            </w:tcBorders>
            <w:vAlign w:val="center"/>
          </w:tcPr>
          <w:p w14:paraId="3918E7A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tcBorders>
              <w:top w:val="double" w:color="auto" w:sz="6" w:space="0"/>
              <w:bottom w:val="single" w:color="auto" w:sz="6" w:space="0"/>
            </w:tcBorders>
            <w:vAlign w:val="center"/>
          </w:tcPr>
          <w:p w14:paraId="2C7495A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double" w:color="auto" w:sz="6" w:space="0"/>
              <w:bottom w:val="single" w:color="auto" w:sz="6" w:space="0"/>
            </w:tcBorders>
            <w:vAlign w:val="center"/>
          </w:tcPr>
          <w:p w14:paraId="185C9A2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tcBorders>
              <w:top w:val="double" w:color="auto" w:sz="6" w:space="0"/>
              <w:bottom w:val="single" w:color="auto" w:sz="6" w:space="0"/>
            </w:tcBorders>
            <w:vAlign w:val="center"/>
          </w:tcPr>
          <w:p w14:paraId="621472F7">
            <w:pPr>
              <w:pStyle w:val="17"/>
              <w:keepNext/>
              <w:spacing w:after="0" w:line="360" w:lineRule="auto"/>
              <w:ind w:left="63" w:right="63"/>
              <w:rPr>
                <w:rFonts w:hint="eastAsia" w:ascii="宋体" w:hAnsi="宋体" w:eastAsia="宋体" w:cs="宋体"/>
                <w:color w:val="auto"/>
                <w:kern w:val="2"/>
                <w:sz w:val="21"/>
                <w:szCs w:val="21"/>
                <w:highlight w:val="none"/>
              </w:rPr>
            </w:pPr>
          </w:p>
        </w:tc>
      </w:tr>
      <w:tr w14:paraId="0A2535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590B629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nil"/>
            </w:tcBorders>
            <w:vAlign w:val="center"/>
          </w:tcPr>
          <w:p w14:paraId="4D1CB88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nil"/>
            </w:tcBorders>
            <w:vAlign w:val="center"/>
          </w:tcPr>
          <w:p w14:paraId="1503697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tcBorders>
              <w:top w:val="nil"/>
            </w:tcBorders>
            <w:vAlign w:val="center"/>
          </w:tcPr>
          <w:p w14:paraId="775FA77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nil"/>
            </w:tcBorders>
            <w:vAlign w:val="center"/>
          </w:tcPr>
          <w:p w14:paraId="47A26BF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tcBorders>
              <w:top w:val="nil"/>
            </w:tcBorders>
            <w:vAlign w:val="center"/>
          </w:tcPr>
          <w:p w14:paraId="1F945718">
            <w:pPr>
              <w:pStyle w:val="17"/>
              <w:keepNext/>
              <w:spacing w:after="0" w:line="360" w:lineRule="auto"/>
              <w:ind w:left="63" w:right="63"/>
              <w:rPr>
                <w:rFonts w:hint="eastAsia" w:ascii="宋体" w:hAnsi="宋体" w:eastAsia="宋体" w:cs="宋体"/>
                <w:color w:val="auto"/>
                <w:kern w:val="2"/>
                <w:sz w:val="21"/>
                <w:szCs w:val="21"/>
                <w:highlight w:val="none"/>
              </w:rPr>
            </w:pPr>
          </w:p>
        </w:tc>
      </w:tr>
      <w:tr w14:paraId="7BFEB2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729F3A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295BE49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6925B98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50D7F09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36F540F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1F4D68CA">
            <w:pPr>
              <w:pStyle w:val="17"/>
              <w:keepNext/>
              <w:spacing w:after="0" w:line="360" w:lineRule="auto"/>
              <w:ind w:left="63" w:right="63"/>
              <w:rPr>
                <w:rFonts w:hint="eastAsia" w:ascii="宋体" w:hAnsi="宋体" w:eastAsia="宋体" w:cs="宋体"/>
                <w:color w:val="auto"/>
                <w:kern w:val="2"/>
                <w:sz w:val="21"/>
                <w:szCs w:val="21"/>
                <w:highlight w:val="none"/>
              </w:rPr>
            </w:pPr>
          </w:p>
        </w:tc>
      </w:tr>
      <w:tr w14:paraId="6086D9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D4EC1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6285B2D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4371B2C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0290474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0CE7EC3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44BBF6F9">
            <w:pPr>
              <w:pStyle w:val="17"/>
              <w:keepNext/>
              <w:spacing w:after="0" w:line="360" w:lineRule="auto"/>
              <w:ind w:left="63" w:right="63"/>
              <w:rPr>
                <w:rFonts w:hint="eastAsia" w:ascii="宋体" w:hAnsi="宋体" w:eastAsia="宋体" w:cs="宋体"/>
                <w:color w:val="auto"/>
                <w:kern w:val="2"/>
                <w:sz w:val="21"/>
                <w:szCs w:val="21"/>
                <w:highlight w:val="none"/>
              </w:rPr>
            </w:pPr>
          </w:p>
        </w:tc>
      </w:tr>
      <w:tr w14:paraId="07A846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2B369B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34997A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6399EB9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29EEDBB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572F19B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16A1FC73">
            <w:pPr>
              <w:pStyle w:val="17"/>
              <w:keepNext/>
              <w:spacing w:after="0" w:line="360" w:lineRule="auto"/>
              <w:ind w:left="63" w:right="63"/>
              <w:rPr>
                <w:rFonts w:hint="eastAsia" w:ascii="宋体" w:hAnsi="宋体" w:eastAsia="宋体" w:cs="宋体"/>
                <w:color w:val="auto"/>
                <w:kern w:val="2"/>
                <w:sz w:val="21"/>
                <w:szCs w:val="21"/>
                <w:highlight w:val="none"/>
              </w:rPr>
            </w:pPr>
          </w:p>
        </w:tc>
      </w:tr>
      <w:tr w14:paraId="0663E0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36853A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69E3DC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18B1E03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03D7B1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3AB7C26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20C4BA9E">
            <w:pPr>
              <w:pStyle w:val="17"/>
              <w:keepNext/>
              <w:spacing w:after="0" w:line="360" w:lineRule="auto"/>
              <w:ind w:left="63" w:right="63"/>
              <w:rPr>
                <w:rFonts w:hint="eastAsia" w:ascii="宋体" w:hAnsi="宋体" w:eastAsia="宋体" w:cs="宋体"/>
                <w:color w:val="auto"/>
                <w:kern w:val="2"/>
                <w:sz w:val="21"/>
                <w:szCs w:val="21"/>
                <w:highlight w:val="none"/>
              </w:rPr>
            </w:pPr>
          </w:p>
        </w:tc>
      </w:tr>
      <w:tr w14:paraId="5C068F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B555D4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18EF39E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2AA6468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73E8582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5872A05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14CF7FF5">
            <w:pPr>
              <w:pStyle w:val="17"/>
              <w:keepNext/>
              <w:spacing w:after="0" w:line="360" w:lineRule="auto"/>
              <w:ind w:left="63" w:right="63"/>
              <w:rPr>
                <w:rFonts w:hint="eastAsia" w:ascii="宋体" w:hAnsi="宋体" w:eastAsia="宋体" w:cs="宋体"/>
                <w:color w:val="auto"/>
                <w:kern w:val="2"/>
                <w:sz w:val="21"/>
                <w:szCs w:val="21"/>
                <w:highlight w:val="none"/>
              </w:rPr>
            </w:pPr>
          </w:p>
        </w:tc>
      </w:tr>
      <w:tr w14:paraId="638D7B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168FD4F">
            <w:pPr>
              <w:spacing w:line="360" w:lineRule="auto"/>
              <w:rPr>
                <w:rFonts w:hint="eastAsia" w:ascii="宋体" w:hAnsi="宋体" w:eastAsia="宋体" w:cs="宋体"/>
                <w:color w:val="auto"/>
                <w:szCs w:val="21"/>
                <w:highlight w:val="none"/>
              </w:rPr>
            </w:pPr>
          </w:p>
        </w:tc>
        <w:tc>
          <w:tcPr>
            <w:tcW w:w="1276" w:type="dxa"/>
          </w:tcPr>
          <w:p w14:paraId="7ADA3189">
            <w:pPr>
              <w:spacing w:line="360" w:lineRule="auto"/>
              <w:rPr>
                <w:rFonts w:hint="eastAsia" w:ascii="宋体" w:hAnsi="宋体" w:eastAsia="宋体" w:cs="宋体"/>
                <w:color w:val="auto"/>
                <w:szCs w:val="21"/>
                <w:highlight w:val="none"/>
              </w:rPr>
            </w:pPr>
          </w:p>
        </w:tc>
        <w:tc>
          <w:tcPr>
            <w:tcW w:w="1450" w:type="dxa"/>
          </w:tcPr>
          <w:p w14:paraId="7BAF6789">
            <w:pPr>
              <w:spacing w:line="360" w:lineRule="auto"/>
              <w:rPr>
                <w:rFonts w:hint="eastAsia" w:ascii="宋体" w:hAnsi="宋体" w:eastAsia="宋体" w:cs="宋体"/>
                <w:color w:val="auto"/>
                <w:szCs w:val="21"/>
                <w:highlight w:val="none"/>
              </w:rPr>
            </w:pPr>
          </w:p>
        </w:tc>
        <w:tc>
          <w:tcPr>
            <w:tcW w:w="1243" w:type="dxa"/>
          </w:tcPr>
          <w:p w14:paraId="405AC980">
            <w:pPr>
              <w:spacing w:line="360" w:lineRule="auto"/>
              <w:rPr>
                <w:rFonts w:hint="eastAsia" w:ascii="宋体" w:hAnsi="宋体" w:eastAsia="宋体" w:cs="宋体"/>
                <w:color w:val="auto"/>
                <w:szCs w:val="21"/>
                <w:highlight w:val="none"/>
              </w:rPr>
            </w:pPr>
          </w:p>
        </w:tc>
        <w:tc>
          <w:tcPr>
            <w:tcW w:w="1450" w:type="dxa"/>
          </w:tcPr>
          <w:p w14:paraId="4064C7FF">
            <w:pPr>
              <w:spacing w:line="360" w:lineRule="auto"/>
              <w:rPr>
                <w:rFonts w:hint="eastAsia" w:ascii="宋体" w:hAnsi="宋体" w:eastAsia="宋体" w:cs="宋体"/>
                <w:color w:val="auto"/>
                <w:szCs w:val="21"/>
                <w:highlight w:val="none"/>
              </w:rPr>
            </w:pPr>
          </w:p>
        </w:tc>
        <w:tc>
          <w:tcPr>
            <w:tcW w:w="1667" w:type="dxa"/>
          </w:tcPr>
          <w:p w14:paraId="7096E097">
            <w:pPr>
              <w:spacing w:line="360" w:lineRule="auto"/>
              <w:rPr>
                <w:rFonts w:hint="eastAsia" w:ascii="宋体" w:hAnsi="宋体" w:eastAsia="宋体" w:cs="宋体"/>
                <w:color w:val="auto"/>
                <w:szCs w:val="21"/>
                <w:highlight w:val="none"/>
              </w:rPr>
            </w:pPr>
          </w:p>
        </w:tc>
      </w:tr>
      <w:tr w14:paraId="4E9541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7457CC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33BD28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34D2219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278DFA7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1225865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141A2ED5">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767F2082">
      <w:pPr>
        <w:spacing w:line="360" w:lineRule="auto"/>
        <w:rPr>
          <w:rFonts w:hint="eastAsia" w:ascii="宋体" w:hAnsi="宋体" w:eastAsia="宋体" w:cs="宋体"/>
          <w:color w:val="auto"/>
          <w:szCs w:val="21"/>
          <w:highlight w:val="none"/>
        </w:rPr>
      </w:pPr>
    </w:p>
    <w:p w14:paraId="6ED1810D">
      <w:pPr>
        <w:spacing w:line="360" w:lineRule="auto"/>
        <w:rPr>
          <w:rFonts w:hint="eastAsia" w:ascii="宋体" w:hAnsi="宋体" w:eastAsia="宋体" w:cs="宋体"/>
          <w:color w:val="auto"/>
          <w:szCs w:val="21"/>
          <w:highlight w:val="none"/>
        </w:rPr>
      </w:pPr>
    </w:p>
    <w:p w14:paraId="1C5CC69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907" w:name="_Toc296891055"/>
      <w:bookmarkStart w:id="1908" w:name="_Toc296944566"/>
      <w:bookmarkStart w:id="1909" w:name="_Toc296347226"/>
      <w:bookmarkStart w:id="1910" w:name="_Toc296891267"/>
      <w:bookmarkStart w:id="1911" w:name="_Toc296346728"/>
      <w:bookmarkStart w:id="1912" w:name="_Toc267261698"/>
      <w:bookmarkStart w:id="1913" w:name="_Toc296503227"/>
      <w:r>
        <w:rPr>
          <w:rFonts w:hint="eastAsia" w:ascii="宋体" w:hAnsi="宋体" w:eastAsia="宋体" w:cs="宋体"/>
          <w:color w:val="auto"/>
          <w:szCs w:val="21"/>
          <w:highlight w:val="none"/>
        </w:rPr>
        <w:t>件5：</w:t>
      </w:r>
    </w:p>
    <w:bookmarkEnd w:id="1907"/>
    <w:bookmarkEnd w:id="1908"/>
    <w:bookmarkEnd w:id="1909"/>
    <w:bookmarkEnd w:id="1910"/>
    <w:bookmarkEnd w:id="1911"/>
    <w:bookmarkEnd w:id="1912"/>
    <w:bookmarkEnd w:id="1913"/>
    <w:p w14:paraId="3FD1BE0D">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承包人用于本工程施工的机械设备表</w:t>
      </w:r>
    </w:p>
    <w:tbl>
      <w:tblPr>
        <w:tblStyle w:val="43"/>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7A43B1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498DEE3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1418" w:type="dxa"/>
            <w:tcBorders>
              <w:top w:val="single" w:color="auto" w:sz="12" w:space="0"/>
              <w:bottom w:val="double" w:color="auto" w:sz="6" w:space="0"/>
            </w:tcBorders>
            <w:vAlign w:val="center"/>
          </w:tcPr>
          <w:p w14:paraId="1B3D336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机械或设备名称</w:t>
            </w:r>
          </w:p>
        </w:tc>
        <w:tc>
          <w:tcPr>
            <w:tcW w:w="850" w:type="dxa"/>
            <w:tcBorders>
              <w:top w:val="single" w:color="auto" w:sz="12" w:space="0"/>
              <w:bottom w:val="double" w:color="auto" w:sz="6" w:space="0"/>
            </w:tcBorders>
            <w:vAlign w:val="center"/>
          </w:tcPr>
          <w:p w14:paraId="0889A47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规格型号</w:t>
            </w:r>
          </w:p>
        </w:tc>
        <w:tc>
          <w:tcPr>
            <w:tcW w:w="1058" w:type="dxa"/>
            <w:tcBorders>
              <w:top w:val="single" w:color="auto" w:sz="12" w:space="0"/>
              <w:bottom w:val="double" w:color="auto" w:sz="6" w:space="0"/>
            </w:tcBorders>
            <w:vAlign w:val="center"/>
          </w:tcPr>
          <w:p w14:paraId="3083AFD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880" w:type="dxa"/>
            <w:tcBorders>
              <w:top w:val="single" w:color="auto" w:sz="12" w:space="0"/>
              <w:bottom w:val="double" w:color="auto" w:sz="6" w:space="0"/>
            </w:tcBorders>
            <w:vAlign w:val="center"/>
          </w:tcPr>
          <w:p w14:paraId="40655C7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产地</w:t>
            </w:r>
          </w:p>
        </w:tc>
        <w:tc>
          <w:tcPr>
            <w:tcW w:w="1020" w:type="dxa"/>
            <w:tcBorders>
              <w:top w:val="single" w:color="auto" w:sz="12" w:space="0"/>
              <w:bottom w:val="double" w:color="auto" w:sz="6" w:space="0"/>
            </w:tcBorders>
            <w:vAlign w:val="center"/>
          </w:tcPr>
          <w:p w14:paraId="0956944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制造年份</w:t>
            </w:r>
          </w:p>
        </w:tc>
        <w:tc>
          <w:tcPr>
            <w:tcW w:w="1480" w:type="dxa"/>
            <w:tcBorders>
              <w:top w:val="single" w:color="auto" w:sz="12" w:space="0"/>
              <w:bottom w:val="double" w:color="auto" w:sz="6" w:space="0"/>
            </w:tcBorders>
            <w:vAlign w:val="center"/>
          </w:tcPr>
          <w:p w14:paraId="6B1568A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额定功率(kW)</w:t>
            </w:r>
          </w:p>
        </w:tc>
        <w:tc>
          <w:tcPr>
            <w:tcW w:w="1020" w:type="dxa"/>
            <w:tcBorders>
              <w:top w:val="single" w:color="auto" w:sz="12" w:space="0"/>
              <w:bottom w:val="double" w:color="auto" w:sz="6" w:space="0"/>
            </w:tcBorders>
            <w:vAlign w:val="center"/>
          </w:tcPr>
          <w:p w14:paraId="250E108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生产能力</w:t>
            </w:r>
          </w:p>
        </w:tc>
        <w:tc>
          <w:tcPr>
            <w:tcW w:w="921" w:type="dxa"/>
            <w:tcBorders>
              <w:top w:val="single" w:color="auto" w:sz="12" w:space="0"/>
              <w:bottom w:val="double" w:color="auto" w:sz="6" w:space="0"/>
            </w:tcBorders>
            <w:vAlign w:val="center"/>
          </w:tcPr>
          <w:p w14:paraId="734543D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7F3307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44AC014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double" w:color="auto" w:sz="6" w:space="0"/>
              <w:bottom w:val="single" w:color="auto" w:sz="6" w:space="0"/>
            </w:tcBorders>
            <w:vAlign w:val="center"/>
          </w:tcPr>
          <w:p w14:paraId="4E18A9B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0C25669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tcBorders>
              <w:top w:val="double" w:color="auto" w:sz="6" w:space="0"/>
              <w:bottom w:val="single" w:color="auto" w:sz="6" w:space="0"/>
            </w:tcBorders>
            <w:vAlign w:val="center"/>
          </w:tcPr>
          <w:p w14:paraId="0BAFB4D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tcBorders>
              <w:top w:val="double" w:color="auto" w:sz="6" w:space="0"/>
              <w:bottom w:val="single" w:color="auto" w:sz="6" w:space="0"/>
            </w:tcBorders>
            <w:vAlign w:val="center"/>
          </w:tcPr>
          <w:p w14:paraId="7B86C5A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double" w:color="auto" w:sz="6" w:space="0"/>
              <w:bottom w:val="single" w:color="auto" w:sz="6" w:space="0"/>
            </w:tcBorders>
            <w:vAlign w:val="center"/>
          </w:tcPr>
          <w:p w14:paraId="40CD875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tcBorders>
              <w:top w:val="double" w:color="auto" w:sz="6" w:space="0"/>
              <w:bottom w:val="single" w:color="auto" w:sz="6" w:space="0"/>
            </w:tcBorders>
            <w:vAlign w:val="center"/>
          </w:tcPr>
          <w:p w14:paraId="5E7C70D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double" w:color="auto" w:sz="6" w:space="0"/>
              <w:bottom w:val="single" w:color="auto" w:sz="6" w:space="0"/>
            </w:tcBorders>
            <w:vAlign w:val="center"/>
          </w:tcPr>
          <w:p w14:paraId="1B114914">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tcBorders>
              <w:top w:val="double" w:color="auto" w:sz="6" w:space="0"/>
              <w:bottom w:val="single" w:color="auto" w:sz="6" w:space="0"/>
            </w:tcBorders>
            <w:vAlign w:val="center"/>
          </w:tcPr>
          <w:p w14:paraId="79B5E5BB">
            <w:pPr>
              <w:pStyle w:val="17"/>
              <w:keepNext/>
              <w:spacing w:after="0" w:line="360" w:lineRule="auto"/>
              <w:ind w:left="63" w:right="63"/>
              <w:rPr>
                <w:rFonts w:hint="eastAsia" w:ascii="宋体" w:hAnsi="宋体" w:eastAsia="宋体" w:cs="宋体"/>
                <w:color w:val="auto"/>
                <w:kern w:val="2"/>
                <w:sz w:val="21"/>
                <w:szCs w:val="21"/>
                <w:highlight w:val="none"/>
              </w:rPr>
            </w:pPr>
          </w:p>
        </w:tc>
      </w:tr>
      <w:tr w14:paraId="475C7A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2FDA26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nil"/>
            </w:tcBorders>
            <w:vAlign w:val="center"/>
          </w:tcPr>
          <w:p w14:paraId="1DA6244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7B853CA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tcBorders>
              <w:top w:val="nil"/>
            </w:tcBorders>
            <w:vAlign w:val="center"/>
          </w:tcPr>
          <w:p w14:paraId="5B6FC79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tcBorders>
              <w:top w:val="nil"/>
            </w:tcBorders>
            <w:vAlign w:val="center"/>
          </w:tcPr>
          <w:p w14:paraId="1664C24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nil"/>
            </w:tcBorders>
            <w:vAlign w:val="center"/>
          </w:tcPr>
          <w:p w14:paraId="6506E9A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tcBorders>
              <w:top w:val="nil"/>
            </w:tcBorders>
            <w:vAlign w:val="center"/>
          </w:tcPr>
          <w:p w14:paraId="0015096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nil"/>
            </w:tcBorders>
            <w:vAlign w:val="center"/>
          </w:tcPr>
          <w:p w14:paraId="0D924F6A">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tcBorders>
              <w:top w:val="nil"/>
            </w:tcBorders>
            <w:vAlign w:val="center"/>
          </w:tcPr>
          <w:p w14:paraId="48A06D42">
            <w:pPr>
              <w:pStyle w:val="17"/>
              <w:keepNext/>
              <w:spacing w:after="0" w:line="360" w:lineRule="auto"/>
              <w:ind w:left="63" w:right="63"/>
              <w:rPr>
                <w:rFonts w:hint="eastAsia" w:ascii="宋体" w:hAnsi="宋体" w:eastAsia="宋体" w:cs="宋体"/>
                <w:color w:val="auto"/>
                <w:kern w:val="2"/>
                <w:sz w:val="21"/>
                <w:szCs w:val="21"/>
                <w:highlight w:val="none"/>
              </w:rPr>
            </w:pPr>
          </w:p>
        </w:tc>
      </w:tr>
      <w:tr w14:paraId="6333E6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4281B6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299A282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60C5CC0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58815C9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5C23824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08DA3E6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4D4F116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2E435A63">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05B218D1">
            <w:pPr>
              <w:pStyle w:val="17"/>
              <w:keepNext/>
              <w:spacing w:after="0" w:line="360" w:lineRule="auto"/>
              <w:ind w:left="63" w:right="63"/>
              <w:rPr>
                <w:rFonts w:hint="eastAsia" w:ascii="宋体" w:hAnsi="宋体" w:eastAsia="宋体" w:cs="宋体"/>
                <w:color w:val="auto"/>
                <w:kern w:val="2"/>
                <w:sz w:val="21"/>
                <w:szCs w:val="21"/>
                <w:highlight w:val="none"/>
              </w:rPr>
            </w:pPr>
          </w:p>
        </w:tc>
      </w:tr>
      <w:tr w14:paraId="2555BF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45410D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F53E7B3">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6FB6D0A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3E9DA9A3">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26FC3B3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75E8C1F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73A98A7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318821D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3F12BAA0">
            <w:pPr>
              <w:pStyle w:val="17"/>
              <w:keepNext/>
              <w:spacing w:after="0" w:line="360" w:lineRule="auto"/>
              <w:ind w:left="63" w:right="63"/>
              <w:rPr>
                <w:rFonts w:hint="eastAsia" w:ascii="宋体" w:hAnsi="宋体" w:eastAsia="宋体" w:cs="宋体"/>
                <w:color w:val="auto"/>
                <w:kern w:val="2"/>
                <w:sz w:val="21"/>
                <w:szCs w:val="21"/>
                <w:highlight w:val="none"/>
              </w:rPr>
            </w:pPr>
          </w:p>
        </w:tc>
      </w:tr>
      <w:tr w14:paraId="5E11E8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2A366C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5CCF5E9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29F54D7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6F872CA9">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2CEEA99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7CA68BB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0A56C35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4941D8AD">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61CFD4A3">
            <w:pPr>
              <w:pStyle w:val="17"/>
              <w:keepNext/>
              <w:spacing w:after="0" w:line="360" w:lineRule="auto"/>
              <w:ind w:left="63" w:right="63"/>
              <w:rPr>
                <w:rFonts w:hint="eastAsia" w:ascii="宋体" w:hAnsi="宋体" w:eastAsia="宋体" w:cs="宋体"/>
                <w:color w:val="auto"/>
                <w:kern w:val="2"/>
                <w:sz w:val="21"/>
                <w:szCs w:val="21"/>
                <w:highlight w:val="none"/>
              </w:rPr>
            </w:pPr>
          </w:p>
        </w:tc>
      </w:tr>
      <w:tr w14:paraId="022E4B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28BE1F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11323D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E21E7A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09A14BB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14B6F53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190A280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5DAAD5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4B83EAF3">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236CC74A">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4889E8FF">
      <w:pPr>
        <w:spacing w:line="360" w:lineRule="auto"/>
        <w:rPr>
          <w:rFonts w:hint="eastAsia" w:ascii="宋体" w:hAnsi="宋体" w:eastAsia="宋体" w:cs="宋体"/>
          <w:color w:val="auto"/>
          <w:szCs w:val="21"/>
          <w:highlight w:val="none"/>
        </w:rPr>
      </w:pPr>
    </w:p>
    <w:p w14:paraId="516C1D73">
      <w:pPr>
        <w:pStyle w:val="41"/>
        <w:ind w:firstLine="200"/>
        <w:rPr>
          <w:rFonts w:hint="eastAsia" w:ascii="宋体" w:hAnsi="宋体" w:eastAsia="宋体" w:cs="宋体"/>
          <w:color w:val="auto"/>
          <w:szCs w:val="21"/>
          <w:highlight w:val="none"/>
        </w:rPr>
      </w:pPr>
    </w:p>
    <w:p w14:paraId="4E8A5552">
      <w:pPr>
        <w:rPr>
          <w:rFonts w:hint="eastAsia" w:ascii="宋体" w:hAnsi="宋体" w:eastAsia="宋体" w:cs="宋体"/>
          <w:color w:val="auto"/>
          <w:highlight w:val="none"/>
        </w:rPr>
      </w:pPr>
    </w:p>
    <w:p w14:paraId="63BC92E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914" w:name="_Toc296891268"/>
      <w:bookmarkStart w:id="1915" w:name="_Toc296346729"/>
      <w:bookmarkStart w:id="1916" w:name="_Toc267261699"/>
      <w:bookmarkStart w:id="1917" w:name="_Toc296503228"/>
      <w:bookmarkStart w:id="1918" w:name="_Toc296347227"/>
      <w:bookmarkStart w:id="1919" w:name="_Toc296944567"/>
      <w:bookmarkStart w:id="1920" w:name="_Toc296891056"/>
      <w:r>
        <w:rPr>
          <w:rFonts w:hint="eastAsia" w:ascii="宋体" w:hAnsi="宋体" w:eastAsia="宋体" w:cs="宋体"/>
          <w:color w:val="auto"/>
          <w:szCs w:val="21"/>
          <w:highlight w:val="none"/>
        </w:rPr>
        <w:t>件6：</w:t>
      </w:r>
    </w:p>
    <w:bookmarkEnd w:id="1914"/>
    <w:bookmarkEnd w:id="1915"/>
    <w:bookmarkEnd w:id="1916"/>
    <w:bookmarkEnd w:id="1917"/>
    <w:bookmarkEnd w:id="1918"/>
    <w:bookmarkEnd w:id="1919"/>
    <w:bookmarkEnd w:id="1920"/>
    <w:p w14:paraId="28FB2E8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承包人主要施工管理人员表</w:t>
      </w:r>
    </w:p>
    <w:tbl>
      <w:tblPr>
        <w:tblStyle w:val="43"/>
        <w:tblW w:w="92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728"/>
      </w:tblGrid>
      <w:tr w14:paraId="12D216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19ABDDE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名    称</w:t>
            </w:r>
          </w:p>
        </w:tc>
        <w:tc>
          <w:tcPr>
            <w:tcW w:w="1418" w:type="dxa"/>
            <w:tcBorders>
              <w:top w:val="single" w:color="auto" w:sz="12" w:space="0"/>
              <w:bottom w:val="double" w:color="auto" w:sz="6" w:space="0"/>
            </w:tcBorders>
            <w:vAlign w:val="center"/>
          </w:tcPr>
          <w:p w14:paraId="0E054F3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姓名</w:t>
            </w:r>
          </w:p>
        </w:tc>
        <w:tc>
          <w:tcPr>
            <w:tcW w:w="1134" w:type="dxa"/>
            <w:tcBorders>
              <w:top w:val="single" w:color="auto" w:sz="12" w:space="0"/>
              <w:bottom w:val="double" w:color="auto" w:sz="6" w:space="0"/>
            </w:tcBorders>
            <w:vAlign w:val="center"/>
          </w:tcPr>
          <w:p w14:paraId="478BB11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职务</w:t>
            </w:r>
          </w:p>
        </w:tc>
        <w:tc>
          <w:tcPr>
            <w:tcW w:w="1134" w:type="dxa"/>
            <w:tcBorders>
              <w:top w:val="single" w:color="auto" w:sz="12" w:space="0"/>
              <w:bottom w:val="double" w:color="auto" w:sz="6" w:space="0"/>
            </w:tcBorders>
            <w:vAlign w:val="center"/>
          </w:tcPr>
          <w:p w14:paraId="6A3C793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职称</w:t>
            </w:r>
          </w:p>
        </w:tc>
        <w:tc>
          <w:tcPr>
            <w:tcW w:w="3728" w:type="dxa"/>
            <w:tcBorders>
              <w:top w:val="single" w:color="auto" w:sz="12" w:space="0"/>
              <w:bottom w:val="double" w:color="auto" w:sz="6" w:space="0"/>
            </w:tcBorders>
            <w:vAlign w:val="center"/>
          </w:tcPr>
          <w:p w14:paraId="5AA391A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主要资历、经验及承担过的项目</w:t>
            </w:r>
          </w:p>
        </w:tc>
      </w:tr>
      <w:tr w14:paraId="7C93B5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double" w:color="auto" w:sz="6" w:space="0"/>
              <w:bottom w:val="single" w:color="auto" w:sz="6" w:space="0"/>
            </w:tcBorders>
            <w:vAlign w:val="center"/>
          </w:tcPr>
          <w:p w14:paraId="32C476C4">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一、总部人员</w:t>
            </w:r>
          </w:p>
        </w:tc>
      </w:tr>
      <w:tr w14:paraId="2E3358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EA83C71">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项目主管</w:t>
            </w:r>
          </w:p>
        </w:tc>
        <w:tc>
          <w:tcPr>
            <w:tcW w:w="1418" w:type="dxa"/>
            <w:tcBorders>
              <w:top w:val="nil"/>
            </w:tcBorders>
            <w:vAlign w:val="center"/>
          </w:tcPr>
          <w:p w14:paraId="027A665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3A2B728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42AFBC3A">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top w:val="nil"/>
            </w:tcBorders>
            <w:vAlign w:val="center"/>
          </w:tcPr>
          <w:p w14:paraId="773A899C">
            <w:pPr>
              <w:pStyle w:val="17"/>
              <w:keepNext/>
              <w:spacing w:after="0" w:line="360" w:lineRule="auto"/>
              <w:ind w:left="63" w:right="63"/>
              <w:rPr>
                <w:rFonts w:hint="eastAsia" w:ascii="宋体" w:hAnsi="宋体" w:eastAsia="宋体" w:cs="宋体"/>
                <w:color w:val="auto"/>
                <w:kern w:val="2"/>
                <w:sz w:val="21"/>
                <w:szCs w:val="21"/>
                <w:highlight w:val="none"/>
              </w:rPr>
            </w:pPr>
          </w:p>
        </w:tc>
      </w:tr>
      <w:tr w14:paraId="43B357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D169E9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24AE8E1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3765D1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8CCF92B">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6B3EF792">
            <w:pPr>
              <w:pStyle w:val="17"/>
              <w:keepNext/>
              <w:spacing w:after="0" w:line="360" w:lineRule="auto"/>
              <w:ind w:left="63" w:right="63"/>
              <w:rPr>
                <w:rFonts w:hint="eastAsia" w:ascii="宋体" w:hAnsi="宋体" w:eastAsia="宋体" w:cs="宋体"/>
                <w:color w:val="auto"/>
                <w:kern w:val="2"/>
                <w:sz w:val="21"/>
                <w:szCs w:val="21"/>
                <w:highlight w:val="none"/>
              </w:rPr>
            </w:pPr>
          </w:p>
        </w:tc>
      </w:tr>
      <w:tr w14:paraId="3DCC01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E3F69B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74A5EEE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FD970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3DB550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555FF93">
            <w:pPr>
              <w:pStyle w:val="17"/>
              <w:keepNext/>
              <w:spacing w:after="0" w:line="360" w:lineRule="auto"/>
              <w:ind w:left="63" w:right="63"/>
              <w:rPr>
                <w:rFonts w:hint="eastAsia" w:ascii="宋体" w:hAnsi="宋体" w:eastAsia="宋体" w:cs="宋体"/>
                <w:color w:val="auto"/>
                <w:kern w:val="2"/>
                <w:sz w:val="21"/>
                <w:szCs w:val="21"/>
                <w:highlight w:val="none"/>
              </w:rPr>
            </w:pPr>
          </w:p>
        </w:tc>
      </w:tr>
      <w:tr w14:paraId="581CE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E034FD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589B9F5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9D7307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E5E63D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75A4386A">
            <w:pPr>
              <w:pStyle w:val="17"/>
              <w:keepNext/>
              <w:spacing w:after="0" w:line="360" w:lineRule="auto"/>
              <w:ind w:left="63" w:right="63"/>
              <w:rPr>
                <w:rFonts w:hint="eastAsia" w:ascii="宋体" w:hAnsi="宋体" w:eastAsia="宋体" w:cs="宋体"/>
                <w:color w:val="auto"/>
                <w:kern w:val="2"/>
                <w:sz w:val="21"/>
                <w:szCs w:val="21"/>
                <w:highlight w:val="none"/>
              </w:rPr>
            </w:pPr>
          </w:p>
        </w:tc>
      </w:tr>
      <w:tr w14:paraId="0606A4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single" w:color="auto" w:sz="6" w:space="0"/>
              <w:bottom w:val="single" w:color="auto" w:sz="6" w:space="0"/>
            </w:tcBorders>
            <w:vAlign w:val="center"/>
          </w:tcPr>
          <w:p w14:paraId="3F8A89D8">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二、现场人员</w:t>
            </w:r>
          </w:p>
        </w:tc>
      </w:tr>
      <w:tr w14:paraId="0680DD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CEA502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项目经理</w:t>
            </w:r>
          </w:p>
        </w:tc>
        <w:tc>
          <w:tcPr>
            <w:tcW w:w="1418" w:type="dxa"/>
            <w:vAlign w:val="center"/>
          </w:tcPr>
          <w:p w14:paraId="7E01521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B2BD9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25D84C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06BD610F">
            <w:pPr>
              <w:pStyle w:val="17"/>
              <w:keepNext/>
              <w:spacing w:after="0" w:line="360" w:lineRule="auto"/>
              <w:ind w:left="63" w:right="63"/>
              <w:rPr>
                <w:rFonts w:hint="eastAsia" w:ascii="宋体" w:hAnsi="宋体" w:eastAsia="宋体" w:cs="宋体"/>
                <w:color w:val="auto"/>
                <w:kern w:val="2"/>
                <w:sz w:val="21"/>
                <w:szCs w:val="21"/>
                <w:highlight w:val="none"/>
              </w:rPr>
            </w:pPr>
          </w:p>
        </w:tc>
      </w:tr>
      <w:tr w14:paraId="0D7308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D1CD1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项目副经理</w:t>
            </w:r>
          </w:p>
        </w:tc>
        <w:tc>
          <w:tcPr>
            <w:tcW w:w="1418" w:type="dxa"/>
            <w:vAlign w:val="center"/>
          </w:tcPr>
          <w:p w14:paraId="794CBC9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8221E7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E0438B0">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089DA898">
            <w:pPr>
              <w:pStyle w:val="17"/>
              <w:keepNext/>
              <w:spacing w:after="0" w:line="360" w:lineRule="auto"/>
              <w:ind w:left="63" w:right="63"/>
              <w:rPr>
                <w:rFonts w:hint="eastAsia" w:ascii="宋体" w:hAnsi="宋体" w:eastAsia="宋体" w:cs="宋体"/>
                <w:color w:val="auto"/>
                <w:kern w:val="2"/>
                <w:sz w:val="21"/>
                <w:szCs w:val="21"/>
                <w:highlight w:val="none"/>
              </w:rPr>
            </w:pPr>
          </w:p>
        </w:tc>
      </w:tr>
      <w:tr w14:paraId="03704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9EB0EC8">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技术负责人</w:t>
            </w:r>
          </w:p>
        </w:tc>
        <w:tc>
          <w:tcPr>
            <w:tcW w:w="1418" w:type="dxa"/>
            <w:vAlign w:val="center"/>
          </w:tcPr>
          <w:p w14:paraId="556F12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23A823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8A77F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93DFD19">
            <w:pPr>
              <w:pStyle w:val="17"/>
              <w:keepNext/>
              <w:spacing w:after="0" w:line="360" w:lineRule="auto"/>
              <w:ind w:left="63" w:right="63"/>
              <w:rPr>
                <w:rFonts w:hint="eastAsia" w:ascii="宋体" w:hAnsi="宋体" w:eastAsia="宋体" w:cs="宋体"/>
                <w:color w:val="auto"/>
                <w:kern w:val="2"/>
                <w:sz w:val="21"/>
                <w:szCs w:val="21"/>
                <w:highlight w:val="none"/>
              </w:rPr>
            </w:pPr>
          </w:p>
        </w:tc>
      </w:tr>
      <w:tr w14:paraId="6CDB68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16EA150">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造价管理</w:t>
            </w:r>
          </w:p>
        </w:tc>
        <w:tc>
          <w:tcPr>
            <w:tcW w:w="1418" w:type="dxa"/>
            <w:vAlign w:val="center"/>
          </w:tcPr>
          <w:p w14:paraId="27E4D66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E60B59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145EFA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3DC7625B">
            <w:pPr>
              <w:pStyle w:val="17"/>
              <w:keepNext/>
              <w:spacing w:after="0" w:line="360" w:lineRule="auto"/>
              <w:ind w:left="63" w:right="63"/>
              <w:rPr>
                <w:rFonts w:hint="eastAsia" w:ascii="宋体" w:hAnsi="宋体" w:eastAsia="宋体" w:cs="宋体"/>
                <w:color w:val="auto"/>
                <w:kern w:val="2"/>
                <w:sz w:val="21"/>
                <w:szCs w:val="21"/>
                <w:highlight w:val="none"/>
              </w:rPr>
            </w:pPr>
          </w:p>
        </w:tc>
      </w:tr>
      <w:tr w14:paraId="08FED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178994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质量管理</w:t>
            </w:r>
          </w:p>
        </w:tc>
        <w:tc>
          <w:tcPr>
            <w:tcW w:w="1418" w:type="dxa"/>
            <w:vAlign w:val="center"/>
          </w:tcPr>
          <w:p w14:paraId="7713CC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0E7563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6AB78FB">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0B141842">
            <w:pPr>
              <w:pStyle w:val="17"/>
              <w:keepNext/>
              <w:spacing w:after="0" w:line="360" w:lineRule="auto"/>
              <w:ind w:left="63" w:right="63"/>
              <w:rPr>
                <w:rFonts w:hint="eastAsia" w:ascii="宋体" w:hAnsi="宋体" w:eastAsia="宋体" w:cs="宋体"/>
                <w:color w:val="auto"/>
                <w:kern w:val="2"/>
                <w:sz w:val="21"/>
                <w:szCs w:val="21"/>
                <w:highlight w:val="none"/>
              </w:rPr>
            </w:pPr>
          </w:p>
        </w:tc>
      </w:tr>
      <w:tr w14:paraId="12CE1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A7623E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材料管理</w:t>
            </w:r>
          </w:p>
        </w:tc>
        <w:tc>
          <w:tcPr>
            <w:tcW w:w="1418" w:type="dxa"/>
            <w:vAlign w:val="center"/>
          </w:tcPr>
          <w:p w14:paraId="480B97A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E49F2F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1A9DAE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779E6759">
            <w:pPr>
              <w:pStyle w:val="17"/>
              <w:keepNext/>
              <w:spacing w:after="0" w:line="360" w:lineRule="auto"/>
              <w:ind w:left="63" w:right="63"/>
              <w:rPr>
                <w:rFonts w:hint="eastAsia" w:ascii="宋体" w:hAnsi="宋体" w:eastAsia="宋体" w:cs="宋体"/>
                <w:color w:val="auto"/>
                <w:kern w:val="2"/>
                <w:sz w:val="21"/>
                <w:szCs w:val="21"/>
                <w:highlight w:val="none"/>
              </w:rPr>
            </w:pPr>
          </w:p>
        </w:tc>
      </w:tr>
      <w:tr w14:paraId="3BD31A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4ED017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计划管理</w:t>
            </w:r>
          </w:p>
        </w:tc>
        <w:tc>
          <w:tcPr>
            <w:tcW w:w="1418" w:type="dxa"/>
            <w:vAlign w:val="center"/>
          </w:tcPr>
          <w:p w14:paraId="2D0EF08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393290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A5A027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985D7CB">
            <w:pPr>
              <w:pStyle w:val="17"/>
              <w:keepNext/>
              <w:spacing w:after="0" w:line="360" w:lineRule="auto"/>
              <w:ind w:left="63" w:right="63"/>
              <w:rPr>
                <w:rFonts w:hint="eastAsia" w:ascii="宋体" w:hAnsi="宋体" w:eastAsia="宋体" w:cs="宋体"/>
                <w:color w:val="auto"/>
                <w:kern w:val="2"/>
                <w:sz w:val="21"/>
                <w:szCs w:val="21"/>
                <w:highlight w:val="none"/>
              </w:rPr>
            </w:pPr>
          </w:p>
        </w:tc>
      </w:tr>
      <w:tr w14:paraId="681C3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D33602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安全管理</w:t>
            </w:r>
          </w:p>
        </w:tc>
        <w:tc>
          <w:tcPr>
            <w:tcW w:w="1418" w:type="dxa"/>
            <w:vAlign w:val="center"/>
          </w:tcPr>
          <w:p w14:paraId="5FD1607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1A9331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3238008">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E1504D9">
            <w:pPr>
              <w:pStyle w:val="17"/>
              <w:keepNext/>
              <w:spacing w:after="0" w:line="360" w:lineRule="auto"/>
              <w:ind w:left="63" w:right="63"/>
              <w:rPr>
                <w:rFonts w:hint="eastAsia" w:ascii="宋体" w:hAnsi="宋体" w:eastAsia="宋体" w:cs="宋体"/>
                <w:color w:val="auto"/>
                <w:kern w:val="2"/>
                <w:sz w:val="21"/>
                <w:szCs w:val="21"/>
                <w:highlight w:val="none"/>
              </w:rPr>
            </w:pPr>
          </w:p>
        </w:tc>
      </w:tr>
      <w:tr w14:paraId="245A7C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CC8E1F8">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07BFF0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FE601C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AC87E42">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58D86CC7">
            <w:pPr>
              <w:pStyle w:val="17"/>
              <w:keepNext/>
              <w:spacing w:after="0" w:line="360" w:lineRule="auto"/>
              <w:ind w:left="63" w:right="63"/>
              <w:rPr>
                <w:rFonts w:hint="eastAsia" w:ascii="宋体" w:hAnsi="宋体" w:eastAsia="宋体" w:cs="宋体"/>
                <w:color w:val="auto"/>
                <w:kern w:val="2"/>
                <w:sz w:val="21"/>
                <w:szCs w:val="21"/>
                <w:highlight w:val="none"/>
              </w:rPr>
            </w:pPr>
          </w:p>
        </w:tc>
      </w:tr>
      <w:tr w14:paraId="5E1453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A27C3E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nil"/>
            </w:tcBorders>
            <w:vAlign w:val="center"/>
          </w:tcPr>
          <w:p w14:paraId="7254553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714B631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7E244F30">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bottom w:val="nil"/>
            </w:tcBorders>
            <w:vAlign w:val="center"/>
          </w:tcPr>
          <w:p w14:paraId="40A3DCD6">
            <w:pPr>
              <w:pStyle w:val="17"/>
              <w:keepNext/>
              <w:spacing w:after="0" w:line="360" w:lineRule="auto"/>
              <w:ind w:left="63" w:right="63"/>
              <w:rPr>
                <w:rFonts w:hint="eastAsia" w:ascii="宋体" w:hAnsi="宋体" w:eastAsia="宋体" w:cs="宋体"/>
                <w:color w:val="auto"/>
                <w:kern w:val="2"/>
                <w:sz w:val="21"/>
                <w:szCs w:val="21"/>
                <w:highlight w:val="none"/>
              </w:rPr>
            </w:pPr>
          </w:p>
        </w:tc>
      </w:tr>
      <w:tr w14:paraId="73444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5BC6A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928363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195BE6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1341F6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FE8E736">
            <w:pPr>
              <w:pStyle w:val="17"/>
              <w:keepNext/>
              <w:spacing w:after="0" w:line="360" w:lineRule="auto"/>
              <w:ind w:left="63" w:right="63"/>
              <w:rPr>
                <w:rFonts w:hint="eastAsia" w:ascii="宋体" w:hAnsi="宋体" w:eastAsia="宋体" w:cs="宋体"/>
                <w:color w:val="auto"/>
                <w:kern w:val="2"/>
                <w:sz w:val="21"/>
                <w:szCs w:val="21"/>
                <w:highlight w:val="none"/>
              </w:rPr>
            </w:pPr>
          </w:p>
        </w:tc>
      </w:tr>
      <w:tr w14:paraId="2875CE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92D8A6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25E7E7A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15E75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0031E7A">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689463FB">
            <w:pPr>
              <w:pStyle w:val="17"/>
              <w:keepNext/>
              <w:spacing w:after="0" w:line="360" w:lineRule="auto"/>
              <w:ind w:left="63" w:right="63"/>
              <w:rPr>
                <w:rFonts w:hint="eastAsia" w:ascii="宋体" w:hAnsi="宋体" w:eastAsia="宋体" w:cs="宋体"/>
                <w:color w:val="auto"/>
                <w:kern w:val="2"/>
                <w:sz w:val="21"/>
                <w:szCs w:val="21"/>
                <w:highlight w:val="none"/>
              </w:rPr>
            </w:pPr>
          </w:p>
        </w:tc>
      </w:tr>
      <w:tr w14:paraId="371C59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53A1F0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104FE7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984D10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4F519A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6CBE4CF">
            <w:pPr>
              <w:pStyle w:val="17"/>
              <w:keepNext/>
              <w:spacing w:after="0" w:line="360" w:lineRule="auto"/>
              <w:ind w:left="63" w:right="63"/>
              <w:rPr>
                <w:rFonts w:hint="eastAsia" w:ascii="宋体" w:hAnsi="宋体" w:eastAsia="宋体" w:cs="宋体"/>
                <w:color w:val="auto"/>
                <w:kern w:val="2"/>
                <w:sz w:val="21"/>
                <w:szCs w:val="21"/>
                <w:highlight w:val="none"/>
              </w:rPr>
            </w:pPr>
          </w:p>
        </w:tc>
      </w:tr>
      <w:tr w14:paraId="2FB74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351AB0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single" w:color="auto" w:sz="12" w:space="0"/>
            </w:tcBorders>
            <w:vAlign w:val="center"/>
          </w:tcPr>
          <w:p w14:paraId="1BEAD1E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2FB672B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7EFF1B1A">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bottom w:val="single" w:color="auto" w:sz="12" w:space="0"/>
            </w:tcBorders>
            <w:vAlign w:val="center"/>
          </w:tcPr>
          <w:p w14:paraId="776E403A">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48DFB64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color w:val="auto"/>
          <w:szCs w:val="21"/>
          <w:highlight w:val="none"/>
        </w:rPr>
        <w:t>附</w:t>
      </w:r>
      <w:bookmarkStart w:id="1921" w:name="_Toc296347228"/>
      <w:bookmarkStart w:id="1922" w:name="_Toc296503229"/>
      <w:bookmarkStart w:id="1923" w:name="_Toc296891057"/>
      <w:bookmarkStart w:id="1924" w:name="_Toc296346730"/>
      <w:bookmarkStart w:id="1925" w:name="_Toc296891269"/>
      <w:bookmarkStart w:id="1926" w:name="_Toc296944568"/>
      <w:r>
        <w:rPr>
          <w:rFonts w:hint="eastAsia" w:ascii="宋体" w:hAnsi="宋体" w:eastAsia="宋体" w:cs="宋体"/>
          <w:color w:val="auto"/>
          <w:szCs w:val="21"/>
          <w:highlight w:val="none"/>
        </w:rPr>
        <w:t>件7：</w:t>
      </w:r>
    </w:p>
    <w:bookmarkEnd w:id="1921"/>
    <w:bookmarkEnd w:id="1922"/>
    <w:bookmarkEnd w:id="1923"/>
    <w:bookmarkEnd w:id="1924"/>
    <w:bookmarkEnd w:id="1925"/>
    <w:bookmarkEnd w:id="1926"/>
    <w:p w14:paraId="67D9E89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分包人主要施工管理人员表</w:t>
      </w:r>
    </w:p>
    <w:tbl>
      <w:tblPr>
        <w:tblStyle w:val="43"/>
        <w:tblW w:w="91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633"/>
      </w:tblGrid>
      <w:tr w14:paraId="7ADC70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9C409C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名    称</w:t>
            </w:r>
          </w:p>
        </w:tc>
        <w:tc>
          <w:tcPr>
            <w:tcW w:w="1418" w:type="dxa"/>
            <w:tcBorders>
              <w:top w:val="single" w:color="auto" w:sz="12" w:space="0"/>
              <w:bottom w:val="double" w:color="auto" w:sz="6" w:space="0"/>
            </w:tcBorders>
            <w:vAlign w:val="center"/>
          </w:tcPr>
          <w:p w14:paraId="4012B028">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姓名</w:t>
            </w:r>
          </w:p>
        </w:tc>
        <w:tc>
          <w:tcPr>
            <w:tcW w:w="1134" w:type="dxa"/>
            <w:tcBorders>
              <w:top w:val="single" w:color="auto" w:sz="12" w:space="0"/>
              <w:bottom w:val="double" w:color="auto" w:sz="6" w:space="0"/>
            </w:tcBorders>
            <w:vAlign w:val="center"/>
          </w:tcPr>
          <w:p w14:paraId="4BFBC9E2">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职务</w:t>
            </w:r>
          </w:p>
        </w:tc>
        <w:tc>
          <w:tcPr>
            <w:tcW w:w="1134" w:type="dxa"/>
            <w:tcBorders>
              <w:top w:val="single" w:color="auto" w:sz="12" w:space="0"/>
              <w:bottom w:val="double" w:color="auto" w:sz="6" w:space="0"/>
            </w:tcBorders>
            <w:vAlign w:val="center"/>
          </w:tcPr>
          <w:p w14:paraId="7B6220A8">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职称</w:t>
            </w:r>
          </w:p>
        </w:tc>
        <w:tc>
          <w:tcPr>
            <w:tcW w:w="3633" w:type="dxa"/>
            <w:tcBorders>
              <w:top w:val="single" w:color="auto" w:sz="12" w:space="0"/>
              <w:bottom w:val="double" w:color="auto" w:sz="6" w:space="0"/>
            </w:tcBorders>
            <w:vAlign w:val="center"/>
          </w:tcPr>
          <w:p w14:paraId="33112BF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主要资历、经验及承担过的项目</w:t>
            </w:r>
          </w:p>
        </w:tc>
      </w:tr>
      <w:tr w14:paraId="6B934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90" w:type="dxa"/>
            <w:gridSpan w:val="5"/>
            <w:tcBorders>
              <w:top w:val="double" w:color="auto" w:sz="6" w:space="0"/>
              <w:bottom w:val="single" w:color="auto" w:sz="6" w:space="0"/>
            </w:tcBorders>
            <w:vAlign w:val="center"/>
          </w:tcPr>
          <w:p w14:paraId="36600B0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一、总部人员</w:t>
            </w:r>
          </w:p>
        </w:tc>
      </w:tr>
      <w:tr w14:paraId="7FD483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D7C0FE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项目主管</w:t>
            </w:r>
          </w:p>
        </w:tc>
        <w:tc>
          <w:tcPr>
            <w:tcW w:w="1418" w:type="dxa"/>
            <w:tcBorders>
              <w:top w:val="nil"/>
            </w:tcBorders>
            <w:vAlign w:val="center"/>
          </w:tcPr>
          <w:p w14:paraId="79CF63D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3443889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4571D032">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top w:val="nil"/>
            </w:tcBorders>
            <w:vAlign w:val="center"/>
          </w:tcPr>
          <w:p w14:paraId="29D49557">
            <w:pPr>
              <w:pStyle w:val="17"/>
              <w:keepNext/>
              <w:spacing w:after="0" w:line="360" w:lineRule="auto"/>
              <w:ind w:left="63" w:right="63"/>
              <w:rPr>
                <w:rFonts w:hint="eastAsia" w:ascii="宋体" w:hAnsi="宋体" w:eastAsia="宋体" w:cs="宋体"/>
                <w:color w:val="auto"/>
                <w:kern w:val="2"/>
                <w:sz w:val="21"/>
                <w:szCs w:val="21"/>
                <w:highlight w:val="none"/>
              </w:rPr>
            </w:pPr>
          </w:p>
        </w:tc>
      </w:tr>
      <w:tr w14:paraId="3C712F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64CF58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8534A9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EC1991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467EC3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7E42B28D">
            <w:pPr>
              <w:pStyle w:val="17"/>
              <w:keepNext/>
              <w:spacing w:after="0" w:line="360" w:lineRule="auto"/>
              <w:ind w:left="63" w:right="63"/>
              <w:rPr>
                <w:rFonts w:hint="eastAsia" w:ascii="宋体" w:hAnsi="宋体" w:eastAsia="宋体" w:cs="宋体"/>
                <w:color w:val="auto"/>
                <w:kern w:val="2"/>
                <w:sz w:val="21"/>
                <w:szCs w:val="21"/>
                <w:highlight w:val="none"/>
              </w:rPr>
            </w:pPr>
          </w:p>
        </w:tc>
      </w:tr>
      <w:tr w14:paraId="7A1D5D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2B09EE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5876764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D7434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0C26EA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71B22EC8">
            <w:pPr>
              <w:pStyle w:val="17"/>
              <w:keepNext/>
              <w:spacing w:after="0" w:line="360" w:lineRule="auto"/>
              <w:ind w:left="63" w:right="63"/>
              <w:rPr>
                <w:rFonts w:hint="eastAsia" w:ascii="宋体" w:hAnsi="宋体" w:eastAsia="宋体" w:cs="宋体"/>
                <w:color w:val="auto"/>
                <w:kern w:val="2"/>
                <w:sz w:val="21"/>
                <w:szCs w:val="21"/>
                <w:highlight w:val="none"/>
              </w:rPr>
            </w:pPr>
          </w:p>
        </w:tc>
      </w:tr>
      <w:tr w14:paraId="427073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011CB9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904061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7F9A7A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206FDC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F2B251D">
            <w:pPr>
              <w:pStyle w:val="17"/>
              <w:keepNext/>
              <w:spacing w:after="0" w:line="360" w:lineRule="auto"/>
              <w:ind w:left="63" w:right="63"/>
              <w:rPr>
                <w:rFonts w:hint="eastAsia" w:ascii="宋体" w:hAnsi="宋体" w:eastAsia="宋体" w:cs="宋体"/>
                <w:color w:val="auto"/>
                <w:kern w:val="2"/>
                <w:sz w:val="21"/>
                <w:szCs w:val="21"/>
                <w:highlight w:val="none"/>
              </w:rPr>
            </w:pPr>
          </w:p>
        </w:tc>
      </w:tr>
      <w:tr w14:paraId="0F0316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90" w:type="dxa"/>
            <w:gridSpan w:val="5"/>
            <w:tcBorders>
              <w:top w:val="single" w:color="auto" w:sz="6" w:space="0"/>
              <w:bottom w:val="single" w:color="auto" w:sz="6" w:space="0"/>
            </w:tcBorders>
            <w:vAlign w:val="center"/>
          </w:tcPr>
          <w:p w14:paraId="3610EF8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二、现场人员</w:t>
            </w:r>
          </w:p>
        </w:tc>
      </w:tr>
      <w:tr w14:paraId="34836B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AF77A1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项目经理</w:t>
            </w:r>
          </w:p>
        </w:tc>
        <w:tc>
          <w:tcPr>
            <w:tcW w:w="1418" w:type="dxa"/>
            <w:vAlign w:val="center"/>
          </w:tcPr>
          <w:p w14:paraId="72792BE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795EC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32674E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61B7BFE">
            <w:pPr>
              <w:pStyle w:val="17"/>
              <w:keepNext/>
              <w:spacing w:after="0" w:line="360" w:lineRule="auto"/>
              <w:ind w:left="63" w:right="63"/>
              <w:rPr>
                <w:rFonts w:hint="eastAsia" w:ascii="宋体" w:hAnsi="宋体" w:eastAsia="宋体" w:cs="宋体"/>
                <w:color w:val="auto"/>
                <w:kern w:val="2"/>
                <w:sz w:val="21"/>
                <w:szCs w:val="21"/>
                <w:highlight w:val="none"/>
              </w:rPr>
            </w:pPr>
          </w:p>
        </w:tc>
      </w:tr>
      <w:tr w14:paraId="389429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208EB9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项目副经理</w:t>
            </w:r>
          </w:p>
        </w:tc>
        <w:tc>
          <w:tcPr>
            <w:tcW w:w="1418" w:type="dxa"/>
            <w:vAlign w:val="center"/>
          </w:tcPr>
          <w:p w14:paraId="414C165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3812A3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4B4615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5578950">
            <w:pPr>
              <w:pStyle w:val="17"/>
              <w:keepNext/>
              <w:spacing w:after="0" w:line="360" w:lineRule="auto"/>
              <w:ind w:left="63" w:right="63"/>
              <w:rPr>
                <w:rFonts w:hint="eastAsia" w:ascii="宋体" w:hAnsi="宋体" w:eastAsia="宋体" w:cs="宋体"/>
                <w:color w:val="auto"/>
                <w:kern w:val="2"/>
                <w:sz w:val="21"/>
                <w:szCs w:val="21"/>
                <w:highlight w:val="none"/>
              </w:rPr>
            </w:pPr>
          </w:p>
        </w:tc>
      </w:tr>
      <w:tr w14:paraId="60A19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98FE1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技术负责人</w:t>
            </w:r>
          </w:p>
        </w:tc>
        <w:tc>
          <w:tcPr>
            <w:tcW w:w="1418" w:type="dxa"/>
            <w:vAlign w:val="center"/>
          </w:tcPr>
          <w:p w14:paraId="24A325F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10BCA0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C731B6A">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082A3945">
            <w:pPr>
              <w:pStyle w:val="17"/>
              <w:keepNext/>
              <w:spacing w:after="0" w:line="360" w:lineRule="auto"/>
              <w:ind w:left="63" w:right="63"/>
              <w:rPr>
                <w:rFonts w:hint="eastAsia" w:ascii="宋体" w:hAnsi="宋体" w:eastAsia="宋体" w:cs="宋体"/>
                <w:color w:val="auto"/>
                <w:kern w:val="2"/>
                <w:sz w:val="21"/>
                <w:szCs w:val="21"/>
                <w:highlight w:val="none"/>
              </w:rPr>
            </w:pPr>
          </w:p>
        </w:tc>
      </w:tr>
      <w:tr w14:paraId="6EA93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4E02A5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造价管理</w:t>
            </w:r>
          </w:p>
        </w:tc>
        <w:tc>
          <w:tcPr>
            <w:tcW w:w="1418" w:type="dxa"/>
            <w:vAlign w:val="center"/>
          </w:tcPr>
          <w:p w14:paraId="013FD16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136101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0998BA7">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11D5F8E0">
            <w:pPr>
              <w:pStyle w:val="17"/>
              <w:keepNext/>
              <w:spacing w:after="0" w:line="360" w:lineRule="auto"/>
              <w:ind w:left="63" w:right="63"/>
              <w:rPr>
                <w:rFonts w:hint="eastAsia" w:ascii="宋体" w:hAnsi="宋体" w:eastAsia="宋体" w:cs="宋体"/>
                <w:color w:val="auto"/>
                <w:kern w:val="2"/>
                <w:sz w:val="21"/>
                <w:szCs w:val="21"/>
                <w:highlight w:val="none"/>
              </w:rPr>
            </w:pPr>
          </w:p>
        </w:tc>
      </w:tr>
      <w:tr w14:paraId="0357A5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674671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质量管理</w:t>
            </w:r>
          </w:p>
        </w:tc>
        <w:tc>
          <w:tcPr>
            <w:tcW w:w="1418" w:type="dxa"/>
            <w:vAlign w:val="center"/>
          </w:tcPr>
          <w:p w14:paraId="43F1038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03D267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0A059C3">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C8362AF">
            <w:pPr>
              <w:pStyle w:val="17"/>
              <w:keepNext/>
              <w:spacing w:after="0" w:line="360" w:lineRule="auto"/>
              <w:ind w:left="63" w:right="63"/>
              <w:rPr>
                <w:rFonts w:hint="eastAsia" w:ascii="宋体" w:hAnsi="宋体" w:eastAsia="宋体" w:cs="宋体"/>
                <w:color w:val="auto"/>
                <w:kern w:val="2"/>
                <w:sz w:val="21"/>
                <w:szCs w:val="21"/>
                <w:highlight w:val="none"/>
              </w:rPr>
            </w:pPr>
          </w:p>
        </w:tc>
      </w:tr>
      <w:tr w14:paraId="42B71B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F202FF2">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材料管理</w:t>
            </w:r>
          </w:p>
        </w:tc>
        <w:tc>
          <w:tcPr>
            <w:tcW w:w="1418" w:type="dxa"/>
            <w:vAlign w:val="center"/>
          </w:tcPr>
          <w:p w14:paraId="58205D2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C7CD57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FA3679C">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3AF2DFD">
            <w:pPr>
              <w:pStyle w:val="17"/>
              <w:keepNext/>
              <w:spacing w:after="0" w:line="360" w:lineRule="auto"/>
              <w:ind w:left="63" w:right="63"/>
              <w:rPr>
                <w:rFonts w:hint="eastAsia" w:ascii="宋体" w:hAnsi="宋体" w:eastAsia="宋体" w:cs="宋体"/>
                <w:color w:val="auto"/>
                <w:kern w:val="2"/>
                <w:sz w:val="21"/>
                <w:szCs w:val="21"/>
                <w:highlight w:val="none"/>
              </w:rPr>
            </w:pPr>
          </w:p>
        </w:tc>
      </w:tr>
      <w:tr w14:paraId="10049F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888A61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计划管理</w:t>
            </w:r>
          </w:p>
        </w:tc>
        <w:tc>
          <w:tcPr>
            <w:tcW w:w="1418" w:type="dxa"/>
            <w:vAlign w:val="center"/>
          </w:tcPr>
          <w:p w14:paraId="7911158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55596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CEE91AB">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80DE482">
            <w:pPr>
              <w:pStyle w:val="17"/>
              <w:keepNext/>
              <w:spacing w:after="0" w:line="360" w:lineRule="auto"/>
              <w:ind w:left="63" w:right="63"/>
              <w:rPr>
                <w:rFonts w:hint="eastAsia" w:ascii="宋体" w:hAnsi="宋体" w:eastAsia="宋体" w:cs="宋体"/>
                <w:color w:val="auto"/>
                <w:kern w:val="2"/>
                <w:sz w:val="21"/>
                <w:szCs w:val="21"/>
                <w:highlight w:val="none"/>
              </w:rPr>
            </w:pPr>
          </w:p>
        </w:tc>
      </w:tr>
      <w:tr w14:paraId="4AD99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54815B1">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安全管理</w:t>
            </w:r>
          </w:p>
        </w:tc>
        <w:tc>
          <w:tcPr>
            <w:tcW w:w="1418" w:type="dxa"/>
            <w:vAlign w:val="center"/>
          </w:tcPr>
          <w:p w14:paraId="1129072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E54D03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27D0A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068ACF94">
            <w:pPr>
              <w:pStyle w:val="17"/>
              <w:keepNext/>
              <w:spacing w:after="0" w:line="360" w:lineRule="auto"/>
              <w:ind w:left="63" w:right="63"/>
              <w:rPr>
                <w:rFonts w:hint="eastAsia" w:ascii="宋体" w:hAnsi="宋体" w:eastAsia="宋体" w:cs="宋体"/>
                <w:color w:val="auto"/>
                <w:kern w:val="2"/>
                <w:sz w:val="21"/>
                <w:szCs w:val="21"/>
                <w:highlight w:val="none"/>
              </w:rPr>
            </w:pPr>
          </w:p>
        </w:tc>
      </w:tr>
      <w:tr w14:paraId="63D3F7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EC98131">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2506EC0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72BAF4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6346BA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9956585">
            <w:pPr>
              <w:pStyle w:val="17"/>
              <w:keepNext/>
              <w:spacing w:after="0" w:line="360" w:lineRule="auto"/>
              <w:ind w:left="63" w:right="63"/>
              <w:rPr>
                <w:rFonts w:hint="eastAsia" w:ascii="宋体" w:hAnsi="宋体" w:eastAsia="宋体" w:cs="宋体"/>
                <w:color w:val="auto"/>
                <w:kern w:val="2"/>
                <w:sz w:val="21"/>
                <w:szCs w:val="21"/>
                <w:highlight w:val="none"/>
              </w:rPr>
            </w:pPr>
          </w:p>
        </w:tc>
      </w:tr>
      <w:tr w14:paraId="603FE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38A0FF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nil"/>
            </w:tcBorders>
            <w:vAlign w:val="center"/>
          </w:tcPr>
          <w:p w14:paraId="351BFA5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279D051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28FFAFE5">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bottom w:val="nil"/>
            </w:tcBorders>
            <w:vAlign w:val="center"/>
          </w:tcPr>
          <w:p w14:paraId="0E92DCD7">
            <w:pPr>
              <w:pStyle w:val="17"/>
              <w:keepNext/>
              <w:spacing w:after="0" w:line="360" w:lineRule="auto"/>
              <w:ind w:left="63" w:right="63"/>
              <w:rPr>
                <w:rFonts w:hint="eastAsia" w:ascii="宋体" w:hAnsi="宋体" w:eastAsia="宋体" w:cs="宋体"/>
                <w:color w:val="auto"/>
                <w:kern w:val="2"/>
                <w:sz w:val="21"/>
                <w:szCs w:val="21"/>
                <w:highlight w:val="none"/>
              </w:rPr>
            </w:pPr>
          </w:p>
        </w:tc>
      </w:tr>
      <w:tr w14:paraId="3823A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3767A1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5C07AD4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E68E89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406A20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D846534">
            <w:pPr>
              <w:pStyle w:val="17"/>
              <w:keepNext/>
              <w:spacing w:after="0" w:line="360" w:lineRule="auto"/>
              <w:ind w:left="63" w:right="63"/>
              <w:rPr>
                <w:rFonts w:hint="eastAsia" w:ascii="宋体" w:hAnsi="宋体" w:eastAsia="宋体" w:cs="宋体"/>
                <w:color w:val="auto"/>
                <w:kern w:val="2"/>
                <w:sz w:val="21"/>
                <w:szCs w:val="21"/>
                <w:highlight w:val="none"/>
              </w:rPr>
            </w:pPr>
          </w:p>
        </w:tc>
      </w:tr>
      <w:tr w14:paraId="0E7325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4B0D58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11FEC57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3CA3A2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9783DD7">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7DAC88D">
            <w:pPr>
              <w:pStyle w:val="17"/>
              <w:keepNext/>
              <w:spacing w:after="0" w:line="360" w:lineRule="auto"/>
              <w:ind w:left="63" w:right="63"/>
              <w:rPr>
                <w:rFonts w:hint="eastAsia" w:ascii="宋体" w:hAnsi="宋体" w:eastAsia="宋体" w:cs="宋体"/>
                <w:color w:val="auto"/>
                <w:kern w:val="2"/>
                <w:sz w:val="21"/>
                <w:szCs w:val="21"/>
                <w:highlight w:val="none"/>
              </w:rPr>
            </w:pPr>
          </w:p>
        </w:tc>
      </w:tr>
      <w:tr w14:paraId="28E31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72C04B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5907638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9A70D7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9AC786A">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2563AEF3">
            <w:pPr>
              <w:pStyle w:val="17"/>
              <w:keepNext/>
              <w:spacing w:after="0" w:line="360" w:lineRule="auto"/>
              <w:ind w:left="63" w:right="63"/>
              <w:rPr>
                <w:rFonts w:hint="eastAsia" w:ascii="宋体" w:hAnsi="宋体" w:eastAsia="宋体" w:cs="宋体"/>
                <w:color w:val="auto"/>
                <w:kern w:val="2"/>
                <w:sz w:val="21"/>
                <w:szCs w:val="21"/>
                <w:highlight w:val="none"/>
              </w:rPr>
            </w:pPr>
          </w:p>
        </w:tc>
      </w:tr>
      <w:tr w14:paraId="7B92BE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709B21B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single" w:color="auto" w:sz="12" w:space="0"/>
            </w:tcBorders>
            <w:vAlign w:val="center"/>
          </w:tcPr>
          <w:p w14:paraId="0FF2A08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173D3DF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235098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bottom w:val="single" w:color="auto" w:sz="12" w:space="0"/>
            </w:tcBorders>
            <w:vAlign w:val="center"/>
          </w:tcPr>
          <w:p w14:paraId="542265C6">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7188BF3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1927" w:name="_Toc267261701"/>
      <w:r>
        <w:rPr>
          <w:rFonts w:hint="eastAsia" w:ascii="宋体" w:hAnsi="宋体" w:eastAsia="宋体" w:cs="宋体"/>
          <w:color w:val="auto"/>
          <w:szCs w:val="21"/>
          <w:highlight w:val="none"/>
        </w:rPr>
        <w:t>附</w:t>
      </w:r>
      <w:bookmarkStart w:id="1928" w:name="_Toc296346732"/>
      <w:bookmarkStart w:id="1929" w:name="_Toc296891271"/>
      <w:bookmarkStart w:id="1930" w:name="_Toc296347230"/>
      <w:bookmarkStart w:id="1931" w:name="_Toc296944570"/>
      <w:bookmarkStart w:id="1932" w:name="_Toc296503231"/>
      <w:bookmarkStart w:id="1933" w:name="_Toc296891059"/>
      <w:r>
        <w:rPr>
          <w:rFonts w:hint="eastAsia" w:ascii="宋体" w:hAnsi="宋体" w:eastAsia="宋体" w:cs="宋体"/>
          <w:color w:val="auto"/>
          <w:szCs w:val="21"/>
          <w:highlight w:val="none"/>
        </w:rPr>
        <w:t>件8：</w:t>
      </w:r>
    </w:p>
    <w:bookmarkEnd w:id="1927"/>
    <w:bookmarkEnd w:id="1928"/>
    <w:bookmarkEnd w:id="1929"/>
    <w:bookmarkEnd w:id="1930"/>
    <w:bookmarkEnd w:id="1931"/>
    <w:bookmarkEnd w:id="1932"/>
    <w:bookmarkEnd w:id="1933"/>
    <w:p w14:paraId="06D5861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w:t>
      </w:r>
    </w:p>
    <w:p w14:paraId="575E90E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（发包人名称）：</w:t>
      </w:r>
    </w:p>
    <w:p w14:paraId="5B0606A4">
      <w:pPr>
        <w:spacing w:line="360" w:lineRule="auto"/>
        <w:rPr>
          <w:rFonts w:hint="eastAsia" w:ascii="宋体" w:hAnsi="宋体" w:eastAsia="宋体" w:cs="宋体"/>
          <w:color w:val="auto"/>
          <w:szCs w:val="21"/>
          <w:highlight w:val="none"/>
        </w:rPr>
      </w:pPr>
    </w:p>
    <w:p w14:paraId="5C83013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（发包人名称，以下简称“发包人”）与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（工程名称）施工及有关事项协商一致共同签订《建设工程施工合同》。我方愿意无条件地、不可撤销地就承包人履行与你方签订的合同，向你方提供连带责任担保。 </w:t>
      </w:r>
    </w:p>
    <w:p w14:paraId="545F6DB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CB1CBA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担保有效期自你方与承包人签订的合同生效之日起至你方签发或应签发工程接收证书之日止。</w:t>
      </w:r>
    </w:p>
    <w:p w14:paraId="14F682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在本担保有效期内，因承包人违反合同约定的义务给你方造成经济损失时，我方在收到你方以书面形式提出的在担保金额内的赔偿要求后，在7天内无条件支付。</w:t>
      </w:r>
    </w:p>
    <w:p w14:paraId="4F283DD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你方和承包人按合同约定变更合同时，我方承担本担保规定的义务不变。</w:t>
      </w:r>
    </w:p>
    <w:p w14:paraId="0CDB86C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因本保函发生的纠纷，可由双方协商解决，协商不成的，任何一方均可提请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244A8AA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本保函自我方法定代表人（或其授权代理人）签字并加盖公章之日起生效。</w:t>
      </w:r>
    </w:p>
    <w:p w14:paraId="6731EBF5">
      <w:pPr>
        <w:spacing w:line="360" w:lineRule="auto"/>
        <w:rPr>
          <w:rFonts w:hint="eastAsia" w:ascii="宋体" w:hAnsi="宋体" w:eastAsia="宋体" w:cs="宋体"/>
          <w:color w:val="auto"/>
          <w:szCs w:val="21"/>
          <w:highlight w:val="none"/>
        </w:rPr>
      </w:pPr>
    </w:p>
    <w:p w14:paraId="1761D5B6">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 保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3DCF81B9">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213256FC">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08360773">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1EEFAD94">
      <w:pPr>
        <w:spacing w:line="360" w:lineRule="auto"/>
        <w:ind w:firstLine="1260" w:firstLineChars="6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1DC04145">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4281B30E">
      <w:pPr>
        <w:spacing w:line="360" w:lineRule="auto"/>
        <w:rPr>
          <w:rFonts w:hint="eastAsia" w:ascii="宋体" w:hAnsi="宋体" w:eastAsia="宋体" w:cs="宋体"/>
          <w:color w:val="auto"/>
          <w:szCs w:val="21"/>
          <w:highlight w:val="none"/>
          <w:u w:val="single"/>
        </w:rPr>
      </w:pPr>
    </w:p>
    <w:p w14:paraId="79B2BC7E">
      <w:pPr>
        <w:spacing w:line="360" w:lineRule="auto"/>
        <w:ind w:left="1329" w:hanging="1329" w:hangingChars="63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37C7E875">
      <w:pPr>
        <w:spacing w:line="360" w:lineRule="auto"/>
        <w:ind w:left="1329" w:hanging="1329" w:hangingChars="633"/>
        <w:rPr>
          <w:rFonts w:hint="eastAsia" w:ascii="宋体" w:hAnsi="宋体" w:eastAsia="宋体" w:cs="宋体"/>
          <w:color w:val="auto"/>
          <w:szCs w:val="21"/>
          <w:highlight w:val="none"/>
        </w:rPr>
      </w:pPr>
    </w:p>
    <w:p w14:paraId="3361A3A4">
      <w:pPr>
        <w:spacing w:line="360" w:lineRule="auto"/>
        <w:ind w:left="1329" w:hanging="1329" w:hangingChars="633"/>
        <w:rPr>
          <w:rFonts w:hint="eastAsia" w:ascii="宋体" w:hAnsi="宋体" w:eastAsia="宋体" w:cs="宋体"/>
          <w:color w:val="auto"/>
          <w:szCs w:val="21"/>
          <w:highlight w:val="none"/>
        </w:rPr>
      </w:pPr>
    </w:p>
    <w:p w14:paraId="048B8F69">
      <w:pPr>
        <w:spacing w:line="360" w:lineRule="auto"/>
        <w:ind w:left="1329" w:hanging="1329" w:hangingChars="633"/>
        <w:rPr>
          <w:rFonts w:hint="eastAsia" w:ascii="宋体" w:hAnsi="宋体" w:eastAsia="宋体" w:cs="宋体"/>
          <w:color w:val="auto"/>
          <w:szCs w:val="21"/>
          <w:highlight w:val="none"/>
        </w:rPr>
      </w:pPr>
    </w:p>
    <w:p w14:paraId="3AA3002E">
      <w:pPr>
        <w:spacing w:line="360" w:lineRule="auto"/>
        <w:rPr>
          <w:rFonts w:hint="eastAsia" w:ascii="宋体" w:hAnsi="宋体" w:eastAsia="宋体" w:cs="宋体"/>
          <w:color w:val="auto"/>
          <w:szCs w:val="21"/>
          <w:highlight w:val="none"/>
        </w:rPr>
      </w:pPr>
    </w:p>
    <w:p w14:paraId="30080DAB">
      <w:pPr>
        <w:spacing w:line="360" w:lineRule="auto"/>
        <w:rPr>
          <w:rFonts w:hint="eastAsia" w:ascii="宋体" w:hAnsi="宋体" w:eastAsia="宋体" w:cs="宋体"/>
          <w:color w:val="auto"/>
          <w:szCs w:val="21"/>
          <w:highlight w:val="none"/>
        </w:rPr>
      </w:pPr>
    </w:p>
    <w:p w14:paraId="75612DCD">
      <w:pPr>
        <w:spacing w:line="360" w:lineRule="auto"/>
        <w:rPr>
          <w:rFonts w:hint="eastAsia" w:ascii="宋体" w:hAnsi="宋体" w:eastAsia="宋体" w:cs="宋体"/>
          <w:color w:val="auto"/>
          <w:szCs w:val="21"/>
          <w:highlight w:val="none"/>
        </w:rPr>
      </w:pPr>
    </w:p>
    <w:p w14:paraId="0FE6FFAE">
      <w:pPr>
        <w:spacing w:line="360" w:lineRule="auto"/>
        <w:rPr>
          <w:rFonts w:hint="eastAsia" w:ascii="宋体" w:hAnsi="宋体" w:eastAsia="宋体" w:cs="宋体"/>
          <w:color w:val="auto"/>
          <w:szCs w:val="21"/>
          <w:highlight w:val="none"/>
        </w:rPr>
      </w:pPr>
    </w:p>
    <w:p w14:paraId="472D0F05">
      <w:pPr>
        <w:spacing w:line="360" w:lineRule="auto"/>
        <w:rPr>
          <w:rFonts w:hint="eastAsia" w:ascii="宋体" w:hAnsi="宋体" w:eastAsia="宋体" w:cs="宋体"/>
          <w:color w:val="auto"/>
          <w:szCs w:val="21"/>
          <w:highlight w:val="none"/>
        </w:rPr>
      </w:pPr>
    </w:p>
    <w:p w14:paraId="6A5D229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934" w:name="_Toc296891272"/>
      <w:bookmarkStart w:id="1935" w:name="_Toc296347231"/>
      <w:bookmarkStart w:id="1936" w:name="_Toc267261702"/>
      <w:bookmarkStart w:id="1937" w:name="_Toc296891060"/>
      <w:bookmarkStart w:id="1938" w:name="_Toc296944571"/>
      <w:bookmarkStart w:id="1939" w:name="_Toc296503232"/>
      <w:bookmarkStart w:id="1940" w:name="_Toc296346733"/>
      <w:r>
        <w:rPr>
          <w:rFonts w:hint="eastAsia" w:ascii="宋体" w:hAnsi="宋体" w:eastAsia="宋体" w:cs="宋体"/>
          <w:color w:val="auto"/>
          <w:szCs w:val="21"/>
          <w:highlight w:val="none"/>
        </w:rPr>
        <w:t>件9 ：</w:t>
      </w:r>
    </w:p>
    <w:bookmarkEnd w:id="1934"/>
    <w:bookmarkEnd w:id="1935"/>
    <w:bookmarkEnd w:id="1936"/>
    <w:bookmarkEnd w:id="1937"/>
    <w:bookmarkEnd w:id="1938"/>
    <w:bookmarkEnd w:id="1939"/>
    <w:bookmarkEnd w:id="1940"/>
    <w:p w14:paraId="314F66D8">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w:t>
      </w:r>
    </w:p>
    <w:p w14:paraId="7AB4E9C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（发包人名称）：</w:t>
      </w:r>
    </w:p>
    <w:p w14:paraId="1021521A">
      <w:pPr>
        <w:spacing w:line="360" w:lineRule="auto"/>
        <w:rPr>
          <w:rFonts w:hint="eastAsia" w:ascii="宋体" w:hAnsi="宋体" w:eastAsia="宋体" w:cs="宋体"/>
          <w:color w:val="auto"/>
          <w:szCs w:val="21"/>
          <w:highlight w:val="none"/>
        </w:rPr>
      </w:pPr>
    </w:p>
    <w:p w14:paraId="3D736C2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（承包人名称）（以下称“承包人”）与</w:t>
      </w:r>
    </w:p>
    <w:p w14:paraId="1AF7B4C5">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bookmarkStart w:id="1941" w:name="_Toc14452"/>
      <w:bookmarkStart w:id="1942" w:name="_Toc19167"/>
      <w:r>
        <w:rPr>
          <w:rFonts w:hint="eastAsia" w:ascii="宋体" w:hAnsi="宋体" w:eastAsia="宋体" w:cs="宋体"/>
          <w:color w:val="auto"/>
          <w:szCs w:val="21"/>
          <w:highlight w:val="none"/>
        </w:rPr>
        <w:t>（发包人名称）（以下简称“发包人”）</w:t>
      </w:r>
      <w:bookmarkEnd w:id="1941"/>
      <w:bookmarkEnd w:id="1942"/>
    </w:p>
    <w:p w14:paraId="18D553C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49F2A59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8F049E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担保有效期自预付款支付给承包人起生效，至你方签发的进度款支付证书说明已完全扣清止。</w:t>
      </w:r>
    </w:p>
    <w:p w14:paraId="6C7C8F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38F87FA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你方和承包人按合同约定变更合同时，我方承担本保函规定的义务不变。</w:t>
      </w:r>
    </w:p>
    <w:p w14:paraId="7FDD917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因本保函发生的纠纷，可由双方协商解决，协商不成的，任何一方均可提请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1ABD46F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本保函自我方法定代表人（或其授权代理人）签字并加盖公章之日起生效。</w:t>
      </w:r>
    </w:p>
    <w:p w14:paraId="6F5B2B1A">
      <w:pPr>
        <w:spacing w:line="360" w:lineRule="auto"/>
        <w:rPr>
          <w:rFonts w:hint="eastAsia" w:ascii="宋体" w:hAnsi="宋体" w:eastAsia="宋体" w:cs="宋体"/>
          <w:color w:val="auto"/>
          <w:szCs w:val="21"/>
          <w:highlight w:val="none"/>
        </w:rPr>
      </w:pPr>
    </w:p>
    <w:p w14:paraId="4F65F065">
      <w:pPr>
        <w:spacing w:line="360" w:lineRule="auto"/>
        <w:rPr>
          <w:rFonts w:hint="eastAsia" w:ascii="宋体" w:hAnsi="宋体" w:eastAsia="宋体" w:cs="宋体"/>
          <w:color w:val="auto"/>
          <w:szCs w:val="21"/>
          <w:highlight w:val="none"/>
        </w:rPr>
      </w:pPr>
    </w:p>
    <w:p w14:paraId="7824568D">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30DB96AB">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7233AE93">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35D3EC00">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5353454C">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255E0326">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612B56F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7B5C645D">
      <w:pPr>
        <w:spacing w:line="360" w:lineRule="auto"/>
        <w:rPr>
          <w:rFonts w:hint="eastAsia" w:ascii="宋体" w:hAnsi="宋体" w:eastAsia="宋体" w:cs="宋体"/>
          <w:color w:val="auto"/>
          <w:szCs w:val="21"/>
          <w:highlight w:val="none"/>
          <w:u w:val="single"/>
        </w:rPr>
      </w:pPr>
    </w:p>
    <w:p w14:paraId="133DF47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708C8F0F">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r>
      <w:r>
        <w:rPr>
          <w:rFonts w:hint="eastAsia" w:ascii="宋体" w:hAnsi="宋体" w:eastAsia="宋体" w:cs="宋体"/>
          <w:color w:val="auto"/>
          <w:szCs w:val="21"/>
          <w:highlight w:val="none"/>
        </w:rPr>
        <w:t>附</w:t>
      </w:r>
      <w:bookmarkStart w:id="1943" w:name="_Toc296503233"/>
      <w:bookmarkStart w:id="1944" w:name="_Toc296944572"/>
      <w:bookmarkStart w:id="1945" w:name="_Toc296891061"/>
      <w:bookmarkStart w:id="1946" w:name="_Toc296346734"/>
      <w:bookmarkStart w:id="1947" w:name="_Toc296891273"/>
      <w:bookmarkStart w:id="1948" w:name="_Toc296347232"/>
      <w:r>
        <w:rPr>
          <w:rFonts w:hint="eastAsia" w:ascii="宋体" w:hAnsi="宋体" w:eastAsia="宋体" w:cs="宋体"/>
          <w:color w:val="auto"/>
          <w:szCs w:val="21"/>
          <w:highlight w:val="none"/>
        </w:rPr>
        <w:t xml:space="preserve">件10:  </w:t>
      </w:r>
    </w:p>
    <w:bookmarkEnd w:id="1943"/>
    <w:bookmarkEnd w:id="1944"/>
    <w:bookmarkEnd w:id="1945"/>
    <w:bookmarkEnd w:id="1946"/>
    <w:bookmarkEnd w:id="1947"/>
    <w:bookmarkEnd w:id="1948"/>
    <w:p w14:paraId="227B878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支付担保</w:t>
      </w:r>
    </w:p>
    <w:p w14:paraId="312106C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w:t>
      </w:r>
    </w:p>
    <w:p w14:paraId="5844C025">
      <w:pPr>
        <w:spacing w:line="360" w:lineRule="auto"/>
        <w:jc w:val="left"/>
        <w:rPr>
          <w:rFonts w:hint="eastAsia" w:ascii="宋体" w:hAnsi="宋体" w:eastAsia="宋体" w:cs="宋体"/>
          <w:color w:val="auto"/>
          <w:szCs w:val="21"/>
          <w:highlight w:val="none"/>
        </w:rPr>
      </w:pPr>
    </w:p>
    <w:p w14:paraId="34AD184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鉴于你方作为承包人已经与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（发包人名称）（以下称“发包人”）于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（工程名称）《建设工程施工合同》（以下称“主合同”），应发包人的申请，我方愿就发包人履行主合同约定的工程款支付义务以保证的方式向你方提供如下担保：</w:t>
      </w:r>
    </w:p>
    <w:p w14:paraId="696BBC94">
      <w:pPr>
        <w:spacing w:line="360" w:lineRule="auto"/>
        <w:ind w:firstLine="420" w:firstLineChars="200"/>
        <w:jc w:val="left"/>
        <w:outlineLvl w:val="0"/>
        <w:rPr>
          <w:rFonts w:hint="eastAsia" w:ascii="宋体" w:hAnsi="宋体" w:eastAsia="宋体" w:cs="宋体"/>
          <w:color w:val="auto"/>
          <w:szCs w:val="21"/>
          <w:highlight w:val="none"/>
        </w:rPr>
      </w:pPr>
      <w:bookmarkStart w:id="1949" w:name="_Toc32746"/>
      <w:bookmarkStart w:id="1950" w:name="_Toc256"/>
      <w:r>
        <w:rPr>
          <w:rFonts w:hint="eastAsia" w:ascii="宋体" w:hAnsi="宋体" w:eastAsia="宋体" w:cs="宋体"/>
          <w:color w:val="auto"/>
          <w:szCs w:val="21"/>
          <w:highlight w:val="none"/>
        </w:rPr>
        <w:t>一、保证的范围及保证金额</w:t>
      </w:r>
      <w:bookmarkEnd w:id="1949"/>
      <w:bookmarkEnd w:id="1950"/>
    </w:p>
    <w:p w14:paraId="41046D8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我方的保证范围是主合同约定的工程款。</w:t>
      </w:r>
    </w:p>
    <w:p w14:paraId="148D1C0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本保函所称主合同约定的工程款是指主合同约定的除工程质量保证金以外的合同价款。</w:t>
      </w:r>
    </w:p>
    <w:p w14:paraId="5B383BE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我方保证的金额是主合同约定的工程款的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%，数额最高不超过人民币元（大写：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E1F9C25">
      <w:pPr>
        <w:spacing w:line="360" w:lineRule="auto"/>
        <w:ind w:firstLine="420" w:firstLineChars="200"/>
        <w:jc w:val="left"/>
        <w:outlineLvl w:val="0"/>
        <w:rPr>
          <w:rFonts w:hint="eastAsia" w:ascii="宋体" w:hAnsi="宋体" w:eastAsia="宋体" w:cs="宋体"/>
          <w:color w:val="auto"/>
          <w:szCs w:val="21"/>
          <w:highlight w:val="none"/>
        </w:rPr>
      </w:pPr>
      <w:bookmarkStart w:id="1951" w:name="_Toc5877"/>
      <w:r>
        <w:rPr>
          <w:rFonts w:hint="eastAsia" w:ascii="宋体" w:hAnsi="宋体" w:eastAsia="宋体" w:cs="宋体"/>
          <w:color w:val="auto"/>
          <w:szCs w:val="21"/>
          <w:highlight w:val="none"/>
        </w:rPr>
        <w:t>二、保证的方式及保证期间</w:t>
      </w:r>
      <w:bookmarkEnd w:id="1951"/>
    </w:p>
    <w:p w14:paraId="5C5888E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我方保证的方式为：连带责任保证。</w:t>
      </w:r>
    </w:p>
    <w:p w14:paraId="1432D9D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我方保证的期间为：自本合同生效之日起至主合同约定的工程款支付完毕之日后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日内。</w:t>
      </w:r>
    </w:p>
    <w:p w14:paraId="1DF4E94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你方与发包人协议变更工程款支付日期的，经我方书面同意后，保证期间按照变更后的支付日期做相应调整。</w:t>
      </w:r>
    </w:p>
    <w:p w14:paraId="5F4AD2A2">
      <w:pPr>
        <w:spacing w:line="360" w:lineRule="auto"/>
        <w:ind w:firstLine="420" w:firstLineChars="200"/>
        <w:jc w:val="left"/>
        <w:outlineLvl w:val="0"/>
        <w:rPr>
          <w:rFonts w:hint="eastAsia" w:ascii="宋体" w:hAnsi="宋体" w:eastAsia="宋体" w:cs="宋体"/>
          <w:color w:val="auto"/>
          <w:szCs w:val="21"/>
          <w:highlight w:val="none"/>
        </w:rPr>
      </w:pPr>
      <w:bookmarkStart w:id="1952" w:name="_Toc30141"/>
      <w:bookmarkStart w:id="1953" w:name="_Toc2166"/>
      <w:r>
        <w:rPr>
          <w:rFonts w:hint="eastAsia" w:ascii="宋体" w:hAnsi="宋体" w:eastAsia="宋体" w:cs="宋体"/>
          <w:color w:val="auto"/>
          <w:szCs w:val="21"/>
          <w:highlight w:val="none"/>
        </w:rPr>
        <w:t>三、承担保证责任的形式</w:t>
      </w:r>
      <w:bookmarkEnd w:id="1952"/>
      <w:bookmarkEnd w:id="1953"/>
    </w:p>
    <w:p w14:paraId="642759A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我方承担保证责任的形式是代为支付。发包人未按主合同约定向你方支付工程款的，由我方在保证金额内代为支付。</w:t>
      </w:r>
    </w:p>
    <w:p w14:paraId="010F31CF">
      <w:pPr>
        <w:spacing w:line="360" w:lineRule="auto"/>
        <w:ind w:firstLine="420" w:firstLineChars="200"/>
        <w:jc w:val="left"/>
        <w:outlineLvl w:val="0"/>
        <w:rPr>
          <w:rFonts w:hint="eastAsia" w:ascii="宋体" w:hAnsi="宋体" w:eastAsia="宋体" w:cs="宋体"/>
          <w:color w:val="auto"/>
          <w:szCs w:val="21"/>
          <w:highlight w:val="none"/>
        </w:rPr>
      </w:pPr>
      <w:bookmarkStart w:id="1954" w:name="_Toc23817"/>
      <w:bookmarkStart w:id="1955" w:name="_Toc21315"/>
      <w:r>
        <w:rPr>
          <w:rFonts w:hint="eastAsia" w:ascii="宋体" w:hAnsi="宋体" w:eastAsia="宋体" w:cs="宋体"/>
          <w:color w:val="auto"/>
          <w:szCs w:val="21"/>
          <w:highlight w:val="none"/>
        </w:rPr>
        <w:t>四、代偿的安排</w:t>
      </w:r>
      <w:bookmarkEnd w:id="1954"/>
      <w:bookmarkEnd w:id="1955"/>
    </w:p>
    <w:p w14:paraId="7BBFECF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你方要求我方承担保证责任的，应向我方发出书面索赔通知及发包人未支付主合同约定工程款的证明材料。索赔通知应写明要求索赔的金额，支付款项应到达的账号。</w:t>
      </w:r>
    </w:p>
    <w:p w14:paraId="4F30A74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2B9EA55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我方收到你方的书面索赔通知及相应的证明材料后７天内无条件支付。</w:t>
      </w:r>
    </w:p>
    <w:p w14:paraId="01E1DC47">
      <w:pPr>
        <w:spacing w:line="360" w:lineRule="auto"/>
        <w:ind w:firstLine="420" w:firstLineChars="200"/>
        <w:jc w:val="left"/>
        <w:outlineLvl w:val="0"/>
        <w:rPr>
          <w:rFonts w:hint="eastAsia" w:ascii="宋体" w:hAnsi="宋体" w:eastAsia="宋体" w:cs="宋体"/>
          <w:color w:val="auto"/>
          <w:szCs w:val="21"/>
          <w:highlight w:val="none"/>
        </w:rPr>
      </w:pPr>
      <w:bookmarkStart w:id="1956" w:name="_Toc10393"/>
      <w:bookmarkStart w:id="1957" w:name="_Toc3611"/>
      <w:r>
        <w:rPr>
          <w:rFonts w:hint="eastAsia" w:ascii="宋体" w:hAnsi="宋体" w:eastAsia="宋体" w:cs="宋体"/>
          <w:color w:val="auto"/>
          <w:szCs w:val="21"/>
          <w:highlight w:val="none"/>
        </w:rPr>
        <w:t>五、保证责任的解除</w:t>
      </w:r>
      <w:bookmarkEnd w:id="1956"/>
      <w:bookmarkEnd w:id="1957"/>
    </w:p>
    <w:p w14:paraId="7D5A924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在本保函承诺的保证期间内，你方未书面向我方主张保证责任的，自保证期间届满次日起，我方保证责任解除。</w:t>
      </w:r>
    </w:p>
    <w:p w14:paraId="0444311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发包人按主合同约定履行了工程款的全部支付义务的，自本保函承诺的保证期间届满次日起，我方保证责任解除。</w:t>
      </w:r>
    </w:p>
    <w:p w14:paraId="4BC5367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我方按照本保函向你方履行保证责任所支付金额达到本保函保证金额时，自我方向你方支付（支付款项从我方账户划出）之日起，保证责任即解除。</w:t>
      </w:r>
    </w:p>
    <w:p w14:paraId="5C1C288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按照法律法规的规定或出现应解除我方保证责任的其他情形的，我方在本保函项下的保证责任亦解除。</w:t>
      </w:r>
    </w:p>
    <w:p w14:paraId="0B3FA25B">
      <w:pPr>
        <w:spacing w:line="360" w:lineRule="auto"/>
        <w:jc w:val="left"/>
        <w:rPr>
          <w:rFonts w:hint="eastAsia" w:ascii="宋体" w:hAnsi="宋体" w:eastAsia="宋体" w:cs="宋体"/>
          <w:color w:val="auto"/>
          <w:szCs w:val="21"/>
          <w:highlight w:val="none"/>
        </w:rPr>
      </w:pPr>
    </w:p>
    <w:p w14:paraId="14790A2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 我方解除保证责任后，你方应自我方保证责任解除之日起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个工作日内，将本保函原件返还我方。</w:t>
      </w:r>
    </w:p>
    <w:p w14:paraId="64DD8E93">
      <w:pPr>
        <w:spacing w:line="360" w:lineRule="auto"/>
        <w:ind w:firstLine="420" w:firstLineChars="200"/>
        <w:jc w:val="left"/>
        <w:outlineLvl w:val="0"/>
        <w:rPr>
          <w:rFonts w:hint="eastAsia" w:ascii="宋体" w:hAnsi="宋体" w:eastAsia="宋体" w:cs="宋体"/>
          <w:color w:val="auto"/>
          <w:szCs w:val="21"/>
          <w:highlight w:val="none"/>
        </w:rPr>
      </w:pPr>
      <w:bookmarkStart w:id="1958" w:name="_Toc18816"/>
      <w:bookmarkStart w:id="1959" w:name="_Toc3154"/>
      <w:r>
        <w:rPr>
          <w:rFonts w:hint="eastAsia" w:ascii="宋体" w:hAnsi="宋体" w:eastAsia="宋体" w:cs="宋体"/>
          <w:color w:val="auto"/>
          <w:szCs w:val="21"/>
          <w:highlight w:val="none"/>
        </w:rPr>
        <w:t>六、免责条款</w:t>
      </w:r>
      <w:bookmarkEnd w:id="1958"/>
      <w:bookmarkEnd w:id="1959"/>
    </w:p>
    <w:p w14:paraId="5A204D4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因你方违约致使发包人不能履行义务的，我方不承担保证责任。</w:t>
      </w:r>
    </w:p>
    <w:p w14:paraId="397888B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依照法律法规的规定或你方与发包人的另行约定，免除发包人部分或全部义务的，我方亦免除其相应的保证责任。</w:t>
      </w:r>
    </w:p>
    <w:p w14:paraId="022AC13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747E95E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因不可抗力造成发包人不能履行义务的，我方不承担保证责任。</w:t>
      </w:r>
    </w:p>
    <w:p w14:paraId="0717B347">
      <w:pPr>
        <w:spacing w:line="360" w:lineRule="auto"/>
        <w:ind w:firstLine="420" w:firstLineChars="200"/>
        <w:jc w:val="left"/>
        <w:outlineLvl w:val="0"/>
        <w:rPr>
          <w:rFonts w:hint="eastAsia" w:ascii="宋体" w:hAnsi="宋体" w:eastAsia="宋体" w:cs="宋体"/>
          <w:color w:val="auto"/>
          <w:szCs w:val="21"/>
          <w:highlight w:val="none"/>
        </w:rPr>
      </w:pPr>
      <w:bookmarkStart w:id="1960" w:name="_Toc9240"/>
      <w:bookmarkStart w:id="1961" w:name="_Toc26407"/>
      <w:r>
        <w:rPr>
          <w:rFonts w:hint="eastAsia" w:ascii="宋体" w:hAnsi="宋体" w:eastAsia="宋体" w:cs="宋体"/>
          <w:color w:val="auto"/>
          <w:szCs w:val="21"/>
          <w:highlight w:val="none"/>
        </w:rPr>
        <w:t>七、争议解决</w:t>
      </w:r>
      <w:bookmarkEnd w:id="1960"/>
      <w:bookmarkEnd w:id="1961"/>
    </w:p>
    <w:p w14:paraId="12CD8B2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因本保函或本保函相关事项发生的纠纷，可由双方协商解决，协商不成的，按下列第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77A54D8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0E71539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人民法院起诉。</w:t>
      </w:r>
    </w:p>
    <w:p w14:paraId="1587EF01">
      <w:pPr>
        <w:spacing w:line="360" w:lineRule="auto"/>
        <w:ind w:firstLine="420" w:firstLineChars="200"/>
        <w:jc w:val="left"/>
        <w:outlineLvl w:val="0"/>
        <w:rPr>
          <w:rFonts w:hint="eastAsia" w:ascii="宋体" w:hAnsi="宋体" w:eastAsia="宋体" w:cs="宋体"/>
          <w:color w:val="auto"/>
          <w:szCs w:val="21"/>
          <w:highlight w:val="none"/>
        </w:rPr>
      </w:pPr>
      <w:bookmarkStart w:id="1962" w:name="_Toc28953"/>
      <w:bookmarkStart w:id="1963" w:name="_Toc28969"/>
      <w:r>
        <w:rPr>
          <w:rFonts w:hint="eastAsia" w:ascii="宋体" w:hAnsi="宋体" w:eastAsia="宋体" w:cs="宋体"/>
          <w:color w:val="auto"/>
          <w:szCs w:val="21"/>
          <w:highlight w:val="none"/>
        </w:rPr>
        <w:t>八、保函的生效</w:t>
      </w:r>
      <w:bookmarkEnd w:id="1962"/>
      <w:bookmarkEnd w:id="1963"/>
    </w:p>
    <w:p w14:paraId="387314D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本保函自我方法定代表人（或其授权代理人）签字并加盖公章之日起生效。</w:t>
      </w:r>
    </w:p>
    <w:p w14:paraId="77B0C3D0">
      <w:pPr>
        <w:spacing w:line="360" w:lineRule="auto"/>
        <w:ind w:firstLine="420" w:firstLineChars="200"/>
        <w:jc w:val="left"/>
        <w:rPr>
          <w:rFonts w:hint="eastAsia" w:ascii="宋体" w:hAnsi="宋体" w:eastAsia="宋体" w:cs="宋体"/>
          <w:color w:val="auto"/>
          <w:szCs w:val="21"/>
          <w:highlight w:val="none"/>
        </w:rPr>
      </w:pPr>
    </w:p>
    <w:p w14:paraId="4F1D593D">
      <w:pPr>
        <w:spacing w:line="360" w:lineRule="auto"/>
        <w:ind w:right="600"/>
        <w:jc w:val="left"/>
        <w:rPr>
          <w:rFonts w:hint="eastAsia" w:ascii="宋体" w:hAnsi="宋体" w:eastAsia="宋体" w:cs="宋体"/>
          <w:color w:val="auto"/>
          <w:szCs w:val="21"/>
          <w:highlight w:val="none"/>
        </w:rPr>
      </w:pPr>
    </w:p>
    <w:p w14:paraId="391A9F42">
      <w:pPr>
        <w:spacing w:line="360" w:lineRule="auto"/>
        <w:ind w:right="600"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18F3DA3A">
      <w:pPr>
        <w:spacing w:line="360" w:lineRule="auto"/>
        <w:ind w:right="120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57E5A964">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64E2F745">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54A2FF5E">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05FF33B1">
      <w:pPr>
        <w:spacing w:line="360" w:lineRule="auto"/>
        <w:ind w:right="150" w:firstLine="420" w:firstLineChars="200"/>
        <w:jc w:val="left"/>
        <w:rPr>
          <w:rFonts w:hint="eastAsia" w:ascii="宋体" w:hAnsi="宋体" w:eastAsia="宋体" w:cs="宋体"/>
          <w:color w:val="auto"/>
          <w:szCs w:val="21"/>
          <w:highlight w:val="none"/>
          <w:u w:val="single"/>
        </w:rPr>
      </w:pPr>
    </w:p>
    <w:p w14:paraId="31902A98">
      <w:pPr>
        <w:spacing w:line="360" w:lineRule="auto"/>
        <w:ind w:right="15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CED5DA3">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r>
        <w:rPr>
          <w:rFonts w:hint="eastAsia" w:ascii="宋体" w:hAnsi="宋体" w:eastAsia="宋体" w:cs="宋体"/>
          <w:color w:val="auto"/>
          <w:sz w:val="30"/>
          <w:szCs w:val="30"/>
          <w:highlight w:val="none"/>
        </w:rPr>
        <w:t xml:space="preserve">  附件11：</w:t>
      </w:r>
    </w:p>
    <w:p w14:paraId="0DC94CE1">
      <w:pPr>
        <w:spacing w:line="360" w:lineRule="auto"/>
        <w:jc w:val="center"/>
        <w:outlineLvl w:val="0"/>
        <w:rPr>
          <w:rFonts w:hint="eastAsia" w:ascii="宋体" w:hAnsi="宋体" w:eastAsia="宋体" w:cs="宋体"/>
          <w:color w:val="auto"/>
          <w:sz w:val="30"/>
          <w:szCs w:val="30"/>
          <w:highlight w:val="none"/>
        </w:rPr>
      </w:pPr>
      <w:bookmarkStart w:id="1964" w:name="_Toc16037"/>
      <w:bookmarkStart w:id="1965" w:name="_Toc7380"/>
      <w:r>
        <w:rPr>
          <w:rFonts w:hint="eastAsia" w:ascii="宋体" w:hAnsi="宋体" w:eastAsia="宋体" w:cs="宋体"/>
          <w:color w:val="auto"/>
          <w:sz w:val="30"/>
          <w:szCs w:val="30"/>
          <w:highlight w:val="none"/>
        </w:rPr>
        <w:t>11-1：材料暂估价表</w:t>
      </w:r>
      <w:bookmarkEnd w:id="1964"/>
      <w:bookmarkEnd w:id="1965"/>
    </w:p>
    <w:tbl>
      <w:tblPr>
        <w:tblStyle w:val="4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0026E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2AE06E93">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2F23F75F">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名称</w:t>
            </w:r>
          </w:p>
        </w:tc>
        <w:tc>
          <w:tcPr>
            <w:tcW w:w="851" w:type="dxa"/>
            <w:tcBorders>
              <w:top w:val="single" w:color="auto" w:sz="12" w:space="0"/>
              <w:bottom w:val="double" w:color="auto" w:sz="6" w:space="0"/>
            </w:tcBorders>
          </w:tcPr>
          <w:p w14:paraId="1C9C36E5">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单位</w:t>
            </w:r>
          </w:p>
        </w:tc>
        <w:tc>
          <w:tcPr>
            <w:tcW w:w="774" w:type="dxa"/>
            <w:tcBorders>
              <w:top w:val="single" w:color="auto" w:sz="12" w:space="0"/>
              <w:bottom w:val="double" w:color="auto" w:sz="6" w:space="0"/>
            </w:tcBorders>
          </w:tcPr>
          <w:p w14:paraId="6C72D13D">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数量</w:t>
            </w:r>
          </w:p>
        </w:tc>
        <w:tc>
          <w:tcPr>
            <w:tcW w:w="1352" w:type="dxa"/>
            <w:tcBorders>
              <w:top w:val="single" w:color="auto" w:sz="12" w:space="0"/>
              <w:bottom w:val="double" w:color="auto" w:sz="6" w:space="0"/>
            </w:tcBorders>
          </w:tcPr>
          <w:p w14:paraId="4E31CB95">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单价（元）</w:t>
            </w:r>
          </w:p>
        </w:tc>
        <w:tc>
          <w:tcPr>
            <w:tcW w:w="1418" w:type="dxa"/>
            <w:tcBorders>
              <w:top w:val="single" w:color="auto" w:sz="12" w:space="0"/>
              <w:bottom w:val="double" w:color="auto" w:sz="6" w:space="0"/>
            </w:tcBorders>
          </w:tcPr>
          <w:p w14:paraId="5E2CFD38">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合价（元）</w:t>
            </w:r>
          </w:p>
        </w:tc>
        <w:tc>
          <w:tcPr>
            <w:tcW w:w="1701" w:type="dxa"/>
            <w:tcBorders>
              <w:top w:val="single" w:color="auto" w:sz="12" w:space="0"/>
              <w:bottom w:val="double" w:color="auto" w:sz="6" w:space="0"/>
            </w:tcBorders>
          </w:tcPr>
          <w:p w14:paraId="05F6143A">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备注</w:t>
            </w:r>
          </w:p>
        </w:tc>
      </w:tr>
      <w:tr w14:paraId="50CC8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CC0BABC">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double" w:color="auto" w:sz="6" w:space="0"/>
              <w:bottom w:val="single" w:color="auto" w:sz="6" w:space="0"/>
            </w:tcBorders>
          </w:tcPr>
          <w:p w14:paraId="2E539298">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double" w:color="auto" w:sz="6" w:space="0"/>
              <w:bottom w:val="single" w:color="auto" w:sz="6" w:space="0"/>
            </w:tcBorders>
          </w:tcPr>
          <w:p w14:paraId="4FBF36C0">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double" w:color="auto" w:sz="6" w:space="0"/>
              <w:bottom w:val="single" w:color="auto" w:sz="6" w:space="0"/>
            </w:tcBorders>
          </w:tcPr>
          <w:p w14:paraId="01A7EA58">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double" w:color="auto" w:sz="6" w:space="0"/>
              <w:bottom w:val="single" w:color="auto" w:sz="6" w:space="0"/>
            </w:tcBorders>
          </w:tcPr>
          <w:p w14:paraId="59A1C10D">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double" w:color="auto" w:sz="6" w:space="0"/>
              <w:bottom w:val="single" w:color="auto" w:sz="6" w:space="0"/>
            </w:tcBorders>
          </w:tcPr>
          <w:p w14:paraId="709BF1D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double" w:color="auto" w:sz="6" w:space="0"/>
              <w:bottom w:val="single" w:color="auto" w:sz="6" w:space="0"/>
            </w:tcBorders>
          </w:tcPr>
          <w:p w14:paraId="225D1C47">
            <w:pPr>
              <w:pStyle w:val="17"/>
              <w:keepNext/>
              <w:spacing w:after="0" w:line="360" w:lineRule="auto"/>
              <w:ind w:left="63" w:right="63"/>
              <w:rPr>
                <w:rFonts w:hint="eastAsia" w:ascii="宋体" w:hAnsi="宋体" w:eastAsia="宋体" w:cs="宋体"/>
                <w:color w:val="auto"/>
                <w:kern w:val="2"/>
                <w:sz w:val="22"/>
                <w:szCs w:val="24"/>
                <w:highlight w:val="none"/>
              </w:rPr>
            </w:pPr>
          </w:p>
        </w:tc>
      </w:tr>
      <w:tr w14:paraId="6B7D62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5ACF440">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nil"/>
            </w:tcBorders>
          </w:tcPr>
          <w:p w14:paraId="445E780D">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nil"/>
            </w:tcBorders>
          </w:tcPr>
          <w:p w14:paraId="668A028D">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nil"/>
            </w:tcBorders>
          </w:tcPr>
          <w:p w14:paraId="66D3DB0E">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nil"/>
            </w:tcBorders>
          </w:tcPr>
          <w:p w14:paraId="36DA7581">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nil"/>
            </w:tcBorders>
          </w:tcPr>
          <w:p w14:paraId="536FDDB7">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nil"/>
            </w:tcBorders>
          </w:tcPr>
          <w:p w14:paraId="27E325F8">
            <w:pPr>
              <w:pStyle w:val="17"/>
              <w:keepNext/>
              <w:spacing w:after="0" w:line="360" w:lineRule="auto"/>
              <w:ind w:left="63" w:right="63"/>
              <w:rPr>
                <w:rFonts w:hint="eastAsia" w:ascii="宋体" w:hAnsi="宋体" w:eastAsia="宋体" w:cs="宋体"/>
                <w:color w:val="auto"/>
                <w:kern w:val="2"/>
                <w:sz w:val="22"/>
                <w:szCs w:val="24"/>
                <w:highlight w:val="none"/>
              </w:rPr>
            </w:pPr>
          </w:p>
        </w:tc>
      </w:tr>
      <w:tr w14:paraId="7EAE96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103FE8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12D8025F">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3B9C0596">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540F7B1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3FB28B6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4203025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28B99E1A">
            <w:pPr>
              <w:pStyle w:val="17"/>
              <w:keepNext/>
              <w:spacing w:after="0" w:line="360" w:lineRule="auto"/>
              <w:ind w:left="63" w:right="63"/>
              <w:rPr>
                <w:rFonts w:hint="eastAsia" w:ascii="宋体" w:hAnsi="宋体" w:eastAsia="宋体" w:cs="宋体"/>
                <w:color w:val="auto"/>
                <w:kern w:val="2"/>
                <w:sz w:val="22"/>
                <w:szCs w:val="24"/>
                <w:highlight w:val="none"/>
              </w:rPr>
            </w:pPr>
          </w:p>
        </w:tc>
      </w:tr>
      <w:tr w14:paraId="514E6B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065BF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3CA64E71">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7C3E453B">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7F9DE75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55C3E7D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1B5BA514">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0A922B65">
            <w:pPr>
              <w:pStyle w:val="17"/>
              <w:keepNext/>
              <w:spacing w:after="0" w:line="360" w:lineRule="auto"/>
              <w:ind w:left="63" w:right="63"/>
              <w:rPr>
                <w:rFonts w:hint="eastAsia" w:ascii="宋体" w:hAnsi="宋体" w:eastAsia="宋体" w:cs="宋体"/>
                <w:color w:val="auto"/>
                <w:kern w:val="2"/>
                <w:sz w:val="22"/>
                <w:szCs w:val="24"/>
                <w:highlight w:val="none"/>
              </w:rPr>
            </w:pPr>
          </w:p>
        </w:tc>
      </w:tr>
    </w:tbl>
    <w:p w14:paraId="71FAB715">
      <w:pPr>
        <w:spacing w:line="360" w:lineRule="auto"/>
        <w:jc w:val="center"/>
        <w:outlineLvl w:val="0"/>
        <w:rPr>
          <w:rFonts w:hint="eastAsia" w:ascii="宋体" w:hAnsi="宋体" w:eastAsia="宋体" w:cs="宋体"/>
          <w:color w:val="auto"/>
          <w:sz w:val="30"/>
          <w:szCs w:val="30"/>
          <w:highlight w:val="none"/>
        </w:rPr>
      </w:pPr>
    </w:p>
    <w:p w14:paraId="7268A251">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11-2：工程设备暂估价表</w:t>
      </w:r>
    </w:p>
    <w:tbl>
      <w:tblPr>
        <w:tblStyle w:val="4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B0BC7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2DFA22DD">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31374CBC">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名称</w:t>
            </w:r>
          </w:p>
        </w:tc>
        <w:tc>
          <w:tcPr>
            <w:tcW w:w="851" w:type="dxa"/>
            <w:tcBorders>
              <w:top w:val="single" w:color="auto" w:sz="12" w:space="0"/>
              <w:bottom w:val="double" w:color="auto" w:sz="6" w:space="0"/>
            </w:tcBorders>
          </w:tcPr>
          <w:p w14:paraId="4F34ED61">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单位</w:t>
            </w:r>
          </w:p>
        </w:tc>
        <w:tc>
          <w:tcPr>
            <w:tcW w:w="774" w:type="dxa"/>
            <w:tcBorders>
              <w:top w:val="single" w:color="auto" w:sz="12" w:space="0"/>
              <w:bottom w:val="double" w:color="auto" w:sz="6" w:space="0"/>
            </w:tcBorders>
          </w:tcPr>
          <w:p w14:paraId="65CB9ECF">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数量</w:t>
            </w:r>
          </w:p>
        </w:tc>
        <w:tc>
          <w:tcPr>
            <w:tcW w:w="1352" w:type="dxa"/>
            <w:tcBorders>
              <w:top w:val="single" w:color="auto" w:sz="12" w:space="0"/>
              <w:bottom w:val="double" w:color="auto" w:sz="6" w:space="0"/>
            </w:tcBorders>
          </w:tcPr>
          <w:p w14:paraId="327C5B66">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单价（元）</w:t>
            </w:r>
          </w:p>
        </w:tc>
        <w:tc>
          <w:tcPr>
            <w:tcW w:w="1418" w:type="dxa"/>
            <w:tcBorders>
              <w:top w:val="single" w:color="auto" w:sz="12" w:space="0"/>
              <w:bottom w:val="double" w:color="auto" w:sz="6" w:space="0"/>
            </w:tcBorders>
          </w:tcPr>
          <w:p w14:paraId="45676771">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合价（元）</w:t>
            </w:r>
          </w:p>
        </w:tc>
        <w:tc>
          <w:tcPr>
            <w:tcW w:w="1701" w:type="dxa"/>
            <w:tcBorders>
              <w:top w:val="single" w:color="auto" w:sz="12" w:space="0"/>
              <w:bottom w:val="double" w:color="auto" w:sz="6" w:space="0"/>
            </w:tcBorders>
          </w:tcPr>
          <w:p w14:paraId="1482912F">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备注</w:t>
            </w:r>
          </w:p>
        </w:tc>
      </w:tr>
      <w:tr w14:paraId="5EDAD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6D44CB2">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double" w:color="auto" w:sz="6" w:space="0"/>
              <w:bottom w:val="single" w:color="auto" w:sz="6" w:space="0"/>
            </w:tcBorders>
          </w:tcPr>
          <w:p w14:paraId="0C9D3935">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double" w:color="auto" w:sz="6" w:space="0"/>
              <w:bottom w:val="single" w:color="auto" w:sz="6" w:space="0"/>
            </w:tcBorders>
          </w:tcPr>
          <w:p w14:paraId="59B75437">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double" w:color="auto" w:sz="6" w:space="0"/>
              <w:bottom w:val="single" w:color="auto" w:sz="6" w:space="0"/>
            </w:tcBorders>
          </w:tcPr>
          <w:p w14:paraId="6A42EEB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double" w:color="auto" w:sz="6" w:space="0"/>
              <w:bottom w:val="single" w:color="auto" w:sz="6" w:space="0"/>
            </w:tcBorders>
          </w:tcPr>
          <w:p w14:paraId="49EC6B18">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double" w:color="auto" w:sz="6" w:space="0"/>
              <w:bottom w:val="single" w:color="auto" w:sz="6" w:space="0"/>
            </w:tcBorders>
          </w:tcPr>
          <w:p w14:paraId="3D6314C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double" w:color="auto" w:sz="6" w:space="0"/>
              <w:bottom w:val="single" w:color="auto" w:sz="6" w:space="0"/>
            </w:tcBorders>
          </w:tcPr>
          <w:p w14:paraId="0A1F975E">
            <w:pPr>
              <w:pStyle w:val="17"/>
              <w:keepNext/>
              <w:spacing w:after="0" w:line="360" w:lineRule="auto"/>
              <w:ind w:left="63" w:right="63"/>
              <w:rPr>
                <w:rFonts w:hint="eastAsia" w:ascii="宋体" w:hAnsi="宋体" w:eastAsia="宋体" w:cs="宋体"/>
                <w:color w:val="auto"/>
                <w:kern w:val="2"/>
                <w:sz w:val="22"/>
                <w:szCs w:val="24"/>
                <w:highlight w:val="none"/>
              </w:rPr>
            </w:pPr>
          </w:p>
        </w:tc>
      </w:tr>
      <w:tr w14:paraId="07D3B8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97BCE9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nil"/>
            </w:tcBorders>
          </w:tcPr>
          <w:p w14:paraId="3A96397B">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nil"/>
            </w:tcBorders>
          </w:tcPr>
          <w:p w14:paraId="63C72484">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nil"/>
            </w:tcBorders>
          </w:tcPr>
          <w:p w14:paraId="77B47821">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nil"/>
            </w:tcBorders>
          </w:tcPr>
          <w:p w14:paraId="4EB9AAB0">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nil"/>
            </w:tcBorders>
          </w:tcPr>
          <w:p w14:paraId="07D50E8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nil"/>
            </w:tcBorders>
          </w:tcPr>
          <w:p w14:paraId="4CB3A45A">
            <w:pPr>
              <w:pStyle w:val="17"/>
              <w:keepNext/>
              <w:spacing w:after="0" w:line="360" w:lineRule="auto"/>
              <w:ind w:left="63" w:right="63"/>
              <w:rPr>
                <w:rFonts w:hint="eastAsia" w:ascii="宋体" w:hAnsi="宋体" w:eastAsia="宋体" w:cs="宋体"/>
                <w:color w:val="auto"/>
                <w:kern w:val="2"/>
                <w:sz w:val="22"/>
                <w:szCs w:val="24"/>
                <w:highlight w:val="none"/>
              </w:rPr>
            </w:pPr>
          </w:p>
        </w:tc>
      </w:tr>
      <w:tr w14:paraId="02DD3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7631348">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6D3DDDF9">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6CFAE7FF">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5776396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7F42C95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0A1C4814">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287D80E1">
            <w:pPr>
              <w:pStyle w:val="17"/>
              <w:keepNext/>
              <w:spacing w:after="0" w:line="360" w:lineRule="auto"/>
              <w:ind w:left="63" w:right="63"/>
              <w:rPr>
                <w:rFonts w:hint="eastAsia" w:ascii="宋体" w:hAnsi="宋体" w:eastAsia="宋体" w:cs="宋体"/>
                <w:color w:val="auto"/>
                <w:kern w:val="2"/>
                <w:sz w:val="22"/>
                <w:szCs w:val="24"/>
                <w:highlight w:val="none"/>
              </w:rPr>
            </w:pPr>
          </w:p>
        </w:tc>
      </w:tr>
      <w:tr w14:paraId="6D7200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F8C158D">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6C742B90">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117B8C48">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57B3D97A">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1962ED1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3A12E0E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419804A1">
            <w:pPr>
              <w:pStyle w:val="17"/>
              <w:keepNext/>
              <w:spacing w:after="0" w:line="360" w:lineRule="auto"/>
              <w:ind w:left="63" w:right="63"/>
              <w:rPr>
                <w:rFonts w:hint="eastAsia" w:ascii="宋体" w:hAnsi="宋体" w:eastAsia="宋体" w:cs="宋体"/>
                <w:color w:val="auto"/>
                <w:kern w:val="2"/>
                <w:sz w:val="22"/>
                <w:szCs w:val="24"/>
                <w:highlight w:val="none"/>
              </w:rPr>
            </w:pPr>
          </w:p>
        </w:tc>
      </w:tr>
      <w:tr w14:paraId="2BADD5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A5CAC57">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2EF5C1CE">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4A0CFAAD">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71C4089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0C2D8D0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1F59242D">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379E1D55">
            <w:pPr>
              <w:pStyle w:val="17"/>
              <w:keepNext/>
              <w:spacing w:after="0" w:line="360" w:lineRule="auto"/>
              <w:ind w:left="63" w:right="63"/>
              <w:rPr>
                <w:rFonts w:hint="eastAsia" w:ascii="宋体" w:hAnsi="宋体" w:eastAsia="宋体" w:cs="宋体"/>
                <w:color w:val="auto"/>
                <w:kern w:val="2"/>
                <w:sz w:val="22"/>
                <w:szCs w:val="24"/>
                <w:highlight w:val="none"/>
              </w:rPr>
            </w:pPr>
          </w:p>
        </w:tc>
      </w:tr>
    </w:tbl>
    <w:p w14:paraId="235B1A68">
      <w:pPr>
        <w:spacing w:line="360" w:lineRule="auto"/>
        <w:jc w:val="center"/>
        <w:rPr>
          <w:rFonts w:hint="eastAsia" w:ascii="宋体" w:hAnsi="宋体" w:eastAsia="宋体" w:cs="宋体"/>
          <w:color w:val="auto"/>
          <w:sz w:val="30"/>
          <w:szCs w:val="30"/>
          <w:highlight w:val="none"/>
        </w:rPr>
      </w:pPr>
    </w:p>
    <w:p w14:paraId="45A229EB">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11-3：专业工程暂估价表</w:t>
      </w:r>
    </w:p>
    <w:tbl>
      <w:tblPr>
        <w:tblStyle w:val="4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3AB5BB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17BCB54E">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1C377C4B">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专业工程名称</w:t>
            </w:r>
          </w:p>
        </w:tc>
        <w:tc>
          <w:tcPr>
            <w:tcW w:w="4678" w:type="dxa"/>
            <w:tcBorders>
              <w:top w:val="single" w:color="auto" w:sz="12" w:space="0"/>
              <w:bottom w:val="double" w:color="auto" w:sz="6" w:space="0"/>
            </w:tcBorders>
          </w:tcPr>
          <w:p w14:paraId="72080309">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工程内容</w:t>
            </w:r>
          </w:p>
        </w:tc>
        <w:tc>
          <w:tcPr>
            <w:tcW w:w="1276" w:type="dxa"/>
            <w:tcBorders>
              <w:top w:val="single" w:color="auto" w:sz="12" w:space="0"/>
              <w:bottom w:val="double" w:color="auto" w:sz="6" w:space="0"/>
            </w:tcBorders>
          </w:tcPr>
          <w:p w14:paraId="59043059">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金额</w:t>
            </w:r>
          </w:p>
        </w:tc>
      </w:tr>
      <w:tr w14:paraId="3A0DF1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5A990043">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double" w:color="auto" w:sz="6" w:space="0"/>
              <w:bottom w:val="single" w:color="auto" w:sz="6" w:space="0"/>
            </w:tcBorders>
          </w:tcPr>
          <w:p w14:paraId="080A72F6">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double" w:color="auto" w:sz="6" w:space="0"/>
              <w:bottom w:val="single" w:color="auto" w:sz="6" w:space="0"/>
            </w:tcBorders>
          </w:tcPr>
          <w:p w14:paraId="321DD366">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double" w:color="auto" w:sz="6" w:space="0"/>
              <w:bottom w:val="single" w:color="auto" w:sz="6" w:space="0"/>
            </w:tcBorders>
          </w:tcPr>
          <w:p w14:paraId="2A2A76D0">
            <w:pPr>
              <w:pStyle w:val="17"/>
              <w:keepNext/>
              <w:spacing w:after="0" w:line="360" w:lineRule="auto"/>
              <w:ind w:left="63" w:right="63"/>
              <w:rPr>
                <w:rFonts w:hint="eastAsia" w:ascii="宋体" w:hAnsi="宋体" w:eastAsia="宋体" w:cs="宋体"/>
                <w:color w:val="auto"/>
                <w:kern w:val="2"/>
                <w:sz w:val="18"/>
                <w:szCs w:val="18"/>
                <w:highlight w:val="none"/>
              </w:rPr>
            </w:pPr>
          </w:p>
        </w:tc>
      </w:tr>
      <w:tr w14:paraId="23C23D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76E581D6">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nil"/>
            </w:tcBorders>
          </w:tcPr>
          <w:p w14:paraId="4CBF239A">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nil"/>
            </w:tcBorders>
          </w:tcPr>
          <w:p w14:paraId="6A19F3FD">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nil"/>
            </w:tcBorders>
          </w:tcPr>
          <w:p w14:paraId="255DCF20">
            <w:pPr>
              <w:pStyle w:val="17"/>
              <w:keepNext/>
              <w:spacing w:after="0" w:line="360" w:lineRule="auto"/>
              <w:ind w:left="63" w:right="63"/>
              <w:rPr>
                <w:rFonts w:hint="eastAsia" w:ascii="宋体" w:hAnsi="宋体" w:eastAsia="宋体" w:cs="宋体"/>
                <w:color w:val="auto"/>
                <w:kern w:val="2"/>
                <w:sz w:val="18"/>
                <w:szCs w:val="18"/>
                <w:highlight w:val="none"/>
              </w:rPr>
            </w:pPr>
          </w:p>
        </w:tc>
      </w:tr>
      <w:tr w14:paraId="06F436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16720FFD">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nil"/>
            </w:tcBorders>
          </w:tcPr>
          <w:p w14:paraId="5D9B3C0B">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nil"/>
            </w:tcBorders>
          </w:tcPr>
          <w:p w14:paraId="0B65C926">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nil"/>
            </w:tcBorders>
          </w:tcPr>
          <w:p w14:paraId="27439F91">
            <w:pPr>
              <w:pStyle w:val="17"/>
              <w:keepNext/>
              <w:spacing w:after="0" w:line="360" w:lineRule="auto"/>
              <w:ind w:left="63" w:right="63"/>
              <w:rPr>
                <w:rFonts w:hint="eastAsia" w:ascii="宋体" w:hAnsi="宋体" w:eastAsia="宋体" w:cs="宋体"/>
                <w:color w:val="auto"/>
                <w:kern w:val="2"/>
                <w:sz w:val="18"/>
                <w:szCs w:val="18"/>
                <w:highlight w:val="none"/>
              </w:rPr>
            </w:pPr>
          </w:p>
        </w:tc>
      </w:tr>
      <w:tr w14:paraId="316B54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097878B">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36DE2F5F">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10E4BAD8">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72432FF7">
            <w:pPr>
              <w:pStyle w:val="17"/>
              <w:keepNext/>
              <w:spacing w:after="0" w:line="360" w:lineRule="auto"/>
              <w:ind w:left="63" w:right="63"/>
              <w:rPr>
                <w:rFonts w:hint="eastAsia" w:ascii="宋体" w:hAnsi="宋体" w:eastAsia="宋体" w:cs="宋体"/>
                <w:color w:val="auto"/>
                <w:kern w:val="2"/>
                <w:sz w:val="18"/>
                <w:szCs w:val="18"/>
                <w:highlight w:val="none"/>
              </w:rPr>
            </w:pPr>
          </w:p>
        </w:tc>
      </w:tr>
      <w:tr w14:paraId="372C8E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EE19107">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71AB0DD6">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145CCEBE">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6A463592">
            <w:pPr>
              <w:pStyle w:val="17"/>
              <w:keepNext/>
              <w:spacing w:after="0" w:line="360" w:lineRule="auto"/>
              <w:ind w:left="63" w:right="63"/>
              <w:rPr>
                <w:rFonts w:hint="eastAsia" w:ascii="宋体" w:hAnsi="宋体" w:eastAsia="宋体" w:cs="宋体"/>
                <w:color w:val="auto"/>
                <w:kern w:val="2"/>
                <w:sz w:val="18"/>
                <w:szCs w:val="18"/>
                <w:highlight w:val="none"/>
              </w:rPr>
            </w:pPr>
          </w:p>
        </w:tc>
      </w:tr>
      <w:tr w14:paraId="0AF39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EB7CB7D">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7A6865F6">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5AC5503E">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2C42965F">
            <w:pPr>
              <w:pStyle w:val="17"/>
              <w:keepNext/>
              <w:spacing w:after="0" w:line="360" w:lineRule="auto"/>
              <w:ind w:left="63" w:right="63"/>
              <w:rPr>
                <w:rFonts w:hint="eastAsia" w:ascii="宋体" w:hAnsi="宋体" w:eastAsia="宋体" w:cs="宋体"/>
                <w:color w:val="auto"/>
                <w:kern w:val="2"/>
                <w:sz w:val="18"/>
                <w:szCs w:val="18"/>
                <w:highlight w:val="none"/>
              </w:rPr>
            </w:pPr>
          </w:p>
        </w:tc>
      </w:tr>
      <w:tr w14:paraId="5E5FB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50BA9504">
            <w:pPr>
              <w:pStyle w:val="17"/>
              <w:keepNext/>
              <w:spacing w:after="0" w:line="360" w:lineRule="auto"/>
              <w:ind w:left="63" w:right="63"/>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22"/>
                <w:szCs w:val="24"/>
                <w:highlight w:val="none"/>
              </w:rPr>
              <w:t>小计：</w:t>
            </w:r>
          </w:p>
        </w:tc>
      </w:tr>
    </w:tbl>
    <w:p w14:paraId="1DEF6383">
      <w:pPr>
        <w:wordWrap w:val="0"/>
        <w:autoSpaceDE w:val="0"/>
        <w:autoSpaceDN w:val="0"/>
        <w:adjustRightInd w:val="0"/>
        <w:spacing w:line="360" w:lineRule="auto"/>
        <w:ind w:right="-34" w:rightChars="-16"/>
        <w:outlineLvl w:val="0"/>
        <w:rPr>
          <w:rFonts w:hint="eastAsia" w:ascii="宋体" w:hAnsi="宋体" w:eastAsia="宋体" w:cs="宋体"/>
          <w:b/>
          <w:color w:val="auto"/>
          <w:kern w:val="0"/>
          <w:sz w:val="36"/>
          <w:highlight w:val="none"/>
        </w:rPr>
      </w:pPr>
      <w:r>
        <w:rPr>
          <w:rFonts w:hint="eastAsia" w:ascii="宋体" w:hAnsi="宋体" w:eastAsia="宋体" w:cs="宋体"/>
          <w:b/>
          <w:color w:val="auto"/>
          <w:sz w:val="30"/>
          <w:szCs w:val="30"/>
          <w:highlight w:val="none"/>
        </w:rPr>
        <w:br w:type="page"/>
      </w:r>
    </w:p>
    <w:p w14:paraId="2F342031">
      <w:pPr>
        <w:wordWrap w:val="0"/>
        <w:autoSpaceDE w:val="0"/>
        <w:autoSpaceDN w:val="0"/>
        <w:adjustRightInd w:val="0"/>
        <w:spacing w:line="360" w:lineRule="auto"/>
        <w:ind w:right="-34" w:rightChars="-16"/>
        <w:jc w:val="center"/>
        <w:outlineLvl w:val="0"/>
        <w:rPr>
          <w:rFonts w:hint="eastAsia" w:ascii="宋体" w:hAnsi="宋体" w:eastAsia="宋体" w:cs="宋体"/>
          <w:color w:val="auto"/>
          <w:sz w:val="36"/>
          <w:highlight w:val="none"/>
        </w:rPr>
      </w:pPr>
      <w:bookmarkStart w:id="1966" w:name="_Toc2081"/>
      <w:bookmarkStart w:id="1967" w:name="_Toc500864531"/>
      <w:bookmarkStart w:id="1968" w:name="_Toc5959"/>
      <w:r>
        <w:rPr>
          <w:rFonts w:hint="eastAsia" w:ascii="宋体" w:hAnsi="宋体" w:eastAsia="宋体" w:cs="宋体"/>
          <w:b/>
          <w:color w:val="auto"/>
          <w:kern w:val="0"/>
          <w:sz w:val="36"/>
          <w:highlight w:val="none"/>
        </w:rPr>
        <w:t>第六章</w:t>
      </w:r>
      <w:r>
        <w:rPr>
          <w:rFonts w:hint="eastAsia" w:ascii="宋体" w:hAnsi="宋体" w:eastAsia="宋体" w:cs="宋体"/>
          <w:color w:val="auto"/>
          <w:kern w:val="0"/>
          <w:sz w:val="36"/>
          <w:highlight w:val="none"/>
        </w:rPr>
        <w:t xml:space="preserve">  </w:t>
      </w:r>
      <w:r>
        <w:rPr>
          <w:rFonts w:hint="eastAsia" w:ascii="宋体" w:hAnsi="宋体" w:eastAsia="宋体" w:cs="宋体"/>
          <w:b/>
          <w:color w:val="auto"/>
          <w:kern w:val="0"/>
          <w:sz w:val="36"/>
          <w:highlight w:val="none"/>
        </w:rPr>
        <w:t>工程量清单（交易平台下载）</w:t>
      </w:r>
      <w:bookmarkEnd w:id="824"/>
      <w:bookmarkEnd w:id="825"/>
      <w:bookmarkEnd w:id="1966"/>
      <w:bookmarkEnd w:id="1967"/>
      <w:bookmarkEnd w:id="1968"/>
    </w:p>
    <w:p w14:paraId="76A8D2BD">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51D9B1E0">
      <w:pPr>
        <w:wordWrap w:val="0"/>
        <w:autoSpaceDE w:val="0"/>
        <w:autoSpaceDN w:val="0"/>
        <w:adjustRightInd w:val="0"/>
        <w:spacing w:line="360" w:lineRule="auto"/>
        <w:ind w:right="-34" w:rightChars="-16"/>
        <w:jc w:val="left"/>
        <w:rPr>
          <w:rFonts w:hint="eastAsia" w:ascii="宋体" w:hAnsi="宋体" w:eastAsia="宋体" w:cs="宋体"/>
          <w:color w:val="auto"/>
          <w:kern w:val="0"/>
          <w:highlight w:val="none"/>
        </w:rPr>
      </w:pPr>
    </w:p>
    <w:p w14:paraId="2D6033A1">
      <w:pPr>
        <w:wordWrap w:val="0"/>
        <w:autoSpaceDE w:val="0"/>
        <w:autoSpaceDN w:val="0"/>
        <w:adjustRightInd w:val="0"/>
        <w:spacing w:line="360" w:lineRule="auto"/>
        <w:ind w:right="-34" w:rightChars="-16"/>
        <w:jc w:val="left"/>
        <w:rPr>
          <w:rFonts w:hint="eastAsia" w:ascii="宋体" w:hAnsi="宋体" w:eastAsia="宋体" w:cs="宋体"/>
          <w:color w:val="auto"/>
          <w:kern w:val="0"/>
          <w:highlight w:val="none"/>
        </w:rPr>
      </w:pPr>
    </w:p>
    <w:p w14:paraId="6890A5C2">
      <w:pPr>
        <w:wordWrap w:val="0"/>
        <w:autoSpaceDE w:val="0"/>
        <w:autoSpaceDN w:val="0"/>
        <w:adjustRightInd w:val="0"/>
        <w:spacing w:line="360" w:lineRule="auto"/>
        <w:ind w:right="-34" w:rightChars="-16"/>
        <w:jc w:val="left"/>
        <w:rPr>
          <w:rFonts w:hint="eastAsia" w:ascii="宋体" w:hAnsi="宋体" w:eastAsia="宋体" w:cs="宋体"/>
          <w:color w:val="auto"/>
          <w:kern w:val="0"/>
          <w:sz w:val="18"/>
          <w:highlight w:val="none"/>
        </w:rPr>
      </w:pPr>
    </w:p>
    <w:p w14:paraId="283448CB">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F559A5A">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D69EDE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7FF82CD">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2746124">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E4A83EC">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7E3DBDF7">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6139FC59">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bookmarkStart w:id="1969" w:name="_Toc227657571"/>
      <w:bookmarkStart w:id="1970" w:name="_Toc227492329"/>
      <w:bookmarkStart w:id="1971" w:name="_Toc214433972"/>
      <w:bookmarkStart w:id="1972" w:name="_Toc228881233"/>
      <w:bookmarkStart w:id="1973" w:name="_Toc228591741"/>
      <w:bookmarkStart w:id="1974" w:name="_Toc228337182"/>
      <w:bookmarkStart w:id="1975" w:name="_Toc228591593"/>
      <w:bookmarkStart w:id="1976" w:name="_Toc228589247"/>
    </w:p>
    <w:p w14:paraId="363D285B">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72C8680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42D5D0CD">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16AFB7AD">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18121EDC">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23BA3920">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bookmarkEnd w:id="1969"/>
    <w:bookmarkEnd w:id="1970"/>
    <w:bookmarkEnd w:id="1971"/>
    <w:bookmarkEnd w:id="1972"/>
    <w:bookmarkEnd w:id="1973"/>
    <w:bookmarkEnd w:id="1974"/>
    <w:bookmarkEnd w:id="1975"/>
    <w:bookmarkEnd w:id="1976"/>
    <w:p w14:paraId="262DE14B">
      <w:pPr>
        <w:wordWrap w:val="0"/>
        <w:autoSpaceDE w:val="0"/>
        <w:autoSpaceDN w:val="0"/>
        <w:adjustRightInd w:val="0"/>
        <w:spacing w:line="360" w:lineRule="auto"/>
        <w:ind w:right="-34" w:rightChars="-16"/>
        <w:jc w:val="left"/>
        <w:rPr>
          <w:rFonts w:hint="eastAsia" w:ascii="宋体" w:hAnsi="宋体" w:eastAsia="宋体" w:cs="宋体"/>
          <w:color w:val="auto"/>
          <w:kern w:val="0"/>
          <w:sz w:val="32"/>
          <w:highlight w:val="none"/>
        </w:rPr>
      </w:pPr>
    </w:p>
    <w:p w14:paraId="5D97757E">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bookmarkStart w:id="1977" w:name="_Toc227492330"/>
      <w:bookmarkStart w:id="1978" w:name="_Toc228591594"/>
      <w:bookmarkStart w:id="1979" w:name="_Toc227657572"/>
      <w:bookmarkStart w:id="1980" w:name="_Toc228591742"/>
      <w:bookmarkStart w:id="1981" w:name="_Toc228337183"/>
      <w:bookmarkStart w:id="1982" w:name="_Toc228589248"/>
      <w:bookmarkStart w:id="1983" w:name="_Toc228881234"/>
      <w:bookmarkStart w:id="1984" w:name="_Toc214433973"/>
    </w:p>
    <w:p w14:paraId="60AD68BE">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szCs w:val="36"/>
          <w:highlight w:val="none"/>
        </w:rPr>
      </w:pPr>
      <w:bookmarkStart w:id="1985" w:name="_Toc10873"/>
      <w:bookmarkStart w:id="1986" w:name="_Toc8800"/>
      <w:bookmarkStart w:id="1987" w:name="_Toc272772655"/>
      <w:bookmarkStart w:id="1988" w:name="_Toc26699"/>
      <w:bookmarkStart w:id="1989" w:name="_Toc500864532"/>
      <w:r>
        <w:rPr>
          <w:rFonts w:hint="eastAsia" w:ascii="宋体" w:hAnsi="宋体" w:eastAsia="宋体" w:cs="宋体"/>
          <w:b/>
          <w:color w:val="auto"/>
          <w:kern w:val="0"/>
          <w:sz w:val="36"/>
          <w:szCs w:val="36"/>
          <w:highlight w:val="none"/>
        </w:rPr>
        <w:t>第七章  图纸</w:t>
      </w:r>
      <w:bookmarkEnd w:id="1977"/>
      <w:bookmarkEnd w:id="1978"/>
      <w:bookmarkEnd w:id="1979"/>
      <w:bookmarkEnd w:id="1980"/>
      <w:bookmarkEnd w:id="1981"/>
      <w:bookmarkEnd w:id="1982"/>
      <w:bookmarkEnd w:id="1983"/>
      <w:bookmarkEnd w:id="1984"/>
      <w:r>
        <w:rPr>
          <w:rFonts w:hint="eastAsia" w:ascii="宋体" w:hAnsi="宋体" w:eastAsia="宋体" w:cs="宋体"/>
          <w:b/>
          <w:color w:val="auto"/>
          <w:kern w:val="0"/>
          <w:sz w:val="36"/>
          <w:szCs w:val="36"/>
          <w:highlight w:val="none"/>
        </w:rPr>
        <w:t>（</w:t>
      </w:r>
      <w:r>
        <w:rPr>
          <w:rFonts w:hint="eastAsia" w:ascii="宋体" w:hAnsi="宋体" w:eastAsia="宋体" w:cs="宋体"/>
          <w:b/>
          <w:color w:val="auto"/>
          <w:kern w:val="0"/>
          <w:sz w:val="36"/>
          <w:highlight w:val="none"/>
        </w:rPr>
        <w:t>交易平台下载</w:t>
      </w:r>
      <w:r>
        <w:rPr>
          <w:rFonts w:hint="eastAsia" w:ascii="宋体" w:hAnsi="宋体" w:eastAsia="宋体" w:cs="宋体"/>
          <w:b/>
          <w:color w:val="auto"/>
          <w:kern w:val="0"/>
          <w:sz w:val="36"/>
          <w:szCs w:val="36"/>
          <w:highlight w:val="none"/>
        </w:rPr>
        <w:t>）</w:t>
      </w:r>
      <w:bookmarkEnd w:id="1985"/>
      <w:bookmarkEnd w:id="1986"/>
      <w:bookmarkEnd w:id="1987"/>
      <w:bookmarkEnd w:id="1988"/>
      <w:bookmarkEnd w:id="1989"/>
    </w:p>
    <w:p w14:paraId="1F8D7191">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4FA858B">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5E7AEEF">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58BB26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FB5EF8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145816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ACA7CA4">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78F5E4F4">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D972AE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1C8D934">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D53D5A5">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A2A5B79">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199F31B">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57CFE37">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609BBCD">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BA13D09">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95F7915">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3F982D1">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12CB79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21BF91C">
      <w:pPr>
        <w:pStyle w:val="87"/>
        <w:wordWrap w:val="0"/>
        <w:spacing w:line="360" w:lineRule="auto"/>
        <w:rPr>
          <w:rFonts w:hint="eastAsia" w:ascii="宋体" w:hAnsi="宋体" w:eastAsia="宋体" w:cs="宋体"/>
          <w:color w:val="auto"/>
          <w:highlight w:val="none"/>
        </w:rPr>
      </w:pPr>
    </w:p>
    <w:p w14:paraId="173E4270">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F123961">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szCs w:val="36"/>
          <w:highlight w:val="none"/>
        </w:rPr>
      </w:pPr>
      <w:bookmarkStart w:id="1990" w:name="_Toc12634"/>
      <w:bookmarkStart w:id="1991" w:name="_Toc228589251"/>
      <w:bookmarkStart w:id="1992" w:name="_Toc30887"/>
      <w:bookmarkStart w:id="1993" w:name="_Toc214433977"/>
      <w:bookmarkStart w:id="1994" w:name="_Toc301"/>
      <w:bookmarkStart w:id="1995" w:name="_Toc228591597"/>
      <w:bookmarkStart w:id="1996" w:name="_Toc227657575"/>
      <w:bookmarkStart w:id="1997" w:name="_Toc228337186"/>
      <w:bookmarkStart w:id="1998" w:name="_Toc500864533"/>
      <w:bookmarkStart w:id="1999" w:name="_Toc272772657"/>
      <w:bookmarkStart w:id="2000" w:name="_Toc228881237"/>
      <w:bookmarkStart w:id="2001" w:name="_Toc228591745"/>
      <w:bookmarkStart w:id="2002" w:name="_Toc227492333"/>
      <w:r>
        <w:rPr>
          <w:rFonts w:hint="eastAsia" w:ascii="宋体" w:hAnsi="宋体" w:eastAsia="宋体" w:cs="宋体"/>
          <w:b/>
          <w:color w:val="auto"/>
          <w:kern w:val="0"/>
          <w:sz w:val="36"/>
          <w:szCs w:val="36"/>
          <w:highlight w:val="none"/>
        </w:rPr>
        <w:t>第八章 技术标准和要求</w:t>
      </w:r>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Start w:id="2003" w:name="_Toc214433978"/>
      <w:bookmarkStart w:id="2004" w:name="_Toc228337187"/>
      <w:bookmarkStart w:id="2005" w:name="_Toc228589252"/>
      <w:bookmarkStart w:id="2006" w:name="_Toc229892149"/>
      <w:bookmarkStart w:id="2007" w:name="_Toc227657576"/>
      <w:bookmarkStart w:id="2008" w:name="_Toc272772658"/>
      <w:bookmarkStart w:id="2009" w:name="_Toc228881238"/>
      <w:bookmarkStart w:id="2010" w:name="_Toc228591746"/>
      <w:bookmarkStart w:id="2011" w:name="_Toc227492334"/>
      <w:bookmarkStart w:id="2012" w:name="_Toc228591598"/>
    </w:p>
    <w:bookmarkEnd w:id="2003"/>
    <w:bookmarkEnd w:id="2004"/>
    <w:bookmarkEnd w:id="2005"/>
    <w:bookmarkEnd w:id="2006"/>
    <w:bookmarkEnd w:id="2007"/>
    <w:bookmarkEnd w:id="2008"/>
    <w:bookmarkEnd w:id="2009"/>
    <w:bookmarkEnd w:id="2010"/>
    <w:bookmarkEnd w:id="2011"/>
    <w:bookmarkEnd w:id="2012"/>
    <w:p w14:paraId="1C7F8D67">
      <w:pPr>
        <w:wordWrap w:val="0"/>
        <w:spacing w:line="360" w:lineRule="auto"/>
        <w:ind w:right="-34" w:rightChars="-16"/>
        <w:rPr>
          <w:rFonts w:hint="eastAsia" w:ascii="宋体" w:hAnsi="宋体" w:eastAsia="宋体" w:cs="宋体"/>
          <w:color w:val="auto"/>
          <w:szCs w:val="21"/>
          <w:highlight w:val="none"/>
        </w:rPr>
      </w:pPr>
    </w:p>
    <w:p w14:paraId="2AEF3064">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一、适用范围</w:t>
      </w:r>
    </w:p>
    <w:p w14:paraId="060FEC34">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本章要求的规范适用于本项目，详细内容均已注明于施工图和有关文件之中。</w:t>
      </w:r>
    </w:p>
    <w:p w14:paraId="5B4EB856">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二、实施的有关标准与法规</w:t>
      </w:r>
    </w:p>
    <w:p w14:paraId="317C5A0D">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规范中指定的标准或法规为工程实施中实际采用的标准和法规，承包人提出采用的其</w:t>
      </w:r>
      <w:r>
        <w:rPr>
          <w:rFonts w:hint="eastAsia" w:ascii="宋体" w:hAnsi="宋体" w:cs="宋体"/>
          <w:color w:val="auto"/>
          <w:sz w:val="21"/>
          <w:szCs w:val="21"/>
          <w:highlight w:val="none"/>
          <w:lang w:val="en-US" w:eastAsia="zh-CN"/>
        </w:rPr>
        <w:t>他</w:t>
      </w:r>
      <w:r>
        <w:rPr>
          <w:rFonts w:hint="eastAsia" w:ascii="宋体" w:hAnsi="宋体" w:eastAsia="宋体" w:cs="宋体"/>
          <w:color w:val="auto"/>
          <w:sz w:val="21"/>
          <w:szCs w:val="21"/>
          <w:highlight w:val="none"/>
        </w:rPr>
        <w:t>标准及规范，如能保证其达到与本规范所规定的标准及规范相同的质量或更高的质量，经工程师事先审阅和书面批准即可采用。</w:t>
      </w:r>
    </w:p>
    <w:p w14:paraId="3EE22B4E">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本规范与图纸中明显地未提到的任何细节，或在涉及任何条款的细节说明中有明显的遗漏，都应被认为指的是采用令人满意的习惯作法。</w:t>
      </w:r>
    </w:p>
    <w:p w14:paraId="61F4223C">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本工程实施中所采用的材料、设备和工艺应在各方面符合引用的标准规范。</w:t>
      </w:r>
    </w:p>
    <w:p w14:paraId="6C711EF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本工程实施中所采用的规范和标准如出现标准不一致的情况，以标准高的为准。</w:t>
      </w:r>
    </w:p>
    <w:p w14:paraId="30603689">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其它与本工程有关的现行工程技术、施工验收标准及规范。</w:t>
      </w:r>
    </w:p>
    <w:p w14:paraId="09C86D98">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 技术规范标准与新技术规范标准不一致时，以新技术规范标准为准。</w:t>
      </w:r>
    </w:p>
    <w:p w14:paraId="1809A444">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三、施工及验收规范</w:t>
      </w:r>
    </w:p>
    <w:p w14:paraId="2C4DF7DE">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施工图纸中所列的设计、施工及验收规范；</w:t>
      </w:r>
    </w:p>
    <w:p w14:paraId="29F7F4EC">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其它与本工程有关的现行工程技术、质量评定标准、施工验收标准和规范。</w:t>
      </w:r>
    </w:p>
    <w:p w14:paraId="17A1C00D">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四、其他</w:t>
      </w:r>
    </w:p>
    <w:p w14:paraId="7AECCE75">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其他技术标准和要求详见施工图纸。</w:t>
      </w:r>
    </w:p>
    <w:p w14:paraId="7652FB6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本章所列“技术标准和要求”与“施工图纸”不一致时，以施工图纸为准。</w:t>
      </w:r>
    </w:p>
    <w:p w14:paraId="3EC9C14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4.3</w:t>
      </w:r>
      <w:r>
        <w:rPr>
          <w:rFonts w:hint="eastAsia" w:ascii="宋体" w:hAnsi="宋体" w:cs="宋体"/>
          <w:color w:val="auto"/>
          <w:kern w:val="0"/>
          <w:highlight w:val="none"/>
          <w:lang w:val="en-US" w:eastAsia="zh-CN"/>
        </w:rPr>
        <w:t xml:space="preserve"> </w:t>
      </w:r>
      <w:r>
        <w:rPr>
          <w:rFonts w:hint="eastAsia" w:ascii="宋体" w:hAnsi="宋体" w:eastAsia="宋体" w:cs="宋体"/>
          <w:color w:val="auto"/>
          <w:kern w:val="0"/>
          <w:highlight w:val="none"/>
          <w:lang w:val="en-US" w:eastAsia="zh-CN"/>
        </w:rPr>
        <w:t>其他与本工程有关的现行工程技术、质量评定标准、施工验收标准及规范、标准图集等，规范如有变化，以最新发布的为准。</w:t>
      </w:r>
    </w:p>
    <w:p w14:paraId="7AFEF7E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4.4</w:t>
      </w:r>
      <w:r>
        <w:rPr>
          <w:rFonts w:hint="eastAsia" w:ascii="宋体" w:hAnsi="宋体" w:cs="宋体"/>
          <w:color w:val="auto"/>
          <w:kern w:val="0"/>
          <w:highlight w:val="none"/>
          <w:lang w:val="en-US" w:eastAsia="zh-CN"/>
        </w:rPr>
        <w:t xml:space="preserve"> </w:t>
      </w:r>
      <w:r>
        <w:rPr>
          <w:rFonts w:hint="eastAsia" w:ascii="宋体" w:hAnsi="宋体" w:eastAsia="宋体" w:cs="宋体"/>
          <w:color w:val="auto"/>
          <w:kern w:val="0"/>
          <w:highlight w:val="none"/>
          <w:lang w:val="en-US" w:eastAsia="zh-CN"/>
        </w:rPr>
        <w:t>依据设计文件的要求，本招标工程项目的材料、设备、施工须达到现行中华人民共和国以及省、自治区、直辖市或行业的工程建设标准、规范的要求（详见图纸及工程量清单）。</w:t>
      </w:r>
    </w:p>
    <w:p w14:paraId="459C6D6D">
      <w:pPr>
        <w:wordWrap w:val="0"/>
        <w:autoSpaceDE w:val="0"/>
        <w:autoSpaceDN w:val="0"/>
        <w:adjustRightInd w:val="0"/>
        <w:spacing w:line="360" w:lineRule="auto"/>
        <w:ind w:right="-34" w:rightChars="-16"/>
        <w:jc w:val="left"/>
        <w:rPr>
          <w:rFonts w:hint="eastAsia" w:ascii="宋体" w:hAnsi="宋体" w:eastAsia="宋体" w:cs="宋体"/>
          <w:color w:val="auto"/>
          <w:kern w:val="0"/>
          <w:highlight w:val="none"/>
        </w:rPr>
      </w:pPr>
    </w:p>
    <w:p w14:paraId="0C79C74F">
      <w:pPr>
        <w:rPr>
          <w:rFonts w:hint="eastAsia" w:ascii="宋体" w:hAnsi="宋体" w:eastAsia="宋体" w:cs="宋体"/>
          <w:b/>
          <w:color w:val="auto"/>
          <w:kern w:val="0"/>
          <w:sz w:val="44"/>
          <w:highlight w:val="none"/>
        </w:rPr>
      </w:pPr>
      <w:bookmarkStart w:id="2013" w:name="_Toc228881240"/>
      <w:bookmarkStart w:id="2014" w:name="_Toc500864535"/>
      <w:bookmarkStart w:id="2015" w:name="_Toc228591600"/>
      <w:bookmarkStart w:id="2016" w:name="_Toc227657578"/>
      <w:bookmarkStart w:id="2017" w:name="_Toc272772660"/>
      <w:bookmarkStart w:id="2018" w:name="_Toc227492336"/>
      <w:bookmarkStart w:id="2019" w:name="_Toc31076"/>
      <w:bookmarkStart w:id="2020" w:name="_Toc228589254"/>
      <w:bookmarkStart w:id="2021" w:name="_Toc15424"/>
      <w:bookmarkStart w:id="2022" w:name="_Toc228337189"/>
      <w:bookmarkStart w:id="2023" w:name="_Toc12143"/>
      <w:bookmarkStart w:id="2024" w:name="_Toc228591748"/>
      <w:bookmarkStart w:id="2025" w:name="_Toc214433980"/>
      <w:r>
        <w:rPr>
          <w:rFonts w:hint="eastAsia" w:ascii="宋体" w:hAnsi="宋体" w:eastAsia="宋体" w:cs="宋体"/>
          <w:b/>
          <w:color w:val="auto"/>
          <w:kern w:val="0"/>
          <w:sz w:val="44"/>
          <w:highlight w:val="none"/>
        </w:rPr>
        <w:br w:type="page"/>
      </w:r>
    </w:p>
    <w:p w14:paraId="55868108">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r>
        <w:rPr>
          <w:rFonts w:hint="eastAsia" w:ascii="宋体" w:hAnsi="宋体" w:eastAsia="宋体" w:cs="宋体"/>
          <w:b/>
          <w:color w:val="auto"/>
          <w:kern w:val="0"/>
          <w:sz w:val="44"/>
          <w:highlight w:val="none"/>
        </w:rPr>
        <w:t>第九章 投标文件格式</w:t>
      </w:r>
      <w:bookmarkEnd w:id="2013"/>
      <w:bookmarkEnd w:id="2014"/>
      <w:bookmarkEnd w:id="2015"/>
      <w:bookmarkEnd w:id="2016"/>
      <w:bookmarkEnd w:id="2017"/>
      <w:bookmarkEnd w:id="2018"/>
      <w:bookmarkEnd w:id="2019"/>
      <w:bookmarkEnd w:id="2020"/>
      <w:bookmarkEnd w:id="2021"/>
      <w:bookmarkEnd w:id="2022"/>
      <w:bookmarkEnd w:id="2023"/>
      <w:bookmarkEnd w:id="2024"/>
      <w:bookmarkEnd w:id="2025"/>
    </w:p>
    <w:p w14:paraId="033C47F0">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1E41F635">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3868E666">
      <w:pPr>
        <w:wordWrap w:val="0"/>
        <w:autoSpaceDE w:val="0"/>
        <w:autoSpaceDN w:val="0"/>
        <w:adjustRightInd w:val="0"/>
        <w:spacing w:line="360" w:lineRule="auto"/>
        <w:ind w:right="-34" w:rightChars="-16" w:firstLine="2170" w:firstLineChars="700"/>
        <w:rPr>
          <w:rFonts w:hint="eastAsia" w:ascii="宋体" w:hAnsi="宋体" w:eastAsia="宋体" w:cs="宋体"/>
          <w:color w:val="auto"/>
          <w:kern w:val="0"/>
          <w:sz w:val="28"/>
          <w:highlight w:val="none"/>
          <w:lang w:val="en-US" w:eastAsia="zh-CN"/>
        </w:rPr>
      </w:pPr>
      <w:r>
        <w:rPr>
          <w:rFonts w:hint="eastAsia" w:ascii="宋体" w:hAnsi="宋体" w:eastAsia="宋体" w:cs="宋体"/>
          <w:color w:val="auto"/>
          <w:sz w:val="31"/>
          <w:highlight w:val="none"/>
          <w:u w:val="single"/>
        </w:rPr>
        <w:t xml:space="preserve">                    </w:t>
      </w:r>
      <w:r>
        <w:rPr>
          <w:rFonts w:hint="eastAsia" w:ascii="宋体" w:hAnsi="宋体" w:eastAsia="宋体" w:cs="宋体"/>
          <w:color w:val="auto"/>
          <w:sz w:val="31"/>
          <w:highlight w:val="none"/>
        </w:rPr>
        <w:t>（项目名称）</w:t>
      </w:r>
      <w:r>
        <w:rPr>
          <w:rFonts w:hint="eastAsia" w:ascii="宋体" w:hAnsi="宋体" w:eastAsia="宋体" w:cs="宋体"/>
          <w:color w:val="auto"/>
          <w:sz w:val="31"/>
          <w:highlight w:val="none"/>
          <w:lang w:val="en-US" w:eastAsia="zh-CN"/>
        </w:rPr>
        <w:t>施工招标</w:t>
      </w:r>
    </w:p>
    <w:p w14:paraId="74BFEF50">
      <w:pPr>
        <w:wordWrap w:val="0"/>
        <w:autoSpaceDE w:val="0"/>
        <w:autoSpaceDN w:val="0"/>
        <w:adjustRightInd w:val="0"/>
        <w:spacing w:line="360" w:lineRule="auto"/>
        <w:ind w:right="-34" w:rightChars="-16" w:firstLine="2520" w:firstLineChars="900"/>
        <w:jc w:val="left"/>
        <w:rPr>
          <w:rFonts w:hint="eastAsia" w:ascii="宋体" w:hAnsi="宋体" w:eastAsia="宋体" w:cs="宋体"/>
          <w:color w:val="auto"/>
          <w:kern w:val="0"/>
          <w:sz w:val="28"/>
          <w:highlight w:val="none"/>
        </w:rPr>
      </w:pPr>
    </w:p>
    <w:p w14:paraId="4CFA512F">
      <w:pPr>
        <w:wordWrap w:val="0"/>
        <w:autoSpaceDE w:val="0"/>
        <w:autoSpaceDN w:val="0"/>
        <w:adjustRightInd w:val="0"/>
        <w:spacing w:line="360" w:lineRule="auto"/>
        <w:ind w:right="-34" w:rightChars="-16"/>
        <w:rPr>
          <w:rFonts w:hint="eastAsia" w:ascii="宋体" w:hAnsi="宋体" w:eastAsia="宋体" w:cs="宋体"/>
          <w:b/>
          <w:color w:val="auto"/>
          <w:spacing w:val="60"/>
          <w:kern w:val="0"/>
          <w:sz w:val="70"/>
          <w:highlight w:val="none"/>
        </w:rPr>
      </w:pPr>
    </w:p>
    <w:p w14:paraId="64D4BF9A">
      <w:pPr>
        <w:pStyle w:val="41"/>
        <w:ind w:firstLine="823"/>
        <w:rPr>
          <w:rFonts w:hint="eastAsia" w:ascii="宋体" w:hAnsi="宋体" w:eastAsia="宋体" w:cs="宋体"/>
          <w:b/>
          <w:color w:val="auto"/>
          <w:spacing w:val="60"/>
          <w:sz w:val="70"/>
          <w:highlight w:val="none"/>
        </w:rPr>
      </w:pPr>
    </w:p>
    <w:p w14:paraId="70F4BCE8">
      <w:pPr>
        <w:rPr>
          <w:rFonts w:hint="eastAsia" w:ascii="宋体" w:hAnsi="宋体" w:eastAsia="宋体" w:cs="宋体"/>
          <w:color w:val="auto"/>
          <w:highlight w:val="none"/>
        </w:rPr>
      </w:pPr>
    </w:p>
    <w:p w14:paraId="08ED13D8">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r>
        <w:rPr>
          <w:rFonts w:hint="eastAsia" w:ascii="宋体" w:hAnsi="宋体" w:eastAsia="宋体" w:cs="宋体"/>
          <w:b/>
          <w:color w:val="auto"/>
          <w:spacing w:val="60"/>
          <w:kern w:val="0"/>
          <w:sz w:val="70"/>
          <w:highlight w:val="none"/>
        </w:rPr>
        <w:t>投 标 文 件</w:t>
      </w:r>
    </w:p>
    <w:p w14:paraId="1EB14216">
      <w:pPr>
        <w:wordWrap w:val="0"/>
        <w:autoSpaceDE w:val="0"/>
        <w:autoSpaceDN w:val="0"/>
        <w:adjustRightInd w:val="0"/>
        <w:spacing w:line="360" w:lineRule="auto"/>
        <w:ind w:right="-34" w:rightChars="-16" w:firstLine="2660" w:firstLineChars="950"/>
        <w:rPr>
          <w:rFonts w:hint="eastAsia" w:ascii="宋体" w:hAnsi="宋体" w:eastAsia="宋体" w:cs="宋体"/>
          <w:color w:val="auto"/>
          <w:kern w:val="0"/>
          <w:sz w:val="40"/>
          <w:szCs w:val="18"/>
          <w:highlight w:val="none"/>
        </w:rPr>
      </w:pPr>
      <w:r>
        <w:rPr>
          <w:rFonts w:hint="eastAsia" w:ascii="宋体" w:hAnsi="宋体" w:eastAsia="宋体" w:cs="宋体"/>
          <w:color w:val="auto"/>
          <w:kern w:val="0"/>
          <w:sz w:val="28"/>
          <w:szCs w:val="28"/>
          <w:highlight w:val="none"/>
        </w:rPr>
        <w:t>项目编号：</w:t>
      </w:r>
      <w:r>
        <w:rPr>
          <w:rFonts w:hint="eastAsia" w:ascii="宋体" w:hAnsi="宋体" w:eastAsia="宋体" w:cs="宋体"/>
          <w:color w:val="auto"/>
          <w:kern w:val="0"/>
          <w:sz w:val="28"/>
          <w:szCs w:val="28"/>
          <w:highlight w:val="none"/>
          <w:u w:val="single"/>
        </w:rPr>
        <w:t xml:space="preserve">        </w:t>
      </w:r>
    </w:p>
    <w:p w14:paraId="7EFB1009">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66D4DF53">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46AEBE55">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767E7998">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16CE93AB">
      <w:pPr>
        <w:pStyle w:val="87"/>
        <w:wordWrap w:val="0"/>
        <w:spacing w:line="360" w:lineRule="auto"/>
        <w:ind w:right="-34" w:rightChars="-16"/>
        <w:rPr>
          <w:rFonts w:hint="eastAsia" w:ascii="宋体" w:hAnsi="宋体" w:eastAsia="宋体" w:cs="宋体"/>
          <w:color w:val="auto"/>
          <w:sz w:val="23"/>
          <w:highlight w:val="none"/>
          <w:u w:val="single"/>
        </w:rPr>
      </w:pPr>
    </w:p>
    <w:p w14:paraId="4215071C">
      <w:pPr>
        <w:pStyle w:val="87"/>
        <w:wordWrap w:val="0"/>
        <w:spacing w:line="360" w:lineRule="auto"/>
        <w:ind w:right="-34" w:rightChars="-16"/>
        <w:jc w:val="center"/>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rPr>
        <w:t xml:space="preserve"> 投标人：</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（盖单位章）</w:t>
      </w:r>
    </w:p>
    <w:p w14:paraId="7C6530F8">
      <w:pPr>
        <w:pStyle w:val="87"/>
        <w:wordWrap w:val="0"/>
        <w:spacing w:line="360" w:lineRule="auto"/>
        <w:ind w:right="-34" w:rightChars="-16" w:firstLine="1365" w:firstLineChars="650"/>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rPr>
        <w:t>法定代表人或其委托代理人：</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（签字</w:t>
      </w:r>
      <w:r>
        <w:rPr>
          <w:rFonts w:hint="eastAsia" w:hAnsi="宋体" w:cs="宋体"/>
          <w:color w:val="auto"/>
          <w:sz w:val="21"/>
          <w:szCs w:val="16"/>
          <w:highlight w:val="none"/>
          <w:lang w:val="en-US" w:eastAsia="zh-CN"/>
        </w:rPr>
        <w:t>和</w:t>
      </w:r>
      <w:r>
        <w:rPr>
          <w:rFonts w:hint="eastAsia" w:ascii="宋体" w:hAnsi="宋体" w:eastAsia="宋体" w:cs="宋体"/>
          <w:color w:val="auto"/>
          <w:sz w:val="21"/>
          <w:szCs w:val="16"/>
          <w:highlight w:val="none"/>
        </w:rPr>
        <w:t>盖章）</w:t>
      </w:r>
    </w:p>
    <w:p w14:paraId="797817EC">
      <w:pPr>
        <w:pStyle w:val="87"/>
        <w:wordWrap w:val="0"/>
        <w:spacing w:line="360" w:lineRule="auto"/>
        <w:ind w:right="-34" w:rightChars="-16" w:firstLine="2835" w:firstLineChars="1350"/>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年</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月</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日</w:t>
      </w:r>
    </w:p>
    <w:p w14:paraId="20AECB7E">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0"/>
          <w:szCs w:val="18"/>
          <w:highlight w:val="none"/>
        </w:rPr>
      </w:pPr>
      <w:bookmarkStart w:id="2026" w:name="_Toc228589255"/>
      <w:bookmarkStart w:id="2027" w:name="_Toc227492337"/>
      <w:bookmarkStart w:id="2028" w:name="_Toc227657579"/>
      <w:bookmarkStart w:id="2029" w:name="_Toc228881241"/>
      <w:bookmarkStart w:id="2030" w:name="_Toc214433981"/>
      <w:bookmarkStart w:id="2031" w:name="_Toc228337190"/>
      <w:bookmarkStart w:id="2032" w:name="_Toc228591601"/>
      <w:bookmarkStart w:id="2033" w:name="_Toc228591749"/>
      <w:bookmarkStart w:id="2034" w:name="_Toc272772661"/>
      <w:r>
        <w:rPr>
          <w:rFonts w:hint="eastAsia" w:ascii="宋体" w:hAnsi="宋体" w:eastAsia="宋体" w:cs="宋体"/>
          <w:b/>
          <w:color w:val="auto"/>
          <w:kern w:val="0"/>
          <w:sz w:val="44"/>
          <w:highlight w:val="none"/>
        </w:rPr>
        <w:br w:type="page"/>
      </w:r>
      <w:bookmarkEnd w:id="2026"/>
      <w:bookmarkEnd w:id="2027"/>
      <w:bookmarkEnd w:id="2028"/>
      <w:bookmarkEnd w:id="2029"/>
      <w:bookmarkEnd w:id="2030"/>
      <w:bookmarkEnd w:id="2031"/>
      <w:bookmarkEnd w:id="2032"/>
      <w:bookmarkEnd w:id="2033"/>
      <w:bookmarkEnd w:id="2034"/>
      <w:bookmarkStart w:id="2035" w:name="_Toc3628"/>
      <w:bookmarkStart w:id="2036" w:name="_Toc500864536"/>
      <w:bookmarkStart w:id="2037" w:name="_Toc14817"/>
      <w:bookmarkStart w:id="2038" w:name="_Toc431367133"/>
      <w:bookmarkStart w:id="2039" w:name="_Toc8265"/>
      <w:bookmarkStart w:id="2040" w:name="_Toc20886"/>
      <w:r>
        <w:rPr>
          <w:rFonts w:hint="eastAsia" w:ascii="宋体" w:hAnsi="宋体" w:eastAsia="宋体" w:cs="宋体"/>
          <w:b/>
          <w:color w:val="auto"/>
          <w:kern w:val="0"/>
          <w:sz w:val="32"/>
          <w:szCs w:val="15"/>
          <w:highlight w:val="none"/>
        </w:rPr>
        <w:t>目   录</w:t>
      </w:r>
      <w:bookmarkEnd w:id="2035"/>
      <w:bookmarkEnd w:id="2036"/>
      <w:bookmarkEnd w:id="2037"/>
      <w:bookmarkEnd w:id="2038"/>
      <w:bookmarkEnd w:id="2039"/>
      <w:bookmarkEnd w:id="2040"/>
    </w:p>
    <w:p w14:paraId="07DADF90">
      <w:pPr>
        <w:wordWrap w:val="0"/>
        <w:autoSpaceDE w:val="0"/>
        <w:autoSpaceDN w:val="0"/>
        <w:adjustRightInd w:val="0"/>
        <w:spacing w:line="360" w:lineRule="auto"/>
        <w:ind w:right="-34" w:rightChars="-16"/>
        <w:jc w:val="left"/>
        <w:rPr>
          <w:rFonts w:hint="eastAsia" w:ascii="宋体" w:hAnsi="宋体" w:eastAsia="宋体" w:cs="宋体"/>
          <w:color w:val="auto"/>
          <w:kern w:val="0"/>
          <w:highlight w:val="none"/>
        </w:rPr>
      </w:pPr>
    </w:p>
    <w:p w14:paraId="65246D4D">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（1）投标函及投标函附录；</w:t>
      </w:r>
    </w:p>
    <w:p w14:paraId="19C8A545">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（2）法定代表人身份证明；</w:t>
      </w:r>
    </w:p>
    <w:p w14:paraId="7CAC8FE2">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（3）附有法定代表人身份证明的授权委托书；</w:t>
      </w:r>
    </w:p>
    <w:p w14:paraId="1021C544">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（4）投标保证金；</w:t>
      </w:r>
    </w:p>
    <w:p w14:paraId="1856045F">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（5）已标价工程量清单；</w:t>
      </w:r>
    </w:p>
    <w:p w14:paraId="5C2D3E09">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（6）技术标；</w:t>
      </w:r>
    </w:p>
    <w:p w14:paraId="545AB391">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（7）技术标准和要求；</w:t>
      </w:r>
    </w:p>
    <w:p w14:paraId="5B97C46A">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（8）项目管理机构；</w:t>
      </w:r>
    </w:p>
    <w:p w14:paraId="7EE91A94">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（9）资格审查资料；</w:t>
      </w:r>
    </w:p>
    <w:p w14:paraId="42D3F3B9">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（10）其他材料。</w:t>
      </w:r>
    </w:p>
    <w:p w14:paraId="6006A2C6">
      <w:pPr>
        <w:wordWrap w:val="0"/>
        <w:autoSpaceDE w:val="0"/>
        <w:autoSpaceDN w:val="0"/>
        <w:adjustRightInd w:val="0"/>
        <w:spacing w:line="360" w:lineRule="auto"/>
        <w:ind w:right="-34" w:rightChars="-16" w:firstLine="1619" w:firstLineChars="771"/>
        <w:jc w:val="left"/>
        <w:rPr>
          <w:rFonts w:hint="eastAsia" w:ascii="宋体" w:hAnsi="宋体" w:eastAsia="宋体" w:cs="宋体"/>
          <w:color w:val="auto"/>
          <w:kern w:val="0"/>
          <w:highlight w:val="none"/>
        </w:rPr>
      </w:pPr>
    </w:p>
    <w:p w14:paraId="08338940">
      <w:pPr>
        <w:wordWrap w:val="0"/>
        <w:autoSpaceDE w:val="0"/>
        <w:autoSpaceDN w:val="0"/>
        <w:adjustRightInd w:val="0"/>
        <w:spacing w:line="360" w:lineRule="auto"/>
        <w:ind w:right="-34" w:rightChars="-16" w:firstLine="1619" w:firstLineChars="771"/>
        <w:jc w:val="left"/>
        <w:rPr>
          <w:rFonts w:hint="eastAsia" w:ascii="宋体" w:hAnsi="宋体" w:eastAsia="宋体" w:cs="宋体"/>
          <w:color w:val="auto"/>
          <w:kern w:val="0"/>
          <w:highlight w:val="none"/>
        </w:rPr>
      </w:pPr>
    </w:p>
    <w:p w14:paraId="7C3E9EC0">
      <w:pPr>
        <w:wordWrap w:val="0"/>
        <w:autoSpaceDE w:val="0"/>
        <w:autoSpaceDN w:val="0"/>
        <w:adjustRightInd w:val="0"/>
        <w:spacing w:line="360" w:lineRule="auto"/>
        <w:ind w:right="-34" w:rightChars="-16"/>
        <w:outlineLvl w:val="0"/>
        <w:rPr>
          <w:rFonts w:hint="eastAsia" w:ascii="宋体" w:hAnsi="宋体" w:eastAsia="宋体" w:cs="宋体"/>
          <w:color w:val="auto"/>
          <w:kern w:val="0"/>
          <w:highlight w:val="none"/>
        </w:rPr>
      </w:pPr>
    </w:p>
    <w:p w14:paraId="04EBF7A8">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highlight w:val="none"/>
        </w:rPr>
      </w:pPr>
      <w:bookmarkStart w:id="2041" w:name="_Toc431367134"/>
      <w:r>
        <w:rPr>
          <w:rFonts w:hint="eastAsia" w:ascii="宋体" w:hAnsi="宋体" w:eastAsia="宋体" w:cs="宋体"/>
          <w:color w:val="auto"/>
          <w:kern w:val="0"/>
          <w:highlight w:val="none"/>
        </w:rPr>
        <w:br w:type="page"/>
      </w:r>
      <w:bookmarkStart w:id="2042" w:name="_Toc7272"/>
      <w:bookmarkStart w:id="2043" w:name="_Toc500864537"/>
      <w:bookmarkStart w:id="2044" w:name="_Toc21568"/>
      <w:bookmarkStart w:id="2045" w:name="_Toc431367135"/>
      <w:bookmarkStart w:id="2046" w:name="_Toc32572"/>
      <w:r>
        <w:rPr>
          <w:rFonts w:hint="eastAsia" w:ascii="宋体" w:hAnsi="宋体" w:eastAsia="宋体" w:cs="宋体"/>
          <w:b/>
          <w:color w:val="auto"/>
          <w:kern w:val="0"/>
          <w:sz w:val="32"/>
          <w:highlight w:val="none"/>
        </w:rPr>
        <w:t>一、投标函及投标函附录</w:t>
      </w:r>
      <w:bookmarkEnd w:id="2041"/>
      <w:bookmarkEnd w:id="2042"/>
      <w:bookmarkEnd w:id="2043"/>
      <w:bookmarkEnd w:id="2044"/>
      <w:bookmarkEnd w:id="2045"/>
      <w:bookmarkEnd w:id="2046"/>
    </w:p>
    <w:p w14:paraId="32622352">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4"/>
          <w:highlight w:val="none"/>
        </w:rPr>
      </w:pPr>
      <w:bookmarkStart w:id="2047" w:name="_Toc227657581"/>
      <w:bookmarkStart w:id="2048" w:name="_Toc31372"/>
      <w:bookmarkStart w:id="2049" w:name="_Toc228337192"/>
      <w:bookmarkStart w:id="2050" w:name="_Toc500864538"/>
      <w:bookmarkStart w:id="2051" w:name="_Toc431367136"/>
      <w:bookmarkStart w:id="2052" w:name="_Toc243904320"/>
      <w:bookmarkStart w:id="2053" w:name="_Toc228591751"/>
      <w:bookmarkStart w:id="2054" w:name="_Toc214433983"/>
      <w:bookmarkStart w:id="2055" w:name="_Toc227492339"/>
      <w:bookmarkStart w:id="2056" w:name="_Toc20389"/>
      <w:bookmarkStart w:id="2057" w:name="_Toc23746"/>
      <w:bookmarkStart w:id="2058" w:name="_Toc228589257"/>
      <w:bookmarkStart w:id="2059" w:name="_Toc285618746"/>
      <w:bookmarkStart w:id="2060" w:name="_Toc8455"/>
      <w:bookmarkStart w:id="2061" w:name="_Toc228591603"/>
      <w:bookmarkStart w:id="2062" w:name="_Toc272772663"/>
      <w:bookmarkStart w:id="2063" w:name="_Toc228881243"/>
      <w:bookmarkStart w:id="2064" w:name="_Toc272772664"/>
      <w:bookmarkStart w:id="2065" w:name="_Toc214433984"/>
      <w:bookmarkStart w:id="2066" w:name="_Toc228591605"/>
      <w:bookmarkStart w:id="2067" w:name="_Toc227492340"/>
      <w:bookmarkStart w:id="2068" w:name="_Toc228591752"/>
      <w:bookmarkStart w:id="2069" w:name="_Toc228337193"/>
      <w:bookmarkStart w:id="2070" w:name="_Toc228881244"/>
      <w:bookmarkStart w:id="2071" w:name="_Toc228337194"/>
      <w:bookmarkStart w:id="2072" w:name="_Toc228881245"/>
      <w:bookmarkStart w:id="2073" w:name="_Toc257204992"/>
      <w:bookmarkStart w:id="2074" w:name="_Toc227657582"/>
      <w:bookmarkStart w:id="2075" w:name="_Toc227657583"/>
      <w:bookmarkStart w:id="2076" w:name="_Toc228591753"/>
      <w:bookmarkStart w:id="2077" w:name="_Toc228589259"/>
      <w:bookmarkStart w:id="2078" w:name="_Toc227492341"/>
      <w:bookmarkStart w:id="2079" w:name="_Toc228589258"/>
      <w:bookmarkStart w:id="2080" w:name="_Toc243904321"/>
      <w:bookmarkStart w:id="2081" w:name="_Toc214433985"/>
      <w:bookmarkStart w:id="2082" w:name="_Toc228591604"/>
      <w:r>
        <w:rPr>
          <w:rFonts w:hint="eastAsia" w:ascii="宋体" w:hAnsi="宋体" w:eastAsia="宋体" w:cs="宋体"/>
          <w:b/>
          <w:color w:val="auto"/>
          <w:kern w:val="0"/>
          <w:sz w:val="28"/>
          <w:szCs w:val="21"/>
          <w:highlight w:val="none"/>
        </w:rPr>
        <w:t>（一）投标函</w:t>
      </w:r>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p>
    <w:p w14:paraId="238B66C9">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__________（招标人名称）：</w:t>
      </w:r>
    </w:p>
    <w:p w14:paraId="3CC1E593">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1．我方已仔细研究了__________ （项目名称）施工招标文件的全部内容，愿意以人民币（大写）_________（</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___________元）的投标总报价，工期_____日历天，按合同约定实施和完成承包工程，修补工程中的任何缺陷，工程质量达到___________。</w:t>
      </w:r>
    </w:p>
    <w:p w14:paraId="3D4C1E0E">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2．我方响应招标文件中约定的投标有效期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，并承诺在投标有效期内不修改、不撤销投标文件。</w:t>
      </w:r>
    </w:p>
    <w:p w14:paraId="575E03C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3．随同本投标函提交投标保证金一份，金额为人民币（大写）________（</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________元）。</w:t>
      </w:r>
    </w:p>
    <w:p w14:paraId="74A790A3">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4．如我方中标：</w:t>
      </w:r>
    </w:p>
    <w:p w14:paraId="11600DD1">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（1）我方承诺在收到中标通知书后，在中标通知书规定的期限内与你方签订合同。</w:t>
      </w:r>
    </w:p>
    <w:p w14:paraId="7F122A2F">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（2）随同本投标函递交的投标函附录属于合同文件的组成部分。</w:t>
      </w:r>
    </w:p>
    <w:p w14:paraId="45444334">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（3）我方承诺在合同约定的期限内完成并移交全部合同工程。</w:t>
      </w:r>
    </w:p>
    <w:p w14:paraId="3ECA64AA">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（4）我方承诺按照招标文件规定向你方递交履约担保。</w:t>
      </w:r>
    </w:p>
    <w:p w14:paraId="6478052D">
      <w:pPr>
        <w:wordWrap w:val="0"/>
        <w:autoSpaceDE w:val="0"/>
        <w:autoSpaceDN w:val="0"/>
        <w:adjustRightInd w:val="0"/>
        <w:spacing w:line="360" w:lineRule="auto"/>
        <w:ind w:right="-34" w:rightChars="-16" w:firstLine="898" w:firstLineChars="428"/>
        <w:jc w:val="left"/>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z w:val="21"/>
          <w:szCs w:val="21"/>
          <w:highlight w:val="none"/>
        </w:rPr>
        <w:t>我方</w:t>
      </w:r>
      <w:r>
        <w:rPr>
          <w:rFonts w:hint="eastAsia" w:ascii="宋体" w:hAnsi="宋体" w:eastAsia="宋体" w:cs="宋体"/>
          <w:bCs/>
          <w:color w:val="auto"/>
          <w:sz w:val="21"/>
          <w:szCs w:val="21"/>
          <w:highlight w:val="none"/>
        </w:rPr>
        <w:t>承诺当招标人资金紧张时，保证不间断、连续正常施工。</w:t>
      </w:r>
    </w:p>
    <w:p w14:paraId="3DE13894">
      <w:pPr>
        <w:wordWrap w:val="0"/>
        <w:autoSpaceDE w:val="0"/>
        <w:autoSpaceDN w:val="0"/>
        <w:adjustRightInd w:val="0"/>
        <w:spacing w:line="360" w:lineRule="auto"/>
        <w:ind w:right="-34" w:rightChars="-16" w:firstLine="898" w:firstLineChars="42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color w:val="auto"/>
          <w:kern w:val="0"/>
          <w:sz w:val="21"/>
          <w:szCs w:val="21"/>
          <w:highlight w:val="none"/>
        </w:rPr>
        <w:t>我方愿按照规定向招标代理公司交纳招标代理服务费。</w:t>
      </w:r>
    </w:p>
    <w:p w14:paraId="4F067E8F">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5．我方在此声明，所递交的投标文件及有关资料内容完整、真实和准确，且不存在招标文件第二章“投标人须知”第1.4.3 项规定的任何一种情形。</w:t>
      </w:r>
    </w:p>
    <w:p w14:paraId="71AD3E58">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 我方在此声明，不存在“第三章 评分办法”中附件B：否决投标条件情形第8条规定的任意一种情形。</w:t>
      </w:r>
    </w:p>
    <w:p w14:paraId="644ABE69">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7. </w:t>
      </w:r>
      <w:r>
        <w:rPr>
          <w:rFonts w:hint="eastAsia" w:ascii="宋体" w:hAnsi="宋体" w:eastAsia="宋体" w:cs="宋体"/>
          <w:color w:val="auto"/>
          <w:kern w:val="0"/>
          <w:sz w:val="21"/>
          <w:szCs w:val="21"/>
          <w:highlight w:val="none"/>
          <w:u w:val="single"/>
        </w:rPr>
        <w:t xml:space="preserve">                                  （其他补充说明）   。</w:t>
      </w:r>
    </w:p>
    <w:p w14:paraId="11A90B62">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p>
    <w:p w14:paraId="78ECD2F9">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（盖单位章）</w:t>
      </w:r>
    </w:p>
    <w:p w14:paraId="2E4517ED">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（签字）</w:t>
      </w:r>
    </w:p>
    <w:p w14:paraId="3EFAF3B7">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r>
        <w:rPr>
          <w:rFonts w:hint="eastAsia" w:ascii="宋体" w:hAnsi="宋体" w:eastAsia="宋体" w:cs="宋体"/>
          <w:color w:val="auto"/>
          <w:kern w:val="0"/>
          <w:sz w:val="21"/>
          <w:szCs w:val="21"/>
          <w:highlight w:val="none"/>
          <w:u w:val="single"/>
        </w:rPr>
        <w:t xml:space="preserve">            </w:t>
      </w:r>
    </w:p>
    <w:p w14:paraId="3D206C3B">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网址：</w:t>
      </w:r>
      <w:r>
        <w:rPr>
          <w:rFonts w:hint="eastAsia" w:ascii="宋体" w:hAnsi="宋体" w:eastAsia="宋体" w:cs="宋体"/>
          <w:color w:val="auto"/>
          <w:kern w:val="0"/>
          <w:sz w:val="21"/>
          <w:szCs w:val="21"/>
          <w:highlight w:val="none"/>
          <w:u w:val="single"/>
        </w:rPr>
        <w:t xml:space="preserve">            </w:t>
      </w:r>
    </w:p>
    <w:p w14:paraId="211680D9">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电话：</w:t>
      </w:r>
      <w:r>
        <w:rPr>
          <w:rFonts w:hint="eastAsia" w:ascii="宋体" w:hAnsi="宋体" w:eastAsia="宋体" w:cs="宋体"/>
          <w:color w:val="auto"/>
          <w:kern w:val="0"/>
          <w:sz w:val="21"/>
          <w:szCs w:val="21"/>
          <w:highlight w:val="none"/>
          <w:u w:val="single"/>
        </w:rPr>
        <w:t xml:space="preserve">            </w:t>
      </w:r>
    </w:p>
    <w:p w14:paraId="2161F868">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传真：</w:t>
      </w:r>
      <w:r>
        <w:rPr>
          <w:rFonts w:hint="eastAsia" w:ascii="宋体" w:hAnsi="宋体" w:eastAsia="宋体" w:cs="宋体"/>
          <w:color w:val="auto"/>
          <w:kern w:val="0"/>
          <w:sz w:val="21"/>
          <w:szCs w:val="21"/>
          <w:highlight w:val="none"/>
          <w:u w:val="single"/>
        </w:rPr>
        <w:t xml:space="preserve">            </w:t>
      </w:r>
    </w:p>
    <w:p w14:paraId="04D1666D">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邮政编码：</w:t>
      </w:r>
      <w:r>
        <w:rPr>
          <w:rFonts w:hint="eastAsia" w:ascii="宋体" w:hAnsi="宋体" w:eastAsia="宋体" w:cs="宋体"/>
          <w:color w:val="auto"/>
          <w:kern w:val="0"/>
          <w:sz w:val="21"/>
          <w:szCs w:val="21"/>
          <w:highlight w:val="none"/>
          <w:u w:val="single"/>
        </w:rPr>
        <w:t xml:space="preserve">            </w:t>
      </w:r>
    </w:p>
    <w:p w14:paraId="355AB337">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日期：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44F8D98E">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u w:val="single"/>
        </w:rPr>
        <w:br w:type="page"/>
      </w:r>
      <w:bookmarkStart w:id="2083" w:name="_Toc23002"/>
      <w:bookmarkStart w:id="2084" w:name="_Toc4901"/>
      <w:bookmarkStart w:id="2085" w:name="_Toc431367137"/>
      <w:bookmarkStart w:id="2086" w:name="_Toc500864539"/>
      <w:bookmarkStart w:id="2087" w:name="_Toc11632"/>
      <w:bookmarkStart w:id="2088" w:name="_Toc19056"/>
      <w:r>
        <w:rPr>
          <w:rFonts w:hint="eastAsia" w:ascii="宋体" w:hAnsi="宋体" w:eastAsia="宋体" w:cs="宋体"/>
          <w:b/>
          <w:color w:val="auto"/>
          <w:kern w:val="0"/>
          <w:sz w:val="28"/>
          <w:szCs w:val="21"/>
          <w:highlight w:val="none"/>
        </w:rPr>
        <w:t>（二）投标</w:t>
      </w:r>
      <w:bookmarkEnd w:id="2064"/>
      <w:r>
        <w:rPr>
          <w:rFonts w:hint="eastAsia" w:ascii="宋体" w:hAnsi="宋体" w:eastAsia="宋体" w:cs="宋体"/>
          <w:b/>
          <w:color w:val="auto"/>
          <w:kern w:val="0"/>
          <w:sz w:val="28"/>
          <w:szCs w:val="21"/>
          <w:highlight w:val="none"/>
        </w:rPr>
        <w:t>函附录</w:t>
      </w:r>
      <w:bookmarkEnd w:id="2083"/>
      <w:bookmarkEnd w:id="2084"/>
      <w:bookmarkEnd w:id="2085"/>
      <w:bookmarkEnd w:id="2086"/>
      <w:bookmarkEnd w:id="2087"/>
      <w:bookmarkEnd w:id="2088"/>
    </w:p>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tbl>
      <w:tblPr>
        <w:tblStyle w:val="43"/>
        <w:tblW w:w="931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90"/>
        <w:gridCol w:w="2057"/>
        <w:gridCol w:w="1201"/>
        <w:gridCol w:w="62"/>
        <w:gridCol w:w="777"/>
        <w:gridCol w:w="833"/>
        <w:gridCol w:w="1701"/>
        <w:gridCol w:w="1690"/>
      </w:tblGrid>
      <w:tr w14:paraId="6C942B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57" w:hRule="exact"/>
        </w:trPr>
        <w:tc>
          <w:tcPr>
            <w:tcW w:w="3047" w:type="dxa"/>
            <w:gridSpan w:val="2"/>
            <w:noWrap w:val="0"/>
            <w:vAlign w:val="center"/>
          </w:tcPr>
          <w:p w14:paraId="1FF675A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bookmarkStart w:id="2089" w:name="_Toc492225549"/>
            <w:bookmarkStart w:id="2090" w:name="_Toc214433989"/>
            <w:bookmarkStart w:id="2091" w:name="_Toc228881249"/>
            <w:bookmarkStart w:id="2092" w:name="_Toc228591609"/>
            <w:bookmarkStart w:id="2093" w:name="_Toc228591757"/>
            <w:bookmarkStart w:id="2094" w:name="_Toc272772668"/>
            <w:bookmarkStart w:id="2095" w:name="_Toc228589263"/>
            <w:bookmarkStart w:id="2096" w:name="_Toc227657587"/>
            <w:bookmarkStart w:id="2097" w:name="_Toc228337198"/>
            <w:bookmarkStart w:id="2098" w:name="_Toc227492345"/>
            <w:bookmarkStart w:id="2099" w:name="_Toc431367138"/>
            <w:r>
              <w:rPr>
                <w:rFonts w:hint="eastAsia" w:ascii="宋体" w:hAnsi="宋体" w:eastAsia="宋体" w:cs="宋体"/>
                <w:color w:val="auto"/>
                <w:szCs w:val="21"/>
                <w:highlight w:val="none"/>
              </w:rPr>
              <w:t>项目名称</w:t>
            </w:r>
          </w:p>
        </w:tc>
        <w:tc>
          <w:tcPr>
            <w:tcW w:w="6264" w:type="dxa"/>
            <w:gridSpan w:val="6"/>
            <w:noWrap w:val="0"/>
            <w:vAlign w:val="center"/>
          </w:tcPr>
          <w:p w14:paraId="13A7D157">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740BEE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57" w:hRule="exact"/>
        </w:trPr>
        <w:tc>
          <w:tcPr>
            <w:tcW w:w="3047" w:type="dxa"/>
            <w:gridSpan w:val="2"/>
            <w:noWrap w:val="0"/>
            <w:vAlign w:val="center"/>
          </w:tcPr>
          <w:p w14:paraId="3E29184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tc>
        <w:tc>
          <w:tcPr>
            <w:tcW w:w="2873" w:type="dxa"/>
            <w:gridSpan w:val="4"/>
            <w:noWrap w:val="0"/>
            <w:vAlign w:val="center"/>
          </w:tcPr>
          <w:p w14:paraId="61FF03D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1701" w:type="dxa"/>
            <w:noWrap w:val="0"/>
            <w:vAlign w:val="center"/>
          </w:tcPr>
          <w:p w14:paraId="684CE487">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1690" w:type="dxa"/>
            <w:noWrap w:val="0"/>
            <w:vAlign w:val="center"/>
          </w:tcPr>
          <w:p w14:paraId="42CECAC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608DEC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53" w:hRule="atLeast"/>
        </w:trPr>
        <w:tc>
          <w:tcPr>
            <w:tcW w:w="3047" w:type="dxa"/>
            <w:gridSpan w:val="2"/>
            <w:noWrap w:val="0"/>
            <w:vAlign w:val="center"/>
          </w:tcPr>
          <w:p w14:paraId="018C49F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投标工期</w:t>
            </w:r>
          </w:p>
        </w:tc>
        <w:tc>
          <w:tcPr>
            <w:tcW w:w="2873" w:type="dxa"/>
            <w:gridSpan w:val="4"/>
            <w:noWrap w:val="0"/>
            <w:vAlign w:val="center"/>
          </w:tcPr>
          <w:p w14:paraId="48C37C37">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firstLine="840" w:firstLineChars="4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日历天</w:t>
            </w:r>
          </w:p>
        </w:tc>
        <w:tc>
          <w:tcPr>
            <w:tcW w:w="1701" w:type="dxa"/>
            <w:noWrap w:val="0"/>
            <w:vAlign w:val="center"/>
          </w:tcPr>
          <w:p w14:paraId="51F8E04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投标质量</w:t>
            </w:r>
          </w:p>
        </w:tc>
        <w:tc>
          <w:tcPr>
            <w:tcW w:w="1690" w:type="dxa"/>
            <w:noWrap w:val="0"/>
            <w:vAlign w:val="center"/>
          </w:tcPr>
          <w:p w14:paraId="729C89A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4D791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8" w:hRule="exact"/>
        </w:trPr>
        <w:tc>
          <w:tcPr>
            <w:tcW w:w="3047" w:type="dxa"/>
            <w:gridSpan w:val="2"/>
            <w:noWrap w:val="0"/>
            <w:vAlign w:val="center"/>
          </w:tcPr>
          <w:p w14:paraId="19E8C262">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1201" w:type="dxa"/>
            <w:noWrap w:val="0"/>
            <w:vAlign w:val="center"/>
          </w:tcPr>
          <w:p w14:paraId="4BF13B28">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839" w:type="dxa"/>
            <w:gridSpan w:val="2"/>
            <w:noWrap w:val="0"/>
            <w:vAlign w:val="center"/>
          </w:tcPr>
          <w:p w14:paraId="4B1A73C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级别</w:t>
            </w:r>
          </w:p>
        </w:tc>
        <w:tc>
          <w:tcPr>
            <w:tcW w:w="833" w:type="dxa"/>
            <w:noWrap w:val="0"/>
            <w:vAlign w:val="center"/>
          </w:tcPr>
          <w:p w14:paraId="14701A02">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1701" w:type="dxa"/>
            <w:noWrap w:val="0"/>
            <w:vAlign w:val="center"/>
          </w:tcPr>
          <w:p w14:paraId="2866E43D">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注册建造师</w:t>
            </w:r>
          </w:p>
          <w:p w14:paraId="664E279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证书编号</w:t>
            </w:r>
          </w:p>
        </w:tc>
        <w:tc>
          <w:tcPr>
            <w:tcW w:w="1690" w:type="dxa"/>
            <w:tcBorders>
              <w:top w:val="single" w:color="auto" w:sz="4" w:space="0"/>
            </w:tcBorders>
            <w:noWrap w:val="0"/>
            <w:vAlign w:val="center"/>
          </w:tcPr>
          <w:p w14:paraId="5359D387">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53A0BC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99" w:hRule="exact"/>
        </w:trPr>
        <w:tc>
          <w:tcPr>
            <w:tcW w:w="3047" w:type="dxa"/>
            <w:gridSpan w:val="2"/>
            <w:tcBorders>
              <w:bottom w:val="single" w:color="auto" w:sz="4" w:space="0"/>
            </w:tcBorders>
            <w:noWrap w:val="0"/>
            <w:vAlign w:val="center"/>
          </w:tcPr>
          <w:p w14:paraId="5E75D968">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投标总报价（含规费、税金、安全文明施工措施费）</w:t>
            </w:r>
          </w:p>
        </w:tc>
        <w:tc>
          <w:tcPr>
            <w:tcW w:w="6264" w:type="dxa"/>
            <w:gridSpan w:val="6"/>
            <w:tcBorders>
              <w:bottom w:val="single" w:color="auto" w:sz="4" w:space="0"/>
            </w:tcBorders>
            <w:noWrap w:val="0"/>
            <w:vAlign w:val="center"/>
          </w:tcPr>
          <w:p w14:paraId="59D1B12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p>
          <w:p w14:paraId="2DC1672F">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RMB</w:t>
            </w:r>
            <w:r>
              <w:rPr>
                <w:rFonts w:hint="eastAsia" w:ascii="宋体" w:hAnsi="宋体" w:eastAsia="宋体" w:cs="宋体"/>
                <w:color w:val="auto"/>
                <w:szCs w:val="22"/>
                <w:highlight w:val="none"/>
              </w:rPr>
              <w:t>￥</w:t>
            </w:r>
            <w:r>
              <w:rPr>
                <w:rFonts w:hint="eastAsia" w:ascii="宋体" w:hAnsi="宋体" w:eastAsia="宋体" w:cs="宋体"/>
                <w:color w:val="auto"/>
                <w:szCs w:val="21"/>
                <w:highlight w:val="none"/>
              </w:rPr>
              <w:t>：元</w:t>
            </w:r>
          </w:p>
        </w:tc>
      </w:tr>
      <w:tr w14:paraId="40B5E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25" w:hRule="exact"/>
        </w:trPr>
        <w:tc>
          <w:tcPr>
            <w:tcW w:w="990" w:type="dxa"/>
            <w:vMerge w:val="restart"/>
            <w:tcBorders>
              <w:top w:val="single" w:color="auto" w:sz="4" w:space="0"/>
              <w:right w:val="single" w:color="auto" w:sz="4" w:space="0"/>
            </w:tcBorders>
            <w:noWrap w:val="0"/>
            <w:vAlign w:val="center"/>
          </w:tcPr>
          <w:p w14:paraId="41AECEA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w:t>
            </w:r>
          </w:p>
          <w:p w14:paraId="3A3AB01E">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w:t>
            </w:r>
          </w:p>
          <w:p w14:paraId="02EE571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w:t>
            </w:r>
          </w:p>
          <w:p w14:paraId="7ADDC1D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可</w:t>
            </w:r>
          </w:p>
          <w:p w14:paraId="3F981610">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竞</w:t>
            </w:r>
          </w:p>
          <w:p w14:paraId="415997C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w:t>
            </w:r>
          </w:p>
          <w:p w14:paraId="041A4B5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费</w:t>
            </w:r>
          </w:p>
          <w:p w14:paraId="4195162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用</w:t>
            </w:r>
          </w:p>
        </w:tc>
        <w:tc>
          <w:tcPr>
            <w:tcW w:w="2057" w:type="dxa"/>
            <w:tcBorders>
              <w:top w:val="single" w:color="auto" w:sz="4" w:space="0"/>
              <w:left w:val="single" w:color="auto" w:sz="4" w:space="0"/>
            </w:tcBorders>
            <w:noWrap w:val="0"/>
            <w:vAlign w:val="center"/>
          </w:tcPr>
          <w:p w14:paraId="0688D2F9">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规费</w:t>
            </w:r>
          </w:p>
        </w:tc>
        <w:tc>
          <w:tcPr>
            <w:tcW w:w="6264" w:type="dxa"/>
            <w:gridSpan w:val="6"/>
            <w:tcBorders>
              <w:top w:val="single" w:color="auto" w:sz="4" w:space="0"/>
            </w:tcBorders>
            <w:noWrap w:val="0"/>
            <w:vAlign w:val="center"/>
          </w:tcPr>
          <w:p w14:paraId="595A13B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RMB</w:t>
            </w:r>
            <w:r>
              <w:rPr>
                <w:rFonts w:hint="eastAsia" w:ascii="宋体" w:hAnsi="宋体" w:eastAsia="宋体" w:cs="宋体"/>
                <w:color w:val="auto"/>
                <w:szCs w:val="22"/>
                <w:highlight w:val="none"/>
              </w:rPr>
              <w:t>￥</w:t>
            </w:r>
            <w:r>
              <w:rPr>
                <w:rFonts w:hint="eastAsia" w:ascii="宋体" w:hAnsi="宋体" w:eastAsia="宋体" w:cs="宋体"/>
                <w:color w:val="auto"/>
                <w:szCs w:val="21"/>
                <w:highlight w:val="none"/>
              </w:rPr>
              <w:t>：元</w:t>
            </w:r>
          </w:p>
        </w:tc>
      </w:tr>
      <w:tr w14:paraId="578E20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00" w:hRule="exact"/>
        </w:trPr>
        <w:tc>
          <w:tcPr>
            <w:tcW w:w="990" w:type="dxa"/>
            <w:vMerge w:val="continue"/>
            <w:tcBorders>
              <w:top w:val="single" w:color="auto" w:sz="4" w:space="0"/>
              <w:right w:val="single" w:color="auto" w:sz="4" w:space="0"/>
            </w:tcBorders>
            <w:noWrap w:val="0"/>
            <w:vAlign w:val="center"/>
          </w:tcPr>
          <w:p w14:paraId="005A5C6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p>
        </w:tc>
        <w:tc>
          <w:tcPr>
            <w:tcW w:w="2057" w:type="dxa"/>
            <w:tcBorders>
              <w:top w:val="single" w:color="auto" w:sz="4" w:space="0"/>
              <w:left w:val="single" w:color="auto" w:sz="4" w:space="0"/>
            </w:tcBorders>
            <w:noWrap w:val="0"/>
            <w:vAlign w:val="center"/>
          </w:tcPr>
          <w:p w14:paraId="0B41C60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税金</w:t>
            </w:r>
          </w:p>
        </w:tc>
        <w:tc>
          <w:tcPr>
            <w:tcW w:w="6264" w:type="dxa"/>
            <w:gridSpan w:val="6"/>
            <w:tcBorders>
              <w:top w:val="single" w:color="auto" w:sz="4" w:space="0"/>
            </w:tcBorders>
            <w:noWrap w:val="0"/>
            <w:vAlign w:val="center"/>
          </w:tcPr>
          <w:p w14:paraId="18CD19F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RMB</w:t>
            </w:r>
            <w:r>
              <w:rPr>
                <w:rFonts w:hint="eastAsia" w:ascii="宋体" w:hAnsi="宋体" w:eastAsia="宋体" w:cs="宋体"/>
                <w:color w:val="auto"/>
                <w:szCs w:val="22"/>
                <w:highlight w:val="none"/>
              </w:rPr>
              <w:t>￥</w:t>
            </w:r>
            <w:r>
              <w:rPr>
                <w:rFonts w:hint="eastAsia" w:ascii="宋体" w:hAnsi="宋体" w:eastAsia="宋体" w:cs="宋体"/>
                <w:color w:val="auto"/>
                <w:szCs w:val="21"/>
                <w:highlight w:val="none"/>
              </w:rPr>
              <w:t>：元</w:t>
            </w:r>
          </w:p>
        </w:tc>
      </w:tr>
      <w:tr w14:paraId="71A46C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55" w:hRule="atLeast"/>
        </w:trPr>
        <w:tc>
          <w:tcPr>
            <w:tcW w:w="990" w:type="dxa"/>
            <w:vMerge w:val="continue"/>
            <w:tcBorders>
              <w:right w:val="single" w:color="auto" w:sz="4" w:space="0"/>
            </w:tcBorders>
            <w:noWrap w:val="0"/>
            <w:vAlign w:val="center"/>
          </w:tcPr>
          <w:p w14:paraId="49897C9E">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p>
        </w:tc>
        <w:tc>
          <w:tcPr>
            <w:tcW w:w="2057" w:type="dxa"/>
            <w:tcBorders>
              <w:top w:val="single" w:color="auto" w:sz="4" w:space="0"/>
              <w:left w:val="single" w:color="auto" w:sz="4" w:space="0"/>
            </w:tcBorders>
            <w:noWrap w:val="0"/>
            <w:vAlign w:val="center"/>
          </w:tcPr>
          <w:p w14:paraId="3E18867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安全文明施工</w:t>
            </w:r>
          </w:p>
          <w:p w14:paraId="65A33316">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措施费</w:t>
            </w:r>
          </w:p>
        </w:tc>
        <w:tc>
          <w:tcPr>
            <w:tcW w:w="6264" w:type="dxa"/>
            <w:gridSpan w:val="6"/>
            <w:tcBorders>
              <w:top w:val="single" w:color="auto" w:sz="4" w:space="0"/>
            </w:tcBorders>
            <w:noWrap w:val="0"/>
            <w:vAlign w:val="center"/>
          </w:tcPr>
          <w:p w14:paraId="19CB57F8">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RMB</w:t>
            </w:r>
            <w:r>
              <w:rPr>
                <w:rFonts w:hint="eastAsia" w:ascii="宋体" w:hAnsi="宋体" w:eastAsia="宋体" w:cs="宋体"/>
                <w:color w:val="auto"/>
                <w:szCs w:val="22"/>
                <w:highlight w:val="none"/>
              </w:rPr>
              <w:t>￥</w:t>
            </w:r>
            <w:r>
              <w:rPr>
                <w:rFonts w:hint="eastAsia" w:ascii="宋体" w:hAnsi="宋体" w:eastAsia="宋体" w:cs="宋体"/>
                <w:color w:val="auto"/>
                <w:szCs w:val="21"/>
                <w:highlight w:val="none"/>
              </w:rPr>
              <w:t>：元</w:t>
            </w:r>
          </w:p>
        </w:tc>
      </w:tr>
      <w:tr w14:paraId="5E8F12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324" w:hRule="atLeast"/>
        </w:trPr>
        <w:tc>
          <w:tcPr>
            <w:tcW w:w="3047" w:type="dxa"/>
            <w:gridSpan w:val="2"/>
            <w:noWrap w:val="0"/>
            <w:vAlign w:val="center"/>
          </w:tcPr>
          <w:p w14:paraId="043AA10E">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softHyphen/>
            </w:r>
            <w:r>
              <w:rPr>
                <w:rFonts w:hint="eastAsia" w:ascii="宋体" w:hAnsi="宋体" w:eastAsia="宋体" w:cs="宋体"/>
                <w:color w:val="auto"/>
                <w:szCs w:val="21"/>
                <w:highlight w:val="none"/>
              </w:rPr>
              <w:t>其中：措施项目费报价</w:t>
            </w:r>
          </w:p>
          <w:p w14:paraId="584A12C3">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（不含安全文明施工措施费）</w:t>
            </w:r>
          </w:p>
        </w:tc>
        <w:tc>
          <w:tcPr>
            <w:tcW w:w="6264" w:type="dxa"/>
            <w:gridSpan w:val="6"/>
            <w:noWrap w:val="0"/>
            <w:vAlign w:val="center"/>
          </w:tcPr>
          <w:p w14:paraId="12AE53C8">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p>
          <w:p w14:paraId="75A9763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RMB</w:t>
            </w:r>
            <w:r>
              <w:rPr>
                <w:rFonts w:hint="eastAsia" w:ascii="宋体" w:hAnsi="宋体" w:eastAsia="宋体" w:cs="宋体"/>
                <w:color w:val="auto"/>
                <w:szCs w:val="22"/>
                <w:highlight w:val="none"/>
              </w:rPr>
              <w:t>￥</w:t>
            </w:r>
            <w:r>
              <w:rPr>
                <w:rFonts w:hint="eastAsia" w:ascii="宋体" w:hAnsi="宋体" w:eastAsia="宋体" w:cs="宋体"/>
                <w:color w:val="auto"/>
                <w:szCs w:val="21"/>
                <w:highlight w:val="none"/>
              </w:rPr>
              <w:t>：元</w:t>
            </w:r>
          </w:p>
        </w:tc>
      </w:tr>
      <w:tr w14:paraId="19FDB5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70" w:hRule="atLeast"/>
        </w:trPr>
        <w:tc>
          <w:tcPr>
            <w:tcW w:w="3047" w:type="dxa"/>
            <w:gridSpan w:val="2"/>
            <w:noWrap w:val="0"/>
            <w:vAlign w:val="center"/>
          </w:tcPr>
          <w:p w14:paraId="6CC5561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报价中未含内容及要求</w:t>
            </w:r>
          </w:p>
          <w:p w14:paraId="67A91B6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配合条件</w:t>
            </w:r>
          </w:p>
        </w:tc>
        <w:tc>
          <w:tcPr>
            <w:tcW w:w="6264" w:type="dxa"/>
            <w:gridSpan w:val="6"/>
            <w:noWrap w:val="0"/>
            <w:vAlign w:val="center"/>
          </w:tcPr>
          <w:p w14:paraId="331EFD1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p w14:paraId="4278AE8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p w14:paraId="7657CFA8">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tc>
      </w:tr>
      <w:tr w14:paraId="01D9EF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4310" w:type="dxa"/>
            <w:gridSpan w:val="4"/>
            <w:noWrap w:val="0"/>
            <w:vAlign w:val="center"/>
          </w:tcPr>
          <w:p w14:paraId="376C629F">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p w14:paraId="2E6AFCD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p w14:paraId="6EA55B18">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投标人盖章：</w:t>
            </w:r>
          </w:p>
          <w:p w14:paraId="544B426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p w14:paraId="59106CBF">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tc>
        <w:tc>
          <w:tcPr>
            <w:tcW w:w="5001" w:type="dxa"/>
            <w:gridSpan w:val="4"/>
            <w:noWrap w:val="0"/>
            <w:vAlign w:val="center"/>
          </w:tcPr>
          <w:p w14:paraId="79862BB0">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企业法定代表人或其授权委托代理人签字：</w:t>
            </w:r>
          </w:p>
        </w:tc>
      </w:tr>
    </w:tbl>
    <w:p w14:paraId="09D0392C">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r>
        <w:rPr>
          <w:rFonts w:hint="eastAsia" w:ascii="宋体" w:hAnsi="宋体" w:eastAsia="宋体" w:cs="宋体"/>
          <w:b/>
          <w:color w:val="auto"/>
          <w:kern w:val="0"/>
          <w:sz w:val="28"/>
          <w:highlight w:val="none"/>
        </w:rPr>
        <w:br w:type="page"/>
      </w:r>
      <w:bookmarkStart w:id="2100" w:name="_Toc21244"/>
      <w:bookmarkStart w:id="2101" w:name="_Toc28170"/>
      <w:bookmarkStart w:id="2102" w:name="_Toc500864540"/>
      <w:bookmarkStart w:id="2103" w:name="_Toc20953"/>
      <w:r>
        <w:rPr>
          <w:rFonts w:hint="eastAsia" w:ascii="宋体" w:hAnsi="宋体" w:eastAsia="宋体" w:cs="宋体"/>
          <w:b/>
          <w:color w:val="auto"/>
          <w:kern w:val="0"/>
          <w:sz w:val="32"/>
          <w:szCs w:val="21"/>
          <w:highlight w:val="none"/>
        </w:rPr>
        <w:t>二、法定代表人身份证明</w:t>
      </w:r>
      <w:bookmarkEnd w:id="2089"/>
      <w:bookmarkEnd w:id="2100"/>
      <w:bookmarkEnd w:id="2101"/>
      <w:bookmarkEnd w:id="2102"/>
      <w:bookmarkEnd w:id="2103"/>
    </w:p>
    <w:p w14:paraId="4BA87360">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49826E49">
      <w:pPr>
        <w:wordWrap w:val="0"/>
        <w:autoSpaceDE w:val="0"/>
        <w:autoSpaceDN w:val="0"/>
        <w:adjustRightInd w:val="0"/>
        <w:spacing w:line="360" w:lineRule="auto"/>
        <w:ind w:right="-34" w:rightChars="-16"/>
        <w:jc w:val="center"/>
        <w:rPr>
          <w:rFonts w:hint="eastAsia" w:ascii="宋体" w:hAnsi="宋体" w:eastAsia="宋体" w:cs="宋体"/>
          <w:color w:val="auto"/>
          <w:kern w:val="0"/>
          <w:sz w:val="22"/>
          <w:szCs w:val="16"/>
          <w:highlight w:val="none"/>
        </w:rPr>
      </w:pPr>
    </w:p>
    <w:p w14:paraId="1206E65C">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eastAsia="宋体" w:cs="宋体"/>
          <w:color w:val="auto"/>
          <w:kern w:val="0"/>
          <w:sz w:val="21"/>
          <w:szCs w:val="20"/>
          <w:highlight w:val="none"/>
        </w:rPr>
        <w:t>投标人名称：</w:t>
      </w:r>
      <w:r>
        <w:rPr>
          <w:rFonts w:hint="eastAsia" w:ascii="宋体" w:hAnsi="宋体" w:eastAsia="宋体" w:cs="宋体"/>
          <w:color w:val="auto"/>
          <w:sz w:val="21"/>
          <w:szCs w:val="20"/>
          <w:highlight w:val="none"/>
          <w:u w:val="single"/>
        </w:rPr>
        <w:t xml:space="preserve">                                   </w:t>
      </w:r>
    </w:p>
    <w:p w14:paraId="59447FA9">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eastAsia="宋体" w:cs="宋体"/>
          <w:color w:val="auto"/>
          <w:kern w:val="0"/>
          <w:sz w:val="21"/>
          <w:szCs w:val="20"/>
          <w:highlight w:val="none"/>
        </w:rPr>
        <w:t>单位性质：</w:t>
      </w:r>
      <w:r>
        <w:rPr>
          <w:rFonts w:hint="eastAsia" w:ascii="宋体" w:hAnsi="宋体" w:eastAsia="宋体" w:cs="宋体"/>
          <w:color w:val="auto"/>
          <w:sz w:val="21"/>
          <w:szCs w:val="20"/>
          <w:highlight w:val="none"/>
          <w:u w:val="single"/>
        </w:rPr>
        <w:t xml:space="preserve">                                     </w:t>
      </w:r>
    </w:p>
    <w:p w14:paraId="2103B79F">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地址：</w:t>
      </w:r>
      <w:r>
        <w:rPr>
          <w:rFonts w:hint="eastAsia" w:ascii="宋体" w:hAnsi="宋体" w:eastAsia="宋体" w:cs="宋体"/>
          <w:color w:val="auto"/>
          <w:sz w:val="21"/>
          <w:szCs w:val="20"/>
          <w:highlight w:val="none"/>
          <w:u w:val="single"/>
        </w:rPr>
        <w:t xml:space="preserve">                                         </w:t>
      </w:r>
    </w:p>
    <w:p w14:paraId="2C4D2E0C">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成立时间：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 xml:space="preserve"> 月</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日</w:t>
      </w:r>
    </w:p>
    <w:p w14:paraId="0FBDFE72">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经营期限：</w:t>
      </w:r>
      <w:r>
        <w:rPr>
          <w:rFonts w:hint="eastAsia" w:ascii="宋体" w:hAnsi="宋体" w:eastAsia="宋体" w:cs="宋体"/>
          <w:color w:val="auto"/>
          <w:sz w:val="21"/>
          <w:szCs w:val="20"/>
          <w:highlight w:val="none"/>
          <w:u w:val="single"/>
        </w:rPr>
        <w:t xml:space="preserve">                      </w:t>
      </w:r>
    </w:p>
    <w:p w14:paraId="3EB8BAB2">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cs="宋体"/>
          <w:color w:val="auto"/>
          <w:kern w:val="0"/>
          <w:sz w:val="21"/>
          <w:szCs w:val="20"/>
          <w:highlight w:val="none"/>
          <w:lang w:val="en-US" w:eastAsia="zh-CN"/>
        </w:rPr>
        <w:t>签名</w:t>
      </w:r>
      <w:r>
        <w:rPr>
          <w:rFonts w:hint="eastAsia" w:ascii="宋体" w:hAnsi="宋体" w:eastAsia="宋体" w:cs="宋体"/>
          <w:color w:val="auto"/>
          <w:kern w:val="0"/>
          <w:sz w:val="21"/>
          <w:szCs w:val="20"/>
          <w:highlight w:val="none"/>
        </w:rPr>
        <w:t>：</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性别：</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年龄：</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职务：</w:t>
      </w:r>
      <w:r>
        <w:rPr>
          <w:rFonts w:hint="eastAsia" w:ascii="宋体" w:hAnsi="宋体" w:eastAsia="宋体" w:cs="宋体"/>
          <w:color w:val="auto"/>
          <w:sz w:val="21"/>
          <w:szCs w:val="20"/>
          <w:highlight w:val="none"/>
          <w:u w:val="single"/>
        </w:rPr>
        <w:t xml:space="preserve">     </w:t>
      </w:r>
    </w:p>
    <w:p w14:paraId="5BC87E65">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系</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（投标人名称）的法定代表人。</w:t>
      </w:r>
    </w:p>
    <w:p w14:paraId="576BC06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01DDAF6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特此证明。</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5"/>
      </w:tblGrid>
      <w:tr w14:paraId="4D30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6145" w:type="dxa"/>
          </w:tcPr>
          <w:p w14:paraId="022B7316">
            <w:pPr>
              <w:wordWrap w:val="0"/>
              <w:autoSpaceDE w:val="0"/>
              <w:autoSpaceDN w:val="0"/>
              <w:adjustRightInd w:val="0"/>
              <w:spacing w:line="360" w:lineRule="auto"/>
              <w:ind w:right="-34" w:rightChars="-16"/>
              <w:jc w:val="left"/>
              <w:rPr>
                <w:rFonts w:hint="default" w:ascii="宋体" w:hAnsi="宋体" w:eastAsia="宋体" w:cs="宋体"/>
                <w:color w:val="auto"/>
                <w:kern w:val="0"/>
                <w:sz w:val="21"/>
                <w:szCs w:val="20"/>
                <w:highlight w:val="none"/>
                <w:vertAlign w:val="baseline"/>
                <w:lang w:val="en-US" w:eastAsia="zh-CN"/>
              </w:rPr>
            </w:pPr>
            <w:r>
              <w:rPr>
                <w:rFonts w:hint="eastAsia" w:ascii="宋体" w:hAnsi="宋体" w:cs="宋体"/>
                <w:color w:val="auto"/>
                <w:kern w:val="0"/>
                <w:sz w:val="21"/>
                <w:szCs w:val="20"/>
                <w:highlight w:val="none"/>
                <w:vertAlign w:val="baseline"/>
                <w:lang w:val="en-US" w:eastAsia="zh-CN"/>
              </w:rPr>
              <w:t>此处请按顺序粘贴法定代表人身份证正反面复印件</w:t>
            </w:r>
          </w:p>
        </w:tc>
      </w:tr>
    </w:tbl>
    <w:p w14:paraId="53BE504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4F737F58">
      <w:pPr>
        <w:wordWrap w:val="0"/>
        <w:autoSpaceDE w:val="0"/>
        <w:autoSpaceDN w:val="0"/>
        <w:adjustRightInd w:val="0"/>
        <w:spacing w:line="360" w:lineRule="auto"/>
        <w:ind w:right="-34" w:rightChars="-16" w:firstLine="2698" w:firstLineChars="1285"/>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 投标人：</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（盖单位章）</w:t>
      </w:r>
    </w:p>
    <w:p w14:paraId="14763725">
      <w:pPr>
        <w:wordWrap w:val="0"/>
        <w:autoSpaceDE w:val="0"/>
        <w:autoSpaceDN w:val="0"/>
        <w:adjustRightInd w:val="0"/>
        <w:spacing w:line="360" w:lineRule="auto"/>
        <w:ind w:right="-34" w:rightChars="-16" w:firstLine="2698" w:firstLineChars="1285"/>
        <w:jc w:val="right"/>
        <w:rPr>
          <w:rFonts w:hint="eastAsia" w:ascii="宋体" w:hAnsi="宋体" w:eastAsia="宋体" w:cs="宋体"/>
          <w:color w:val="auto"/>
          <w:kern w:val="0"/>
          <w:sz w:val="21"/>
          <w:szCs w:val="20"/>
          <w:highlight w:val="none"/>
        </w:rPr>
      </w:pP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日</w:t>
      </w:r>
    </w:p>
    <w:p w14:paraId="74D3E29C">
      <w:pPr>
        <w:wordWrap w:val="0"/>
        <w:autoSpaceDE w:val="0"/>
        <w:autoSpaceDN w:val="0"/>
        <w:adjustRightInd w:val="0"/>
        <w:spacing w:line="360" w:lineRule="auto"/>
        <w:ind w:right="-34" w:rightChars="-16" w:firstLine="2313" w:firstLineChars="1285"/>
        <w:jc w:val="right"/>
        <w:rPr>
          <w:rFonts w:hint="eastAsia" w:ascii="宋体" w:hAnsi="宋体" w:eastAsia="宋体" w:cs="宋体"/>
          <w:color w:val="auto"/>
          <w:kern w:val="0"/>
          <w:sz w:val="18"/>
          <w:szCs w:val="16"/>
          <w:highlight w:val="none"/>
        </w:rPr>
      </w:pPr>
    </w:p>
    <w:p w14:paraId="7C279757">
      <w:pPr>
        <w:wordWrap w:val="0"/>
        <w:autoSpaceDE w:val="0"/>
        <w:autoSpaceDN w:val="0"/>
        <w:adjustRightInd w:val="0"/>
        <w:spacing w:line="360" w:lineRule="auto"/>
        <w:ind w:right="-34" w:rightChars="-16" w:firstLine="1680" w:firstLineChars="800"/>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2104" w:name="_Toc492225550"/>
      <w:r>
        <w:rPr>
          <w:rFonts w:hint="eastAsia" w:ascii="宋体" w:hAnsi="宋体" w:eastAsia="宋体" w:cs="宋体"/>
          <w:b/>
          <w:color w:val="auto"/>
          <w:kern w:val="0"/>
          <w:sz w:val="32"/>
          <w:szCs w:val="21"/>
          <w:highlight w:val="none"/>
        </w:rPr>
        <w:t>三、附有法定代表人身份证明的授权委托书</w:t>
      </w:r>
      <w:bookmarkEnd w:id="2104"/>
    </w:p>
    <w:p w14:paraId="167D57DD">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6B8DD253">
      <w:pPr>
        <w:wordWrap w:val="0"/>
        <w:autoSpaceDE w:val="0"/>
        <w:autoSpaceDN w:val="0"/>
        <w:adjustRightInd w:val="0"/>
        <w:spacing w:line="360" w:lineRule="auto"/>
        <w:ind w:right="-34" w:rightChars="-16"/>
        <w:jc w:val="center"/>
        <w:rPr>
          <w:rFonts w:hint="eastAsia" w:ascii="宋体" w:hAnsi="宋体" w:eastAsia="宋体" w:cs="宋体"/>
          <w:color w:val="auto"/>
          <w:kern w:val="0"/>
          <w:sz w:val="22"/>
          <w:szCs w:val="16"/>
          <w:highlight w:val="none"/>
        </w:rPr>
      </w:pPr>
    </w:p>
    <w:p w14:paraId="453C562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18"/>
          <w:highlight w:val="none"/>
        </w:rPr>
      </w:pPr>
    </w:p>
    <w:p w14:paraId="2321726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本人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w:t>
      </w:r>
      <w:r>
        <w:rPr>
          <w:rFonts w:hint="eastAsia" w:ascii="宋体" w:hAnsi="宋体" w:eastAsia="宋体" w:cs="宋体"/>
          <w:color w:val="auto"/>
          <w:kern w:val="0"/>
          <w:sz w:val="21"/>
          <w:szCs w:val="20"/>
          <w:highlight w:val="none"/>
          <w:lang w:eastAsia="zh-CN"/>
        </w:rPr>
        <w:t>（</w:t>
      </w:r>
      <w:r>
        <w:rPr>
          <w:rFonts w:hint="eastAsia" w:ascii="宋体" w:hAnsi="宋体" w:cs="宋体"/>
          <w:color w:val="auto"/>
          <w:kern w:val="0"/>
          <w:sz w:val="21"/>
          <w:szCs w:val="20"/>
          <w:highlight w:val="none"/>
          <w:lang w:val="en-US" w:eastAsia="zh-CN"/>
        </w:rPr>
        <w:t>姓名</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系</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（投标人名称）的法定代表人，现委托</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（姓名）为我方代理人。代理人根据授权，以我方名义签署、澄清、说明、补正、递交、撤回、修改</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（项目名称）投标文件、签订合同和处理有关事宜，其法律后果由我方承担。</w:t>
      </w:r>
    </w:p>
    <w:p w14:paraId="35F170F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委托期限：</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w:t>
      </w:r>
    </w:p>
    <w:p w14:paraId="5205BB6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代理人无转委托权。</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5"/>
      </w:tblGrid>
      <w:tr w14:paraId="47AC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6145" w:type="dxa"/>
          </w:tcPr>
          <w:p w14:paraId="6203F415">
            <w:pPr>
              <w:wordWrap w:val="0"/>
              <w:autoSpaceDE w:val="0"/>
              <w:autoSpaceDN w:val="0"/>
              <w:adjustRightInd w:val="0"/>
              <w:spacing w:line="360" w:lineRule="auto"/>
              <w:ind w:right="-34" w:rightChars="-16"/>
              <w:jc w:val="left"/>
              <w:rPr>
                <w:rFonts w:hint="default" w:ascii="宋体" w:hAnsi="宋体" w:eastAsia="宋体" w:cs="宋体"/>
                <w:color w:val="auto"/>
                <w:kern w:val="0"/>
                <w:sz w:val="21"/>
                <w:szCs w:val="20"/>
                <w:highlight w:val="none"/>
                <w:vertAlign w:val="baseline"/>
                <w:lang w:val="en-US" w:eastAsia="zh-CN"/>
              </w:rPr>
            </w:pPr>
            <w:r>
              <w:rPr>
                <w:rFonts w:hint="eastAsia" w:ascii="宋体" w:hAnsi="宋体" w:cs="宋体"/>
                <w:color w:val="auto"/>
                <w:kern w:val="0"/>
                <w:sz w:val="21"/>
                <w:szCs w:val="20"/>
                <w:highlight w:val="none"/>
                <w:vertAlign w:val="baseline"/>
                <w:lang w:val="en-US" w:eastAsia="zh-CN"/>
              </w:rPr>
              <w:t>此处请按顺序粘贴法定代表人和委托代理人身份证正反面复印件</w:t>
            </w:r>
          </w:p>
        </w:tc>
      </w:tr>
    </w:tbl>
    <w:p w14:paraId="7CDD710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6069DC8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162884F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734A3DC4">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投标人：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（盖单位章）</w:t>
      </w:r>
    </w:p>
    <w:p w14:paraId="06CDE1F3">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法定代表人：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5BF347BB">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身份证号码：</w:t>
      </w:r>
      <w:r>
        <w:rPr>
          <w:rFonts w:hint="eastAsia" w:ascii="宋体" w:hAnsi="宋体" w:eastAsia="宋体" w:cs="宋体"/>
          <w:color w:val="auto"/>
          <w:kern w:val="0"/>
          <w:sz w:val="21"/>
          <w:szCs w:val="20"/>
          <w:highlight w:val="none"/>
          <w:u w:val="single"/>
        </w:rPr>
        <w:t xml:space="preserve">                                </w:t>
      </w:r>
    </w:p>
    <w:p w14:paraId="153950FF">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委托代理人：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335DBA0F">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身份证号码：</w:t>
      </w:r>
      <w:r>
        <w:rPr>
          <w:rFonts w:hint="eastAsia" w:ascii="宋体" w:hAnsi="宋体" w:eastAsia="宋体" w:cs="宋体"/>
          <w:color w:val="auto"/>
          <w:kern w:val="0"/>
          <w:sz w:val="21"/>
          <w:szCs w:val="20"/>
          <w:highlight w:val="none"/>
          <w:u w:val="single"/>
        </w:rPr>
        <w:t xml:space="preserve">                                </w:t>
      </w:r>
    </w:p>
    <w:p w14:paraId="733D765A">
      <w:pPr>
        <w:wordWrap w:val="0"/>
        <w:autoSpaceDE w:val="0"/>
        <w:autoSpaceDN w:val="0"/>
        <w:adjustRightInd w:val="0"/>
        <w:spacing w:line="360" w:lineRule="auto"/>
        <w:ind w:right="-34" w:rightChars="-16" w:firstLine="3658" w:firstLineChars="1742"/>
        <w:jc w:val="left"/>
        <w:rPr>
          <w:rFonts w:hint="eastAsia" w:ascii="宋体" w:hAnsi="宋体" w:eastAsia="宋体" w:cs="宋体"/>
          <w:color w:val="auto"/>
          <w:kern w:val="0"/>
          <w:sz w:val="20"/>
          <w:szCs w:val="18"/>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日</w:t>
      </w:r>
    </w:p>
    <w:p w14:paraId="644F47E7">
      <w:pPr>
        <w:wordWrap w:val="0"/>
        <w:autoSpaceDE w:val="0"/>
        <w:autoSpaceDN w:val="0"/>
        <w:adjustRightInd w:val="0"/>
        <w:spacing w:line="360" w:lineRule="auto"/>
        <w:ind w:right="-34" w:rightChars="-16" w:firstLine="3238" w:firstLineChars="1542"/>
        <w:jc w:val="left"/>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2105" w:name="_Toc492225551"/>
      <w:r>
        <w:rPr>
          <w:rFonts w:hint="eastAsia" w:ascii="宋体" w:hAnsi="宋体" w:eastAsia="宋体" w:cs="宋体"/>
          <w:b/>
          <w:color w:val="auto"/>
          <w:kern w:val="0"/>
          <w:sz w:val="32"/>
          <w:szCs w:val="21"/>
          <w:highlight w:val="none"/>
        </w:rPr>
        <w:t>四、投标保证金</w:t>
      </w:r>
      <w:bookmarkEnd w:id="2105"/>
    </w:p>
    <w:p w14:paraId="4A2C6E65">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2"/>
          <w:highlight w:val="none"/>
          <w:u w:val="single"/>
        </w:rPr>
      </w:pPr>
    </w:p>
    <w:p w14:paraId="79241D5B">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（招标人名称）：</w:t>
      </w:r>
    </w:p>
    <w:p w14:paraId="787CA166">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06B4080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4224F943">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243B872C">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11525158">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45813DDB">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投标人名称：</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（盖单位章）</w:t>
      </w:r>
    </w:p>
    <w:p w14:paraId="0C6FBD0E">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法定代表人或其委托代理人：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7FFFCF7E">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日</w:t>
      </w:r>
    </w:p>
    <w:p w14:paraId="033EDA87">
      <w:pPr>
        <w:wordWrap w:val="0"/>
        <w:autoSpaceDE w:val="0"/>
        <w:autoSpaceDN w:val="0"/>
        <w:adjustRightInd w:val="0"/>
        <w:spacing w:line="360" w:lineRule="auto"/>
        <w:ind w:right="-34" w:rightChars="-16"/>
        <w:jc w:val="left"/>
        <w:rPr>
          <w:rFonts w:hint="eastAsia" w:ascii="宋体" w:hAnsi="宋体" w:eastAsia="宋体" w:cs="宋体"/>
          <w:color w:val="auto"/>
          <w:kern w:val="0"/>
          <w:sz w:val="18"/>
          <w:highlight w:val="none"/>
        </w:rPr>
      </w:pPr>
      <w:r>
        <w:rPr>
          <w:rFonts w:hint="eastAsia" w:ascii="宋体" w:hAnsi="宋体" w:eastAsia="宋体" w:cs="宋体"/>
          <w:color w:val="auto"/>
          <w:kern w:val="0"/>
          <w:sz w:val="18"/>
          <w:highlight w:val="none"/>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183515</wp:posOffset>
                </wp:positionV>
                <wp:extent cx="5622290" cy="9525"/>
                <wp:effectExtent l="0" t="15875" r="1270" b="20320"/>
                <wp:wrapNone/>
                <wp:docPr id="3" name="直线 54"/>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wps:wsp>
                  </a:graphicData>
                </a:graphic>
              </wp:anchor>
            </w:drawing>
          </mc:Choice>
          <mc:Fallback>
            <w:pict>
              <v:line id="直线 54" o:spid="_x0000_s1026" o:spt="20" style="position:absolute;left:0pt;margin-left:-4.95pt;margin-top:14.45pt;height:0.75pt;width:442.7pt;z-index:251660288;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vhWkjW&#10;AAAACAEAAA8AAAAAAAAAAQAgAAAAIgAAAGRycy9kb3ducmV2LnhtbFBLAQIUABQAAAAIAIdO4kC1&#10;BhQ+6QEAAOMDAAAOAAAAAAAAAAEAIAAAACUBAABkcnMvZTJvRG9jLnhtbFBLBQYAAAAABgAGAFkB&#10;AACABQAAAAA=&#10;">
                <v:fill on="f" focussize="0,0"/>
                <v:stroke weight="2.5pt" color="#000000" joinstyle="round" dashstyle="1 1"/>
                <v:imagedata o:title=""/>
                <o:lock v:ext="edit" aspectratio="f"/>
              </v:line>
            </w:pict>
          </mc:Fallback>
        </mc:AlternateContent>
      </w:r>
    </w:p>
    <w:p w14:paraId="0CF30DB6">
      <w:pPr>
        <w:pStyle w:val="12"/>
        <w:wordWrap w:val="0"/>
        <w:spacing w:line="360" w:lineRule="auto"/>
        <w:ind w:right="-34" w:rightChars="-16" w:firstLine="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49530</wp:posOffset>
                </wp:positionV>
                <wp:extent cx="5486400" cy="3169920"/>
                <wp:effectExtent l="9525" t="9525" r="20955" b="20955"/>
                <wp:wrapNone/>
                <wp:docPr id="4" name="矩形 5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61A38BC">
                            <w:pPr>
                              <w:jc w:val="center"/>
                            </w:pPr>
                          </w:p>
                          <w:p w14:paraId="77A9205D">
                            <w:pPr>
                              <w:jc w:val="center"/>
                            </w:pPr>
                          </w:p>
                          <w:p w14:paraId="117134FA">
                            <w:pPr>
                              <w:jc w:val="center"/>
                            </w:pPr>
                          </w:p>
                          <w:p w14:paraId="6D491096">
                            <w:pPr>
                              <w:jc w:val="center"/>
                            </w:pPr>
                          </w:p>
                          <w:p w14:paraId="37348CE0">
                            <w:pPr>
                              <w:jc w:val="center"/>
                            </w:pPr>
                          </w:p>
                          <w:p w14:paraId="7AC14DA2">
                            <w:pPr>
                              <w:jc w:val="center"/>
                            </w:pPr>
                          </w:p>
                          <w:p w14:paraId="0620627E">
                            <w:pPr>
                              <w:jc w:val="center"/>
                            </w:pPr>
                          </w:p>
                          <w:p w14:paraId="3C1007C0">
                            <w:pPr>
                              <w:jc w:val="center"/>
                              <w:rPr>
                                <w:b/>
                                <w:sz w:val="36"/>
                                <w:szCs w:val="15"/>
                              </w:rPr>
                            </w:pPr>
                            <w:r>
                              <w:rPr>
                                <w:rFonts w:hint="eastAsia"/>
                                <w:b/>
                                <w:sz w:val="36"/>
                                <w:szCs w:val="15"/>
                              </w:rPr>
                              <w:t>投标保证金有效证明资料</w:t>
                            </w:r>
                          </w:p>
                          <w:p w14:paraId="49870E39">
                            <w:pPr>
                              <w:jc w:val="center"/>
                              <w:rPr>
                                <w:b/>
                                <w:sz w:val="40"/>
                                <w:szCs w:val="16"/>
                              </w:rPr>
                            </w:pPr>
                          </w:p>
                          <w:p w14:paraId="5993D2CC">
                            <w:pPr>
                              <w:jc w:val="center"/>
                              <w:rPr>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ascii="黑体" w:hAnsi="黑体" w:eastAsia="黑体"/>
                                <w:color w:val="auto"/>
                                <w:kern w:val="0"/>
                                <w:sz w:val="22"/>
                                <w:szCs w:val="22"/>
                                <w:lang w:val="en-US" w:eastAsia="zh-CN"/>
                              </w:rPr>
                              <w:t>等</w:t>
                            </w:r>
                            <w:r>
                              <w:rPr>
                                <w:rFonts w:hint="eastAsia"/>
                                <w:b/>
                                <w:bCs/>
                                <w:sz w:val="36"/>
                                <w:szCs w:val="15"/>
                              </w:rPr>
                              <w:t>)</w:t>
                            </w:r>
                          </w:p>
                          <w:p w14:paraId="0691E310">
                            <w:pPr>
                              <w:jc w:val="center"/>
                              <w:rPr>
                                <w:b/>
                                <w:sz w:val="48"/>
                              </w:rPr>
                            </w:pPr>
                          </w:p>
                          <w:p w14:paraId="21347727">
                            <w:pPr>
                              <w:jc w:val="center"/>
                              <w:rPr>
                                <w:b/>
                                <w:sz w:val="48"/>
                              </w:rPr>
                            </w:pPr>
                          </w:p>
                        </w:txbxContent>
                      </wps:txbx>
                      <wps:bodyPr vert="horz" wrap="square" anchor="t" anchorCtr="0" upright="1"/>
                    </wps:wsp>
                  </a:graphicData>
                </a:graphic>
              </wp:anchor>
            </w:drawing>
          </mc:Choice>
          <mc:Fallback>
            <w:pict>
              <v:rect id="矩形 55" o:spid="_x0000_s1026" o:spt="1" style="position:absolute;left:0pt;margin-left:0.65pt;margin-top:3.9pt;height:249.6pt;width:432pt;z-index:251661312;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n6pz71wAAAAcBAAAPAAAAAAAAAAEAIAAAACIAAABkcnMvZG93bnJldi54bWxQSwECFAAU&#10;AAAACACHTuJAjeBSrSsCAABvBAAADgAAAAAAAAABACAAAAAmAQAAZHJzL2Uyb0RvYy54bWxQSwUG&#10;AAAAAAYABgBZAQAAwwUAAAAA&#10;">
                <v:fill on="t" focussize="0,0"/>
                <v:stroke weight="1.5pt" color="#000000" joinstyle="miter" dashstyle="dashDot"/>
                <v:imagedata o:title=""/>
                <o:lock v:ext="edit" aspectratio="f"/>
                <v:textbox>
                  <w:txbxContent>
                    <w:p w14:paraId="661A38BC">
                      <w:pPr>
                        <w:jc w:val="center"/>
                      </w:pPr>
                    </w:p>
                    <w:p w14:paraId="77A9205D">
                      <w:pPr>
                        <w:jc w:val="center"/>
                      </w:pPr>
                    </w:p>
                    <w:p w14:paraId="117134FA">
                      <w:pPr>
                        <w:jc w:val="center"/>
                      </w:pPr>
                    </w:p>
                    <w:p w14:paraId="6D491096">
                      <w:pPr>
                        <w:jc w:val="center"/>
                      </w:pPr>
                    </w:p>
                    <w:p w14:paraId="37348CE0">
                      <w:pPr>
                        <w:jc w:val="center"/>
                      </w:pPr>
                    </w:p>
                    <w:p w14:paraId="7AC14DA2">
                      <w:pPr>
                        <w:jc w:val="center"/>
                      </w:pPr>
                    </w:p>
                    <w:p w14:paraId="0620627E">
                      <w:pPr>
                        <w:jc w:val="center"/>
                      </w:pPr>
                    </w:p>
                    <w:p w14:paraId="3C1007C0">
                      <w:pPr>
                        <w:jc w:val="center"/>
                        <w:rPr>
                          <w:b/>
                          <w:sz w:val="36"/>
                          <w:szCs w:val="15"/>
                        </w:rPr>
                      </w:pPr>
                      <w:r>
                        <w:rPr>
                          <w:rFonts w:hint="eastAsia"/>
                          <w:b/>
                          <w:sz w:val="36"/>
                          <w:szCs w:val="15"/>
                        </w:rPr>
                        <w:t>投标保证金有效证明资料</w:t>
                      </w:r>
                    </w:p>
                    <w:p w14:paraId="49870E39">
                      <w:pPr>
                        <w:jc w:val="center"/>
                        <w:rPr>
                          <w:b/>
                          <w:sz w:val="40"/>
                          <w:szCs w:val="16"/>
                        </w:rPr>
                      </w:pPr>
                    </w:p>
                    <w:p w14:paraId="5993D2CC">
                      <w:pPr>
                        <w:jc w:val="center"/>
                        <w:rPr>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ascii="黑体" w:hAnsi="黑体" w:eastAsia="黑体"/>
                          <w:color w:val="auto"/>
                          <w:kern w:val="0"/>
                          <w:sz w:val="22"/>
                          <w:szCs w:val="22"/>
                          <w:lang w:val="en-US" w:eastAsia="zh-CN"/>
                        </w:rPr>
                        <w:t>等</w:t>
                      </w:r>
                      <w:r>
                        <w:rPr>
                          <w:rFonts w:hint="eastAsia"/>
                          <w:b/>
                          <w:bCs/>
                          <w:sz w:val="36"/>
                          <w:szCs w:val="15"/>
                        </w:rPr>
                        <w:t>)</w:t>
                      </w:r>
                    </w:p>
                    <w:p w14:paraId="0691E310">
                      <w:pPr>
                        <w:jc w:val="center"/>
                        <w:rPr>
                          <w:b/>
                          <w:sz w:val="48"/>
                        </w:rPr>
                      </w:pPr>
                    </w:p>
                    <w:p w14:paraId="21347727">
                      <w:pPr>
                        <w:jc w:val="center"/>
                        <w:rPr>
                          <w:b/>
                          <w:sz w:val="48"/>
                        </w:rPr>
                      </w:pPr>
                    </w:p>
                  </w:txbxContent>
                </v:textbox>
              </v:rect>
            </w:pict>
          </mc:Fallback>
        </mc:AlternateContent>
      </w:r>
    </w:p>
    <w:p w14:paraId="419B5CE8">
      <w:pPr>
        <w:pStyle w:val="12"/>
        <w:wordWrap w:val="0"/>
        <w:spacing w:line="360" w:lineRule="auto"/>
        <w:ind w:right="-34" w:rightChars="-16" w:firstLine="0"/>
        <w:rPr>
          <w:rFonts w:hint="eastAsia" w:ascii="宋体" w:hAnsi="宋体" w:eastAsia="宋体" w:cs="宋体"/>
          <w:b/>
          <w:color w:val="auto"/>
          <w:sz w:val="21"/>
          <w:highlight w:val="none"/>
        </w:rPr>
      </w:pPr>
    </w:p>
    <w:p w14:paraId="7E4451E6">
      <w:pPr>
        <w:pStyle w:val="12"/>
        <w:wordWrap w:val="0"/>
        <w:spacing w:line="360" w:lineRule="auto"/>
        <w:ind w:right="-34" w:rightChars="-16" w:firstLine="0"/>
        <w:rPr>
          <w:rFonts w:hint="eastAsia" w:ascii="宋体" w:hAnsi="宋体" w:eastAsia="宋体" w:cs="宋体"/>
          <w:b/>
          <w:color w:val="auto"/>
          <w:sz w:val="21"/>
          <w:highlight w:val="none"/>
        </w:rPr>
      </w:pPr>
    </w:p>
    <w:p w14:paraId="481EB862">
      <w:pPr>
        <w:pStyle w:val="12"/>
        <w:wordWrap w:val="0"/>
        <w:spacing w:line="360" w:lineRule="auto"/>
        <w:ind w:right="-34" w:rightChars="-16" w:firstLine="0"/>
        <w:rPr>
          <w:rFonts w:hint="eastAsia" w:ascii="宋体" w:hAnsi="宋体" w:eastAsia="宋体" w:cs="宋体"/>
          <w:b/>
          <w:color w:val="auto"/>
          <w:sz w:val="21"/>
          <w:highlight w:val="none"/>
        </w:rPr>
      </w:pPr>
    </w:p>
    <w:p w14:paraId="41A5A620">
      <w:pPr>
        <w:pStyle w:val="12"/>
        <w:wordWrap w:val="0"/>
        <w:spacing w:line="360" w:lineRule="auto"/>
        <w:ind w:right="-34" w:rightChars="-16" w:firstLine="0"/>
        <w:rPr>
          <w:rFonts w:hint="eastAsia" w:ascii="宋体" w:hAnsi="宋体" w:eastAsia="宋体" w:cs="宋体"/>
          <w:b/>
          <w:color w:val="auto"/>
          <w:sz w:val="21"/>
          <w:highlight w:val="none"/>
        </w:rPr>
      </w:pPr>
    </w:p>
    <w:p w14:paraId="3CEA300B">
      <w:pPr>
        <w:pStyle w:val="12"/>
        <w:wordWrap w:val="0"/>
        <w:spacing w:line="360" w:lineRule="auto"/>
        <w:ind w:right="-34" w:rightChars="-16" w:firstLine="0"/>
        <w:rPr>
          <w:rFonts w:hint="eastAsia" w:ascii="宋体" w:hAnsi="宋体" w:eastAsia="宋体" w:cs="宋体"/>
          <w:b/>
          <w:color w:val="auto"/>
          <w:sz w:val="21"/>
          <w:highlight w:val="none"/>
        </w:rPr>
      </w:pPr>
    </w:p>
    <w:p w14:paraId="38E96507">
      <w:pPr>
        <w:pStyle w:val="12"/>
        <w:wordWrap w:val="0"/>
        <w:spacing w:line="360" w:lineRule="auto"/>
        <w:ind w:right="-34" w:rightChars="-16" w:firstLine="0"/>
        <w:rPr>
          <w:rFonts w:hint="eastAsia" w:ascii="宋体" w:hAnsi="宋体" w:eastAsia="宋体" w:cs="宋体"/>
          <w:b/>
          <w:color w:val="auto"/>
          <w:sz w:val="21"/>
          <w:highlight w:val="none"/>
        </w:rPr>
      </w:pPr>
    </w:p>
    <w:p w14:paraId="650A71F9">
      <w:pPr>
        <w:pStyle w:val="12"/>
        <w:wordWrap w:val="0"/>
        <w:spacing w:line="360" w:lineRule="auto"/>
        <w:ind w:right="-34" w:rightChars="-16" w:firstLine="0"/>
        <w:rPr>
          <w:rFonts w:hint="eastAsia" w:ascii="宋体" w:hAnsi="宋体" w:eastAsia="宋体" w:cs="宋体"/>
          <w:b/>
          <w:color w:val="auto"/>
          <w:sz w:val="21"/>
          <w:highlight w:val="none"/>
        </w:rPr>
      </w:pPr>
    </w:p>
    <w:p w14:paraId="46DF7A5B">
      <w:pPr>
        <w:pStyle w:val="12"/>
        <w:wordWrap w:val="0"/>
        <w:spacing w:line="360" w:lineRule="auto"/>
        <w:ind w:right="-34" w:rightChars="-16" w:firstLine="0"/>
        <w:rPr>
          <w:rFonts w:hint="eastAsia" w:ascii="宋体" w:hAnsi="宋体" w:eastAsia="宋体" w:cs="宋体"/>
          <w:b/>
          <w:color w:val="auto"/>
          <w:sz w:val="21"/>
          <w:highlight w:val="none"/>
        </w:rPr>
      </w:pPr>
    </w:p>
    <w:p w14:paraId="7216A662">
      <w:pPr>
        <w:pStyle w:val="12"/>
        <w:wordWrap w:val="0"/>
        <w:spacing w:line="360" w:lineRule="auto"/>
        <w:ind w:right="-34" w:rightChars="-16" w:firstLine="0"/>
        <w:rPr>
          <w:rFonts w:hint="eastAsia" w:ascii="宋体" w:hAnsi="宋体" w:eastAsia="宋体" w:cs="宋体"/>
          <w:b/>
          <w:color w:val="auto"/>
          <w:sz w:val="21"/>
          <w:highlight w:val="none"/>
        </w:rPr>
      </w:pPr>
    </w:p>
    <w:p w14:paraId="74A75414">
      <w:pPr>
        <w:pStyle w:val="12"/>
        <w:wordWrap w:val="0"/>
        <w:spacing w:line="360" w:lineRule="auto"/>
        <w:ind w:right="-34" w:rightChars="-16" w:firstLine="0"/>
        <w:rPr>
          <w:rFonts w:hint="eastAsia" w:ascii="宋体" w:hAnsi="宋体" w:eastAsia="宋体" w:cs="宋体"/>
          <w:b/>
          <w:color w:val="auto"/>
          <w:sz w:val="21"/>
          <w:highlight w:val="none"/>
        </w:rPr>
      </w:pPr>
    </w:p>
    <w:p w14:paraId="1A550A59">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3422E3DE">
      <w:pPr>
        <w:wordWrap w:val="0"/>
        <w:autoSpaceDE w:val="0"/>
        <w:autoSpaceDN w:val="0"/>
        <w:adjustRightInd w:val="0"/>
        <w:spacing w:line="360" w:lineRule="auto"/>
        <w:ind w:right="-34" w:rightChars="-16"/>
        <w:outlineLvl w:val="0"/>
        <w:rPr>
          <w:rFonts w:hint="eastAsia" w:ascii="宋体" w:hAnsi="宋体" w:eastAsia="宋体" w:cs="宋体"/>
          <w:b/>
          <w:color w:val="auto"/>
          <w:kern w:val="0"/>
          <w:sz w:val="32"/>
          <w:szCs w:val="32"/>
          <w:highlight w:val="none"/>
        </w:rPr>
      </w:pPr>
    </w:p>
    <w:p w14:paraId="455EBE43">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32"/>
          <w:highlight w:val="none"/>
        </w:rPr>
      </w:pPr>
    </w:p>
    <w:p w14:paraId="764E1C84">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bookmarkStart w:id="2106" w:name="_Toc15056"/>
      <w:r>
        <w:rPr>
          <w:rFonts w:hint="eastAsia" w:ascii="宋体" w:hAnsi="宋体" w:eastAsia="宋体" w:cs="宋体"/>
          <w:b/>
          <w:color w:val="auto"/>
          <w:kern w:val="0"/>
          <w:sz w:val="32"/>
          <w:szCs w:val="32"/>
          <w:highlight w:val="none"/>
        </w:rPr>
        <w:br w:type="page"/>
      </w:r>
      <w:bookmarkStart w:id="2107" w:name="_Toc24866"/>
      <w:bookmarkStart w:id="2108" w:name="_Toc500864541"/>
      <w:bookmarkStart w:id="2109" w:name="_Toc17777"/>
      <w:r>
        <w:rPr>
          <w:rFonts w:hint="eastAsia" w:ascii="宋体" w:hAnsi="宋体" w:eastAsia="宋体" w:cs="宋体"/>
          <w:b/>
          <w:color w:val="auto"/>
          <w:kern w:val="0"/>
          <w:sz w:val="32"/>
          <w:szCs w:val="21"/>
          <w:highlight w:val="none"/>
        </w:rPr>
        <w:t>五、已标价工程量清单</w:t>
      </w:r>
      <w:bookmarkEnd w:id="2090"/>
      <w:bookmarkEnd w:id="2091"/>
      <w:bookmarkEnd w:id="2092"/>
      <w:bookmarkEnd w:id="2093"/>
      <w:bookmarkEnd w:id="2094"/>
      <w:bookmarkEnd w:id="2095"/>
      <w:bookmarkEnd w:id="2096"/>
      <w:bookmarkEnd w:id="2097"/>
      <w:bookmarkEnd w:id="2098"/>
      <w:bookmarkEnd w:id="2099"/>
      <w:bookmarkEnd w:id="2106"/>
      <w:bookmarkEnd w:id="2107"/>
      <w:bookmarkEnd w:id="2108"/>
      <w:bookmarkEnd w:id="2109"/>
    </w:p>
    <w:p w14:paraId="37364BF4">
      <w:pPr>
        <w:wordWrap w:val="0"/>
        <w:spacing w:line="360" w:lineRule="auto"/>
        <w:ind w:right="-34" w:rightChars="-16"/>
        <w:rPr>
          <w:rFonts w:hint="eastAsia" w:ascii="宋体" w:hAnsi="宋体" w:eastAsia="宋体" w:cs="宋体"/>
          <w:color w:val="auto"/>
          <w:kern w:val="0"/>
          <w:sz w:val="28"/>
          <w:highlight w:val="none"/>
        </w:rPr>
      </w:pPr>
    </w:p>
    <w:p w14:paraId="24D0C90D">
      <w:pPr>
        <w:wordWrap w:val="0"/>
        <w:spacing w:line="360" w:lineRule="auto"/>
        <w:ind w:right="-34" w:rightChars="-16"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1、投标人提交的已标价工程量清单应严格按照招标人提供的分部分项工程量清单与计价表及主要材料价格表填报单价及合价，任何投标人不得对提供的工程量清单格式及内容进行修改及调整，否则按废标处理。</w:t>
      </w:r>
    </w:p>
    <w:p w14:paraId="103A2F80">
      <w:pPr>
        <w:wordWrap w:val="0"/>
        <w:spacing w:line="360" w:lineRule="auto"/>
        <w:ind w:right="-34" w:rightChars="-16"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2、如投标人提交的分部分项工程量清单与招标人提供的格式不一致，其投标文件按废标处理。</w:t>
      </w:r>
    </w:p>
    <w:p w14:paraId="3BC5F9BB">
      <w:pPr>
        <w:wordWrap w:val="0"/>
        <w:spacing w:line="360" w:lineRule="auto"/>
        <w:ind w:right="-34" w:rightChars="-16" w:firstLine="420" w:firstLineChars="150"/>
        <w:rPr>
          <w:rFonts w:hint="eastAsia" w:ascii="宋体" w:hAnsi="宋体" w:eastAsia="宋体" w:cs="宋体"/>
          <w:color w:val="auto"/>
          <w:kern w:val="0"/>
          <w:sz w:val="28"/>
          <w:szCs w:val="28"/>
          <w:highlight w:val="none"/>
        </w:rPr>
      </w:pPr>
    </w:p>
    <w:p w14:paraId="6B42FF43">
      <w:pPr>
        <w:wordWrap w:val="0"/>
        <w:autoSpaceDE w:val="0"/>
        <w:autoSpaceDN w:val="0"/>
        <w:adjustRightInd w:val="0"/>
        <w:spacing w:line="360" w:lineRule="auto"/>
        <w:ind w:right="-34" w:rightChars="-16"/>
        <w:jc w:val="center"/>
        <w:outlineLvl w:val="0"/>
        <w:rPr>
          <w:rFonts w:hint="eastAsia" w:ascii="宋体" w:hAnsi="宋体" w:eastAsia="宋体" w:cs="宋体"/>
          <w:color w:val="auto"/>
          <w:sz w:val="52"/>
          <w:highlight w:val="none"/>
        </w:rPr>
      </w:pPr>
      <w:bookmarkStart w:id="2110" w:name="_Toc228589264"/>
      <w:bookmarkStart w:id="2111" w:name="_Toc227657588"/>
      <w:bookmarkStart w:id="2112" w:name="_Toc228591758"/>
      <w:bookmarkStart w:id="2113" w:name="_Toc228591610"/>
      <w:bookmarkStart w:id="2114" w:name="_Toc272772669"/>
      <w:bookmarkStart w:id="2115" w:name="_Toc214433990"/>
      <w:bookmarkStart w:id="2116" w:name="_Toc228337199"/>
      <w:bookmarkStart w:id="2117" w:name="_Toc228881250"/>
      <w:bookmarkStart w:id="2118" w:name="_Toc227492346"/>
      <w:r>
        <w:rPr>
          <w:rFonts w:hint="eastAsia" w:ascii="宋体" w:hAnsi="宋体" w:eastAsia="宋体" w:cs="宋体"/>
          <w:color w:val="auto"/>
          <w:sz w:val="52"/>
          <w:highlight w:val="none"/>
        </w:rPr>
        <w:br w:type="page"/>
      </w:r>
      <w:bookmarkEnd w:id="2110"/>
      <w:bookmarkEnd w:id="2111"/>
      <w:bookmarkEnd w:id="2112"/>
      <w:bookmarkEnd w:id="2113"/>
      <w:bookmarkEnd w:id="2114"/>
      <w:bookmarkEnd w:id="2115"/>
      <w:bookmarkEnd w:id="2116"/>
      <w:bookmarkEnd w:id="2117"/>
      <w:bookmarkEnd w:id="2118"/>
      <w:bookmarkStart w:id="2119" w:name="_Toc500864542"/>
      <w:bookmarkStart w:id="2120" w:name="_Toc3956"/>
      <w:bookmarkStart w:id="2121" w:name="_Toc14759"/>
      <w:bookmarkStart w:id="2122" w:name="_Toc11498"/>
    </w:p>
    <w:p w14:paraId="322E5BB2">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r>
        <w:rPr>
          <w:rFonts w:hint="eastAsia" w:ascii="宋体" w:hAnsi="宋体" w:eastAsia="宋体" w:cs="宋体"/>
          <w:b/>
          <w:color w:val="auto"/>
          <w:kern w:val="0"/>
          <w:sz w:val="32"/>
          <w:szCs w:val="21"/>
          <w:highlight w:val="none"/>
        </w:rPr>
        <w:t>六、技术标</w:t>
      </w:r>
      <w:bookmarkEnd w:id="2119"/>
      <w:bookmarkEnd w:id="2120"/>
      <w:bookmarkEnd w:id="2121"/>
      <w:bookmarkEnd w:id="2122"/>
    </w:p>
    <w:p w14:paraId="4F5FA2D7">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0F18C39E">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bookmarkStart w:id="2123" w:name="_Toc228591759"/>
      <w:bookmarkStart w:id="2124" w:name="_Toc272772670"/>
      <w:bookmarkStart w:id="2125" w:name="_Toc434140864"/>
      <w:bookmarkStart w:id="2126" w:name="_Toc228337200"/>
      <w:bookmarkStart w:id="2127" w:name="_Toc227492347"/>
      <w:bookmarkStart w:id="2128" w:name="_Toc227657589"/>
      <w:bookmarkStart w:id="2129" w:name="_Toc214433991"/>
      <w:bookmarkStart w:id="2130" w:name="_Toc431367140"/>
      <w:bookmarkStart w:id="2131" w:name="_Toc228881251"/>
      <w:bookmarkStart w:id="2132" w:name="_Toc228589265"/>
      <w:bookmarkStart w:id="2133" w:name="_Toc228591611"/>
      <w:r>
        <w:rPr>
          <w:rFonts w:hint="eastAsia" w:ascii="宋体" w:hAnsi="宋体" w:eastAsia="宋体" w:cs="宋体"/>
          <w:color w:val="auto"/>
          <w:kern w:val="0"/>
          <w:sz w:val="21"/>
          <w:szCs w:val="21"/>
          <w:highlight w:val="none"/>
        </w:rPr>
        <w:t>1. 投标人编制技术标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0120EAF">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 技术标主要包括下列内容：</w:t>
      </w:r>
    </w:p>
    <w:bookmarkEnd w:id="2123"/>
    <w:bookmarkEnd w:id="2124"/>
    <w:bookmarkEnd w:id="2125"/>
    <w:bookmarkEnd w:id="2126"/>
    <w:bookmarkEnd w:id="2127"/>
    <w:bookmarkEnd w:id="2128"/>
    <w:bookmarkEnd w:id="2129"/>
    <w:bookmarkEnd w:id="2130"/>
    <w:bookmarkEnd w:id="2131"/>
    <w:bookmarkEnd w:id="2132"/>
    <w:bookmarkEnd w:id="2133"/>
    <w:p w14:paraId="041B9BF8">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bookmarkStart w:id="2134" w:name="_Toc499891701"/>
      <w:bookmarkStart w:id="2135" w:name="_Toc227657592"/>
      <w:bookmarkStart w:id="2136" w:name="_Toc228591762"/>
      <w:bookmarkStart w:id="2137" w:name="_Toc434140867"/>
      <w:bookmarkStart w:id="2138" w:name="_Toc228337203"/>
      <w:bookmarkStart w:id="2139" w:name="_Toc228589268"/>
      <w:bookmarkStart w:id="2140" w:name="_Toc227492350"/>
      <w:bookmarkStart w:id="2141" w:name="_Toc459289949"/>
      <w:bookmarkStart w:id="2142" w:name="_Toc13734"/>
      <w:bookmarkStart w:id="2143" w:name="_Toc228591614"/>
      <w:bookmarkStart w:id="2144" w:name="_Toc272772673"/>
      <w:bookmarkStart w:id="2145" w:name="_Toc228881254"/>
      <w:bookmarkStart w:id="2146" w:name="_Toc214433994"/>
      <w:bookmarkStart w:id="2147" w:name="_Toc453573354"/>
      <w:bookmarkStart w:id="2148" w:name="_Toc431367143"/>
      <w:bookmarkStart w:id="2149" w:name="_Toc454031617"/>
      <w:r>
        <w:rPr>
          <w:rFonts w:hint="eastAsia" w:ascii="宋体" w:hAnsi="宋体" w:eastAsia="宋体" w:cs="宋体"/>
          <w:color w:val="auto"/>
          <w:kern w:val="0"/>
          <w:szCs w:val="21"/>
          <w:highlight w:val="none"/>
        </w:rPr>
        <w:t>1）主要施工方案与技术措施；</w:t>
      </w:r>
    </w:p>
    <w:p w14:paraId="24F15CCF">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2）质量管理体系与措施；</w:t>
      </w:r>
    </w:p>
    <w:p w14:paraId="653EC70A">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3）安全管理体系与措施；</w:t>
      </w:r>
    </w:p>
    <w:p w14:paraId="45D2845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4）文明施工、环境保护管理体系及施工现场扬尘治理措施； </w:t>
      </w:r>
    </w:p>
    <w:p w14:paraId="3C8ED068">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5）工期保证措施；</w:t>
      </w:r>
    </w:p>
    <w:p w14:paraId="0AF99FE4">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6）拟投入资源配备计划；</w:t>
      </w:r>
    </w:p>
    <w:p w14:paraId="75BEA6FA">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7）施工进度表与网络计划图； </w:t>
      </w:r>
    </w:p>
    <w:p w14:paraId="06907C05">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8）施工总平面图布置；  </w:t>
      </w:r>
    </w:p>
    <w:p w14:paraId="71E27EFD">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9）建造方式的创新应用实施方案；</w:t>
      </w:r>
    </w:p>
    <w:p w14:paraId="40F5C4E5">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10）采用新工艺、新技术、新设备、新材料、BIM等的程度；</w:t>
      </w:r>
    </w:p>
    <w:p w14:paraId="26E3185A">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11）施工现场实施信息化监控和数据处理；</w:t>
      </w:r>
    </w:p>
    <w:p w14:paraId="39FB754C">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12）风险管理措施。</w:t>
      </w:r>
    </w:p>
    <w:p w14:paraId="5517EA5B">
      <w:pPr>
        <w:pStyle w:val="17"/>
        <w:ind w:firstLine="800" w:firstLineChars="400"/>
        <w:jc w:val="left"/>
        <w:rPr>
          <w:rFonts w:hint="default" w:eastAsia="宋体"/>
          <w:color w:val="auto"/>
          <w:highlight w:val="none"/>
          <w:lang w:val="en-US" w:eastAsia="zh-CN"/>
        </w:rPr>
      </w:pPr>
      <w:r>
        <w:rPr>
          <w:rFonts w:hint="eastAsia" w:ascii="宋体" w:hAnsi="宋体" w:cs="宋体"/>
          <w:color w:val="auto"/>
          <w:kern w:val="0"/>
          <w:szCs w:val="21"/>
          <w:highlight w:val="none"/>
          <w:lang w:val="en-US" w:eastAsia="zh-CN"/>
        </w:rPr>
        <w:t>......</w:t>
      </w:r>
    </w:p>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p w14:paraId="0FDED8AA">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19C40FCB">
      <w:pPr>
        <w:rPr>
          <w:rFonts w:hint="eastAsia" w:ascii="宋体" w:hAnsi="宋体" w:eastAsia="宋体" w:cs="宋体"/>
          <w:color w:val="auto"/>
          <w:sz w:val="18"/>
          <w:szCs w:val="16"/>
          <w:highlight w:val="none"/>
        </w:rPr>
      </w:pPr>
    </w:p>
    <w:p w14:paraId="2B9EA735">
      <w:pPr>
        <w:wordWrap w:val="0"/>
        <w:spacing w:line="360" w:lineRule="auto"/>
        <w:ind w:right="-34" w:rightChars="-16"/>
        <w:outlineLvl w:val="2"/>
        <w:rPr>
          <w:rFonts w:hint="eastAsia" w:ascii="宋体" w:hAnsi="宋体" w:eastAsia="宋体" w:cs="宋体"/>
          <w:b/>
          <w:bCs/>
          <w:color w:val="auto"/>
          <w:kern w:val="0"/>
          <w:sz w:val="21"/>
          <w:szCs w:val="21"/>
          <w:highlight w:val="none"/>
        </w:rPr>
      </w:pPr>
      <w:bookmarkStart w:id="2150" w:name="_Toc26447500"/>
      <w:bookmarkStart w:id="2151" w:name="_Toc13320"/>
      <w:r>
        <w:rPr>
          <w:rFonts w:hint="eastAsia" w:ascii="宋体" w:hAnsi="宋体" w:eastAsia="宋体" w:cs="宋体"/>
          <w:b/>
          <w:bCs/>
          <w:color w:val="auto"/>
          <w:kern w:val="0"/>
          <w:sz w:val="21"/>
          <w:szCs w:val="21"/>
          <w:highlight w:val="none"/>
        </w:rPr>
        <w:t>附表一：拟投入本项目的资源配备计划</w:t>
      </w:r>
      <w:bookmarkEnd w:id="2150"/>
      <w:bookmarkEnd w:id="2151"/>
    </w:p>
    <w:p w14:paraId="3B2B3D5D">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0ED5F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vAlign w:val="center"/>
          </w:tcPr>
          <w:p w14:paraId="1CFA03E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序号</w:t>
            </w:r>
          </w:p>
        </w:tc>
        <w:tc>
          <w:tcPr>
            <w:tcW w:w="1211" w:type="dxa"/>
            <w:vAlign w:val="center"/>
          </w:tcPr>
          <w:p w14:paraId="1E0977A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设备名称</w:t>
            </w:r>
          </w:p>
        </w:tc>
        <w:tc>
          <w:tcPr>
            <w:tcW w:w="931" w:type="dxa"/>
            <w:vAlign w:val="center"/>
          </w:tcPr>
          <w:p w14:paraId="33CBA0F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数量</w:t>
            </w:r>
          </w:p>
        </w:tc>
        <w:tc>
          <w:tcPr>
            <w:tcW w:w="931" w:type="dxa"/>
            <w:vAlign w:val="center"/>
          </w:tcPr>
          <w:p w14:paraId="67B8383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型号</w:t>
            </w:r>
          </w:p>
          <w:p w14:paraId="6C91813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规格</w:t>
            </w:r>
          </w:p>
        </w:tc>
        <w:tc>
          <w:tcPr>
            <w:tcW w:w="932" w:type="dxa"/>
            <w:vAlign w:val="center"/>
          </w:tcPr>
          <w:p w14:paraId="0193E7F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国别</w:t>
            </w:r>
          </w:p>
          <w:p w14:paraId="46115CA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产地</w:t>
            </w:r>
          </w:p>
        </w:tc>
        <w:tc>
          <w:tcPr>
            <w:tcW w:w="932" w:type="dxa"/>
            <w:vAlign w:val="center"/>
          </w:tcPr>
          <w:p w14:paraId="32EB6B0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制造</w:t>
            </w:r>
          </w:p>
          <w:p w14:paraId="1D50485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年份</w:t>
            </w:r>
          </w:p>
        </w:tc>
        <w:tc>
          <w:tcPr>
            <w:tcW w:w="1201" w:type="dxa"/>
            <w:vAlign w:val="center"/>
          </w:tcPr>
          <w:p w14:paraId="05FDF5E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额定功率</w:t>
            </w:r>
          </w:p>
          <w:p w14:paraId="5674562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w:t>
            </w:r>
            <w:r>
              <w:rPr>
                <w:rFonts w:hint="eastAsia" w:ascii="宋体" w:hAnsi="宋体" w:eastAsia="宋体" w:cs="宋体"/>
                <w:b/>
                <w:color w:val="auto"/>
                <w:kern w:val="0"/>
                <w:sz w:val="21"/>
                <w:szCs w:val="22"/>
                <w:highlight w:val="none"/>
              </w:rPr>
              <w:t>KW</w:t>
            </w:r>
            <w:r>
              <w:rPr>
                <w:rFonts w:hint="eastAsia" w:ascii="宋体" w:hAnsi="宋体" w:eastAsia="宋体" w:cs="宋体"/>
                <w:color w:val="auto"/>
                <w:kern w:val="0"/>
                <w:sz w:val="21"/>
                <w:szCs w:val="22"/>
                <w:highlight w:val="none"/>
              </w:rPr>
              <w:t>）</w:t>
            </w:r>
          </w:p>
        </w:tc>
        <w:tc>
          <w:tcPr>
            <w:tcW w:w="662" w:type="dxa"/>
            <w:vAlign w:val="center"/>
          </w:tcPr>
          <w:p w14:paraId="6617E20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生产</w:t>
            </w:r>
          </w:p>
          <w:p w14:paraId="6D7AED8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能力</w:t>
            </w:r>
          </w:p>
        </w:tc>
        <w:tc>
          <w:tcPr>
            <w:tcW w:w="932" w:type="dxa"/>
            <w:vAlign w:val="center"/>
          </w:tcPr>
          <w:p w14:paraId="5955D15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用于施</w:t>
            </w:r>
          </w:p>
          <w:p w14:paraId="0E67645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工部位</w:t>
            </w:r>
          </w:p>
        </w:tc>
        <w:tc>
          <w:tcPr>
            <w:tcW w:w="932" w:type="dxa"/>
            <w:vAlign w:val="center"/>
          </w:tcPr>
          <w:p w14:paraId="7897C7E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11B18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15A0C81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06DF79C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79438D5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6921E3B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58C096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5AC524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45B592F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57358DA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0B0CF88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54ADC0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A5F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375CC41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170C618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05D9839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613F16D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0E19270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005B36F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1BD16D7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597B69A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7823063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406059D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92EB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38A2B06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62E08E1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787FF2C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12EFAF3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9B2F9D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268E89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0A97E2C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16AE431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0453EFB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7705FDB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6BC2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023F761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7D19693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3558CD3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04305BB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02737DA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9DC9E6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53B10B5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41225AA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441DACA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325E55D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522F7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5BE2005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5A95E38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09EC119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218A1AF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6EC3E5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445EF06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2C342DD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518C2F0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3BA03E3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491061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6168E9F3">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p w14:paraId="1469FE84">
      <w:pPr>
        <w:wordWrap w:val="0"/>
        <w:autoSpaceDE w:val="0"/>
        <w:autoSpaceDN w:val="0"/>
        <w:adjustRightInd w:val="0"/>
        <w:spacing w:line="360" w:lineRule="auto"/>
        <w:ind w:right="-34" w:rightChars="-16"/>
        <w:outlineLvl w:val="2"/>
        <w:rPr>
          <w:rFonts w:hint="eastAsia" w:ascii="宋体" w:hAnsi="宋体" w:eastAsia="宋体" w:cs="宋体"/>
          <w:b/>
          <w:bCs/>
          <w:color w:val="auto"/>
          <w:kern w:val="0"/>
          <w:sz w:val="21"/>
          <w:szCs w:val="21"/>
          <w:highlight w:val="none"/>
        </w:rPr>
      </w:pPr>
      <w:bookmarkStart w:id="2152" w:name="_Toc227657590"/>
      <w:bookmarkStart w:id="2153" w:name="_Toc228591760"/>
      <w:bookmarkStart w:id="2154" w:name="_Toc453573352"/>
      <w:bookmarkStart w:id="2155" w:name="_Toc228591612"/>
      <w:bookmarkStart w:id="2156" w:name="_Toc26447501"/>
      <w:bookmarkStart w:id="2157" w:name="_Toc25141813"/>
      <w:bookmarkStart w:id="2158" w:name="_Toc459289947"/>
      <w:bookmarkStart w:id="2159" w:name="_Toc272772671"/>
      <w:bookmarkStart w:id="2160" w:name="_Toc434140865"/>
      <w:bookmarkStart w:id="2161" w:name="_Toc214433992"/>
      <w:bookmarkStart w:id="2162" w:name="_Toc431367141"/>
      <w:bookmarkStart w:id="2163" w:name="_Toc13120"/>
      <w:bookmarkStart w:id="2164" w:name="_Toc454031615"/>
      <w:bookmarkStart w:id="2165" w:name="_Toc227492348"/>
      <w:bookmarkStart w:id="2166" w:name="_Toc228337201"/>
      <w:bookmarkStart w:id="2167" w:name="_Toc13794"/>
      <w:bookmarkStart w:id="2168" w:name="_Toc228589266"/>
      <w:bookmarkStart w:id="2169" w:name="_Toc228881252"/>
    </w:p>
    <w:p w14:paraId="5592E03A">
      <w:pPr>
        <w:wordWrap w:val="0"/>
        <w:autoSpaceDE w:val="0"/>
        <w:autoSpaceDN w:val="0"/>
        <w:adjustRightInd w:val="0"/>
        <w:spacing w:line="360" w:lineRule="auto"/>
        <w:ind w:right="-34" w:rightChars="-16"/>
        <w:outlineLvl w:val="2"/>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附表二：拟配备本项目的试验和检测仪器设备表</w:t>
      </w:r>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p>
    <w:p w14:paraId="65767ACE">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1F467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vAlign w:val="center"/>
          </w:tcPr>
          <w:p w14:paraId="4050B79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序号</w:t>
            </w:r>
          </w:p>
        </w:tc>
        <w:tc>
          <w:tcPr>
            <w:tcW w:w="1227" w:type="dxa"/>
            <w:vAlign w:val="center"/>
          </w:tcPr>
          <w:p w14:paraId="626E8F9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仪器设备</w:t>
            </w:r>
          </w:p>
          <w:p w14:paraId="29B096F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名称</w:t>
            </w:r>
          </w:p>
        </w:tc>
        <w:tc>
          <w:tcPr>
            <w:tcW w:w="1026" w:type="dxa"/>
            <w:vAlign w:val="center"/>
          </w:tcPr>
          <w:p w14:paraId="1A8712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型号</w:t>
            </w:r>
          </w:p>
          <w:p w14:paraId="21BD812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规格</w:t>
            </w:r>
          </w:p>
        </w:tc>
        <w:tc>
          <w:tcPr>
            <w:tcW w:w="1026" w:type="dxa"/>
            <w:vAlign w:val="center"/>
          </w:tcPr>
          <w:p w14:paraId="23D4F4E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数量</w:t>
            </w:r>
          </w:p>
        </w:tc>
        <w:tc>
          <w:tcPr>
            <w:tcW w:w="1025" w:type="dxa"/>
            <w:vAlign w:val="center"/>
          </w:tcPr>
          <w:p w14:paraId="28C0A19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国别</w:t>
            </w:r>
          </w:p>
          <w:p w14:paraId="4A86DC2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产地</w:t>
            </w:r>
          </w:p>
        </w:tc>
        <w:tc>
          <w:tcPr>
            <w:tcW w:w="884" w:type="dxa"/>
            <w:vAlign w:val="center"/>
          </w:tcPr>
          <w:p w14:paraId="51BE300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制造</w:t>
            </w:r>
          </w:p>
          <w:p w14:paraId="5140016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年份</w:t>
            </w:r>
          </w:p>
        </w:tc>
        <w:tc>
          <w:tcPr>
            <w:tcW w:w="1166" w:type="dxa"/>
            <w:vAlign w:val="center"/>
          </w:tcPr>
          <w:p w14:paraId="19C0AE8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已使用台</w:t>
            </w:r>
          </w:p>
          <w:p w14:paraId="72D60EF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时数</w:t>
            </w:r>
          </w:p>
        </w:tc>
        <w:tc>
          <w:tcPr>
            <w:tcW w:w="1026" w:type="dxa"/>
            <w:vAlign w:val="center"/>
          </w:tcPr>
          <w:p w14:paraId="66E22C3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用途</w:t>
            </w:r>
          </w:p>
        </w:tc>
        <w:tc>
          <w:tcPr>
            <w:tcW w:w="1026" w:type="dxa"/>
            <w:vAlign w:val="center"/>
          </w:tcPr>
          <w:p w14:paraId="627C79D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5D9B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vAlign w:val="center"/>
          </w:tcPr>
          <w:p w14:paraId="0564984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6579AA8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7E2BD61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6ACFEC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7838424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62B568D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52AA474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1CED051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BA54FD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7DCE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358E1A5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7CF4199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5A9787B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5966117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49C6447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72CF7EE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4F04049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7F2B802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149B11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BC1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vAlign w:val="center"/>
          </w:tcPr>
          <w:p w14:paraId="19A2E0C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7880EA3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02C03E7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74C3C14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7C391C7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0FB4B62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6335826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229D1B0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C758C4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09FA5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768A91F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1A00F3F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3F0EA52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333A8F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261052F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2654676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125ED22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442B85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FFB9CA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447FAEB9">
      <w:pPr>
        <w:rPr>
          <w:rFonts w:hint="eastAsia" w:ascii="宋体" w:hAnsi="宋体" w:eastAsia="宋体" w:cs="宋体"/>
          <w:b/>
          <w:bCs/>
          <w:color w:val="auto"/>
          <w:kern w:val="0"/>
          <w:sz w:val="21"/>
          <w:szCs w:val="21"/>
          <w:highlight w:val="none"/>
        </w:rPr>
      </w:pPr>
      <w:bookmarkStart w:id="2170" w:name="_Toc18402"/>
      <w:bookmarkStart w:id="2171" w:name="_Toc26447502"/>
      <w:bookmarkStart w:id="2172" w:name="_Toc9600"/>
      <w:bookmarkStart w:id="2173" w:name="_Toc25141814"/>
      <w:r>
        <w:rPr>
          <w:rFonts w:hint="eastAsia" w:ascii="宋体" w:hAnsi="宋体" w:eastAsia="宋体" w:cs="宋体"/>
          <w:b/>
          <w:bCs/>
          <w:color w:val="auto"/>
          <w:kern w:val="0"/>
          <w:sz w:val="21"/>
          <w:szCs w:val="21"/>
          <w:highlight w:val="none"/>
        </w:rPr>
        <w:br w:type="page"/>
      </w:r>
    </w:p>
    <w:p w14:paraId="31329F11">
      <w:pPr>
        <w:wordWrap w:val="0"/>
        <w:autoSpaceDE w:val="0"/>
        <w:autoSpaceDN w:val="0"/>
        <w:adjustRightInd w:val="0"/>
        <w:spacing w:line="360" w:lineRule="auto"/>
        <w:ind w:right="-34" w:rightChars="-16"/>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附表三：</w:t>
      </w:r>
      <w:bookmarkEnd w:id="2170"/>
      <w:bookmarkEnd w:id="2171"/>
      <w:bookmarkEnd w:id="2172"/>
      <w:bookmarkEnd w:id="2173"/>
      <w:r>
        <w:rPr>
          <w:rFonts w:hint="eastAsia" w:ascii="宋体" w:hAnsi="宋体" w:eastAsia="宋体" w:cs="宋体"/>
          <w:b/>
          <w:bCs/>
          <w:color w:val="auto"/>
          <w:kern w:val="0"/>
          <w:sz w:val="21"/>
          <w:szCs w:val="21"/>
          <w:highlight w:val="none"/>
        </w:rPr>
        <w:t>计划开、竣工日期与施工进度表和网络计划图</w:t>
      </w:r>
    </w:p>
    <w:p w14:paraId="62E3A27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1．投标人应递交施工进度表和网络计划图，说明按招标文件要求的计划工期进行施工的各个关键日期。</w:t>
      </w:r>
    </w:p>
    <w:p w14:paraId="4969356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2．施工进度表可采用横道图表示。</w:t>
      </w:r>
    </w:p>
    <w:p w14:paraId="3DF53C9E">
      <w:pPr>
        <w:wordWrap w:val="0"/>
        <w:autoSpaceDE w:val="0"/>
        <w:autoSpaceDN w:val="0"/>
        <w:adjustRightInd w:val="0"/>
        <w:spacing w:line="360" w:lineRule="auto"/>
        <w:ind w:right="-34" w:rightChars="-16"/>
        <w:jc w:val="left"/>
        <w:rPr>
          <w:rFonts w:hint="eastAsia" w:ascii="宋体" w:hAnsi="宋体" w:eastAsia="宋体" w:cs="宋体"/>
          <w:color w:val="auto"/>
          <w:kern w:val="0"/>
          <w:sz w:val="18"/>
          <w:szCs w:val="18"/>
          <w:highlight w:val="none"/>
        </w:rPr>
      </w:pPr>
    </w:p>
    <w:p w14:paraId="6D0C66F7">
      <w:pPr>
        <w:pStyle w:val="41"/>
        <w:rPr>
          <w:rFonts w:hint="eastAsia" w:ascii="宋体" w:hAnsi="宋体" w:eastAsia="宋体" w:cs="宋体"/>
          <w:color w:val="auto"/>
          <w:sz w:val="16"/>
          <w:szCs w:val="16"/>
          <w:highlight w:val="none"/>
        </w:rPr>
      </w:pPr>
    </w:p>
    <w:p w14:paraId="74C436B2">
      <w:pPr>
        <w:wordWrap w:val="0"/>
        <w:spacing w:line="360" w:lineRule="auto"/>
        <w:outlineLvl w:val="2"/>
        <w:rPr>
          <w:rFonts w:hint="eastAsia" w:ascii="宋体" w:hAnsi="宋体" w:eastAsia="宋体" w:cs="宋体"/>
          <w:b/>
          <w:color w:val="auto"/>
          <w:sz w:val="28"/>
          <w:szCs w:val="28"/>
          <w:highlight w:val="none"/>
        </w:rPr>
      </w:pPr>
      <w:bookmarkStart w:id="2174" w:name="_Toc26447503"/>
      <w:bookmarkStart w:id="2175" w:name="_Toc29605"/>
      <w:r>
        <w:rPr>
          <w:rFonts w:hint="eastAsia" w:ascii="宋体" w:hAnsi="宋体" w:eastAsia="宋体" w:cs="宋体"/>
          <w:b/>
          <w:bCs/>
          <w:color w:val="auto"/>
          <w:kern w:val="0"/>
          <w:sz w:val="21"/>
          <w:szCs w:val="21"/>
          <w:highlight w:val="none"/>
        </w:rPr>
        <w:t>附表四：劳动力计划表</w:t>
      </w:r>
      <w:bookmarkEnd w:id="2174"/>
      <w:bookmarkEnd w:id="2175"/>
    </w:p>
    <w:p w14:paraId="50965896">
      <w:pPr>
        <w:wordWrap w:val="0"/>
        <w:spacing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单位：人   </w:t>
      </w:r>
    </w:p>
    <w:tbl>
      <w:tblPr>
        <w:tblStyle w:val="43"/>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620"/>
        <w:gridCol w:w="1214"/>
        <w:gridCol w:w="1214"/>
        <w:gridCol w:w="1214"/>
        <w:gridCol w:w="1214"/>
        <w:gridCol w:w="1214"/>
        <w:gridCol w:w="1219"/>
      </w:tblGrid>
      <w:tr w14:paraId="660C4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10" w:type="dxa"/>
            <w:vAlign w:val="center"/>
          </w:tcPr>
          <w:p w14:paraId="27B102A2">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工种</w:t>
            </w:r>
          </w:p>
        </w:tc>
        <w:tc>
          <w:tcPr>
            <w:tcW w:w="8909" w:type="dxa"/>
            <w:gridSpan w:val="7"/>
            <w:vAlign w:val="center"/>
          </w:tcPr>
          <w:p w14:paraId="739FD9F8">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按工程施工阶段投入劳动力情况</w:t>
            </w:r>
          </w:p>
        </w:tc>
      </w:tr>
      <w:tr w14:paraId="7074F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3103E57A">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2EBD0A82">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BB0172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FACEAA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BBD87D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A094323">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77584EF7">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2553D6EF">
            <w:pPr>
              <w:wordWrap w:val="0"/>
              <w:spacing w:line="360" w:lineRule="auto"/>
              <w:jc w:val="center"/>
              <w:rPr>
                <w:rFonts w:hint="eastAsia" w:ascii="宋体" w:hAnsi="宋体" w:eastAsia="宋体" w:cs="宋体"/>
                <w:color w:val="auto"/>
                <w:sz w:val="18"/>
                <w:szCs w:val="18"/>
                <w:highlight w:val="none"/>
              </w:rPr>
            </w:pPr>
          </w:p>
        </w:tc>
      </w:tr>
      <w:tr w14:paraId="74FF8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57168D07">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17AF000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152BFC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6D1BC6C">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8AF0EE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00C88EC">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9283BF9">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6DA7501F">
            <w:pPr>
              <w:wordWrap w:val="0"/>
              <w:spacing w:line="360" w:lineRule="auto"/>
              <w:jc w:val="center"/>
              <w:rPr>
                <w:rFonts w:hint="eastAsia" w:ascii="宋体" w:hAnsi="宋体" w:eastAsia="宋体" w:cs="宋体"/>
                <w:color w:val="auto"/>
                <w:sz w:val="18"/>
                <w:szCs w:val="18"/>
                <w:highlight w:val="none"/>
              </w:rPr>
            </w:pPr>
          </w:p>
        </w:tc>
      </w:tr>
      <w:tr w14:paraId="02C9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128C2FD2">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426B9C6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8EB4B81">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51CD57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615BFC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0D2E5FC">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3884462">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01CBB0B6">
            <w:pPr>
              <w:wordWrap w:val="0"/>
              <w:spacing w:line="360" w:lineRule="auto"/>
              <w:jc w:val="center"/>
              <w:rPr>
                <w:rFonts w:hint="eastAsia" w:ascii="宋体" w:hAnsi="宋体" w:eastAsia="宋体" w:cs="宋体"/>
                <w:color w:val="auto"/>
                <w:sz w:val="18"/>
                <w:szCs w:val="18"/>
                <w:highlight w:val="none"/>
              </w:rPr>
            </w:pPr>
          </w:p>
        </w:tc>
      </w:tr>
      <w:tr w14:paraId="5D9CA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776954D4">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0E2526B9">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810359B">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7EFED8D">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790461A">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1696FB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06BC530">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71D28F18">
            <w:pPr>
              <w:wordWrap w:val="0"/>
              <w:spacing w:line="360" w:lineRule="auto"/>
              <w:jc w:val="center"/>
              <w:rPr>
                <w:rFonts w:hint="eastAsia" w:ascii="宋体" w:hAnsi="宋体" w:eastAsia="宋体" w:cs="宋体"/>
                <w:color w:val="auto"/>
                <w:sz w:val="18"/>
                <w:szCs w:val="18"/>
                <w:highlight w:val="none"/>
              </w:rPr>
            </w:pPr>
          </w:p>
        </w:tc>
      </w:tr>
      <w:tr w14:paraId="187D0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26FBF1EC">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05AE1733">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8322DE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A06FC43">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A3FE947">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BF0BA8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E6ED343">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2ACC395B">
            <w:pPr>
              <w:wordWrap w:val="0"/>
              <w:spacing w:line="360" w:lineRule="auto"/>
              <w:jc w:val="center"/>
              <w:rPr>
                <w:rFonts w:hint="eastAsia" w:ascii="宋体" w:hAnsi="宋体" w:eastAsia="宋体" w:cs="宋体"/>
                <w:color w:val="auto"/>
                <w:sz w:val="18"/>
                <w:szCs w:val="18"/>
                <w:highlight w:val="none"/>
              </w:rPr>
            </w:pPr>
          </w:p>
        </w:tc>
      </w:tr>
      <w:tr w14:paraId="7772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499A46C4">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0169FF3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F723BA9">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8E3FF2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C969F7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63390D7">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7A3D7B5">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381DF5FA">
            <w:pPr>
              <w:wordWrap w:val="0"/>
              <w:spacing w:line="360" w:lineRule="auto"/>
              <w:jc w:val="center"/>
              <w:rPr>
                <w:rFonts w:hint="eastAsia" w:ascii="宋体" w:hAnsi="宋体" w:eastAsia="宋体" w:cs="宋体"/>
                <w:color w:val="auto"/>
                <w:sz w:val="18"/>
                <w:szCs w:val="18"/>
                <w:highlight w:val="none"/>
              </w:rPr>
            </w:pPr>
          </w:p>
        </w:tc>
      </w:tr>
      <w:tr w14:paraId="5E1F0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5C8897FA">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6158D93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7EB6C83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EEE0B9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F9067A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0509C7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0FBF480">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79B4483E">
            <w:pPr>
              <w:wordWrap w:val="0"/>
              <w:spacing w:line="360" w:lineRule="auto"/>
              <w:jc w:val="center"/>
              <w:rPr>
                <w:rFonts w:hint="eastAsia" w:ascii="宋体" w:hAnsi="宋体" w:eastAsia="宋体" w:cs="宋体"/>
                <w:color w:val="auto"/>
                <w:sz w:val="18"/>
                <w:szCs w:val="18"/>
                <w:highlight w:val="none"/>
              </w:rPr>
            </w:pPr>
          </w:p>
        </w:tc>
      </w:tr>
      <w:tr w14:paraId="0224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367F7874">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0D4BEAA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56C9C5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18D20BC">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F68C06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34C9D5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B9DBD2A">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0D067478">
            <w:pPr>
              <w:wordWrap w:val="0"/>
              <w:spacing w:line="360" w:lineRule="auto"/>
              <w:jc w:val="center"/>
              <w:rPr>
                <w:rFonts w:hint="eastAsia" w:ascii="宋体" w:hAnsi="宋体" w:eastAsia="宋体" w:cs="宋体"/>
                <w:color w:val="auto"/>
                <w:sz w:val="18"/>
                <w:szCs w:val="18"/>
                <w:highlight w:val="none"/>
              </w:rPr>
            </w:pPr>
          </w:p>
        </w:tc>
      </w:tr>
      <w:tr w14:paraId="6F760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4E22727A">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20D4682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4AA9D1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5E6356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07BE3AB">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BD0CA61">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4C1CAF9">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5E1F7B72">
            <w:pPr>
              <w:wordWrap w:val="0"/>
              <w:spacing w:line="360" w:lineRule="auto"/>
              <w:jc w:val="center"/>
              <w:rPr>
                <w:rFonts w:hint="eastAsia" w:ascii="宋体" w:hAnsi="宋体" w:eastAsia="宋体" w:cs="宋体"/>
                <w:color w:val="auto"/>
                <w:sz w:val="18"/>
                <w:szCs w:val="18"/>
                <w:highlight w:val="none"/>
              </w:rPr>
            </w:pPr>
          </w:p>
        </w:tc>
      </w:tr>
    </w:tbl>
    <w:p w14:paraId="563BA0DC">
      <w:pPr>
        <w:wordWrap w:val="0"/>
        <w:autoSpaceDE w:val="0"/>
        <w:autoSpaceDN w:val="0"/>
        <w:adjustRightInd w:val="0"/>
        <w:spacing w:line="360" w:lineRule="auto"/>
        <w:ind w:right="-34" w:rightChars="-16"/>
        <w:jc w:val="left"/>
        <w:outlineLvl w:val="2"/>
        <w:rPr>
          <w:rFonts w:hint="eastAsia" w:ascii="宋体" w:hAnsi="宋体" w:eastAsia="宋体" w:cs="宋体"/>
          <w:b/>
          <w:bCs/>
          <w:color w:val="auto"/>
          <w:kern w:val="0"/>
          <w:sz w:val="18"/>
          <w:szCs w:val="18"/>
          <w:highlight w:val="none"/>
        </w:rPr>
      </w:pPr>
      <w:bookmarkStart w:id="2176" w:name="_Toc228337204"/>
      <w:bookmarkStart w:id="2177" w:name="_Toc214433995"/>
      <w:bookmarkStart w:id="2178" w:name="_Toc454031618"/>
      <w:bookmarkStart w:id="2179" w:name="_Toc272772674"/>
      <w:bookmarkStart w:id="2180" w:name="_Toc228589269"/>
      <w:bookmarkStart w:id="2181" w:name="_Toc431367144"/>
      <w:bookmarkStart w:id="2182" w:name="_Toc228591763"/>
      <w:bookmarkStart w:id="2183" w:name="_Toc227492351"/>
      <w:bookmarkStart w:id="2184" w:name="_Toc26447504"/>
      <w:bookmarkStart w:id="2185" w:name="_Toc434140868"/>
      <w:bookmarkStart w:id="2186" w:name="_Toc228881255"/>
      <w:bookmarkStart w:id="2187" w:name="_Toc459289950"/>
      <w:bookmarkStart w:id="2188" w:name="_Toc27419"/>
      <w:bookmarkStart w:id="2189" w:name="_Toc453573355"/>
      <w:bookmarkStart w:id="2190" w:name="_Toc228591615"/>
      <w:bookmarkStart w:id="2191" w:name="_Toc227657593"/>
    </w:p>
    <w:p w14:paraId="080C5C0C">
      <w:pPr>
        <w:pStyle w:val="87"/>
        <w:wordWrap w:val="0"/>
        <w:spacing w:line="360" w:lineRule="auto"/>
        <w:rPr>
          <w:rFonts w:hint="eastAsia" w:ascii="宋体" w:hAnsi="宋体" w:eastAsia="宋体" w:cs="宋体"/>
          <w:color w:val="auto"/>
          <w:sz w:val="21"/>
          <w:szCs w:val="16"/>
          <w:highlight w:val="none"/>
        </w:rPr>
      </w:pPr>
    </w:p>
    <w:p w14:paraId="2F549D83">
      <w:pPr>
        <w:pStyle w:val="87"/>
        <w:wordWrap w:val="0"/>
        <w:spacing w:line="360" w:lineRule="auto"/>
        <w:rPr>
          <w:rFonts w:hint="eastAsia" w:ascii="宋体" w:hAnsi="宋体" w:eastAsia="宋体" w:cs="宋体"/>
          <w:color w:val="auto"/>
          <w:sz w:val="21"/>
          <w:szCs w:val="16"/>
          <w:highlight w:val="none"/>
        </w:rPr>
      </w:pPr>
    </w:p>
    <w:p w14:paraId="0C3E891E">
      <w:pPr>
        <w:wordWrap w:val="0"/>
        <w:autoSpaceDE w:val="0"/>
        <w:autoSpaceDN w:val="0"/>
        <w:adjustRightInd w:val="0"/>
        <w:spacing w:line="360" w:lineRule="auto"/>
        <w:ind w:right="-34" w:rightChars="-16"/>
        <w:jc w:val="left"/>
        <w:outlineLvl w:val="2"/>
        <w:rPr>
          <w:rFonts w:hint="eastAsia" w:ascii="宋体" w:hAnsi="宋体" w:eastAsia="宋体" w:cs="宋体"/>
          <w:color w:val="auto"/>
          <w:kern w:val="0"/>
          <w:sz w:val="28"/>
          <w:szCs w:val="20"/>
          <w:highlight w:val="none"/>
        </w:rPr>
      </w:pPr>
      <w:bookmarkStart w:id="2192" w:name="_Toc4551"/>
      <w:r>
        <w:rPr>
          <w:rFonts w:hint="eastAsia" w:ascii="宋体" w:hAnsi="宋体" w:eastAsia="宋体" w:cs="宋体"/>
          <w:b/>
          <w:bCs/>
          <w:color w:val="auto"/>
          <w:kern w:val="0"/>
          <w:sz w:val="21"/>
          <w:szCs w:val="21"/>
          <w:highlight w:val="none"/>
        </w:rPr>
        <w:t>附表五：施工总平面图</w:t>
      </w:r>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p>
    <w:p w14:paraId="2AF102D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投标人应递交一份施工总平面图，绘出现场临时设施布置图表并附文字说明，说明临时设施、加工车间、现场办公、设备及仓储、供电、供水、卫生、生活、道路、消防等设施的情况和布置。</w:t>
      </w:r>
    </w:p>
    <w:p w14:paraId="4CE94639">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r>
        <w:rPr>
          <w:rFonts w:hint="eastAsia" w:ascii="宋体" w:hAnsi="宋体" w:eastAsia="宋体" w:cs="宋体"/>
          <w:color w:val="auto"/>
          <w:kern w:val="0"/>
          <w:szCs w:val="21"/>
          <w:highlight w:val="none"/>
        </w:rPr>
        <w:br w:type="page"/>
      </w:r>
      <w:bookmarkStart w:id="2193" w:name="_Toc500864547"/>
      <w:bookmarkStart w:id="2194" w:name="_Toc7095"/>
      <w:bookmarkStart w:id="2195" w:name="_Toc16144"/>
      <w:bookmarkStart w:id="2196" w:name="_Toc1713"/>
      <w:r>
        <w:rPr>
          <w:rFonts w:hint="eastAsia" w:ascii="宋体" w:hAnsi="宋体" w:eastAsia="宋体" w:cs="宋体"/>
          <w:b/>
          <w:color w:val="auto"/>
          <w:kern w:val="0"/>
          <w:sz w:val="32"/>
          <w:szCs w:val="21"/>
          <w:highlight w:val="none"/>
        </w:rPr>
        <w:t>七、技术标准和要求</w:t>
      </w:r>
      <w:bookmarkEnd w:id="2193"/>
      <w:bookmarkEnd w:id="2194"/>
      <w:bookmarkEnd w:id="2195"/>
      <w:bookmarkEnd w:id="2196"/>
    </w:p>
    <w:p w14:paraId="03DE73C8">
      <w:pPr>
        <w:tabs>
          <w:tab w:val="left" w:pos="7980"/>
        </w:tabs>
        <w:wordWrap w:val="0"/>
        <w:autoSpaceDE w:val="0"/>
        <w:autoSpaceDN w:val="0"/>
        <w:adjustRightInd w:val="0"/>
        <w:spacing w:line="360" w:lineRule="auto"/>
        <w:ind w:right="-34" w:rightChars="-16" w:firstLine="420" w:firstLineChars="200"/>
        <w:outlineLvl w:val="0"/>
        <w:rPr>
          <w:rFonts w:hint="eastAsia" w:ascii="宋体" w:hAnsi="宋体" w:eastAsia="宋体" w:cs="宋体"/>
          <w:color w:val="auto"/>
          <w:kern w:val="0"/>
          <w:sz w:val="21"/>
          <w:szCs w:val="21"/>
          <w:highlight w:val="none"/>
        </w:rPr>
      </w:pPr>
      <w:bookmarkStart w:id="2197" w:name="_Toc500864548"/>
      <w:bookmarkStart w:id="2198" w:name="_Toc436583943"/>
      <w:bookmarkStart w:id="2199" w:name="_Toc369620623"/>
      <w:bookmarkStart w:id="2200" w:name="_Toc368902869"/>
      <w:bookmarkStart w:id="2201" w:name="_Toc499892895"/>
      <w:bookmarkStart w:id="2202" w:name="_Toc21689"/>
      <w:bookmarkStart w:id="2203" w:name="_Toc372286579"/>
      <w:bookmarkStart w:id="2204" w:name="_Toc418520827"/>
      <w:bookmarkStart w:id="2205" w:name="_Toc453573356"/>
      <w:bookmarkStart w:id="2206" w:name="_Toc21640"/>
      <w:bookmarkStart w:id="2207" w:name="_Toc499891704"/>
      <w:bookmarkStart w:id="2208" w:name="_Toc463776623"/>
      <w:bookmarkStart w:id="2209" w:name="_Toc7250"/>
      <w:bookmarkStart w:id="2210" w:name="_Toc16949"/>
      <w:bookmarkStart w:id="2211" w:name="_Toc459289952"/>
      <w:bookmarkStart w:id="2212" w:name="_Toc500865938"/>
      <w:bookmarkStart w:id="2213" w:name="_Toc454031619"/>
      <w:r>
        <w:rPr>
          <w:rFonts w:hint="eastAsia" w:ascii="宋体" w:hAnsi="宋体" w:eastAsia="宋体" w:cs="宋体"/>
          <w:color w:val="auto"/>
          <w:kern w:val="0"/>
          <w:sz w:val="21"/>
          <w:szCs w:val="21"/>
          <w:highlight w:val="none"/>
        </w:rPr>
        <w:t>投标人在本招标工程项目中的工程建设标准、规范等技术要求应符合招标文件“第八章技术标准和要求”。</w:t>
      </w:r>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p>
    <w:p w14:paraId="3665470F">
      <w:pPr>
        <w:wordWrap w:val="0"/>
        <w:autoSpaceDE w:val="0"/>
        <w:autoSpaceDN w:val="0"/>
        <w:adjustRightInd w:val="0"/>
        <w:spacing w:line="360" w:lineRule="auto"/>
        <w:ind w:right="-34" w:rightChars="-16"/>
        <w:outlineLvl w:val="0"/>
        <w:rPr>
          <w:rFonts w:hint="eastAsia" w:ascii="宋体" w:hAnsi="宋体" w:eastAsia="宋体" w:cs="宋体"/>
          <w:color w:val="auto"/>
          <w:kern w:val="0"/>
          <w:sz w:val="22"/>
          <w:szCs w:val="16"/>
          <w:highlight w:val="none"/>
        </w:rPr>
      </w:pPr>
    </w:p>
    <w:p w14:paraId="20B3ACCF">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467AA709">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476C405D">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1B3E9DE5">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5DFF7D9F">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5D454C5F">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028D2AF3">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5462C82B">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79ECFAD3">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58E0EA45">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3C575DDE">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32"/>
          <w:highlight w:val="none"/>
        </w:rPr>
      </w:pPr>
    </w:p>
    <w:p w14:paraId="4DC7FC93">
      <w:pPr>
        <w:pStyle w:val="39"/>
        <w:wordWrap w:val="0"/>
        <w:spacing w:before="0" w:after="0" w:line="360" w:lineRule="auto"/>
        <w:rPr>
          <w:rFonts w:hint="eastAsia" w:ascii="宋体" w:hAnsi="宋体" w:eastAsia="宋体" w:cs="宋体"/>
          <w:color w:val="auto"/>
          <w:kern w:val="0"/>
          <w:sz w:val="28"/>
          <w:highlight w:val="none"/>
        </w:rPr>
      </w:pPr>
      <w:bookmarkStart w:id="2214" w:name="_Toc228591617"/>
      <w:bookmarkStart w:id="2215" w:name="_Toc228591765"/>
      <w:bookmarkStart w:id="2216" w:name="_Toc228881257"/>
      <w:bookmarkStart w:id="2217" w:name="_Toc214433997"/>
      <w:bookmarkStart w:id="2218" w:name="_Toc227657595"/>
      <w:bookmarkStart w:id="2219" w:name="_Toc228337206"/>
      <w:bookmarkStart w:id="2220" w:name="_Toc227492353"/>
      <w:bookmarkStart w:id="2221" w:name="_Toc228589271"/>
      <w:bookmarkStart w:id="2222" w:name="_Toc431367152"/>
      <w:bookmarkStart w:id="2223" w:name="_Toc272772676"/>
      <w:r>
        <w:rPr>
          <w:rFonts w:hint="eastAsia" w:ascii="宋体" w:hAnsi="宋体" w:eastAsia="宋体" w:cs="宋体"/>
          <w:color w:val="auto"/>
          <w:kern w:val="0"/>
          <w:highlight w:val="none"/>
        </w:rPr>
        <w:br w:type="page"/>
      </w:r>
      <w:r>
        <w:rPr>
          <w:rFonts w:hint="eastAsia" w:ascii="宋体" w:hAnsi="宋体" w:eastAsia="宋体" w:cs="宋体"/>
          <w:color w:val="auto"/>
          <w:kern w:val="0"/>
          <w:sz w:val="32"/>
          <w:szCs w:val="21"/>
          <w:highlight w:val="none"/>
        </w:rPr>
        <w:t>八、</w:t>
      </w:r>
      <w:bookmarkEnd w:id="2214"/>
      <w:bookmarkEnd w:id="2215"/>
      <w:bookmarkEnd w:id="2216"/>
      <w:bookmarkEnd w:id="2217"/>
      <w:bookmarkEnd w:id="2218"/>
      <w:bookmarkEnd w:id="2219"/>
      <w:bookmarkEnd w:id="2220"/>
      <w:bookmarkEnd w:id="2221"/>
      <w:r>
        <w:rPr>
          <w:rFonts w:hint="eastAsia" w:ascii="宋体" w:hAnsi="宋体" w:eastAsia="宋体" w:cs="宋体"/>
          <w:color w:val="auto"/>
          <w:kern w:val="0"/>
          <w:sz w:val="32"/>
          <w:szCs w:val="21"/>
          <w:highlight w:val="none"/>
        </w:rPr>
        <w:t>项目管理机构</w:t>
      </w:r>
      <w:bookmarkEnd w:id="2222"/>
      <w:bookmarkEnd w:id="2223"/>
    </w:p>
    <w:p w14:paraId="2055D21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224" w:name="_Toc8362"/>
      <w:bookmarkStart w:id="2225" w:name="_Toc228591766"/>
      <w:bookmarkStart w:id="2226" w:name="_Toc228589272"/>
      <w:bookmarkStart w:id="2227" w:name="_Toc27018"/>
      <w:bookmarkStart w:id="2228" w:name="_Toc228337207"/>
      <w:bookmarkStart w:id="2229" w:name="_Toc499891705"/>
      <w:bookmarkStart w:id="2230" w:name="_Toc228591618"/>
      <w:bookmarkStart w:id="2231" w:name="_Toc228881258"/>
      <w:bookmarkStart w:id="2232" w:name="_Toc499892896"/>
      <w:bookmarkStart w:id="2233" w:name="_Toc272772677"/>
      <w:bookmarkStart w:id="2234" w:name="_Toc500864549"/>
      <w:bookmarkStart w:id="2235" w:name="_Toc227492354"/>
      <w:bookmarkStart w:id="2236" w:name="_Toc214433998"/>
      <w:bookmarkStart w:id="2237" w:name="_Toc500865939"/>
      <w:bookmarkStart w:id="2238" w:name="_Toc20437"/>
      <w:bookmarkStart w:id="2239" w:name="_Toc227657596"/>
      <w:bookmarkStart w:id="2240" w:name="_Toc431367153"/>
      <w:r>
        <w:rPr>
          <w:rFonts w:hint="eastAsia" w:ascii="宋体" w:hAnsi="宋体" w:eastAsia="宋体" w:cs="宋体"/>
          <w:b/>
          <w:bCs/>
          <w:color w:val="auto"/>
          <w:kern w:val="0"/>
          <w:sz w:val="28"/>
          <w:highlight w:val="none"/>
        </w:rPr>
        <w:t>（一）项目管理机构组成表</w:t>
      </w:r>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p>
    <w:p w14:paraId="6350CEC1">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133"/>
        <w:gridCol w:w="1134"/>
        <w:gridCol w:w="1268"/>
        <w:gridCol w:w="1000"/>
        <w:gridCol w:w="1134"/>
        <w:gridCol w:w="1134"/>
        <w:gridCol w:w="1282"/>
      </w:tblGrid>
      <w:tr w14:paraId="609DF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133" w:type="dxa"/>
            <w:vMerge w:val="restart"/>
            <w:vAlign w:val="center"/>
          </w:tcPr>
          <w:p w14:paraId="7625B84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姓名</w:t>
            </w:r>
          </w:p>
        </w:tc>
        <w:tc>
          <w:tcPr>
            <w:tcW w:w="1133" w:type="dxa"/>
            <w:vMerge w:val="restart"/>
            <w:vAlign w:val="center"/>
          </w:tcPr>
          <w:p w14:paraId="1A6667E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职务</w:t>
            </w:r>
          </w:p>
        </w:tc>
        <w:tc>
          <w:tcPr>
            <w:tcW w:w="1134" w:type="dxa"/>
            <w:vMerge w:val="restart"/>
            <w:vAlign w:val="center"/>
          </w:tcPr>
          <w:p w14:paraId="26B5480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职称</w:t>
            </w:r>
          </w:p>
        </w:tc>
        <w:tc>
          <w:tcPr>
            <w:tcW w:w="5818" w:type="dxa"/>
            <w:gridSpan w:val="5"/>
            <w:vAlign w:val="center"/>
          </w:tcPr>
          <w:p w14:paraId="07170F4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执业或职业资格证明</w:t>
            </w:r>
          </w:p>
        </w:tc>
      </w:tr>
      <w:tr w14:paraId="2CD47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1133" w:type="dxa"/>
            <w:vMerge w:val="continue"/>
            <w:vAlign w:val="center"/>
          </w:tcPr>
          <w:p w14:paraId="1B30E36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33" w:type="dxa"/>
            <w:vMerge w:val="continue"/>
            <w:vAlign w:val="center"/>
          </w:tcPr>
          <w:p w14:paraId="0C48D41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34" w:type="dxa"/>
            <w:vMerge w:val="continue"/>
            <w:vAlign w:val="center"/>
          </w:tcPr>
          <w:p w14:paraId="4479B86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68" w:type="dxa"/>
            <w:vAlign w:val="center"/>
          </w:tcPr>
          <w:p w14:paraId="65A6B09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证书名称</w:t>
            </w:r>
          </w:p>
        </w:tc>
        <w:tc>
          <w:tcPr>
            <w:tcW w:w="1000" w:type="dxa"/>
            <w:vAlign w:val="center"/>
          </w:tcPr>
          <w:p w14:paraId="10DFA36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级别</w:t>
            </w:r>
          </w:p>
        </w:tc>
        <w:tc>
          <w:tcPr>
            <w:tcW w:w="1134" w:type="dxa"/>
            <w:vAlign w:val="center"/>
          </w:tcPr>
          <w:p w14:paraId="34F8DFF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专业</w:t>
            </w:r>
          </w:p>
        </w:tc>
        <w:tc>
          <w:tcPr>
            <w:tcW w:w="1134" w:type="dxa"/>
            <w:vAlign w:val="center"/>
          </w:tcPr>
          <w:p w14:paraId="1EACF3B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证号</w:t>
            </w:r>
          </w:p>
        </w:tc>
        <w:tc>
          <w:tcPr>
            <w:tcW w:w="1282" w:type="dxa"/>
            <w:vAlign w:val="center"/>
          </w:tcPr>
          <w:p w14:paraId="58B6DFD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54F79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467A35A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1DBF700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01D5C3B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3BC0835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0714E49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0413E3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1FAADEF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7AB8CA8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1483B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31BDD85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5733B66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4648E6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07BE1FB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5F90EEB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94291A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AF760E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02F16F5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015C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5CCDD0B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00BEF4D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2F40D3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7404EB6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17C6BE7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4D7729F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F321C0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0F64882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113E7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671BEE7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197B88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D60C87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0AE768C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42C94CA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0C20149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957E89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187E121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2CDA0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23E33C6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4BE028A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042028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4A5DD0C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4CDBC2A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0FF3B35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CDA9FF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0020277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0DC06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75C093B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504D7E6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F3CE6B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4B8B8F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54B2464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007D9B6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A383C3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663971B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7D5E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14343E4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425495C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CC2B66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5250356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2488373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27FD26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1D3455D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40604A2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6B6C3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2243A42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07C2D16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D6ED4D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2BAD320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0754B1A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4658824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A294CD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691551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58412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10E0B99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2D29DE5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6EC236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0CF58E9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3B499F9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B5FC98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B87F6C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692B019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29E93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133" w:type="dxa"/>
            <w:vAlign w:val="center"/>
          </w:tcPr>
          <w:p w14:paraId="33F42D2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BF842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0C5418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2D667B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145EC1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C14BC8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79BFE1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3FD783D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bl>
    <w:p w14:paraId="65A038F7">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2D3BD8C1">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bookmarkStart w:id="2241" w:name="_Toc272772678"/>
      <w:bookmarkStart w:id="2242" w:name="_Toc228881259"/>
      <w:bookmarkStart w:id="2243" w:name="_Toc228589273"/>
      <w:bookmarkStart w:id="2244" w:name="_Toc228591767"/>
      <w:bookmarkStart w:id="2245" w:name="_Toc227492355"/>
      <w:bookmarkStart w:id="2246" w:name="_Toc228591619"/>
      <w:bookmarkStart w:id="2247" w:name="_Toc431367154"/>
      <w:bookmarkStart w:id="2248" w:name="_Toc227657597"/>
      <w:bookmarkStart w:id="2249" w:name="_Toc214433999"/>
      <w:bookmarkStart w:id="2250" w:name="_Toc228337208"/>
    </w:p>
    <w:p w14:paraId="0BB3B77B">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r>
        <w:rPr>
          <w:rFonts w:hint="eastAsia" w:ascii="宋体" w:hAnsi="宋体" w:eastAsia="宋体" w:cs="宋体"/>
          <w:b/>
          <w:bCs/>
          <w:color w:val="auto"/>
          <w:kern w:val="0"/>
          <w:sz w:val="28"/>
          <w:szCs w:val="22"/>
          <w:highlight w:val="none"/>
        </w:rPr>
        <w:t>（二）主要人员简历表</w:t>
      </w:r>
      <w:bookmarkEnd w:id="2241"/>
      <w:bookmarkEnd w:id="2242"/>
      <w:bookmarkEnd w:id="2243"/>
      <w:bookmarkEnd w:id="2244"/>
      <w:bookmarkEnd w:id="2245"/>
      <w:bookmarkEnd w:id="2246"/>
      <w:bookmarkEnd w:id="2247"/>
      <w:bookmarkEnd w:id="2248"/>
      <w:bookmarkEnd w:id="2249"/>
      <w:bookmarkEnd w:id="2250"/>
    </w:p>
    <w:p w14:paraId="1FFF7B6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“主要人员简历表”中的项目经理附注册执资格证书等复印件；技术负责人附职称证等复印件；其他主要人员附职称证（执业证或上岗证书）复印件。</w:t>
      </w:r>
    </w:p>
    <w:p w14:paraId="27344C20">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0BD13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vAlign w:val="center"/>
          </w:tcPr>
          <w:p w14:paraId="704BC97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姓 名</w:t>
            </w:r>
          </w:p>
        </w:tc>
        <w:tc>
          <w:tcPr>
            <w:tcW w:w="1551" w:type="dxa"/>
            <w:gridSpan w:val="2"/>
            <w:vAlign w:val="center"/>
          </w:tcPr>
          <w:p w14:paraId="4592478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555" w:type="dxa"/>
            <w:vAlign w:val="center"/>
          </w:tcPr>
          <w:p w14:paraId="7E3020D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年 龄</w:t>
            </w:r>
          </w:p>
        </w:tc>
        <w:tc>
          <w:tcPr>
            <w:tcW w:w="1552" w:type="dxa"/>
            <w:vAlign w:val="center"/>
          </w:tcPr>
          <w:p w14:paraId="58BE341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843" w:type="dxa"/>
            <w:gridSpan w:val="2"/>
            <w:vAlign w:val="center"/>
          </w:tcPr>
          <w:p w14:paraId="32985E0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学 历</w:t>
            </w:r>
          </w:p>
        </w:tc>
        <w:tc>
          <w:tcPr>
            <w:tcW w:w="1263" w:type="dxa"/>
            <w:vAlign w:val="center"/>
          </w:tcPr>
          <w:p w14:paraId="4DD072C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169B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vAlign w:val="center"/>
          </w:tcPr>
          <w:p w14:paraId="0FFA8A2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lang w:val="en-US" w:eastAsia="zh-CN"/>
              </w:rPr>
            </w:pPr>
            <w:r>
              <w:rPr>
                <w:rFonts w:hint="eastAsia" w:ascii="宋体" w:hAnsi="宋体" w:eastAsia="宋体" w:cs="宋体"/>
                <w:color w:val="auto"/>
                <w:kern w:val="0"/>
                <w:sz w:val="21"/>
                <w:szCs w:val="22"/>
                <w:highlight w:val="none"/>
              </w:rPr>
              <w:t xml:space="preserve">职 </w:t>
            </w:r>
            <w:r>
              <w:rPr>
                <w:rFonts w:hint="eastAsia" w:ascii="宋体" w:hAnsi="宋体" w:cs="宋体"/>
                <w:color w:val="auto"/>
                <w:kern w:val="0"/>
                <w:sz w:val="21"/>
                <w:szCs w:val="22"/>
                <w:highlight w:val="none"/>
                <w:lang w:val="en-US" w:eastAsia="zh-CN"/>
              </w:rPr>
              <w:t>称</w:t>
            </w:r>
          </w:p>
        </w:tc>
        <w:tc>
          <w:tcPr>
            <w:tcW w:w="1551" w:type="dxa"/>
            <w:gridSpan w:val="2"/>
            <w:vAlign w:val="center"/>
          </w:tcPr>
          <w:p w14:paraId="637175E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555" w:type="dxa"/>
            <w:vAlign w:val="center"/>
          </w:tcPr>
          <w:p w14:paraId="1A3A222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lang w:val="en-US" w:eastAsia="zh-CN"/>
              </w:rPr>
            </w:pPr>
            <w:r>
              <w:rPr>
                <w:rFonts w:hint="eastAsia" w:ascii="宋体" w:hAnsi="宋体" w:eastAsia="宋体" w:cs="宋体"/>
                <w:color w:val="auto"/>
                <w:kern w:val="0"/>
                <w:sz w:val="21"/>
                <w:szCs w:val="22"/>
                <w:highlight w:val="none"/>
              </w:rPr>
              <w:t xml:space="preserve">职 </w:t>
            </w:r>
            <w:r>
              <w:rPr>
                <w:rFonts w:hint="eastAsia" w:ascii="宋体" w:hAnsi="宋体" w:cs="宋体"/>
                <w:color w:val="auto"/>
                <w:kern w:val="0"/>
                <w:sz w:val="21"/>
                <w:szCs w:val="22"/>
                <w:highlight w:val="none"/>
                <w:lang w:val="en-US" w:eastAsia="zh-CN"/>
              </w:rPr>
              <w:t>务</w:t>
            </w:r>
          </w:p>
        </w:tc>
        <w:tc>
          <w:tcPr>
            <w:tcW w:w="1552" w:type="dxa"/>
            <w:vAlign w:val="center"/>
          </w:tcPr>
          <w:p w14:paraId="2A69446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843" w:type="dxa"/>
            <w:gridSpan w:val="2"/>
            <w:vAlign w:val="center"/>
          </w:tcPr>
          <w:p w14:paraId="7D8D878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拟在本合同任职</w:t>
            </w:r>
          </w:p>
        </w:tc>
        <w:tc>
          <w:tcPr>
            <w:tcW w:w="1263" w:type="dxa"/>
            <w:vAlign w:val="center"/>
          </w:tcPr>
          <w:p w14:paraId="4D8AADF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06D70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vAlign w:val="center"/>
          </w:tcPr>
          <w:p w14:paraId="46D7E6E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主要工作经历</w:t>
            </w:r>
          </w:p>
        </w:tc>
      </w:tr>
      <w:tr w14:paraId="52510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vAlign w:val="center"/>
          </w:tcPr>
          <w:p w14:paraId="12653D4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时 间</w:t>
            </w:r>
          </w:p>
        </w:tc>
        <w:tc>
          <w:tcPr>
            <w:tcW w:w="2329" w:type="dxa"/>
            <w:gridSpan w:val="2"/>
            <w:vAlign w:val="center"/>
          </w:tcPr>
          <w:p w14:paraId="561678F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参加过的类似项目</w:t>
            </w:r>
          </w:p>
        </w:tc>
        <w:tc>
          <w:tcPr>
            <w:tcW w:w="2328" w:type="dxa"/>
            <w:gridSpan w:val="2"/>
            <w:vAlign w:val="center"/>
          </w:tcPr>
          <w:p w14:paraId="6EF6593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担任职务</w:t>
            </w:r>
          </w:p>
        </w:tc>
        <w:tc>
          <w:tcPr>
            <w:tcW w:w="2330" w:type="dxa"/>
            <w:gridSpan w:val="2"/>
            <w:vAlign w:val="center"/>
          </w:tcPr>
          <w:p w14:paraId="3E85EFD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发包人</w:t>
            </w:r>
          </w:p>
        </w:tc>
      </w:tr>
      <w:tr w14:paraId="1BDB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059B233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29" w:type="dxa"/>
            <w:gridSpan w:val="2"/>
            <w:vAlign w:val="center"/>
          </w:tcPr>
          <w:p w14:paraId="7F5B43C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28" w:type="dxa"/>
            <w:gridSpan w:val="2"/>
            <w:vAlign w:val="center"/>
          </w:tcPr>
          <w:p w14:paraId="43DA1B0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30" w:type="dxa"/>
            <w:gridSpan w:val="2"/>
            <w:vAlign w:val="center"/>
          </w:tcPr>
          <w:p w14:paraId="5A9DD1D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70EA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3F7C8AA0">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10F484BF">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3B11D62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75207A66">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69825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3D42639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516EE7FB">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4BA47797">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49DA40C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3A92F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1807EAEA">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2AD68F25">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17AC3C3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279327A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1332A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59ECCC1B">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393FFCD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625F0D24">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1EAF566B">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516B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2EB3F40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0B418B7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3093A1C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68C034CF">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4908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5214437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0F3DCC9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5A24F1D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3F679E1F">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6179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1B39B04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06D538AA">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59CC1B0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69E12478">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bl>
    <w:p w14:paraId="139D20E6">
      <w:pPr>
        <w:wordWrap w:val="0"/>
        <w:autoSpaceDE w:val="0"/>
        <w:autoSpaceDN w:val="0"/>
        <w:adjustRightInd w:val="0"/>
        <w:spacing w:line="360" w:lineRule="auto"/>
        <w:ind w:right="-34" w:rightChars="-16"/>
        <w:jc w:val="left"/>
        <w:rPr>
          <w:rFonts w:hint="eastAsia" w:ascii="宋体" w:hAnsi="宋体" w:eastAsia="宋体" w:cs="宋体"/>
          <w:color w:val="auto"/>
          <w:kern w:val="0"/>
          <w:sz w:val="15"/>
          <w:szCs w:val="16"/>
          <w:highlight w:val="none"/>
        </w:rPr>
      </w:pPr>
    </w:p>
    <w:p w14:paraId="5F098CF6">
      <w:pPr>
        <w:rPr>
          <w:rFonts w:hint="eastAsia" w:ascii="宋体" w:hAnsi="宋体" w:eastAsia="宋体" w:cs="宋体"/>
          <w:b/>
          <w:bCs/>
          <w:color w:val="auto"/>
          <w:kern w:val="0"/>
          <w:sz w:val="28"/>
          <w:highlight w:val="none"/>
        </w:rPr>
      </w:pPr>
      <w:bookmarkStart w:id="2251" w:name="_Toc5336"/>
      <w:bookmarkStart w:id="2252" w:name="_Toc29674"/>
      <w:r>
        <w:rPr>
          <w:rFonts w:hint="eastAsia" w:ascii="宋体" w:hAnsi="宋体" w:eastAsia="宋体" w:cs="宋体"/>
          <w:b/>
          <w:bCs/>
          <w:color w:val="auto"/>
          <w:kern w:val="0"/>
          <w:sz w:val="28"/>
          <w:highlight w:val="none"/>
        </w:rPr>
        <w:br w:type="page"/>
      </w:r>
    </w:p>
    <w:p w14:paraId="4A6906D9">
      <w:pPr>
        <w:pageBreakBefore w:val="0"/>
        <w:kinsoku/>
        <w:wordWrap w:val="0"/>
        <w:overflowPunct/>
        <w:topLinePunct w:val="0"/>
        <w:autoSpaceDE w:val="0"/>
        <w:autoSpaceDN w:val="0"/>
        <w:bidi w:val="0"/>
        <w:adjustRightInd w:val="0"/>
        <w:spacing w:line="400" w:lineRule="exact"/>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（三）其他</w:t>
      </w:r>
      <w:bookmarkEnd w:id="2251"/>
      <w:bookmarkEnd w:id="2252"/>
    </w:p>
    <w:p w14:paraId="48D04C91">
      <w:pPr>
        <w:wordWrap w:val="0"/>
        <w:spacing w:line="312" w:lineRule="auto"/>
        <w:ind w:firstLine="643" w:firstLineChars="200"/>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项目经理无在建承诺书</w:t>
      </w:r>
    </w:p>
    <w:p w14:paraId="2624187D">
      <w:pPr>
        <w:wordWrap w:val="0"/>
        <w:spacing w:line="312" w:lineRule="auto"/>
        <w:ind w:firstLine="643" w:firstLineChars="200"/>
        <w:jc w:val="center"/>
        <w:rPr>
          <w:rFonts w:hint="eastAsia" w:ascii="宋体" w:hAnsi="宋体" w:eastAsia="宋体" w:cs="宋体"/>
          <w:b/>
          <w:bCs/>
          <w:color w:val="auto"/>
          <w:kern w:val="2"/>
          <w:sz w:val="32"/>
          <w:szCs w:val="32"/>
          <w:highlight w:val="none"/>
          <w:lang w:val="en-US" w:eastAsia="zh-CN" w:bidi="ar-SA"/>
        </w:rPr>
      </w:pPr>
    </w:p>
    <w:p w14:paraId="1B3B378D">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（招标人名称）：</w:t>
      </w:r>
    </w:p>
    <w:p w14:paraId="44164D67">
      <w:pPr>
        <w:widowControl w:val="0"/>
        <w:adjustRightInd/>
        <w:spacing w:after="120" w:line="240" w:lineRule="auto"/>
        <w:ind w:left="0" w:leftChars="0" w:right="0" w:rightChars="0" w:firstLine="210" w:firstLineChars="100"/>
        <w:jc w:val="both"/>
        <w:textAlignment w:val="auto"/>
        <w:rPr>
          <w:rFonts w:hint="eastAsia" w:ascii="宋体" w:hAnsi="宋体" w:eastAsia="宋体" w:cs="宋体"/>
          <w:color w:val="auto"/>
          <w:kern w:val="0"/>
          <w:sz w:val="21"/>
          <w:szCs w:val="21"/>
          <w:highlight w:val="none"/>
          <w:lang w:val="en-US" w:eastAsia="zh-CN" w:bidi="ar-SA"/>
        </w:rPr>
      </w:pPr>
    </w:p>
    <w:p w14:paraId="762C733F">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我方在此声明，我方拟派往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的项目经理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（项目经理</w:t>
      </w:r>
      <w:r>
        <w:rPr>
          <w:rFonts w:hint="eastAsia" w:ascii="宋体" w:hAnsi="宋体" w:eastAsia="宋体" w:cs="宋体"/>
          <w:color w:val="auto"/>
          <w:sz w:val="21"/>
          <w:szCs w:val="21"/>
          <w:highlight w:val="none"/>
          <w:lang w:val="en-US" w:eastAsia="zh-CN"/>
        </w:rPr>
        <w:t>签字</w:t>
      </w:r>
      <w:r>
        <w:rPr>
          <w:rFonts w:hint="eastAsia" w:ascii="宋体" w:hAnsi="宋体" w:eastAsia="宋体" w:cs="宋体"/>
          <w:color w:val="auto"/>
          <w:sz w:val="21"/>
          <w:szCs w:val="21"/>
          <w:highlight w:val="none"/>
        </w:rPr>
        <w:t>）现阶段没有担任任何在施建设工程项目的项目经理。</w:t>
      </w:r>
    </w:p>
    <w:p w14:paraId="204891F0">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我方保证上述信息的真实和准确，并愿意承担因我方就此弄虚作假所引起的一切法律后果。</w:t>
      </w:r>
    </w:p>
    <w:p w14:paraId="3BBE959E">
      <w:pPr>
        <w:spacing w:line="480" w:lineRule="auto"/>
        <w:rPr>
          <w:rFonts w:hint="eastAsia" w:ascii="宋体" w:hAnsi="宋体" w:eastAsia="宋体" w:cs="宋体"/>
          <w:color w:val="auto"/>
          <w:sz w:val="21"/>
          <w:szCs w:val="21"/>
          <w:highlight w:val="none"/>
        </w:rPr>
      </w:pPr>
    </w:p>
    <w:p w14:paraId="1D47C007">
      <w:pPr>
        <w:spacing w:line="48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38C64605">
      <w:pPr>
        <w:spacing w:line="480" w:lineRule="auto"/>
        <w:rPr>
          <w:rFonts w:hint="eastAsia" w:ascii="宋体" w:hAnsi="宋体" w:eastAsia="宋体" w:cs="宋体"/>
          <w:color w:val="auto"/>
          <w:sz w:val="21"/>
          <w:szCs w:val="21"/>
          <w:highlight w:val="none"/>
        </w:rPr>
      </w:pPr>
    </w:p>
    <w:p w14:paraId="19E0CB02">
      <w:pPr>
        <w:spacing w:line="480" w:lineRule="auto"/>
        <w:rPr>
          <w:rFonts w:hint="eastAsia" w:ascii="宋体" w:hAnsi="宋体" w:eastAsia="宋体" w:cs="宋体"/>
          <w:color w:val="auto"/>
          <w:sz w:val="21"/>
          <w:szCs w:val="21"/>
          <w:highlight w:val="none"/>
        </w:rPr>
      </w:pPr>
    </w:p>
    <w:p w14:paraId="453EEB14">
      <w:pPr>
        <w:spacing w:line="480" w:lineRule="auto"/>
        <w:rPr>
          <w:rFonts w:hint="eastAsia" w:ascii="宋体" w:hAnsi="宋体" w:eastAsia="宋体" w:cs="宋体"/>
          <w:color w:val="auto"/>
          <w:sz w:val="21"/>
          <w:szCs w:val="21"/>
          <w:highlight w:val="none"/>
        </w:rPr>
      </w:pPr>
    </w:p>
    <w:p w14:paraId="34A3F666">
      <w:pPr>
        <w:spacing w:line="48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eastAsia="zh-CN"/>
        </w:rPr>
        <w:t>单位</w:t>
      </w:r>
      <w:r>
        <w:rPr>
          <w:rFonts w:hint="eastAsia" w:ascii="宋体" w:hAnsi="宋体" w:eastAsia="宋体" w:cs="宋体"/>
          <w:color w:val="auto"/>
          <w:sz w:val="21"/>
          <w:szCs w:val="21"/>
          <w:highlight w:val="none"/>
        </w:rPr>
        <w:t>公章）</w:t>
      </w:r>
    </w:p>
    <w:p w14:paraId="4759EF93">
      <w:pPr>
        <w:spacing w:line="48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（签字</w:t>
      </w:r>
      <w:r>
        <w:rPr>
          <w:rFonts w:hint="eastAsia" w:ascii="宋体" w:hAnsi="宋体" w:cs="宋体"/>
          <w:color w:val="auto"/>
          <w:sz w:val="21"/>
          <w:szCs w:val="21"/>
          <w:highlight w:val="none"/>
          <w:lang w:val="en-US" w:eastAsia="zh-CN"/>
        </w:rPr>
        <w:t>和</w:t>
      </w:r>
      <w:r>
        <w:rPr>
          <w:rFonts w:hint="eastAsia" w:ascii="宋体" w:hAnsi="宋体" w:eastAsia="宋体" w:cs="宋体"/>
          <w:color w:val="auto"/>
          <w:sz w:val="21"/>
          <w:szCs w:val="21"/>
          <w:highlight w:val="none"/>
          <w:lang w:eastAsia="zh-CN"/>
        </w:rPr>
        <w:t>盖</w:t>
      </w:r>
      <w:r>
        <w:rPr>
          <w:rFonts w:hint="eastAsia" w:ascii="宋体" w:hAnsi="宋体" w:eastAsia="宋体" w:cs="宋体"/>
          <w:color w:val="auto"/>
          <w:sz w:val="21"/>
          <w:szCs w:val="21"/>
          <w:highlight w:val="none"/>
        </w:rPr>
        <w:t>章）</w:t>
      </w:r>
    </w:p>
    <w:p w14:paraId="3CC207F8">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721A0D33">
      <w:pPr>
        <w:jc w:val="right"/>
        <w:rPr>
          <w:rFonts w:hint="eastAsia" w:ascii="宋体" w:hAnsi="宋体" w:eastAsia="宋体" w:cs="宋体"/>
          <w:color w:val="auto"/>
          <w:sz w:val="24"/>
          <w:szCs w:val="24"/>
          <w:highlight w:val="none"/>
        </w:rPr>
      </w:pPr>
    </w:p>
    <w:p w14:paraId="08CC4BC5">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r>
        <w:rPr>
          <w:rFonts w:hint="eastAsia" w:ascii="宋体" w:hAnsi="宋体" w:eastAsia="宋体" w:cs="宋体"/>
          <w:color w:val="auto"/>
          <w:kern w:val="0"/>
          <w:sz w:val="28"/>
          <w:highlight w:val="none"/>
        </w:rPr>
        <w:br w:type="page"/>
      </w:r>
      <w:bookmarkStart w:id="2253" w:name="_Toc228881261"/>
      <w:bookmarkStart w:id="2254" w:name="_Toc500864551"/>
      <w:bookmarkStart w:id="2255" w:name="_Toc214434001"/>
      <w:bookmarkStart w:id="2256" w:name="_Toc228337210"/>
      <w:bookmarkStart w:id="2257" w:name="_Toc228591621"/>
      <w:bookmarkStart w:id="2258" w:name="_Toc272772681"/>
      <w:bookmarkStart w:id="2259" w:name="_Toc32234"/>
      <w:bookmarkStart w:id="2260" w:name="_Toc431367156"/>
      <w:bookmarkStart w:id="2261" w:name="_Toc228591769"/>
      <w:bookmarkStart w:id="2262" w:name="_Toc228589275"/>
      <w:bookmarkStart w:id="2263" w:name="_Toc227657599"/>
      <w:bookmarkStart w:id="2264" w:name="_Toc227492357"/>
      <w:bookmarkStart w:id="2265" w:name="_Toc12047"/>
      <w:bookmarkStart w:id="2266" w:name="_Toc13019"/>
      <w:r>
        <w:rPr>
          <w:rFonts w:hint="eastAsia" w:ascii="宋体" w:hAnsi="宋体" w:eastAsia="宋体" w:cs="宋体"/>
          <w:b/>
          <w:color w:val="auto"/>
          <w:kern w:val="0"/>
          <w:sz w:val="32"/>
          <w:szCs w:val="21"/>
          <w:highlight w:val="none"/>
        </w:rPr>
        <w:t>九、资格审查资料</w:t>
      </w:r>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Start w:id="2267" w:name="_Toc521"/>
      <w:bookmarkStart w:id="2268" w:name="_Toc272772682"/>
      <w:bookmarkStart w:id="2269" w:name="_Toc214434002"/>
      <w:bookmarkStart w:id="2270" w:name="_Toc228589276"/>
      <w:bookmarkStart w:id="2271" w:name="_Toc228337211"/>
      <w:bookmarkStart w:id="2272" w:name="_Toc7144"/>
      <w:bookmarkStart w:id="2273" w:name="_Toc500865942"/>
      <w:bookmarkStart w:id="2274" w:name="_Toc431367157"/>
      <w:bookmarkStart w:id="2275" w:name="_Toc227657600"/>
      <w:bookmarkStart w:id="2276" w:name="_Toc228591770"/>
      <w:bookmarkStart w:id="2277" w:name="_Toc228881262"/>
      <w:bookmarkStart w:id="2278" w:name="_Toc228591622"/>
      <w:bookmarkStart w:id="2279" w:name="_Toc32399"/>
      <w:bookmarkStart w:id="2280" w:name="_Toc227492358"/>
      <w:bookmarkStart w:id="2281" w:name="_Toc500864552"/>
    </w:p>
    <w:p w14:paraId="434AFC1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（一）投标人基本情况表</w:t>
      </w:r>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p>
    <w:tbl>
      <w:tblPr>
        <w:tblStyle w:val="4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1143"/>
        <w:gridCol w:w="1373"/>
        <w:gridCol w:w="1376"/>
        <w:gridCol w:w="936"/>
        <w:gridCol w:w="438"/>
        <w:gridCol w:w="1374"/>
        <w:gridCol w:w="1376"/>
      </w:tblGrid>
      <w:tr w14:paraId="6150A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4701668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投标人名称</w:t>
            </w:r>
          </w:p>
        </w:tc>
        <w:tc>
          <w:tcPr>
            <w:tcW w:w="8016" w:type="dxa"/>
            <w:gridSpan w:val="7"/>
            <w:vAlign w:val="center"/>
          </w:tcPr>
          <w:p w14:paraId="62DB365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6001E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43F2BE8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注册地址</w:t>
            </w:r>
          </w:p>
        </w:tc>
        <w:tc>
          <w:tcPr>
            <w:tcW w:w="3892" w:type="dxa"/>
            <w:gridSpan w:val="3"/>
            <w:vAlign w:val="center"/>
          </w:tcPr>
          <w:p w14:paraId="1DB3149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6142813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邮政编码</w:t>
            </w:r>
          </w:p>
        </w:tc>
        <w:tc>
          <w:tcPr>
            <w:tcW w:w="2750" w:type="dxa"/>
            <w:gridSpan w:val="2"/>
            <w:vAlign w:val="center"/>
          </w:tcPr>
          <w:p w14:paraId="6D85D04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EF90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Merge w:val="restart"/>
            <w:vAlign w:val="center"/>
          </w:tcPr>
          <w:p w14:paraId="6C23378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联系方式</w:t>
            </w:r>
          </w:p>
        </w:tc>
        <w:tc>
          <w:tcPr>
            <w:tcW w:w="1143" w:type="dxa"/>
            <w:vAlign w:val="center"/>
          </w:tcPr>
          <w:p w14:paraId="11B9E8B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联系人</w:t>
            </w:r>
          </w:p>
        </w:tc>
        <w:tc>
          <w:tcPr>
            <w:tcW w:w="2749" w:type="dxa"/>
            <w:gridSpan w:val="2"/>
            <w:vAlign w:val="center"/>
          </w:tcPr>
          <w:p w14:paraId="73B999F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25DF3C4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 话</w:t>
            </w:r>
          </w:p>
        </w:tc>
        <w:tc>
          <w:tcPr>
            <w:tcW w:w="2750" w:type="dxa"/>
            <w:gridSpan w:val="2"/>
            <w:vAlign w:val="center"/>
          </w:tcPr>
          <w:p w14:paraId="0A6A00A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82D8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603" w:type="dxa"/>
            <w:vMerge w:val="continue"/>
            <w:vAlign w:val="center"/>
          </w:tcPr>
          <w:p w14:paraId="743E3A8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43" w:type="dxa"/>
            <w:vAlign w:val="center"/>
          </w:tcPr>
          <w:p w14:paraId="089B57C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传  真</w:t>
            </w:r>
          </w:p>
        </w:tc>
        <w:tc>
          <w:tcPr>
            <w:tcW w:w="2749" w:type="dxa"/>
            <w:gridSpan w:val="2"/>
            <w:vAlign w:val="center"/>
          </w:tcPr>
          <w:p w14:paraId="2402360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329179C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网 址</w:t>
            </w:r>
          </w:p>
        </w:tc>
        <w:tc>
          <w:tcPr>
            <w:tcW w:w="2750" w:type="dxa"/>
            <w:gridSpan w:val="2"/>
            <w:vAlign w:val="center"/>
          </w:tcPr>
          <w:p w14:paraId="4E7B4D0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79CD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38D5228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组织结构</w:t>
            </w:r>
          </w:p>
        </w:tc>
        <w:tc>
          <w:tcPr>
            <w:tcW w:w="8016" w:type="dxa"/>
            <w:gridSpan w:val="7"/>
            <w:vAlign w:val="center"/>
          </w:tcPr>
          <w:p w14:paraId="0BE9011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68DC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0198C11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法定代表人</w:t>
            </w:r>
          </w:p>
        </w:tc>
        <w:tc>
          <w:tcPr>
            <w:tcW w:w="1143" w:type="dxa"/>
            <w:vAlign w:val="center"/>
          </w:tcPr>
          <w:p w14:paraId="294B453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cs="宋体"/>
                <w:color w:val="auto"/>
                <w:kern w:val="0"/>
                <w:sz w:val="21"/>
                <w:szCs w:val="22"/>
                <w:highlight w:val="none"/>
                <w:lang w:val="en-US" w:eastAsia="zh-CN"/>
              </w:rPr>
              <w:t>姓名</w:t>
            </w:r>
          </w:p>
        </w:tc>
        <w:tc>
          <w:tcPr>
            <w:tcW w:w="1373" w:type="dxa"/>
            <w:vAlign w:val="center"/>
          </w:tcPr>
          <w:p w14:paraId="3FF5F63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6" w:type="dxa"/>
            <w:vAlign w:val="center"/>
          </w:tcPr>
          <w:p w14:paraId="00B15EE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技术职称</w:t>
            </w:r>
          </w:p>
        </w:tc>
        <w:tc>
          <w:tcPr>
            <w:tcW w:w="1374" w:type="dxa"/>
            <w:gridSpan w:val="2"/>
            <w:vAlign w:val="center"/>
          </w:tcPr>
          <w:p w14:paraId="0169A92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vAlign w:val="center"/>
          </w:tcPr>
          <w:p w14:paraId="6E4C2AE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电话</w:t>
            </w:r>
          </w:p>
        </w:tc>
        <w:tc>
          <w:tcPr>
            <w:tcW w:w="1376" w:type="dxa"/>
            <w:vAlign w:val="center"/>
          </w:tcPr>
          <w:p w14:paraId="2E18D4B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165B7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6B30C80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技术负责人</w:t>
            </w:r>
          </w:p>
        </w:tc>
        <w:tc>
          <w:tcPr>
            <w:tcW w:w="1143" w:type="dxa"/>
            <w:vAlign w:val="center"/>
          </w:tcPr>
          <w:p w14:paraId="70D530C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cs="宋体"/>
                <w:color w:val="auto"/>
                <w:kern w:val="0"/>
                <w:sz w:val="21"/>
                <w:szCs w:val="22"/>
                <w:highlight w:val="none"/>
                <w:lang w:val="en-US" w:eastAsia="zh-CN"/>
              </w:rPr>
              <w:t>签</w:t>
            </w:r>
            <w:r>
              <w:rPr>
                <w:rFonts w:hint="eastAsia" w:ascii="宋体" w:hAnsi="宋体" w:eastAsia="宋体" w:cs="宋体"/>
                <w:color w:val="auto"/>
                <w:kern w:val="0"/>
                <w:sz w:val="21"/>
                <w:szCs w:val="22"/>
                <w:highlight w:val="none"/>
              </w:rPr>
              <w:t>名</w:t>
            </w:r>
          </w:p>
        </w:tc>
        <w:tc>
          <w:tcPr>
            <w:tcW w:w="1373" w:type="dxa"/>
            <w:vAlign w:val="center"/>
          </w:tcPr>
          <w:p w14:paraId="206DDDB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6" w:type="dxa"/>
            <w:vAlign w:val="center"/>
          </w:tcPr>
          <w:p w14:paraId="4DC3114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技术职称</w:t>
            </w:r>
          </w:p>
        </w:tc>
        <w:tc>
          <w:tcPr>
            <w:tcW w:w="1374" w:type="dxa"/>
            <w:gridSpan w:val="2"/>
            <w:vAlign w:val="center"/>
          </w:tcPr>
          <w:p w14:paraId="044ECE9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vAlign w:val="center"/>
          </w:tcPr>
          <w:p w14:paraId="65C7C8D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电话</w:t>
            </w:r>
          </w:p>
        </w:tc>
        <w:tc>
          <w:tcPr>
            <w:tcW w:w="1376" w:type="dxa"/>
            <w:vAlign w:val="center"/>
          </w:tcPr>
          <w:p w14:paraId="32A9A9C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FABC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64DC7E1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成立时间</w:t>
            </w:r>
          </w:p>
        </w:tc>
        <w:tc>
          <w:tcPr>
            <w:tcW w:w="3892" w:type="dxa"/>
            <w:gridSpan w:val="3"/>
            <w:vAlign w:val="center"/>
          </w:tcPr>
          <w:p w14:paraId="3448AE2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4124" w:type="dxa"/>
            <w:gridSpan w:val="4"/>
            <w:vAlign w:val="center"/>
          </w:tcPr>
          <w:p w14:paraId="3F67A3E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员工总人数：</w:t>
            </w:r>
          </w:p>
        </w:tc>
      </w:tr>
      <w:tr w14:paraId="23AE8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705D52D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营业执照号</w:t>
            </w:r>
          </w:p>
        </w:tc>
        <w:tc>
          <w:tcPr>
            <w:tcW w:w="3892" w:type="dxa"/>
            <w:gridSpan w:val="3"/>
            <w:vAlign w:val="center"/>
          </w:tcPr>
          <w:p w14:paraId="13DBB33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restart"/>
            <w:vAlign w:val="center"/>
          </w:tcPr>
          <w:p w14:paraId="02028E5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其中</w:t>
            </w:r>
          </w:p>
        </w:tc>
        <w:tc>
          <w:tcPr>
            <w:tcW w:w="1812" w:type="dxa"/>
            <w:gridSpan w:val="2"/>
            <w:vAlign w:val="center"/>
          </w:tcPr>
          <w:p w14:paraId="2937838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项目经理</w:t>
            </w:r>
          </w:p>
        </w:tc>
        <w:tc>
          <w:tcPr>
            <w:tcW w:w="1376" w:type="dxa"/>
            <w:vAlign w:val="center"/>
          </w:tcPr>
          <w:p w14:paraId="70004B0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F1C4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603" w:type="dxa"/>
            <w:vAlign w:val="center"/>
          </w:tcPr>
          <w:p w14:paraId="5007121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注册资金</w:t>
            </w:r>
          </w:p>
        </w:tc>
        <w:tc>
          <w:tcPr>
            <w:tcW w:w="3892" w:type="dxa"/>
            <w:gridSpan w:val="3"/>
            <w:vAlign w:val="center"/>
          </w:tcPr>
          <w:p w14:paraId="1625243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4F3D860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51577FF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高级职称人员</w:t>
            </w:r>
          </w:p>
        </w:tc>
        <w:tc>
          <w:tcPr>
            <w:tcW w:w="1376" w:type="dxa"/>
            <w:vAlign w:val="center"/>
          </w:tcPr>
          <w:p w14:paraId="3C4C377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08221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49E84B0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企业资质等级</w:t>
            </w:r>
          </w:p>
        </w:tc>
        <w:tc>
          <w:tcPr>
            <w:tcW w:w="3892" w:type="dxa"/>
            <w:gridSpan w:val="3"/>
            <w:vAlign w:val="center"/>
          </w:tcPr>
          <w:p w14:paraId="39A8F8F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59BEC7B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216B56C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中级职称人员</w:t>
            </w:r>
          </w:p>
        </w:tc>
        <w:tc>
          <w:tcPr>
            <w:tcW w:w="1376" w:type="dxa"/>
            <w:vAlign w:val="center"/>
          </w:tcPr>
          <w:p w14:paraId="5EBFC4F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77793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603" w:type="dxa"/>
            <w:vAlign w:val="center"/>
          </w:tcPr>
          <w:p w14:paraId="3962C6E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开户银行</w:t>
            </w:r>
          </w:p>
        </w:tc>
        <w:tc>
          <w:tcPr>
            <w:tcW w:w="3892" w:type="dxa"/>
            <w:gridSpan w:val="3"/>
            <w:vAlign w:val="center"/>
          </w:tcPr>
          <w:p w14:paraId="4772C33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23E194C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4AA258B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初级职称人员</w:t>
            </w:r>
          </w:p>
        </w:tc>
        <w:tc>
          <w:tcPr>
            <w:tcW w:w="1376" w:type="dxa"/>
            <w:vAlign w:val="center"/>
          </w:tcPr>
          <w:p w14:paraId="53491AD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4CC4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1672EB7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账号</w:t>
            </w:r>
          </w:p>
        </w:tc>
        <w:tc>
          <w:tcPr>
            <w:tcW w:w="3892" w:type="dxa"/>
            <w:gridSpan w:val="3"/>
            <w:vAlign w:val="center"/>
          </w:tcPr>
          <w:p w14:paraId="3A203D4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1D96E88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6CCDCBE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 工</w:t>
            </w:r>
          </w:p>
        </w:tc>
        <w:tc>
          <w:tcPr>
            <w:tcW w:w="1376" w:type="dxa"/>
            <w:vAlign w:val="center"/>
          </w:tcPr>
          <w:p w14:paraId="0F7103C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7E487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9" w:hRule="atLeast"/>
          <w:jc w:val="center"/>
        </w:trPr>
        <w:tc>
          <w:tcPr>
            <w:tcW w:w="1603" w:type="dxa"/>
            <w:vAlign w:val="center"/>
          </w:tcPr>
          <w:p w14:paraId="202981D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经营范围</w:t>
            </w:r>
          </w:p>
        </w:tc>
        <w:tc>
          <w:tcPr>
            <w:tcW w:w="8016" w:type="dxa"/>
            <w:gridSpan w:val="7"/>
            <w:vAlign w:val="center"/>
          </w:tcPr>
          <w:p w14:paraId="5D189D9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729E4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603" w:type="dxa"/>
            <w:vAlign w:val="center"/>
          </w:tcPr>
          <w:p w14:paraId="55718FC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c>
          <w:tcPr>
            <w:tcW w:w="8016" w:type="dxa"/>
            <w:gridSpan w:val="7"/>
            <w:vAlign w:val="center"/>
          </w:tcPr>
          <w:p w14:paraId="476B577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05CEA0F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282" w:name="_Toc228591623"/>
      <w:bookmarkStart w:id="2283" w:name="_Toc228589277"/>
      <w:bookmarkStart w:id="2284" w:name="_Toc30407"/>
      <w:bookmarkStart w:id="2285" w:name="_Toc431367158"/>
      <w:bookmarkStart w:id="2286" w:name="_Toc228591771"/>
      <w:bookmarkStart w:id="2287" w:name="_Toc214434003"/>
      <w:bookmarkStart w:id="2288" w:name="_Toc500865943"/>
      <w:bookmarkStart w:id="2289" w:name="_Toc500864553"/>
      <w:bookmarkStart w:id="2290" w:name="_Toc228881263"/>
      <w:bookmarkStart w:id="2291" w:name="_Toc227657601"/>
      <w:bookmarkStart w:id="2292" w:name="_Toc228337212"/>
      <w:bookmarkStart w:id="2293" w:name="_Toc227492359"/>
      <w:bookmarkStart w:id="2294" w:name="_Toc26612"/>
      <w:bookmarkStart w:id="2295" w:name="_Toc24159"/>
      <w:bookmarkStart w:id="2296" w:name="_Toc272772683"/>
    </w:p>
    <w:p w14:paraId="2051C83D">
      <w:pPr>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br w:type="page"/>
      </w:r>
    </w:p>
    <w:p w14:paraId="3AC3798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（二）近年财务状况表</w:t>
      </w:r>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p>
    <w:p w14:paraId="16C4AD5D">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br w:type="page"/>
      </w:r>
      <w:bookmarkStart w:id="2297" w:name="_Toc228591772"/>
      <w:bookmarkStart w:id="2298" w:name="_Toc14199"/>
      <w:bookmarkStart w:id="2299" w:name="_Toc500864554"/>
      <w:bookmarkStart w:id="2300" w:name="_Toc214434004"/>
      <w:bookmarkStart w:id="2301" w:name="_Toc31406"/>
      <w:bookmarkStart w:id="2302" w:name="_Toc227492360"/>
      <w:bookmarkStart w:id="2303" w:name="_Toc228337213"/>
      <w:bookmarkStart w:id="2304" w:name="_Toc431367159"/>
      <w:bookmarkStart w:id="2305" w:name="_Toc272772684"/>
      <w:bookmarkStart w:id="2306" w:name="_Toc500865944"/>
      <w:bookmarkStart w:id="2307" w:name="_Toc228589278"/>
      <w:bookmarkStart w:id="2308" w:name="_Toc228881264"/>
      <w:bookmarkStart w:id="2309" w:name="_Toc227657602"/>
      <w:bookmarkStart w:id="2310" w:name="_Toc228591624"/>
      <w:bookmarkStart w:id="2311" w:name="_Toc12036"/>
    </w:p>
    <w:p w14:paraId="50AFABF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（三）近年完成的类似项目情况表</w:t>
      </w:r>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p>
    <w:p w14:paraId="637A5182">
      <w:pPr>
        <w:pageBreakBefore w:val="0"/>
        <w:widowControl w:val="0"/>
        <w:kinsoku/>
        <w:wordWrap w:val="0"/>
        <w:overflowPunct/>
        <w:topLinePunct w:val="0"/>
        <w:bidi w:val="0"/>
        <w:spacing w:after="120" w:afterLines="0" w:afterAutospacing="0" w:line="360" w:lineRule="auto"/>
        <w:ind w:left="0" w:leftChars="0" w:firstLine="0" w:firstLineChars="0"/>
        <w:jc w:val="both"/>
        <w:rPr>
          <w:rFonts w:hint="eastAsia" w:ascii="宋体" w:hAnsi="宋体" w:eastAsia="宋体" w:cs="宋体"/>
          <w:b/>
          <w:bCs/>
          <w:color w:val="auto"/>
          <w:kern w:val="2"/>
          <w:sz w:val="24"/>
          <w:szCs w:val="22"/>
          <w:highlight w:val="none"/>
          <w:lang w:val="en-US" w:eastAsia="zh-CN" w:bidi="ar-SA"/>
        </w:rPr>
      </w:pPr>
    </w:p>
    <w:p w14:paraId="2F710CF5">
      <w:pPr>
        <w:pageBreakBefore w:val="0"/>
        <w:widowControl w:val="0"/>
        <w:kinsoku/>
        <w:wordWrap w:val="0"/>
        <w:overflowPunct/>
        <w:topLinePunct w:val="0"/>
        <w:bidi w:val="0"/>
        <w:spacing w:after="120" w:afterLines="0" w:afterAutospacing="0" w:line="360" w:lineRule="auto"/>
        <w:ind w:left="0" w:leftChars="0" w:firstLine="0" w:firstLineChars="0"/>
        <w:jc w:val="center"/>
        <w:rPr>
          <w:rFonts w:hint="eastAsia" w:ascii="宋体" w:hAnsi="宋体" w:eastAsia="宋体" w:cs="宋体"/>
          <w:b/>
          <w:bCs/>
          <w:color w:val="auto"/>
          <w:kern w:val="2"/>
          <w:sz w:val="24"/>
          <w:szCs w:val="22"/>
          <w:highlight w:val="none"/>
          <w:lang w:val="en-US" w:eastAsia="zh-CN" w:bidi="ar-SA"/>
        </w:rPr>
      </w:pPr>
      <w:r>
        <w:rPr>
          <w:rFonts w:hint="eastAsia" w:ascii="宋体" w:hAnsi="宋体" w:eastAsia="宋体" w:cs="宋体"/>
          <w:b/>
          <w:bCs/>
          <w:color w:val="auto"/>
          <w:kern w:val="2"/>
          <w:sz w:val="24"/>
          <w:szCs w:val="22"/>
          <w:highlight w:val="none"/>
          <w:lang w:val="en-US" w:eastAsia="zh-CN" w:bidi="ar-SA"/>
        </w:rPr>
        <w:t>近</w:t>
      </w:r>
      <w:r>
        <w:rPr>
          <w:rFonts w:hint="eastAsia" w:ascii="宋体" w:hAnsi="宋体" w:cs="宋体"/>
          <w:b/>
          <w:bCs/>
          <w:color w:val="auto"/>
          <w:kern w:val="2"/>
          <w:sz w:val="24"/>
          <w:szCs w:val="22"/>
          <w:highlight w:val="none"/>
          <w:lang w:val="en-US" w:eastAsia="zh-CN" w:bidi="ar-SA"/>
        </w:rPr>
        <w:t>年</w:t>
      </w:r>
      <w:r>
        <w:rPr>
          <w:rFonts w:hint="eastAsia" w:ascii="宋体" w:hAnsi="宋体" w:eastAsia="宋体" w:cs="宋体"/>
          <w:b/>
          <w:bCs/>
          <w:color w:val="auto"/>
          <w:kern w:val="2"/>
          <w:sz w:val="24"/>
          <w:szCs w:val="22"/>
          <w:highlight w:val="none"/>
          <w:lang w:val="en-US" w:eastAsia="zh-CN" w:bidi="ar-SA"/>
        </w:rPr>
        <w:t>完成的类似项目汇总表</w:t>
      </w:r>
    </w:p>
    <w:tbl>
      <w:tblPr>
        <w:tblStyle w:val="44"/>
        <w:tblW w:w="9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092"/>
        <w:gridCol w:w="1263"/>
      </w:tblGrid>
      <w:tr w14:paraId="1B626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704" w:type="dxa"/>
            <w:noWrap w:val="0"/>
            <w:vAlign w:val="center"/>
          </w:tcPr>
          <w:p w14:paraId="49A4C983">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序号</w:t>
            </w:r>
          </w:p>
        </w:tc>
        <w:tc>
          <w:tcPr>
            <w:tcW w:w="1704" w:type="dxa"/>
            <w:noWrap w:val="0"/>
            <w:vAlign w:val="center"/>
          </w:tcPr>
          <w:p w14:paraId="62315E6F">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kern w:val="0"/>
                <w:szCs w:val="22"/>
                <w:highlight w:val="none"/>
              </w:rPr>
              <w:t>项目名称</w:t>
            </w:r>
          </w:p>
        </w:tc>
        <w:tc>
          <w:tcPr>
            <w:tcW w:w="1704" w:type="dxa"/>
            <w:noWrap w:val="0"/>
            <w:vAlign w:val="center"/>
          </w:tcPr>
          <w:p w14:paraId="5ADADE4A">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kern w:val="0"/>
                <w:szCs w:val="22"/>
                <w:highlight w:val="none"/>
              </w:rPr>
              <w:t>发包人名称</w:t>
            </w:r>
          </w:p>
        </w:tc>
        <w:tc>
          <w:tcPr>
            <w:tcW w:w="1705" w:type="dxa"/>
            <w:noWrap w:val="0"/>
            <w:vAlign w:val="center"/>
          </w:tcPr>
          <w:p w14:paraId="15E4F8B9">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合同签订时间</w:t>
            </w:r>
          </w:p>
        </w:tc>
        <w:tc>
          <w:tcPr>
            <w:tcW w:w="1092" w:type="dxa"/>
            <w:noWrap w:val="0"/>
            <w:vAlign w:val="center"/>
          </w:tcPr>
          <w:p w14:paraId="56A7BBB3">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合同价格</w:t>
            </w:r>
          </w:p>
        </w:tc>
        <w:tc>
          <w:tcPr>
            <w:tcW w:w="1263" w:type="dxa"/>
            <w:noWrap w:val="0"/>
            <w:vAlign w:val="center"/>
          </w:tcPr>
          <w:p w14:paraId="1A51C4DF">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备注</w:t>
            </w:r>
          </w:p>
        </w:tc>
      </w:tr>
      <w:tr w14:paraId="3A52D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0FFD70D7">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1</w:t>
            </w:r>
          </w:p>
        </w:tc>
        <w:tc>
          <w:tcPr>
            <w:tcW w:w="1704" w:type="dxa"/>
            <w:noWrap w:val="0"/>
            <w:vAlign w:val="center"/>
          </w:tcPr>
          <w:p w14:paraId="687486D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4" w:type="dxa"/>
            <w:noWrap w:val="0"/>
            <w:vAlign w:val="center"/>
          </w:tcPr>
          <w:p w14:paraId="3FBB50C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5" w:type="dxa"/>
            <w:noWrap w:val="0"/>
            <w:vAlign w:val="center"/>
          </w:tcPr>
          <w:p w14:paraId="6DB8760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092" w:type="dxa"/>
            <w:noWrap w:val="0"/>
            <w:vAlign w:val="center"/>
          </w:tcPr>
          <w:p w14:paraId="0E6EA13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263" w:type="dxa"/>
            <w:noWrap w:val="0"/>
            <w:vAlign w:val="center"/>
          </w:tcPr>
          <w:p w14:paraId="166D411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r>
      <w:tr w14:paraId="3D53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31E5BDCC">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2</w:t>
            </w:r>
          </w:p>
        </w:tc>
        <w:tc>
          <w:tcPr>
            <w:tcW w:w="1704" w:type="dxa"/>
            <w:noWrap w:val="0"/>
            <w:vAlign w:val="center"/>
          </w:tcPr>
          <w:p w14:paraId="3B430A1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4" w:type="dxa"/>
            <w:noWrap w:val="0"/>
            <w:vAlign w:val="center"/>
          </w:tcPr>
          <w:p w14:paraId="2463B2F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5" w:type="dxa"/>
            <w:noWrap w:val="0"/>
            <w:vAlign w:val="center"/>
          </w:tcPr>
          <w:p w14:paraId="5EEC0E7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092" w:type="dxa"/>
            <w:noWrap w:val="0"/>
            <w:vAlign w:val="center"/>
          </w:tcPr>
          <w:p w14:paraId="7C6E76C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263" w:type="dxa"/>
            <w:noWrap w:val="0"/>
            <w:vAlign w:val="center"/>
          </w:tcPr>
          <w:p w14:paraId="4203A3F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r>
      <w:tr w14:paraId="31FFD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1AE6784F">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rPr>
            </w:pPr>
            <w:r>
              <w:rPr>
                <w:rFonts w:hint="eastAsia" w:ascii="宋体" w:hAnsi="宋体" w:cs="宋体"/>
                <w:i w:val="0"/>
                <w:iCs w:val="0"/>
                <w:color w:val="auto"/>
                <w:kern w:val="0"/>
                <w:sz w:val="21"/>
                <w:szCs w:val="21"/>
                <w:highlight w:val="none"/>
                <w:u w:val="none"/>
                <w:lang w:val="en-US" w:eastAsia="zh-CN" w:bidi="ar"/>
              </w:rPr>
              <w:t>……</w:t>
            </w:r>
          </w:p>
        </w:tc>
        <w:tc>
          <w:tcPr>
            <w:tcW w:w="1704" w:type="dxa"/>
            <w:noWrap w:val="0"/>
            <w:vAlign w:val="center"/>
          </w:tcPr>
          <w:p w14:paraId="13E1BB0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704" w:type="dxa"/>
            <w:noWrap w:val="0"/>
            <w:vAlign w:val="center"/>
          </w:tcPr>
          <w:p w14:paraId="1BB3C46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705" w:type="dxa"/>
            <w:noWrap w:val="0"/>
            <w:vAlign w:val="center"/>
          </w:tcPr>
          <w:p w14:paraId="1453280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092" w:type="dxa"/>
            <w:noWrap w:val="0"/>
            <w:vAlign w:val="center"/>
          </w:tcPr>
          <w:p w14:paraId="399756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263" w:type="dxa"/>
            <w:noWrap w:val="0"/>
            <w:vAlign w:val="center"/>
          </w:tcPr>
          <w:p w14:paraId="3F5349D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r>
    </w:tbl>
    <w:p w14:paraId="08AEAECB">
      <w:pPr>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br w:type="page"/>
      </w:r>
    </w:p>
    <w:p w14:paraId="3D60B2A8">
      <w:pPr>
        <w:pStyle w:val="17"/>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近</w:t>
      </w:r>
      <w:r>
        <w:rPr>
          <w:rFonts w:hint="eastAsia" w:ascii="宋体" w:hAnsi="宋体" w:cs="宋体"/>
          <w:b/>
          <w:bCs/>
          <w:color w:val="auto"/>
          <w:kern w:val="0"/>
          <w:sz w:val="28"/>
          <w:highlight w:val="none"/>
          <w:lang w:eastAsia="zh-CN"/>
        </w:rPr>
        <w:t>年</w:t>
      </w:r>
      <w:r>
        <w:rPr>
          <w:rFonts w:hint="eastAsia" w:ascii="宋体" w:hAnsi="宋体" w:eastAsia="宋体" w:cs="宋体"/>
          <w:b/>
          <w:bCs/>
          <w:color w:val="auto"/>
          <w:kern w:val="0"/>
          <w:sz w:val="28"/>
          <w:highlight w:val="none"/>
        </w:rPr>
        <w:t>完成的类似项目情况表</w:t>
      </w:r>
    </w:p>
    <w:p w14:paraId="65A15CFE">
      <w:pPr>
        <w:pStyle w:val="18"/>
        <w:rPr>
          <w:rFonts w:hint="eastAsia"/>
          <w:color w:val="auto"/>
          <w:highlight w:val="none"/>
        </w:rPr>
      </w:pPr>
    </w:p>
    <w:tbl>
      <w:tblPr>
        <w:tblStyle w:val="43"/>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6732"/>
      </w:tblGrid>
      <w:tr w14:paraId="0F7BD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772BEB5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732" w:type="dxa"/>
            <w:vAlign w:val="center"/>
          </w:tcPr>
          <w:p w14:paraId="7A42024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C8C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33CD62D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项目所在地</w:t>
            </w:r>
          </w:p>
        </w:tc>
        <w:tc>
          <w:tcPr>
            <w:tcW w:w="6732" w:type="dxa"/>
            <w:vAlign w:val="center"/>
          </w:tcPr>
          <w:p w14:paraId="6591C39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2DE5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37191BE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发包人名称</w:t>
            </w:r>
          </w:p>
        </w:tc>
        <w:tc>
          <w:tcPr>
            <w:tcW w:w="6732" w:type="dxa"/>
            <w:vAlign w:val="center"/>
          </w:tcPr>
          <w:p w14:paraId="64525C2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42689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06D99BF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发包人地址</w:t>
            </w:r>
          </w:p>
        </w:tc>
        <w:tc>
          <w:tcPr>
            <w:tcW w:w="6732" w:type="dxa"/>
            <w:vAlign w:val="center"/>
          </w:tcPr>
          <w:p w14:paraId="71FA717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4D8A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2BF83D4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发包人电话</w:t>
            </w:r>
          </w:p>
        </w:tc>
        <w:tc>
          <w:tcPr>
            <w:tcW w:w="6732" w:type="dxa"/>
            <w:vAlign w:val="center"/>
          </w:tcPr>
          <w:p w14:paraId="0C7AE69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25B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3686B0E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合同价格</w:t>
            </w:r>
          </w:p>
        </w:tc>
        <w:tc>
          <w:tcPr>
            <w:tcW w:w="6732" w:type="dxa"/>
            <w:vAlign w:val="center"/>
          </w:tcPr>
          <w:p w14:paraId="29825F7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53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5F6D45E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开工日期</w:t>
            </w:r>
          </w:p>
        </w:tc>
        <w:tc>
          <w:tcPr>
            <w:tcW w:w="6732" w:type="dxa"/>
            <w:vAlign w:val="center"/>
          </w:tcPr>
          <w:p w14:paraId="4C71002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4A15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6ABE0C4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竣工日期</w:t>
            </w:r>
          </w:p>
        </w:tc>
        <w:tc>
          <w:tcPr>
            <w:tcW w:w="6732" w:type="dxa"/>
            <w:vAlign w:val="center"/>
          </w:tcPr>
          <w:p w14:paraId="1F8AFAD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6171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1FA99D5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承担的工作</w:t>
            </w:r>
          </w:p>
        </w:tc>
        <w:tc>
          <w:tcPr>
            <w:tcW w:w="6732" w:type="dxa"/>
            <w:vAlign w:val="center"/>
          </w:tcPr>
          <w:p w14:paraId="6CDC15B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92C8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04A1A9FE">
            <w:pPr>
              <w:wordWrap w:val="0"/>
              <w:autoSpaceDE w:val="0"/>
              <w:autoSpaceDN w:val="0"/>
              <w:adjustRightInd w:val="0"/>
              <w:spacing w:line="360" w:lineRule="auto"/>
              <w:ind w:right="-34" w:rightChars="-16"/>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工程质量</w:t>
            </w:r>
            <w:r>
              <w:rPr>
                <w:rFonts w:hint="eastAsia" w:ascii="宋体" w:hAnsi="宋体" w:cs="宋体"/>
                <w:color w:val="auto"/>
                <w:kern w:val="0"/>
                <w:sz w:val="21"/>
                <w:szCs w:val="21"/>
                <w:highlight w:val="none"/>
                <w:lang w:val="en-US" w:eastAsia="zh-CN"/>
              </w:rPr>
              <w:t>和工期</w:t>
            </w:r>
          </w:p>
        </w:tc>
        <w:tc>
          <w:tcPr>
            <w:tcW w:w="6732" w:type="dxa"/>
            <w:vAlign w:val="center"/>
          </w:tcPr>
          <w:p w14:paraId="431E646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3D89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4D00CD7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项目经理</w:t>
            </w:r>
          </w:p>
        </w:tc>
        <w:tc>
          <w:tcPr>
            <w:tcW w:w="6732" w:type="dxa"/>
            <w:vAlign w:val="center"/>
          </w:tcPr>
          <w:p w14:paraId="45C62D0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723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215D715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技术负责人</w:t>
            </w:r>
          </w:p>
        </w:tc>
        <w:tc>
          <w:tcPr>
            <w:tcW w:w="6732" w:type="dxa"/>
            <w:vAlign w:val="center"/>
          </w:tcPr>
          <w:p w14:paraId="0209CDB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39FA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2E5C05C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总监理工程师及电话</w:t>
            </w:r>
          </w:p>
        </w:tc>
        <w:tc>
          <w:tcPr>
            <w:tcW w:w="6732" w:type="dxa"/>
            <w:vAlign w:val="center"/>
          </w:tcPr>
          <w:p w14:paraId="370EBFD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E870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5" w:hRule="atLeast"/>
        </w:trPr>
        <w:tc>
          <w:tcPr>
            <w:tcW w:w="2867" w:type="dxa"/>
            <w:vAlign w:val="center"/>
          </w:tcPr>
          <w:p w14:paraId="56850A5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项目描述</w:t>
            </w:r>
          </w:p>
        </w:tc>
        <w:tc>
          <w:tcPr>
            <w:tcW w:w="6732" w:type="dxa"/>
            <w:vAlign w:val="center"/>
          </w:tcPr>
          <w:p w14:paraId="37F9E00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27FAC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867" w:type="dxa"/>
            <w:vAlign w:val="center"/>
          </w:tcPr>
          <w:p w14:paraId="72DDFA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6732" w:type="dxa"/>
            <w:vAlign w:val="center"/>
          </w:tcPr>
          <w:p w14:paraId="6FF7EDF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bl>
    <w:p w14:paraId="6285E29C">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bookmarkStart w:id="2312" w:name="_Toc214434005"/>
      <w:bookmarkStart w:id="2313" w:name="_Toc228591773"/>
      <w:bookmarkStart w:id="2314" w:name="_Toc431367160"/>
      <w:bookmarkStart w:id="2315" w:name="_Toc227492361"/>
      <w:bookmarkStart w:id="2316" w:name="_Toc272772685"/>
      <w:bookmarkStart w:id="2317" w:name="_Toc228589279"/>
      <w:bookmarkStart w:id="2318" w:name="_Toc228591625"/>
      <w:bookmarkStart w:id="2319" w:name="_Toc227657603"/>
      <w:bookmarkStart w:id="2320" w:name="_Toc228337214"/>
      <w:bookmarkStart w:id="2321" w:name="_Toc228881265"/>
      <w:r>
        <w:rPr>
          <w:rFonts w:hint="eastAsia" w:ascii="宋体" w:hAnsi="宋体" w:eastAsia="宋体" w:cs="宋体"/>
          <w:color w:val="auto"/>
          <w:kern w:val="0"/>
          <w:sz w:val="28"/>
          <w:highlight w:val="none"/>
        </w:rPr>
        <w:br w:type="page"/>
      </w:r>
      <w:bookmarkStart w:id="2322" w:name="_Toc22601"/>
      <w:bookmarkStart w:id="2323" w:name="_Toc500864555"/>
      <w:bookmarkStart w:id="2324" w:name="_Toc27879"/>
      <w:bookmarkStart w:id="2325" w:name="_Toc500865945"/>
      <w:bookmarkStart w:id="2326" w:name="_Toc28490"/>
    </w:p>
    <w:p w14:paraId="67F60C2C">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（四）正在施工的和新承接的项目情况表</w:t>
      </w:r>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p>
    <w:tbl>
      <w:tblPr>
        <w:tblStyle w:val="43"/>
        <w:tblpPr w:leftFromText="180" w:rightFromText="180" w:vertAnchor="text" w:horzAnchor="margin" w:tblpY="258"/>
        <w:tblW w:w="9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0"/>
        <w:gridCol w:w="6939"/>
      </w:tblGrid>
      <w:tr w14:paraId="2CB33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2876510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939" w:type="dxa"/>
            <w:vAlign w:val="center"/>
          </w:tcPr>
          <w:p w14:paraId="69623D0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6651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7D9F3D8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项目所在地</w:t>
            </w:r>
          </w:p>
        </w:tc>
        <w:tc>
          <w:tcPr>
            <w:tcW w:w="6939" w:type="dxa"/>
            <w:vAlign w:val="center"/>
          </w:tcPr>
          <w:p w14:paraId="3038244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CBF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4B32053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发包人名称</w:t>
            </w:r>
          </w:p>
        </w:tc>
        <w:tc>
          <w:tcPr>
            <w:tcW w:w="6939" w:type="dxa"/>
            <w:vAlign w:val="center"/>
          </w:tcPr>
          <w:p w14:paraId="72FD5D5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4AD9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2493625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发包人地址</w:t>
            </w:r>
          </w:p>
        </w:tc>
        <w:tc>
          <w:tcPr>
            <w:tcW w:w="6939" w:type="dxa"/>
            <w:vAlign w:val="center"/>
          </w:tcPr>
          <w:p w14:paraId="3D1C276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E4A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545A61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发包人电话</w:t>
            </w:r>
          </w:p>
        </w:tc>
        <w:tc>
          <w:tcPr>
            <w:tcW w:w="6939" w:type="dxa"/>
            <w:vAlign w:val="center"/>
          </w:tcPr>
          <w:p w14:paraId="1C74D96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E74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42455FE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签约合同价</w:t>
            </w:r>
          </w:p>
        </w:tc>
        <w:tc>
          <w:tcPr>
            <w:tcW w:w="6939" w:type="dxa"/>
            <w:vAlign w:val="center"/>
          </w:tcPr>
          <w:p w14:paraId="2526D63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D5E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2677124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开工日期</w:t>
            </w:r>
          </w:p>
        </w:tc>
        <w:tc>
          <w:tcPr>
            <w:tcW w:w="6939" w:type="dxa"/>
            <w:vAlign w:val="center"/>
          </w:tcPr>
          <w:p w14:paraId="38E9307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9A85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4699540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计划竣工日期</w:t>
            </w:r>
          </w:p>
        </w:tc>
        <w:tc>
          <w:tcPr>
            <w:tcW w:w="6939" w:type="dxa"/>
            <w:vAlign w:val="center"/>
          </w:tcPr>
          <w:p w14:paraId="38E2F13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8E7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E4619F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承担的工作</w:t>
            </w:r>
          </w:p>
        </w:tc>
        <w:tc>
          <w:tcPr>
            <w:tcW w:w="6939" w:type="dxa"/>
            <w:vAlign w:val="center"/>
          </w:tcPr>
          <w:p w14:paraId="4C345A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1C21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4338272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工程质量</w:t>
            </w:r>
          </w:p>
        </w:tc>
        <w:tc>
          <w:tcPr>
            <w:tcW w:w="6939" w:type="dxa"/>
            <w:vAlign w:val="center"/>
          </w:tcPr>
          <w:p w14:paraId="60A8CEB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D739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2FC1F5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项目经理</w:t>
            </w:r>
          </w:p>
        </w:tc>
        <w:tc>
          <w:tcPr>
            <w:tcW w:w="6939" w:type="dxa"/>
            <w:vAlign w:val="center"/>
          </w:tcPr>
          <w:p w14:paraId="7E56384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2AB8A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7C2E095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技术负责人</w:t>
            </w:r>
          </w:p>
        </w:tc>
        <w:tc>
          <w:tcPr>
            <w:tcW w:w="6939" w:type="dxa"/>
            <w:vAlign w:val="center"/>
          </w:tcPr>
          <w:p w14:paraId="7C81C10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B54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047BEEB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总监理工程师及电话</w:t>
            </w:r>
          </w:p>
        </w:tc>
        <w:tc>
          <w:tcPr>
            <w:tcW w:w="6939" w:type="dxa"/>
            <w:vAlign w:val="center"/>
          </w:tcPr>
          <w:p w14:paraId="389FBF8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1768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trPr>
        <w:tc>
          <w:tcPr>
            <w:tcW w:w="2940" w:type="dxa"/>
            <w:vAlign w:val="center"/>
          </w:tcPr>
          <w:p w14:paraId="70BAD21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项目描述</w:t>
            </w:r>
          </w:p>
        </w:tc>
        <w:tc>
          <w:tcPr>
            <w:tcW w:w="6939" w:type="dxa"/>
            <w:vAlign w:val="center"/>
          </w:tcPr>
          <w:p w14:paraId="104FD46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46258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940" w:type="dxa"/>
            <w:vAlign w:val="center"/>
          </w:tcPr>
          <w:p w14:paraId="33F6328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6939" w:type="dxa"/>
            <w:vAlign w:val="center"/>
          </w:tcPr>
          <w:p w14:paraId="5D5F2CF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bl>
    <w:p w14:paraId="018B5729">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1CC871A6">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bookmarkStart w:id="2327" w:name="_Toc228881266"/>
      <w:bookmarkStart w:id="2328" w:name="_Toc228591774"/>
      <w:bookmarkStart w:id="2329" w:name="_Toc431367161"/>
      <w:bookmarkStart w:id="2330" w:name="_Toc20613"/>
      <w:bookmarkStart w:id="2331" w:name="_Toc500864556"/>
      <w:bookmarkStart w:id="2332" w:name="_Toc500865946"/>
      <w:bookmarkStart w:id="2333" w:name="_Toc5240"/>
      <w:bookmarkStart w:id="2334" w:name="_Toc214434006"/>
      <w:bookmarkStart w:id="2335" w:name="_Toc227492362"/>
      <w:bookmarkStart w:id="2336" w:name="_Toc228589280"/>
      <w:bookmarkStart w:id="2337" w:name="_Toc227657604"/>
      <w:bookmarkStart w:id="2338" w:name="_Toc228591626"/>
      <w:bookmarkStart w:id="2339" w:name="_Toc272772686"/>
      <w:bookmarkStart w:id="2340" w:name="_Toc228337215"/>
    </w:p>
    <w:p w14:paraId="6E03E634">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p>
    <w:p w14:paraId="71D689B1">
      <w:pPr>
        <w:wordWrap w:val="0"/>
        <w:autoSpaceDE w:val="0"/>
        <w:autoSpaceDN w:val="0"/>
        <w:adjustRightInd w:val="0"/>
        <w:spacing w:line="360" w:lineRule="auto"/>
        <w:ind w:right="-34" w:rightChars="-16"/>
        <w:outlineLvl w:val="0"/>
        <w:rPr>
          <w:rFonts w:hint="eastAsia" w:ascii="宋体" w:hAnsi="宋体" w:eastAsia="宋体" w:cs="宋体"/>
          <w:b/>
          <w:bCs/>
          <w:color w:val="auto"/>
          <w:kern w:val="0"/>
          <w:sz w:val="28"/>
          <w:highlight w:val="none"/>
        </w:rPr>
      </w:pPr>
    </w:p>
    <w:p w14:paraId="599D04E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341" w:name="_Toc29969"/>
      <w:r>
        <w:rPr>
          <w:rFonts w:hint="eastAsia" w:ascii="宋体" w:hAnsi="宋体" w:eastAsia="宋体" w:cs="宋体"/>
          <w:b/>
          <w:bCs/>
          <w:color w:val="auto"/>
          <w:kern w:val="0"/>
          <w:sz w:val="28"/>
          <w:highlight w:val="none"/>
        </w:rPr>
        <w:t>（五）近年发生的诉讼及仲裁情况</w:t>
      </w:r>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p>
    <w:p w14:paraId="1229FFB0">
      <w:pPr>
        <w:wordWrap w:val="0"/>
        <w:autoSpaceDE w:val="0"/>
        <w:autoSpaceDN w:val="0"/>
        <w:adjustRightInd w:val="0"/>
        <w:spacing w:line="360" w:lineRule="auto"/>
        <w:ind w:right="-34" w:rightChars="-16" w:firstLine="480" w:firstLineChars="200"/>
        <w:jc w:val="left"/>
        <w:outlineLvl w:val="0"/>
        <w:rPr>
          <w:rFonts w:hint="eastAsia" w:ascii="宋体" w:hAnsi="宋体" w:eastAsia="宋体" w:cs="宋体"/>
          <w:color w:val="auto"/>
          <w:kern w:val="0"/>
          <w:sz w:val="24"/>
          <w:szCs w:val="18"/>
          <w:highlight w:val="none"/>
        </w:rPr>
      </w:pPr>
    </w:p>
    <w:p w14:paraId="5947B0E7">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1"/>
          <w:szCs w:val="15"/>
          <w:highlight w:val="none"/>
        </w:rPr>
        <w:t>近年发生的诉讼和仲裁情况仅限于投标人败诉的，且与履行施工承包合同有关的案件，不包括调解结案以及未裁决的仲裁或未终审判决的诉讼</w:t>
      </w:r>
      <w:r>
        <w:rPr>
          <w:rFonts w:hint="eastAsia" w:ascii="宋体" w:hAnsi="宋体" w:eastAsia="宋体" w:cs="宋体"/>
          <w:color w:val="auto"/>
          <w:kern w:val="0"/>
          <w:sz w:val="24"/>
          <w:szCs w:val="18"/>
          <w:highlight w:val="none"/>
        </w:rPr>
        <w:t>。</w:t>
      </w:r>
    </w:p>
    <w:p w14:paraId="7B76D876">
      <w:pPr>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4"/>
          <w:szCs w:val="18"/>
          <w:highlight w:val="none"/>
        </w:rPr>
        <w:br w:type="page"/>
      </w:r>
    </w:p>
    <w:p w14:paraId="4200B301">
      <w:pPr>
        <w:pageBreakBefore w:val="0"/>
        <w:numPr>
          <w:ilvl w:val="0"/>
          <w:numId w:val="0"/>
        </w:numPr>
        <w:kinsoku/>
        <w:wordWrap w:val="0"/>
        <w:overflowPunct/>
        <w:topLinePunct w:val="0"/>
        <w:autoSpaceDE w:val="0"/>
        <w:autoSpaceDN w:val="0"/>
        <w:bidi w:val="0"/>
        <w:adjustRightInd w:val="0"/>
        <w:spacing w:line="360" w:lineRule="auto"/>
        <w:ind w:right="-34" w:rightChars="-16"/>
        <w:jc w:val="left"/>
        <w:outlineLvl w:val="0"/>
        <w:rPr>
          <w:rFonts w:hint="eastAsia" w:ascii="宋体" w:hAnsi="宋体" w:eastAsia="宋体" w:cs="宋体"/>
          <w:b/>
          <w:bCs/>
          <w:color w:val="auto"/>
          <w:sz w:val="28"/>
          <w:szCs w:val="28"/>
          <w:highlight w:val="none"/>
        </w:rPr>
      </w:pPr>
      <w:bookmarkStart w:id="2342" w:name="_Toc10613"/>
      <w:r>
        <w:rPr>
          <w:rFonts w:hint="eastAsia" w:ascii="宋体" w:hAnsi="宋体" w:eastAsia="宋体" w:cs="宋体"/>
          <w:b/>
          <w:bCs/>
          <w:color w:val="auto"/>
          <w:kern w:val="2"/>
          <w:sz w:val="28"/>
          <w:szCs w:val="28"/>
          <w:highlight w:val="none"/>
          <w:lang w:val="en-US" w:eastAsia="zh-CN" w:bidi="ar-SA"/>
        </w:rPr>
        <w:t>（六）</w:t>
      </w:r>
      <w:r>
        <w:rPr>
          <w:rFonts w:hint="eastAsia" w:ascii="宋体" w:hAnsi="宋体" w:eastAsia="宋体" w:cs="宋体"/>
          <w:b/>
          <w:bCs/>
          <w:color w:val="auto"/>
          <w:sz w:val="28"/>
          <w:szCs w:val="28"/>
          <w:highlight w:val="none"/>
        </w:rPr>
        <w:t>资格审查</w:t>
      </w:r>
      <w:r>
        <w:rPr>
          <w:rFonts w:hint="eastAsia" w:ascii="宋体" w:hAnsi="宋体" w:eastAsia="宋体" w:cs="宋体"/>
          <w:b/>
          <w:bCs/>
          <w:color w:val="auto"/>
          <w:sz w:val="28"/>
          <w:szCs w:val="28"/>
          <w:highlight w:val="none"/>
          <w:lang w:val="en-US" w:eastAsia="zh-CN"/>
        </w:rPr>
        <w:t>其他</w:t>
      </w:r>
      <w:r>
        <w:rPr>
          <w:rFonts w:hint="eastAsia" w:ascii="宋体" w:hAnsi="宋体" w:eastAsia="宋体" w:cs="宋体"/>
          <w:b/>
          <w:bCs/>
          <w:color w:val="auto"/>
          <w:sz w:val="28"/>
          <w:szCs w:val="28"/>
          <w:highlight w:val="none"/>
        </w:rPr>
        <w:t>资料</w:t>
      </w:r>
      <w:bookmarkEnd w:id="2342"/>
    </w:p>
    <w:p w14:paraId="14C387DF">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r>
        <w:rPr>
          <w:rFonts w:hint="eastAsia" w:ascii="宋体" w:hAnsi="宋体" w:eastAsia="宋体" w:cs="宋体"/>
          <w:color w:val="auto"/>
          <w:kern w:val="0"/>
          <w:sz w:val="24"/>
          <w:szCs w:val="18"/>
          <w:highlight w:val="none"/>
        </w:rPr>
        <w:br w:type="page"/>
      </w:r>
      <w:bookmarkStart w:id="2343" w:name="_Toc431367174"/>
      <w:bookmarkStart w:id="2344" w:name="_Toc24409"/>
      <w:bookmarkStart w:id="2345" w:name="_Toc500864557"/>
      <w:bookmarkStart w:id="2346" w:name="_Toc18626"/>
      <w:bookmarkStart w:id="2347" w:name="_Toc28181"/>
      <w:r>
        <w:rPr>
          <w:rFonts w:hint="eastAsia" w:ascii="宋体" w:hAnsi="宋体" w:eastAsia="宋体" w:cs="宋体"/>
          <w:b/>
          <w:color w:val="auto"/>
          <w:kern w:val="0"/>
          <w:sz w:val="32"/>
          <w:szCs w:val="21"/>
          <w:highlight w:val="none"/>
        </w:rPr>
        <w:t>十、其他材料</w:t>
      </w:r>
      <w:bookmarkEnd w:id="2343"/>
      <w:bookmarkEnd w:id="2344"/>
      <w:bookmarkEnd w:id="2345"/>
      <w:bookmarkEnd w:id="2346"/>
      <w:bookmarkEnd w:id="2347"/>
    </w:p>
    <w:p w14:paraId="160B5104">
      <w:pPr>
        <w:wordWrap w:val="0"/>
        <w:autoSpaceDE w:val="0"/>
        <w:autoSpaceDN w:val="0"/>
        <w:adjustRightInd w:val="0"/>
        <w:spacing w:line="360" w:lineRule="auto"/>
        <w:ind w:right="-34" w:rightChars="-16"/>
        <w:jc w:val="center"/>
        <w:rPr>
          <w:rFonts w:hint="eastAsia" w:ascii="宋体" w:hAnsi="宋体" w:eastAsia="宋体" w:cs="宋体"/>
          <w:b/>
          <w:color w:val="auto"/>
          <w:kern w:val="0"/>
          <w:sz w:val="28"/>
          <w:szCs w:val="28"/>
          <w:highlight w:val="none"/>
        </w:rPr>
      </w:pPr>
    </w:p>
    <w:p w14:paraId="52F08641">
      <w:pPr>
        <w:wordWrap w:val="0"/>
        <w:autoSpaceDE w:val="0"/>
        <w:autoSpaceDN w:val="0"/>
        <w:adjustRightInd w:val="0"/>
        <w:spacing w:line="360" w:lineRule="auto"/>
        <w:ind w:right="-34" w:rightChars="-16"/>
        <w:jc w:val="center"/>
        <w:rPr>
          <w:rFonts w:hint="eastAsia" w:ascii="宋体" w:hAnsi="宋体" w:eastAsia="宋体" w:cs="宋体"/>
          <w:b/>
          <w:color w:val="auto"/>
          <w:kern w:val="0"/>
          <w:sz w:val="24"/>
          <w:szCs w:val="18"/>
          <w:highlight w:val="none"/>
        </w:rPr>
      </w:pPr>
      <w:r>
        <w:rPr>
          <w:rFonts w:hint="eastAsia" w:ascii="宋体" w:hAnsi="宋体" w:eastAsia="宋体" w:cs="宋体"/>
          <w:b/>
          <w:color w:val="auto"/>
          <w:kern w:val="0"/>
          <w:sz w:val="28"/>
          <w:szCs w:val="28"/>
          <w:highlight w:val="none"/>
        </w:rPr>
        <w:t>（一）投标活动承诺书</w:t>
      </w:r>
    </w:p>
    <w:p w14:paraId="64EF1E7F">
      <w:pPr>
        <w:pStyle w:val="38"/>
        <w:wordWrap w:val="0"/>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我单位承诺，在</w:t>
      </w:r>
      <w:r>
        <w:rPr>
          <w:rFonts w:hint="eastAsia"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36E97473">
      <w:pPr>
        <w:pStyle w:val="38"/>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一、遵循公开、公正和诚实信用的原则自愿参加本项目的投标，所提供的一切材料都是真实、有效、合法的；</w:t>
      </w:r>
    </w:p>
    <w:p w14:paraId="310BB6B3">
      <w:pPr>
        <w:pStyle w:val="38"/>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二、不存在投标报价明显低于成本价或高于招标文件设定的招标控制价，恶意扰乱市场正常秩序；</w:t>
      </w:r>
    </w:p>
    <w:p w14:paraId="5AFDDA65">
      <w:pPr>
        <w:pStyle w:val="38"/>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三、不存在出租（出借）或转让资格、资质证书供他人投标的情况，不借用、挂靠他人资质证书，不存在以他人名义投标或者以其他方式弄虚作假（含不实承诺）骗取中标情形;</w:t>
      </w:r>
    </w:p>
    <w:p w14:paraId="49E0DAB8">
      <w:pPr>
        <w:pStyle w:val="38"/>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714290A9">
      <w:pPr>
        <w:pStyle w:val="38"/>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五、不与招标人、招标代理机构或其他投标人串通投标，损害国家利益、社会公共利益或者他人的合法权益;</w:t>
      </w:r>
    </w:p>
    <w:p w14:paraId="5984E6BD">
      <w:pPr>
        <w:pStyle w:val="38"/>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六、严格遵守开标现场纪律，服从监管人员管理;</w:t>
      </w:r>
    </w:p>
    <w:p w14:paraId="15989D14">
      <w:pPr>
        <w:pStyle w:val="38"/>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604390F1">
      <w:pPr>
        <w:pStyle w:val="38"/>
        <w:wordWrap w:val="0"/>
        <w:spacing w:before="0" w:beforeAutospacing="0" w:after="0" w:afterAutospacing="0" w:line="360" w:lineRule="auto"/>
        <w:jc w:val="right"/>
        <w:rPr>
          <w:rFonts w:hint="eastAsia" w:ascii="宋体" w:hAnsi="宋体" w:eastAsia="宋体" w:cs="宋体"/>
          <w:color w:val="auto"/>
          <w:sz w:val="21"/>
          <w:szCs w:val="21"/>
          <w:highlight w:val="none"/>
        </w:rPr>
      </w:pPr>
    </w:p>
    <w:p w14:paraId="7ABDBBF3">
      <w:pPr>
        <w:pStyle w:val="38"/>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 诺 人：（公章）</w:t>
      </w:r>
    </w:p>
    <w:p w14:paraId="74EC3410">
      <w:pPr>
        <w:pStyle w:val="38"/>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p w14:paraId="71BD61B0">
      <w:pPr>
        <w:pStyle w:val="38"/>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p>
    <w:p w14:paraId="28787098">
      <w:pPr>
        <w:pStyle w:val="38"/>
        <w:wordWrap w:val="0"/>
        <w:spacing w:before="0" w:beforeAutospacing="0" w:after="0" w:afterAutospacing="0" w:line="360" w:lineRule="auto"/>
        <w:ind w:right="6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p>
    <w:p w14:paraId="3EE780A1">
      <w:pPr>
        <w:wordWrap w:val="0"/>
        <w:autoSpaceDE w:val="0"/>
        <w:autoSpaceDN w:val="0"/>
        <w:adjustRightInd w:val="0"/>
        <w:spacing w:line="360" w:lineRule="auto"/>
        <w:ind w:right="-34" w:rightChars="-16"/>
        <w:jc w:val="center"/>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bookmarkStart w:id="2348" w:name="_Toc500864565"/>
      <w:bookmarkStart w:id="2349" w:name="_Toc500865955"/>
      <w:bookmarkStart w:id="2350" w:name="_Toc4392"/>
      <w:bookmarkStart w:id="2351" w:name="_Toc3679"/>
    </w:p>
    <w:p w14:paraId="288E90BE">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0"/>
          <w:szCs w:val="30"/>
          <w:highlight w:val="none"/>
        </w:rPr>
      </w:pPr>
      <w:r>
        <w:rPr>
          <w:rFonts w:hint="eastAsia" w:ascii="宋体" w:hAnsi="宋体" w:eastAsia="宋体" w:cs="宋体"/>
          <w:b/>
          <w:bCs/>
          <w:color w:val="auto"/>
          <w:kern w:val="0"/>
          <w:sz w:val="28"/>
          <w:szCs w:val="28"/>
          <w:highlight w:val="none"/>
        </w:rPr>
        <w:t>（</w:t>
      </w:r>
      <w:r>
        <w:rPr>
          <w:rFonts w:hint="eastAsia" w:ascii="宋体" w:hAnsi="宋体" w:eastAsia="宋体" w:cs="宋体"/>
          <w:b/>
          <w:bCs/>
          <w:color w:val="auto"/>
          <w:kern w:val="0"/>
          <w:sz w:val="28"/>
          <w:szCs w:val="28"/>
          <w:highlight w:val="none"/>
          <w:lang w:val="en-US" w:eastAsia="zh-CN"/>
        </w:rPr>
        <w:t>二</w:t>
      </w:r>
      <w:r>
        <w:rPr>
          <w:rFonts w:hint="eastAsia" w:ascii="宋体" w:hAnsi="宋体" w:eastAsia="宋体" w:cs="宋体"/>
          <w:b/>
          <w:bCs/>
          <w:color w:val="auto"/>
          <w:kern w:val="0"/>
          <w:sz w:val="28"/>
          <w:szCs w:val="28"/>
          <w:highlight w:val="none"/>
        </w:rPr>
        <w:t>）</w:t>
      </w:r>
      <w:bookmarkEnd w:id="2348"/>
      <w:bookmarkEnd w:id="2349"/>
      <w:r>
        <w:rPr>
          <w:rFonts w:hint="eastAsia" w:ascii="宋体" w:hAnsi="宋体" w:eastAsia="宋体" w:cs="宋体"/>
          <w:b/>
          <w:bCs/>
          <w:color w:val="auto"/>
          <w:sz w:val="28"/>
          <w:szCs w:val="28"/>
          <w:highlight w:val="none"/>
        </w:rPr>
        <w:t>投标人认为有必要提供的其他材料</w:t>
      </w:r>
      <w:bookmarkEnd w:id="2350"/>
      <w:bookmarkEnd w:id="2351"/>
    </w:p>
    <w:p w14:paraId="115006CC">
      <w:pPr>
        <w:spacing w:line="360" w:lineRule="auto"/>
        <w:rPr>
          <w:rFonts w:hint="eastAsia" w:ascii="宋体" w:hAnsi="宋体" w:eastAsia="宋体" w:cs="宋体"/>
          <w:color w:val="auto"/>
          <w:kern w:val="0"/>
          <w:highlight w:val="none"/>
        </w:rPr>
      </w:pPr>
    </w:p>
    <w:p w14:paraId="2AA4C17F">
      <w:pPr>
        <w:pStyle w:val="41"/>
        <w:spacing w:after="0" w:line="360" w:lineRule="auto"/>
        <w:ind w:firstLine="200"/>
        <w:rPr>
          <w:rFonts w:hint="eastAsia" w:ascii="宋体" w:hAnsi="宋体" w:eastAsia="宋体" w:cs="宋体"/>
          <w:color w:val="auto"/>
          <w:highlight w:val="none"/>
        </w:rPr>
      </w:pPr>
    </w:p>
    <w:p w14:paraId="6D6A90D7">
      <w:pPr>
        <w:spacing w:line="360" w:lineRule="auto"/>
        <w:rPr>
          <w:rFonts w:hint="eastAsia" w:ascii="宋体" w:hAnsi="宋体" w:eastAsia="宋体" w:cs="宋体"/>
          <w:color w:val="auto"/>
          <w:highlight w:val="none"/>
        </w:rPr>
      </w:pPr>
    </w:p>
    <w:sectPr>
      <w:footerReference r:id="rId19" w:type="first"/>
      <w:headerReference r:id="rId17" w:type="default"/>
      <w:footerReference r:id="rId18" w:type="default"/>
      <w:pgSz w:w="11905" w:h="16838"/>
      <w:pgMar w:top="1440" w:right="1423" w:bottom="1440" w:left="1423" w:header="1304" w:footer="1134" w:gutter="0"/>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D180810-184E-4851-B8E2-4947496FD41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monospace">
    <w:altName w:val="微软雅黑"/>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A0C96A6C-5DEA-4517-883C-F5B0E48AB10A}"/>
  </w:font>
  <w:font w:name="??">
    <w:altName w:val="Times New Roman"/>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E5062B">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DFB72">
    <w:pPr>
      <w:pStyle w:val="2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A1BBDD2">
                          <w:pPr>
                            <w:pStyle w:val="28"/>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ADQQzQ0QEAAKMDAAAOAAAAAAAAAAEAIAAAAB8BAABk&#10;cnMvZTJvRG9jLnhtbFBLBQYAAAAABgAGAFkBAABiBQAAAAA=&#10;">
              <v:fill on="f" focussize="0,0"/>
              <v:stroke on="f" weight="0.5pt"/>
              <v:imagedata o:title=""/>
              <o:lock v:ext="edit" aspectratio="f"/>
              <v:textbox inset="0mm,0mm,0mm,0mm" style="mso-fit-shape-to-text:t;">
                <w:txbxContent>
                  <w:p w14:paraId="0A1BBDD2">
                    <w:pPr>
                      <w:pStyle w:val="28"/>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70E9">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F1A1884">
                          <w:pPr>
                            <w:pStyle w:val="2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0lY7tAAAAAFAQAADwAAAAAAAAABACAAAAAiAAAAZHJz&#10;L2Rvd25yZXYueG1sUEsBAhQAFAAAAAgAh07iQAm5U5bTAQAAowMAAA4AAAAAAAAAAQAgAAAAHwEA&#10;AGRycy9lMm9Eb2MueG1sUEsFBgAAAAAGAAYAWQEAAGQFAAAAAA==&#10;">
              <v:fill on="f" focussize="0,0"/>
              <v:stroke on="f" weight="0.5pt"/>
              <v:imagedata o:title=""/>
              <o:lock v:ext="edit" aspectratio="f"/>
              <v:textbox inset="0mm,0mm,0mm,0mm" style="mso-fit-shape-to-text:t;">
                <w:txbxContent>
                  <w:p w14:paraId="5F1A1884">
                    <w:pPr>
                      <w:pStyle w:val="2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7AB01">
    <w:pPr>
      <w:pStyle w:val="2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539DC84">
                          <w:pPr>
                            <w:pStyle w:val="28"/>
                          </w:pPr>
                          <w:r>
                            <w:t xml:space="preserve">第 </w:t>
                          </w:r>
                          <w:r>
                            <w:fldChar w:fldCharType="begin"/>
                          </w:r>
                          <w:r>
                            <w:instrText xml:space="preserve"> PAGE  \* MERGEFORMAT </w:instrText>
                          </w:r>
                          <w:r>
                            <w:fldChar w:fldCharType="separate"/>
                          </w:r>
                          <w:r>
                            <w:t>4</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Ccexf0QEAAKIDAAAOAAAAAAAAAAEAIAAAAB8BAABk&#10;cnMvZTJvRG9jLnhtbFBLBQYAAAAABgAGAFkBAABiBQAAAAA=&#10;">
              <v:fill on="f" focussize="0,0"/>
              <v:stroke on="f" weight="0.5pt"/>
              <v:imagedata o:title=""/>
              <o:lock v:ext="edit" aspectratio="f"/>
              <v:textbox inset="0mm,0mm,0mm,0mm" style="mso-fit-shape-to-text:t;">
                <w:txbxContent>
                  <w:p w14:paraId="7539DC84">
                    <w:pPr>
                      <w:pStyle w:val="28"/>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2EA97">
    <w:pPr>
      <w:pStyle w:val="28"/>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6D0F719">
                          <w:pPr>
                            <w:pStyle w:val="28"/>
                          </w:pPr>
                          <w:r>
                            <w:t xml:space="preserve">第 </w:t>
                          </w:r>
                          <w:r>
                            <w:fldChar w:fldCharType="begin"/>
                          </w:r>
                          <w:r>
                            <w:instrText xml:space="preserve"> PAGE  \* MERGEFORMAT </w:instrText>
                          </w:r>
                          <w:r>
                            <w:fldChar w:fldCharType="separate"/>
                          </w:r>
                          <w:r>
                            <w:t>3</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H10zI9IBAACiAwAADgAAAAAAAAABACAAAAAfAQAA&#10;ZHJzL2Uyb0RvYy54bWxQSwUGAAAAAAYABgBZAQAAYwUAAAAA&#10;">
              <v:fill on="f" focussize="0,0"/>
              <v:stroke on="f" weight="0.5pt"/>
              <v:imagedata o:title=""/>
              <o:lock v:ext="edit" aspectratio="f"/>
              <v:textbox inset="0mm,0mm,0mm,0mm" style="mso-fit-shape-to-text:t;">
                <w:txbxContent>
                  <w:p w14:paraId="26D0F719">
                    <w:pPr>
                      <w:pStyle w:val="28"/>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4E4CC7">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784CE61">
                          <w:pPr>
                            <w:pStyle w:val="2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A3IwbJ0QEAAKMDAAAOAAAAAAAAAAEAIAAAAB8BAABk&#10;cnMvZTJvRG9jLnhtbFBLBQYAAAAABgAGAFkBAABiBQAAAAA=&#10;">
              <v:fill on="f" focussize="0,0"/>
              <v:stroke on="f" weight="0.5pt"/>
              <v:imagedata o:title=""/>
              <o:lock v:ext="edit" aspectratio="f"/>
              <v:textbox inset="0mm,0mm,0mm,0mm" style="mso-fit-shape-to-text:t;">
                <w:txbxContent>
                  <w:p w14:paraId="7784CE61">
                    <w:pPr>
                      <w:pStyle w:val="2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159EA">
    <w:pPr>
      <w:pStyle w:val="2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A6C061">
                          <w:pPr>
                            <w:pStyle w:val="28"/>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5x18ckBAACb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XhNieMWJ375/u3y49fl51ey&#10;XGWB+gA15j0EzEzDnR8wefYDOjPvQUWbv8iIYBzlPV/llUMiIj9ar9brCkMCY/MF8dnj8xAhvZXe&#10;kmw0NOL8iqz89B7SmDqn5GrO32tjygyN+8uBmNnDcu9jj9lKw36YCO19e0Y+PY6+oQ43nRLzzqGy&#10;eUtmI87GfjaOIepDV9Yo14Nwe0zYROktVxhhp8I4s8Ju2q+8FH/eS9bjP7X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HnHXxyQEAAJsDAAAOAAAAAAAAAAEAIAAAAB4BAABkcnMvZTJvRG9j&#10;LnhtbFBLBQYAAAAABgAGAFkBAABZBQAAAAA=&#10;">
              <v:fill on="f" focussize="0,0"/>
              <v:stroke on="f"/>
              <v:imagedata o:title=""/>
              <o:lock v:ext="edit" aspectratio="f"/>
              <v:textbox inset="0mm,0mm,0mm,0mm" style="mso-fit-shape-to-text:t;">
                <w:txbxContent>
                  <w:p w14:paraId="37A6C061">
                    <w:pPr>
                      <w:pStyle w:val="28"/>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8F03B2">
    <w:pPr>
      <w:pStyle w:val="28"/>
      <w:jc w:val="center"/>
      <w:rPr>
        <w:rFonts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EC3E188">
                          <w:pPr>
                            <w:pStyle w:val="28"/>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DysFiM0QEAAKMDAAAOAAAAAAAAAAEAIAAAAB8BAABk&#10;cnMvZTJvRG9jLnhtbFBLBQYAAAAABgAGAFkBAABiBQAAAAA=&#10;">
              <v:fill on="f" focussize="0,0"/>
              <v:stroke on="f" weight="0.5pt"/>
              <v:imagedata o:title=""/>
              <o:lock v:ext="edit" aspectratio="f"/>
              <v:textbox inset="0mm,0mm,0mm,0mm" style="mso-fit-shape-to-text:t;">
                <w:txbxContent>
                  <w:p w14:paraId="3EC3E188">
                    <w:pPr>
                      <w:pStyle w:val="28"/>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05C01">
    <w:pPr>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FECED97">
                          <w:pPr>
                            <w:pStyle w:val="28"/>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1o5I90QEAAKMDAAAOAAAAAAAAAAEAIAAAAB8BAABk&#10;cnMvZTJvRG9jLnhtbFBLBQYAAAAABgAGAFkBAABiBQAAAAA=&#10;">
              <v:fill on="f" focussize="0,0"/>
              <v:stroke on="f" weight="0.5pt"/>
              <v:imagedata o:title=""/>
              <o:lock v:ext="edit" aspectratio="f"/>
              <v:textbox inset="0mm,0mm,0mm,0mm" style="mso-fit-shape-to-text:t;">
                <w:txbxContent>
                  <w:p w14:paraId="6FECED97">
                    <w:pPr>
                      <w:pStyle w:val="28"/>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E8E3F">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FD7900D">
                          <w:pPr>
                            <w:pStyle w:val="28"/>
                          </w:pPr>
                          <w:r>
                            <w:t xml:space="preserve">第 </w:t>
                          </w:r>
                          <w:r>
                            <w:fldChar w:fldCharType="begin"/>
                          </w:r>
                          <w:r>
                            <w:instrText xml:space="preserve"> PAGE  \* MERGEFORMAT </w:instrText>
                          </w:r>
                          <w:r>
                            <w:fldChar w:fldCharType="separate"/>
                          </w:r>
                          <w:r>
                            <w:t>80</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yJF770QEAAKMDAAAOAAAAAAAAAAEAIAAAAB8BAABk&#10;cnMvZTJvRG9jLnhtbFBLBQYAAAAABgAGAFkBAABiBQAAAAA=&#10;">
              <v:fill on="f" focussize="0,0"/>
              <v:stroke on="f" weight="0.5pt"/>
              <v:imagedata o:title=""/>
              <o:lock v:ext="edit" aspectratio="f"/>
              <v:textbox inset="0mm,0mm,0mm,0mm" style="mso-fit-shape-to-text:t;">
                <w:txbxContent>
                  <w:p w14:paraId="1FD7900D">
                    <w:pPr>
                      <w:pStyle w:val="28"/>
                    </w:pPr>
                    <w:r>
                      <w:t xml:space="preserve">第 </w:t>
                    </w:r>
                    <w:r>
                      <w:fldChar w:fldCharType="begin"/>
                    </w:r>
                    <w:r>
                      <w:instrText xml:space="preserve"> PAGE  \* MERGEFORMAT </w:instrText>
                    </w:r>
                    <w:r>
                      <w:fldChar w:fldCharType="separate"/>
                    </w:r>
                    <w:r>
                      <w:t>80</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B47D8">
    <w:pPr>
      <w:pStyle w:val="28"/>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CF2B630">
                          <w:pPr>
                            <w:pStyle w:val="28"/>
                          </w:pPr>
                          <w:r>
                            <w:t xml:space="preserve">第 </w:t>
                          </w:r>
                          <w:r>
                            <w:fldChar w:fldCharType="begin"/>
                          </w:r>
                          <w:r>
                            <w:instrText xml:space="preserve"> PAGE  \* MERGEFORMAT </w:instrText>
                          </w:r>
                          <w:r>
                            <w:fldChar w:fldCharType="separate"/>
                          </w:r>
                          <w:r>
                            <w:t>79</w:t>
                          </w:r>
                          <w:r>
                            <w:fldChar w:fldCharType="end"/>
                          </w:r>
                          <w:r>
                            <w:t xml:space="preserve">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fu9Sd0QEAAKMDAAAOAAAAAAAAAAEAIAAAAB8BAABk&#10;cnMvZTJvRG9jLnhtbFBLBQYAAAAABgAGAFkBAABiBQAAAAA=&#10;">
              <v:fill on="f" focussize="0,0"/>
              <v:stroke on="f" weight="0.5pt"/>
              <v:imagedata o:title=""/>
              <o:lock v:ext="edit" aspectratio="f"/>
              <v:textbox inset="0mm,0mm,0mm,0mm" style="mso-fit-shape-to-text:t;">
                <w:txbxContent>
                  <w:p w14:paraId="1CF2B630">
                    <w:pPr>
                      <w:pStyle w:val="28"/>
                    </w:pPr>
                    <w:r>
                      <w:t xml:space="preserve">第 </w:t>
                    </w:r>
                    <w:r>
                      <w:fldChar w:fldCharType="begin"/>
                    </w:r>
                    <w:r>
                      <w:instrText xml:space="preserve"> PAGE  \* MERGEFORMAT </w:instrText>
                    </w:r>
                    <w:r>
                      <w:fldChar w:fldCharType="separate"/>
                    </w:r>
                    <w:r>
                      <w:t>79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A6C0B">
    <w:pPr>
      <w:pStyle w:val="30"/>
      <w:pBdr>
        <w:bottom w:val="none" w:color="auto" w:sz="0" w:space="1"/>
      </w:pBdr>
      <w:ind w:firstLine="180" w:firstLineChars="100"/>
      <w:rPr>
        <w:i/>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10433">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DD7AC">
    <w:pPr>
      <w:pStyle w:val="3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99779">
    <w:pPr>
      <w:pStyle w:val="30"/>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3C54A">
    <w:pPr>
      <w:pStyle w:val="30"/>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BEDE9">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D9CF9B"/>
    <w:multiLevelType w:val="singleLevel"/>
    <w:tmpl w:val="C1D9CF9B"/>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TrueTypeFonts/>
  <w:saveSubsetFonts/>
  <w:bordersDoNotSurroundHeader w:val="0"/>
  <w:bordersDoNotSurroundFooter w:val="0"/>
  <w:documentProtection w:enforcement="0"/>
  <w:defaultTabStop w:val="420"/>
  <w:drawingGridHorizontalSpacing w:val="105"/>
  <w:drawingGridVerticalSpacing w:val="28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RhMGY0ODc3NjA5ZTI0Y2Y5MDgyODA2ODA4MjAzYTkifQ=="/>
  </w:docVars>
  <w:rsids>
    <w:rsidRoot w:val="00172A27"/>
    <w:rsid w:val="000009A9"/>
    <w:rsid w:val="00000BC5"/>
    <w:rsid w:val="00003122"/>
    <w:rsid w:val="00003BA3"/>
    <w:rsid w:val="00003CC9"/>
    <w:rsid w:val="00003EAE"/>
    <w:rsid w:val="000049A2"/>
    <w:rsid w:val="00004D77"/>
    <w:rsid w:val="0000518D"/>
    <w:rsid w:val="00005617"/>
    <w:rsid w:val="00005AC9"/>
    <w:rsid w:val="00005CA7"/>
    <w:rsid w:val="00006071"/>
    <w:rsid w:val="000068F1"/>
    <w:rsid w:val="00006CA9"/>
    <w:rsid w:val="00007AB0"/>
    <w:rsid w:val="000104BA"/>
    <w:rsid w:val="00010B4D"/>
    <w:rsid w:val="00010E7C"/>
    <w:rsid w:val="00010EAE"/>
    <w:rsid w:val="00010F29"/>
    <w:rsid w:val="0001171E"/>
    <w:rsid w:val="000118DA"/>
    <w:rsid w:val="00011E13"/>
    <w:rsid w:val="0001224C"/>
    <w:rsid w:val="0001282F"/>
    <w:rsid w:val="00012FF4"/>
    <w:rsid w:val="00013033"/>
    <w:rsid w:val="000130B7"/>
    <w:rsid w:val="00013256"/>
    <w:rsid w:val="00013F18"/>
    <w:rsid w:val="00014583"/>
    <w:rsid w:val="00015C0F"/>
    <w:rsid w:val="00015F7D"/>
    <w:rsid w:val="00016025"/>
    <w:rsid w:val="00016345"/>
    <w:rsid w:val="000166CB"/>
    <w:rsid w:val="000166F9"/>
    <w:rsid w:val="000166FC"/>
    <w:rsid w:val="000167EA"/>
    <w:rsid w:val="000168D5"/>
    <w:rsid w:val="00016F23"/>
    <w:rsid w:val="00016FB5"/>
    <w:rsid w:val="00017725"/>
    <w:rsid w:val="00017AB0"/>
    <w:rsid w:val="00017D1B"/>
    <w:rsid w:val="00017EAC"/>
    <w:rsid w:val="000203FD"/>
    <w:rsid w:val="00020538"/>
    <w:rsid w:val="00020EBF"/>
    <w:rsid w:val="00020EEF"/>
    <w:rsid w:val="000214A6"/>
    <w:rsid w:val="000215D6"/>
    <w:rsid w:val="000215DA"/>
    <w:rsid w:val="00022339"/>
    <w:rsid w:val="00022B7F"/>
    <w:rsid w:val="0002302D"/>
    <w:rsid w:val="00024334"/>
    <w:rsid w:val="000247DF"/>
    <w:rsid w:val="00024F2C"/>
    <w:rsid w:val="000251EB"/>
    <w:rsid w:val="000258A1"/>
    <w:rsid w:val="000258DE"/>
    <w:rsid w:val="0002678D"/>
    <w:rsid w:val="000267C3"/>
    <w:rsid w:val="00026A2D"/>
    <w:rsid w:val="00027A2D"/>
    <w:rsid w:val="00027E4F"/>
    <w:rsid w:val="0003001B"/>
    <w:rsid w:val="00030C81"/>
    <w:rsid w:val="00031838"/>
    <w:rsid w:val="00031B47"/>
    <w:rsid w:val="000321E3"/>
    <w:rsid w:val="00032277"/>
    <w:rsid w:val="000323A8"/>
    <w:rsid w:val="00032B6C"/>
    <w:rsid w:val="00033DD1"/>
    <w:rsid w:val="00033EEE"/>
    <w:rsid w:val="000365CA"/>
    <w:rsid w:val="00036C95"/>
    <w:rsid w:val="0003712D"/>
    <w:rsid w:val="000373AB"/>
    <w:rsid w:val="00037416"/>
    <w:rsid w:val="000376CF"/>
    <w:rsid w:val="00037848"/>
    <w:rsid w:val="0004012A"/>
    <w:rsid w:val="0004035C"/>
    <w:rsid w:val="00040505"/>
    <w:rsid w:val="0004072C"/>
    <w:rsid w:val="000407CE"/>
    <w:rsid w:val="00040AF5"/>
    <w:rsid w:val="0004161C"/>
    <w:rsid w:val="00042464"/>
    <w:rsid w:val="000425AA"/>
    <w:rsid w:val="00042EF1"/>
    <w:rsid w:val="0004319D"/>
    <w:rsid w:val="00043427"/>
    <w:rsid w:val="000434B0"/>
    <w:rsid w:val="00043D2C"/>
    <w:rsid w:val="00043DF8"/>
    <w:rsid w:val="00044182"/>
    <w:rsid w:val="000441AC"/>
    <w:rsid w:val="000452CD"/>
    <w:rsid w:val="00046DD7"/>
    <w:rsid w:val="00047537"/>
    <w:rsid w:val="00047A5C"/>
    <w:rsid w:val="00047B19"/>
    <w:rsid w:val="00047BFE"/>
    <w:rsid w:val="00047E05"/>
    <w:rsid w:val="00050201"/>
    <w:rsid w:val="000503B6"/>
    <w:rsid w:val="00050572"/>
    <w:rsid w:val="00051063"/>
    <w:rsid w:val="00051332"/>
    <w:rsid w:val="00051983"/>
    <w:rsid w:val="00051AD3"/>
    <w:rsid w:val="0005236F"/>
    <w:rsid w:val="00052601"/>
    <w:rsid w:val="00052756"/>
    <w:rsid w:val="00052ABC"/>
    <w:rsid w:val="00052DAB"/>
    <w:rsid w:val="00053118"/>
    <w:rsid w:val="000535D4"/>
    <w:rsid w:val="000536D4"/>
    <w:rsid w:val="0005420C"/>
    <w:rsid w:val="00054449"/>
    <w:rsid w:val="000547BC"/>
    <w:rsid w:val="00054D47"/>
    <w:rsid w:val="00055AC9"/>
    <w:rsid w:val="00055D67"/>
    <w:rsid w:val="000561C5"/>
    <w:rsid w:val="00056B5D"/>
    <w:rsid w:val="00056F1B"/>
    <w:rsid w:val="00057104"/>
    <w:rsid w:val="000574C6"/>
    <w:rsid w:val="00057807"/>
    <w:rsid w:val="00057E18"/>
    <w:rsid w:val="000607CD"/>
    <w:rsid w:val="000615F1"/>
    <w:rsid w:val="00061999"/>
    <w:rsid w:val="000628FD"/>
    <w:rsid w:val="00062B2B"/>
    <w:rsid w:val="00062F54"/>
    <w:rsid w:val="00062FBE"/>
    <w:rsid w:val="000636BD"/>
    <w:rsid w:val="00063E7F"/>
    <w:rsid w:val="00064638"/>
    <w:rsid w:val="00064739"/>
    <w:rsid w:val="000647F9"/>
    <w:rsid w:val="00064951"/>
    <w:rsid w:val="000653F9"/>
    <w:rsid w:val="00065AD3"/>
    <w:rsid w:val="00065B72"/>
    <w:rsid w:val="00065CD2"/>
    <w:rsid w:val="00066877"/>
    <w:rsid w:val="00066F79"/>
    <w:rsid w:val="000675CB"/>
    <w:rsid w:val="000676F8"/>
    <w:rsid w:val="00070556"/>
    <w:rsid w:val="0007056F"/>
    <w:rsid w:val="00070EAC"/>
    <w:rsid w:val="000713E7"/>
    <w:rsid w:val="00071952"/>
    <w:rsid w:val="00071FAF"/>
    <w:rsid w:val="00072024"/>
    <w:rsid w:val="000747D7"/>
    <w:rsid w:val="00074895"/>
    <w:rsid w:val="00074898"/>
    <w:rsid w:val="00074CD4"/>
    <w:rsid w:val="00075392"/>
    <w:rsid w:val="000753F7"/>
    <w:rsid w:val="0007563C"/>
    <w:rsid w:val="00076268"/>
    <w:rsid w:val="000765C7"/>
    <w:rsid w:val="000769A1"/>
    <w:rsid w:val="00076BDC"/>
    <w:rsid w:val="0007771A"/>
    <w:rsid w:val="0007791F"/>
    <w:rsid w:val="00077923"/>
    <w:rsid w:val="00077C22"/>
    <w:rsid w:val="00080324"/>
    <w:rsid w:val="000803B4"/>
    <w:rsid w:val="00080854"/>
    <w:rsid w:val="000808A5"/>
    <w:rsid w:val="00080FBB"/>
    <w:rsid w:val="00081392"/>
    <w:rsid w:val="000813CB"/>
    <w:rsid w:val="00081510"/>
    <w:rsid w:val="000815AA"/>
    <w:rsid w:val="00081C5D"/>
    <w:rsid w:val="00082096"/>
    <w:rsid w:val="0008218E"/>
    <w:rsid w:val="00082325"/>
    <w:rsid w:val="00082DAC"/>
    <w:rsid w:val="0008337B"/>
    <w:rsid w:val="000837A6"/>
    <w:rsid w:val="000837A9"/>
    <w:rsid w:val="00083DD0"/>
    <w:rsid w:val="00085459"/>
    <w:rsid w:val="000856A3"/>
    <w:rsid w:val="0008582D"/>
    <w:rsid w:val="00085A16"/>
    <w:rsid w:val="00085A1F"/>
    <w:rsid w:val="00085A8F"/>
    <w:rsid w:val="00085ED0"/>
    <w:rsid w:val="00085F29"/>
    <w:rsid w:val="000865BC"/>
    <w:rsid w:val="00086EA7"/>
    <w:rsid w:val="00087117"/>
    <w:rsid w:val="00087ECA"/>
    <w:rsid w:val="000906FB"/>
    <w:rsid w:val="00090AEE"/>
    <w:rsid w:val="000910A0"/>
    <w:rsid w:val="00091513"/>
    <w:rsid w:val="000917B1"/>
    <w:rsid w:val="00091B12"/>
    <w:rsid w:val="00091BC2"/>
    <w:rsid w:val="0009275B"/>
    <w:rsid w:val="000927E9"/>
    <w:rsid w:val="00092DF3"/>
    <w:rsid w:val="00092E7F"/>
    <w:rsid w:val="00093015"/>
    <w:rsid w:val="000933BB"/>
    <w:rsid w:val="00093AE7"/>
    <w:rsid w:val="00093E7B"/>
    <w:rsid w:val="000946C0"/>
    <w:rsid w:val="00094868"/>
    <w:rsid w:val="00094D68"/>
    <w:rsid w:val="00095F80"/>
    <w:rsid w:val="00095FA2"/>
    <w:rsid w:val="000965E5"/>
    <w:rsid w:val="00096763"/>
    <w:rsid w:val="00096825"/>
    <w:rsid w:val="00096C56"/>
    <w:rsid w:val="00096FD3"/>
    <w:rsid w:val="000975C3"/>
    <w:rsid w:val="00097B7A"/>
    <w:rsid w:val="000A03D9"/>
    <w:rsid w:val="000A06D4"/>
    <w:rsid w:val="000A073A"/>
    <w:rsid w:val="000A0B8C"/>
    <w:rsid w:val="000A0FC8"/>
    <w:rsid w:val="000A14A7"/>
    <w:rsid w:val="000A1DE2"/>
    <w:rsid w:val="000A1E00"/>
    <w:rsid w:val="000A2509"/>
    <w:rsid w:val="000A3654"/>
    <w:rsid w:val="000A3D9E"/>
    <w:rsid w:val="000A3E79"/>
    <w:rsid w:val="000A3FB0"/>
    <w:rsid w:val="000A4300"/>
    <w:rsid w:val="000A4518"/>
    <w:rsid w:val="000A4A7A"/>
    <w:rsid w:val="000A4F3B"/>
    <w:rsid w:val="000A4FF3"/>
    <w:rsid w:val="000A5061"/>
    <w:rsid w:val="000A5CAD"/>
    <w:rsid w:val="000A5E9C"/>
    <w:rsid w:val="000A5F43"/>
    <w:rsid w:val="000A65CA"/>
    <w:rsid w:val="000A6B8E"/>
    <w:rsid w:val="000A6BAF"/>
    <w:rsid w:val="000A72C5"/>
    <w:rsid w:val="000B0C3D"/>
    <w:rsid w:val="000B0C97"/>
    <w:rsid w:val="000B0E4E"/>
    <w:rsid w:val="000B1022"/>
    <w:rsid w:val="000B18F7"/>
    <w:rsid w:val="000B231E"/>
    <w:rsid w:val="000B2C9E"/>
    <w:rsid w:val="000B2CED"/>
    <w:rsid w:val="000B3E7A"/>
    <w:rsid w:val="000B4178"/>
    <w:rsid w:val="000B47CD"/>
    <w:rsid w:val="000B4950"/>
    <w:rsid w:val="000B5356"/>
    <w:rsid w:val="000B5B7A"/>
    <w:rsid w:val="000B5FFD"/>
    <w:rsid w:val="000B642B"/>
    <w:rsid w:val="000B7D60"/>
    <w:rsid w:val="000C01D2"/>
    <w:rsid w:val="000C03AA"/>
    <w:rsid w:val="000C08BD"/>
    <w:rsid w:val="000C0B9F"/>
    <w:rsid w:val="000C162B"/>
    <w:rsid w:val="000C1687"/>
    <w:rsid w:val="000C1DAF"/>
    <w:rsid w:val="000C2DE6"/>
    <w:rsid w:val="000C3AB5"/>
    <w:rsid w:val="000C3BDC"/>
    <w:rsid w:val="000C42F6"/>
    <w:rsid w:val="000C606B"/>
    <w:rsid w:val="000C6B89"/>
    <w:rsid w:val="000C6F76"/>
    <w:rsid w:val="000C7D83"/>
    <w:rsid w:val="000D0651"/>
    <w:rsid w:val="000D0721"/>
    <w:rsid w:val="000D074B"/>
    <w:rsid w:val="000D0750"/>
    <w:rsid w:val="000D076C"/>
    <w:rsid w:val="000D07C8"/>
    <w:rsid w:val="000D170C"/>
    <w:rsid w:val="000D1908"/>
    <w:rsid w:val="000D1BEF"/>
    <w:rsid w:val="000D278C"/>
    <w:rsid w:val="000D2849"/>
    <w:rsid w:val="000D3622"/>
    <w:rsid w:val="000D37CF"/>
    <w:rsid w:val="000D39AC"/>
    <w:rsid w:val="000D4513"/>
    <w:rsid w:val="000D4F4A"/>
    <w:rsid w:val="000D56DE"/>
    <w:rsid w:val="000D5EDD"/>
    <w:rsid w:val="000D60E3"/>
    <w:rsid w:val="000D6176"/>
    <w:rsid w:val="000D6179"/>
    <w:rsid w:val="000D6860"/>
    <w:rsid w:val="000D695A"/>
    <w:rsid w:val="000D6CDC"/>
    <w:rsid w:val="000D744C"/>
    <w:rsid w:val="000D79F7"/>
    <w:rsid w:val="000D7CE4"/>
    <w:rsid w:val="000D7CEA"/>
    <w:rsid w:val="000E0750"/>
    <w:rsid w:val="000E0776"/>
    <w:rsid w:val="000E0DF3"/>
    <w:rsid w:val="000E0E67"/>
    <w:rsid w:val="000E12B0"/>
    <w:rsid w:val="000E1382"/>
    <w:rsid w:val="000E198B"/>
    <w:rsid w:val="000E1AC5"/>
    <w:rsid w:val="000E215B"/>
    <w:rsid w:val="000E24F0"/>
    <w:rsid w:val="000E258C"/>
    <w:rsid w:val="000E3732"/>
    <w:rsid w:val="000E3A1E"/>
    <w:rsid w:val="000E3AB7"/>
    <w:rsid w:val="000E3D9C"/>
    <w:rsid w:val="000E42D1"/>
    <w:rsid w:val="000E44D5"/>
    <w:rsid w:val="000E4EA0"/>
    <w:rsid w:val="000E5823"/>
    <w:rsid w:val="000E589C"/>
    <w:rsid w:val="000E5BEC"/>
    <w:rsid w:val="000E628E"/>
    <w:rsid w:val="000E64F8"/>
    <w:rsid w:val="000E670A"/>
    <w:rsid w:val="000E672F"/>
    <w:rsid w:val="000E7101"/>
    <w:rsid w:val="000E777F"/>
    <w:rsid w:val="000E77D1"/>
    <w:rsid w:val="000E7888"/>
    <w:rsid w:val="000E7B24"/>
    <w:rsid w:val="000E7E98"/>
    <w:rsid w:val="000F0155"/>
    <w:rsid w:val="000F0362"/>
    <w:rsid w:val="000F055F"/>
    <w:rsid w:val="000F05F0"/>
    <w:rsid w:val="000F0A80"/>
    <w:rsid w:val="000F0C95"/>
    <w:rsid w:val="000F1002"/>
    <w:rsid w:val="000F1358"/>
    <w:rsid w:val="000F169A"/>
    <w:rsid w:val="000F3010"/>
    <w:rsid w:val="000F448F"/>
    <w:rsid w:val="000F493A"/>
    <w:rsid w:val="000F4DA0"/>
    <w:rsid w:val="000F4DDC"/>
    <w:rsid w:val="000F5DBC"/>
    <w:rsid w:val="000F6298"/>
    <w:rsid w:val="000F68FE"/>
    <w:rsid w:val="000F73A7"/>
    <w:rsid w:val="000F7549"/>
    <w:rsid w:val="00100353"/>
    <w:rsid w:val="00100499"/>
    <w:rsid w:val="0010067E"/>
    <w:rsid w:val="001007AA"/>
    <w:rsid w:val="001018FE"/>
    <w:rsid w:val="00101902"/>
    <w:rsid w:val="00101B4C"/>
    <w:rsid w:val="00101D56"/>
    <w:rsid w:val="00101DB8"/>
    <w:rsid w:val="001027B3"/>
    <w:rsid w:val="001030D1"/>
    <w:rsid w:val="0010341A"/>
    <w:rsid w:val="0010349B"/>
    <w:rsid w:val="001037DA"/>
    <w:rsid w:val="00103AEA"/>
    <w:rsid w:val="00103DA5"/>
    <w:rsid w:val="0010430D"/>
    <w:rsid w:val="00104333"/>
    <w:rsid w:val="0010467A"/>
    <w:rsid w:val="001050C6"/>
    <w:rsid w:val="001051C5"/>
    <w:rsid w:val="001063D3"/>
    <w:rsid w:val="001064CB"/>
    <w:rsid w:val="00106FC1"/>
    <w:rsid w:val="00107315"/>
    <w:rsid w:val="001075D1"/>
    <w:rsid w:val="00107B1D"/>
    <w:rsid w:val="00107EF2"/>
    <w:rsid w:val="00110055"/>
    <w:rsid w:val="001111FD"/>
    <w:rsid w:val="00111226"/>
    <w:rsid w:val="00111670"/>
    <w:rsid w:val="00111DC9"/>
    <w:rsid w:val="00112787"/>
    <w:rsid w:val="00112E57"/>
    <w:rsid w:val="00112F79"/>
    <w:rsid w:val="00113404"/>
    <w:rsid w:val="001135AA"/>
    <w:rsid w:val="0011444C"/>
    <w:rsid w:val="00114B4E"/>
    <w:rsid w:val="00115843"/>
    <w:rsid w:val="00115A78"/>
    <w:rsid w:val="00115D73"/>
    <w:rsid w:val="00115E73"/>
    <w:rsid w:val="00116D36"/>
    <w:rsid w:val="00116D80"/>
    <w:rsid w:val="00116FC2"/>
    <w:rsid w:val="00117107"/>
    <w:rsid w:val="001171D9"/>
    <w:rsid w:val="00117415"/>
    <w:rsid w:val="00117575"/>
    <w:rsid w:val="00117B16"/>
    <w:rsid w:val="00120082"/>
    <w:rsid w:val="00120A08"/>
    <w:rsid w:val="00120CFF"/>
    <w:rsid w:val="00120DDB"/>
    <w:rsid w:val="00121FE2"/>
    <w:rsid w:val="001222BC"/>
    <w:rsid w:val="00122450"/>
    <w:rsid w:val="001224C3"/>
    <w:rsid w:val="00122729"/>
    <w:rsid w:val="00122C18"/>
    <w:rsid w:val="00122C95"/>
    <w:rsid w:val="00122DA9"/>
    <w:rsid w:val="00122F66"/>
    <w:rsid w:val="001238E7"/>
    <w:rsid w:val="00123A78"/>
    <w:rsid w:val="00123E17"/>
    <w:rsid w:val="00124151"/>
    <w:rsid w:val="00124A5C"/>
    <w:rsid w:val="0012527F"/>
    <w:rsid w:val="001261AB"/>
    <w:rsid w:val="00126344"/>
    <w:rsid w:val="00126557"/>
    <w:rsid w:val="0012769E"/>
    <w:rsid w:val="00127B3D"/>
    <w:rsid w:val="00127C11"/>
    <w:rsid w:val="00130BAA"/>
    <w:rsid w:val="00130C65"/>
    <w:rsid w:val="0013114D"/>
    <w:rsid w:val="00131742"/>
    <w:rsid w:val="00131E21"/>
    <w:rsid w:val="00132D33"/>
    <w:rsid w:val="00132E10"/>
    <w:rsid w:val="00133231"/>
    <w:rsid w:val="0013340B"/>
    <w:rsid w:val="00134718"/>
    <w:rsid w:val="0013549D"/>
    <w:rsid w:val="00135B94"/>
    <w:rsid w:val="00136104"/>
    <w:rsid w:val="001367A9"/>
    <w:rsid w:val="00137651"/>
    <w:rsid w:val="001377D7"/>
    <w:rsid w:val="00137CF7"/>
    <w:rsid w:val="00140182"/>
    <w:rsid w:val="00140C7A"/>
    <w:rsid w:val="00141B96"/>
    <w:rsid w:val="00141E74"/>
    <w:rsid w:val="00142181"/>
    <w:rsid w:val="00142864"/>
    <w:rsid w:val="00143018"/>
    <w:rsid w:val="0014314F"/>
    <w:rsid w:val="001439F3"/>
    <w:rsid w:val="00144051"/>
    <w:rsid w:val="00144D91"/>
    <w:rsid w:val="00144E3D"/>
    <w:rsid w:val="001450CB"/>
    <w:rsid w:val="00145794"/>
    <w:rsid w:val="00145915"/>
    <w:rsid w:val="001462B8"/>
    <w:rsid w:val="00146382"/>
    <w:rsid w:val="00146FBC"/>
    <w:rsid w:val="0014720E"/>
    <w:rsid w:val="001474C1"/>
    <w:rsid w:val="001477D9"/>
    <w:rsid w:val="001504A1"/>
    <w:rsid w:val="001504B3"/>
    <w:rsid w:val="0015074D"/>
    <w:rsid w:val="00150D8F"/>
    <w:rsid w:val="00150DE9"/>
    <w:rsid w:val="001511FD"/>
    <w:rsid w:val="001514AE"/>
    <w:rsid w:val="00151508"/>
    <w:rsid w:val="00152613"/>
    <w:rsid w:val="001529A4"/>
    <w:rsid w:val="00152AA2"/>
    <w:rsid w:val="00152ADE"/>
    <w:rsid w:val="00152E1B"/>
    <w:rsid w:val="00152F98"/>
    <w:rsid w:val="0015386C"/>
    <w:rsid w:val="00153E9D"/>
    <w:rsid w:val="0015431C"/>
    <w:rsid w:val="00154591"/>
    <w:rsid w:val="00154D5A"/>
    <w:rsid w:val="001555DA"/>
    <w:rsid w:val="00155EE4"/>
    <w:rsid w:val="00155FB2"/>
    <w:rsid w:val="001560A5"/>
    <w:rsid w:val="0015633F"/>
    <w:rsid w:val="001567DB"/>
    <w:rsid w:val="0015699D"/>
    <w:rsid w:val="00156BE2"/>
    <w:rsid w:val="00156FFC"/>
    <w:rsid w:val="00157F89"/>
    <w:rsid w:val="001601A0"/>
    <w:rsid w:val="00160259"/>
    <w:rsid w:val="00160380"/>
    <w:rsid w:val="0016068C"/>
    <w:rsid w:val="00160690"/>
    <w:rsid w:val="00160AF3"/>
    <w:rsid w:val="001617C0"/>
    <w:rsid w:val="001620F5"/>
    <w:rsid w:val="00162B0D"/>
    <w:rsid w:val="00162D07"/>
    <w:rsid w:val="00162D1E"/>
    <w:rsid w:val="00163637"/>
    <w:rsid w:val="00163A0B"/>
    <w:rsid w:val="0016426A"/>
    <w:rsid w:val="001645B8"/>
    <w:rsid w:val="00164954"/>
    <w:rsid w:val="00164ACE"/>
    <w:rsid w:val="0016525C"/>
    <w:rsid w:val="00165AD4"/>
    <w:rsid w:val="00165BC2"/>
    <w:rsid w:val="0016609F"/>
    <w:rsid w:val="00166364"/>
    <w:rsid w:val="001663F9"/>
    <w:rsid w:val="00166FEA"/>
    <w:rsid w:val="001675C1"/>
    <w:rsid w:val="001677A2"/>
    <w:rsid w:val="00167B3F"/>
    <w:rsid w:val="001700CE"/>
    <w:rsid w:val="001707F4"/>
    <w:rsid w:val="00170A71"/>
    <w:rsid w:val="00172219"/>
    <w:rsid w:val="001728EF"/>
    <w:rsid w:val="00172A27"/>
    <w:rsid w:val="00173B29"/>
    <w:rsid w:val="00173B8E"/>
    <w:rsid w:val="001740B4"/>
    <w:rsid w:val="0017467E"/>
    <w:rsid w:val="001746AB"/>
    <w:rsid w:val="0017532D"/>
    <w:rsid w:val="00176996"/>
    <w:rsid w:val="00176EAD"/>
    <w:rsid w:val="00177641"/>
    <w:rsid w:val="00177975"/>
    <w:rsid w:val="00180021"/>
    <w:rsid w:val="00180B29"/>
    <w:rsid w:val="00180B97"/>
    <w:rsid w:val="0018132D"/>
    <w:rsid w:val="00181630"/>
    <w:rsid w:val="0018209B"/>
    <w:rsid w:val="00182D41"/>
    <w:rsid w:val="00183028"/>
    <w:rsid w:val="0018337E"/>
    <w:rsid w:val="00183597"/>
    <w:rsid w:val="00183714"/>
    <w:rsid w:val="00183A48"/>
    <w:rsid w:val="00183A50"/>
    <w:rsid w:val="00183A8B"/>
    <w:rsid w:val="001841C4"/>
    <w:rsid w:val="00184F3D"/>
    <w:rsid w:val="00185155"/>
    <w:rsid w:val="0018544D"/>
    <w:rsid w:val="0018596A"/>
    <w:rsid w:val="00185A85"/>
    <w:rsid w:val="00185CFB"/>
    <w:rsid w:val="00186CFD"/>
    <w:rsid w:val="0018720B"/>
    <w:rsid w:val="001873E9"/>
    <w:rsid w:val="001878D1"/>
    <w:rsid w:val="00187ADE"/>
    <w:rsid w:val="00187CA4"/>
    <w:rsid w:val="001900E9"/>
    <w:rsid w:val="0019289E"/>
    <w:rsid w:val="0019294A"/>
    <w:rsid w:val="00192FC8"/>
    <w:rsid w:val="00192FF2"/>
    <w:rsid w:val="00193066"/>
    <w:rsid w:val="001930C0"/>
    <w:rsid w:val="00193AB5"/>
    <w:rsid w:val="00193F44"/>
    <w:rsid w:val="001940E8"/>
    <w:rsid w:val="001945A9"/>
    <w:rsid w:val="001946BD"/>
    <w:rsid w:val="00194A8F"/>
    <w:rsid w:val="0019551D"/>
    <w:rsid w:val="0019592B"/>
    <w:rsid w:val="001959A1"/>
    <w:rsid w:val="001961B7"/>
    <w:rsid w:val="0019708D"/>
    <w:rsid w:val="0019762F"/>
    <w:rsid w:val="00197A7F"/>
    <w:rsid w:val="00197F67"/>
    <w:rsid w:val="001A0D4A"/>
    <w:rsid w:val="001A14BE"/>
    <w:rsid w:val="001A1570"/>
    <w:rsid w:val="001A1EDC"/>
    <w:rsid w:val="001A1FD9"/>
    <w:rsid w:val="001A23CD"/>
    <w:rsid w:val="001A2BB5"/>
    <w:rsid w:val="001A2E35"/>
    <w:rsid w:val="001A30AB"/>
    <w:rsid w:val="001A332C"/>
    <w:rsid w:val="001A39ED"/>
    <w:rsid w:val="001A3D40"/>
    <w:rsid w:val="001A4167"/>
    <w:rsid w:val="001A4715"/>
    <w:rsid w:val="001A480D"/>
    <w:rsid w:val="001A49E5"/>
    <w:rsid w:val="001A4BC7"/>
    <w:rsid w:val="001A51EF"/>
    <w:rsid w:val="001A5300"/>
    <w:rsid w:val="001A537D"/>
    <w:rsid w:val="001A65EA"/>
    <w:rsid w:val="001A671D"/>
    <w:rsid w:val="001A6FD9"/>
    <w:rsid w:val="001A7176"/>
    <w:rsid w:val="001A792B"/>
    <w:rsid w:val="001A7A0C"/>
    <w:rsid w:val="001A7DAA"/>
    <w:rsid w:val="001B0751"/>
    <w:rsid w:val="001B1159"/>
    <w:rsid w:val="001B1883"/>
    <w:rsid w:val="001B1908"/>
    <w:rsid w:val="001B1DE8"/>
    <w:rsid w:val="001B222E"/>
    <w:rsid w:val="001B2700"/>
    <w:rsid w:val="001B3546"/>
    <w:rsid w:val="001B398A"/>
    <w:rsid w:val="001B4065"/>
    <w:rsid w:val="001B40A6"/>
    <w:rsid w:val="001B4A2B"/>
    <w:rsid w:val="001B5BDB"/>
    <w:rsid w:val="001B6BFE"/>
    <w:rsid w:val="001B7140"/>
    <w:rsid w:val="001B76FF"/>
    <w:rsid w:val="001B79B5"/>
    <w:rsid w:val="001C04D3"/>
    <w:rsid w:val="001C05F4"/>
    <w:rsid w:val="001C0702"/>
    <w:rsid w:val="001C09DD"/>
    <w:rsid w:val="001C11C5"/>
    <w:rsid w:val="001C144B"/>
    <w:rsid w:val="001C16EA"/>
    <w:rsid w:val="001C17E9"/>
    <w:rsid w:val="001C186C"/>
    <w:rsid w:val="001C1A54"/>
    <w:rsid w:val="001C2342"/>
    <w:rsid w:val="001C235C"/>
    <w:rsid w:val="001C23F9"/>
    <w:rsid w:val="001C25E1"/>
    <w:rsid w:val="001C28B2"/>
    <w:rsid w:val="001C2D12"/>
    <w:rsid w:val="001C382B"/>
    <w:rsid w:val="001C3ABF"/>
    <w:rsid w:val="001C4006"/>
    <w:rsid w:val="001C427C"/>
    <w:rsid w:val="001C5039"/>
    <w:rsid w:val="001C5069"/>
    <w:rsid w:val="001C5AD6"/>
    <w:rsid w:val="001C5B0B"/>
    <w:rsid w:val="001C64F5"/>
    <w:rsid w:val="001C6F97"/>
    <w:rsid w:val="001C722F"/>
    <w:rsid w:val="001C7577"/>
    <w:rsid w:val="001D04A2"/>
    <w:rsid w:val="001D08FB"/>
    <w:rsid w:val="001D1321"/>
    <w:rsid w:val="001D1919"/>
    <w:rsid w:val="001D1C10"/>
    <w:rsid w:val="001D1DD5"/>
    <w:rsid w:val="001D236F"/>
    <w:rsid w:val="001D2437"/>
    <w:rsid w:val="001D2590"/>
    <w:rsid w:val="001D26D1"/>
    <w:rsid w:val="001D2747"/>
    <w:rsid w:val="001D2FAA"/>
    <w:rsid w:val="001D36C2"/>
    <w:rsid w:val="001D3B29"/>
    <w:rsid w:val="001D3D54"/>
    <w:rsid w:val="001D3E77"/>
    <w:rsid w:val="001D579A"/>
    <w:rsid w:val="001D6A13"/>
    <w:rsid w:val="001D6EDB"/>
    <w:rsid w:val="001D7485"/>
    <w:rsid w:val="001D765A"/>
    <w:rsid w:val="001D797A"/>
    <w:rsid w:val="001D7C8A"/>
    <w:rsid w:val="001D7F4F"/>
    <w:rsid w:val="001E0D21"/>
    <w:rsid w:val="001E13C1"/>
    <w:rsid w:val="001E169A"/>
    <w:rsid w:val="001E196A"/>
    <w:rsid w:val="001E1B37"/>
    <w:rsid w:val="001E1CC2"/>
    <w:rsid w:val="001E1F5B"/>
    <w:rsid w:val="001E23AC"/>
    <w:rsid w:val="001E2736"/>
    <w:rsid w:val="001E32B1"/>
    <w:rsid w:val="001E4240"/>
    <w:rsid w:val="001E4293"/>
    <w:rsid w:val="001E42D9"/>
    <w:rsid w:val="001E4382"/>
    <w:rsid w:val="001E4B5A"/>
    <w:rsid w:val="001E528C"/>
    <w:rsid w:val="001E58FD"/>
    <w:rsid w:val="001E5D6F"/>
    <w:rsid w:val="001E61BB"/>
    <w:rsid w:val="001E653B"/>
    <w:rsid w:val="001E6635"/>
    <w:rsid w:val="001E682C"/>
    <w:rsid w:val="001E6EAF"/>
    <w:rsid w:val="001E6F58"/>
    <w:rsid w:val="001E71C1"/>
    <w:rsid w:val="001E7C2A"/>
    <w:rsid w:val="001E7DAF"/>
    <w:rsid w:val="001F0482"/>
    <w:rsid w:val="001F04AA"/>
    <w:rsid w:val="001F051C"/>
    <w:rsid w:val="001F096A"/>
    <w:rsid w:val="001F0A13"/>
    <w:rsid w:val="001F1A32"/>
    <w:rsid w:val="001F270B"/>
    <w:rsid w:val="001F2B97"/>
    <w:rsid w:val="001F2E5D"/>
    <w:rsid w:val="001F3676"/>
    <w:rsid w:val="001F3BA2"/>
    <w:rsid w:val="001F3D01"/>
    <w:rsid w:val="001F43AE"/>
    <w:rsid w:val="001F4509"/>
    <w:rsid w:val="001F4C94"/>
    <w:rsid w:val="001F58AC"/>
    <w:rsid w:val="001F59CE"/>
    <w:rsid w:val="001F5C25"/>
    <w:rsid w:val="001F5C56"/>
    <w:rsid w:val="001F5CEF"/>
    <w:rsid w:val="001F7029"/>
    <w:rsid w:val="001F7256"/>
    <w:rsid w:val="001F7FEE"/>
    <w:rsid w:val="002002AE"/>
    <w:rsid w:val="0020043E"/>
    <w:rsid w:val="00200B73"/>
    <w:rsid w:val="00201785"/>
    <w:rsid w:val="00201AF2"/>
    <w:rsid w:val="00201B99"/>
    <w:rsid w:val="00202EA2"/>
    <w:rsid w:val="00203416"/>
    <w:rsid w:val="00203941"/>
    <w:rsid w:val="002039FB"/>
    <w:rsid w:val="00203A04"/>
    <w:rsid w:val="00204E0B"/>
    <w:rsid w:val="00204E67"/>
    <w:rsid w:val="00205116"/>
    <w:rsid w:val="00205144"/>
    <w:rsid w:val="0020516F"/>
    <w:rsid w:val="00205386"/>
    <w:rsid w:val="002057CD"/>
    <w:rsid w:val="002057EA"/>
    <w:rsid w:val="00205EF9"/>
    <w:rsid w:val="002060B8"/>
    <w:rsid w:val="00206646"/>
    <w:rsid w:val="00206871"/>
    <w:rsid w:val="00206A28"/>
    <w:rsid w:val="002103CC"/>
    <w:rsid w:val="00210489"/>
    <w:rsid w:val="002109D1"/>
    <w:rsid w:val="002109F1"/>
    <w:rsid w:val="00210BBF"/>
    <w:rsid w:val="00211B6D"/>
    <w:rsid w:val="002126F3"/>
    <w:rsid w:val="00212787"/>
    <w:rsid w:val="00212BCB"/>
    <w:rsid w:val="00212F42"/>
    <w:rsid w:val="00213240"/>
    <w:rsid w:val="002139A0"/>
    <w:rsid w:val="002149C1"/>
    <w:rsid w:val="00214B6C"/>
    <w:rsid w:val="00215C84"/>
    <w:rsid w:val="0021647D"/>
    <w:rsid w:val="00217561"/>
    <w:rsid w:val="0021761B"/>
    <w:rsid w:val="00217AA2"/>
    <w:rsid w:val="002202E7"/>
    <w:rsid w:val="00220A57"/>
    <w:rsid w:val="0022101D"/>
    <w:rsid w:val="002213AB"/>
    <w:rsid w:val="002213C6"/>
    <w:rsid w:val="002218C0"/>
    <w:rsid w:val="00222448"/>
    <w:rsid w:val="002240E8"/>
    <w:rsid w:val="002242E5"/>
    <w:rsid w:val="0022432A"/>
    <w:rsid w:val="002246A0"/>
    <w:rsid w:val="00224866"/>
    <w:rsid w:val="002252C9"/>
    <w:rsid w:val="00225A4C"/>
    <w:rsid w:val="00226085"/>
    <w:rsid w:val="00226C08"/>
    <w:rsid w:val="00226D33"/>
    <w:rsid w:val="00227094"/>
    <w:rsid w:val="00227467"/>
    <w:rsid w:val="0022798A"/>
    <w:rsid w:val="002279CC"/>
    <w:rsid w:val="00227ADF"/>
    <w:rsid w:val="00230141"/>
    <w:rsid w:val="002303D6"/>
    <w:rsid w:val="00230690"/>
    <w:rsid w:val="00230933"/>
    <w:rsid w:val="00230967"/>
    <w:rsid w:val="002318D7"/>
    <w:rsid w:val="00232106"/>
    <w:rsid w:val="00232735"/>
    <w:rsid w:val="002340BD"/>
    <w:rsid w:val="002346BB"/>
    <w:rsid w:val="002350F7"/>
    <w:rsid w:val="002355B8"/>
    <w:rsid w:val="002356EB"/>
    <w:rsid w:val="002357BF"/>
    <w:rsid w:val="00235B26"/>
    <w:rsid w:val="00235FE8"/>
    <w:rsid w:val="00236473"/>
    <w:rsid w:val="002369D6"/>
    <w:rsid w:val="00236A1E"/>
    <w:rsid w:val="00236BDA"/>
    <w:rsid w:val="002376D8"/>
    <w:rsid w:val="0023788D"/>
    <w:rsid w:val="0024116C"/>
    <w:rsid w:val="00241383"/>
    <w:rsid w:val="00241ADC"/>
    <w:rsid w:val="002422CA"/>
    <w:rsid w:val="002423B7"/>
    <w:rsid w:val="002424D6"/>
    <w:rsid w:val="002428F3"/>
    <w:rsid w:val="002430B3"/>
    <w:rsid w:val="00243295"/>
    <w:rsid w:val="002439E8"/>
    <w:rsid w:val="00243BC1"/>
    <w:rsid w:val="00244544"/>
    <w:rsid w:val="0024476A"/>
    <w:rsid w:val="002449B6"/>
    <w:rsid w:val="00244D7C"/>
    <w:rsid w:val="00245269"/>
    <w:rsid w:val="002453D8"/>
    <w:rsid w:val="0024568D"/>
    <w:rsid w:val="002456DF"/>
    <w:rsid w:val="002458C2"/>
    <w:rsid w:val="00245AB9"/>
    <w:rsid w:val="00245E9F"/>
    <w:rsid w:val="002467E5"/>
    <w:rsid w:val="00246C72"/>
    <w:rsid w:val="0024709A"/>
    <w:rsid w:val="00247A3C"/>
    <w:rsid w:val="00250935"/>
    <w:rsid w:val="00250ACF"/>
    <w:rsid w:val="00250F3E"/>
    <w:rsid w:val="002521FB"/>
    <w:rsid w:val="002522EF"/>
    <w:rsid w:val="00254C36"/>
    <w:rsid w:val="00255732"/>
    <w:rsid w:val="0025597B"/>
    <w:rsid w:val="00256284"/>
    <w:rsid w:val="0025633F"/>
    <w:rsid w:val="00256386"/>
    <w:rsid w:val="00256932"/>
    <w:rsid w:val="00256BB6"/>
    <w:rsid w:val="002572F8"/>
    <w:rsid w:val="0025774D"/>
    <w:rsid w:val="0025799D"/>
    <w:rsid w:val="00257B28"/>
    <w:rsid w:val="00257F0E"/>
    <w:rsid w:val="002611D4"/>
    <w:rsid w:val="002612E0"/>
    <w:rsid w:val="00261D6B"/>
    <w:rsid w:val="002625AB"/>
    <w:rsid w:val="00262A42"/>
    <w:rsid w:val="00262DBC"/>
    <w:rsid w:val="00263589"/>
    <w:rsid w:val="00264132"/>
    <w:rsid w:val="002645AB"/>
    <w:rsid w:val="00264630"/>
    <w:rsid w:val="002647E3"/>
    <w:rsid w:val="00265720"/>
    <w:rsid w:val="002666BD"/>
    <w:rsid w:val="00266BE1"/>
    <w:rsid w:val="002670BC"/>
    <w:rsid w:val="00267F3A"/>
    <w:rsid w:val="00267F90"/>
    <w:rsid w:val="002708D2"/>
    <w:rsid w:val="00271129"/>
    <w:rsid w:val="0027148D"/>
    <w:rsid w:val="002716F1"/>
    <w:rsid w:val="0027197E"/>
    <w:rsid w:val="00271DAC"/>
    <w:rsid w:val="00271EED"/>
    <w:rsid w:val="00272873"/>
    <w:rsid w:val="00272C1D"/>
    <w:rsid w:val="00272FB1"/>
    <w:rsid w:val="00273523"/>
    <w:rsid w:val="00273C38"/>
    <w:rsid w:val="0027425B"/>
    <w:rsid w:val="00274636"/>
    <w:rsid w:val="00274C9F"/>
    <w:rsid w:val="0027522A"/>
    <w:rsid w:val="0027593F"/>
    <w:rsid w:val="00275C81"/>
    <w:rsid w:val="00275CA0"/>
    <w:rsid w:val="00276BE4"/>
    <w:rsid w:val="002770A2"/>
    <w:rsid w:val="0027719A"/>
    <w:rsid w:val="0027730E"/>
    <w:rsid w:val="00277C4E"/>
    <w:rsid w:val="00277D53"/>
    <w:rsid w:val="00280013"/>
    <w:rsid w:val="00280175"/>
    <w:rsid w:val="002803E7"/>
    <w:rsid w:val="00280855"/>
    <w:rsid w:val="00280B5D"/>
    <w:rsid w:val="00281CE0"/>
    <w:rsid w:val="00281CF6"/>
    <w:rsid w:val="002820A3"/>
    <w:rsid w:val="00282163"/>
    <w:rsid w:val="00282398"/>
    <w:rsid w:val="002825E6"/>
    <w:rsid w:val="0028346B"/>
    <w:rsid w:val="00283705"/>
    <w:rsid w:val="00283E2E"/>
    <w:rsid w:val="00283F93"/>
    <w:rsid w:val="002845A8"/>
    <w:rsid w:val="00285453"/>
    <w:rsid w:val="0028546A"/>
    <w:rsid w:val="002856B9"/>
    <w:rsid w:val="002856F0"/>
    <w:rsid w:val="00285F1D"/>
    <w:rsid w:val="00286C64"/>
    <w:rsid w:val="002874D0"/>
    <w:rsid w:val="00287676"/>
    <w:rsid w:val="0029039C"/>
    <w:rsid w:val="00290ABA"/>
    <w:rsid w:val="00290BE5"/>
    <w:rsid w:val="00290D6B"/>
    <w:rsid w:val="00291176"/>
    <w:rsid w:val="002912CC"/>
    <w:rsid w:val="00291A16"/>
    <w:rsid w:val="00291D21"/>
    <w:rsid w:val="0029224F"/>
    <w:rsid w:val="00292721"/>
    <w:rsid w:val="00292A61"/>
    <w:rsid w:val="00292F75"/>
    <w:rsid w:val="002932C0"/>
    <w:rsid w:val="00293700"/>
    <w:rsid w:val="0029388F"/>
    <w:rsid w:val="002938AF"/>
    <w:rsid w:val="002938DC"/>
    <w:rsid w:val="00293E57"/>
    <w:rsid w:val="002943FB"/>
    <w:rsid w:val="0029488F"/>
    <w:rsid w:val="00294E7E"/>
    <w:rsid w:val="00295C7C"/>
    <w:rsid w:val="00296159"/>
    <w:rsid w:val="0029652E"/>
    <w:rsid w:val="002971B4"/>
    <w:rsid w:val="002972CC"/>
    <w:rsid w:val="002978BE"/>
    <w:rsid w:val="002A049E"/>
    <w:rsid w:val="002A0779"/>
    <w:rsid w:val="002A128B"/>
    <w:rsid w:val="002A12DD"/>
    <w:rsid w:val="002A181E"/>
    <w:rsid w:val="002A19B5"/>
    <w:rsid w:val="002A2C31"/>
    <w:rsid w:val="002A4499"/>
    <w:rsid w:val="002A4E28"/>
    <w:rsid w:val="002A5698"/>
    <w:rsid w:val="002A5AFF"/>
    <w:rsid w:val="002A5D5D"/>
    <w:rsid w:val="002A6091"/>
    <w:rsid w:val="002A6506"/>
    <w:rsid w:val="002A654F"/>
    <w:rsid w:val="002A6C0E"/>
    <w:rsid w:val="002A6C33"/>
    <w:rsid w:val="002A6F70"/>
    <w:rsid w:val="002A78AA"/>
    <w:rsid w:val="002A79EC"/>
    <w:rsid w:val="002B0030"/>
    <w:rsid w:val="002B0456"/>
    <w:rsid w:val="002B067F"/>
    <w:rsid w:val="002B0821"/>
    <w:rsid w:val="002B105D"/>
    <w:rsid w:val="002B2447"/>
    <w:rsid w:val="002B2590"/>
    <w:rsid w:val="002B2809"/>
    <w:rsid w:val="002B3295"/>
    <w:rsid w:val="002B339A"/>
    <w:rsid w:val="002B364D"/>
    <w:rsid w:val="002B3B2E"/>
    <w:rsid w:val="002B4478"/>
    <w:rsid w:val="002B500B"/>
    <w:rsid w:val="002B50ED"/>
    <w:rsid w:val="002B5195"/>
    <w:rsid w:val="002B537B"/>
    <w:rsid w:val="002B580D"/>
    <w:rsid w:val="002B584E"/>
    <w:rsid w:val="002B6275"/>
    <w:rsid w:val="002B656B"/>
    <w:rsid w:val="002B69D4"/>
    <w:rsid w:val="002B6C2B"/>
    <w:rsid w:val="002B6EEA"/>
    <w:rsid w:val="002B70B2"/>
    <w:rsid w:val="002B72B4"/>
    <w:rsid w:val="002C003E"/>
    <w:rsid w:val="002C06A5"/>
    <w:rsid w:val="002C0A63"/>
    <w:rsid w:val="002C0DD8"/>
    <w:rsid w:val="002C0E8B"/>
    <w:rsid w:val="002C0FC0"/>
    <w:rsid w:val="002C130C"/>
    <w:rsid w:val="002C14D0"/>
    <w:rsid w:val="002C1F62"/>
    <w:rsid w:val="002C20A5"/>
    <w:rsid w:val="002C255A"/>
    <w:rsid w:val="002C291D"/>
    <w:rsid w:val="002C2BE8"/>
    <w:rsid w:val="002C2EC5"/>
    <w:rsid w:val="002C2FAB"/>
    <w:rsid w:val="002C315A"/>
    <w:rsid w:val="002C320D"/>
    <w:rsid w:val="002C3345"/>
    <w:rsid w:val="002C4381"/>
    <w:rsid w:val="002C567D"/>
    <w:rsid w:val="002C5C47"/>
    <w:rsid w:val="002C6ACB"/>
    <w:rsid w:val="002C6C9B"/>
    <w:rsid w:val="002C6E40"/>
    <w:rsid w:val="002C6F5E"/>
    <w:rsid w:val="002C7088"/>
    <w:rsid w:val="002C74E4"/>
    <w:rsid w:val="002C79F7"/>
    <w:rsid w:val="002D13EA"/>
    <w:rsid w:val="002D15A2"/>
    <w:rsid w:val="002D1902"/>
    <w:rsid w:val="002D1D13"/>
    <w:rsid w:val="002D1EF4"/>
    <w:rsid w:val="002D2005"/>
    <w:rsid w:val="002D2474"/>
    <w:rsid w:val="002D2A2F"/>
    <w:rsid w:val="002D2BC5"/>
    <w:rsid w:val="002D31BE"/>
    <w:rsid w:val="002D3951"/>
    <w:rsid w:val="002D4039"/>
    <w:rsid w:val="002D509A"/>
    <w:rsid w:val="002D5D7B"/>
    <w:rsid w:val="002D5DFB"/>
    <w:rsid w:val="002D65A1"/>
    <w:rsid w:val="002D6B19"/>
    <w:rsid w:val="002D718D"/>
    <w:rsid w:val="002D7E99"/>
    <w:rsid w:val="002E021D"/>
    <w:rsid w:val="002E07D4"/>
    <w:rsid w:val="002E0B48"/>
    <w:rsid w:val="002E14EE"/>
    <w:rsid w:val="002E184E"/>
    <w:rsid w:val="002E29CC"/>
    <w:rsid w:val="002E2CFB"/>
    <w:rsid w:val="002E32D3"/>
    <w:rsid w:val="002E38A3"/>
    <w:rsid w:val="002E38BD"/>
    <w:rsid w:val="002E498C"/>
    <w:rsid w:val="002E49E4"/>
    <w:rsid w:val="002E4B3B"/>
    <w:rsid w:val="002E4C39"/>
    <w:rsid w:val="002E4DF5"/>
    <w:rsid w:val="002E53FD"/>
    <w:rsid w:val="002E5D77"/>
    <w:rsid w:val="002E712E"/>
    <w:rsid w:val="002E7444"/>
    <w:rsid w:val="002E7B78"/>
    <w:rsid w:val="002F0182"/>
    <w:rsid w:val="002F02CA"/>
    <w:rsid w:val="002F07C0"/>
    <w:rsid w:val="002F1763"/>
    <w:rsid w:val="002F1F6C"/>
    <w:rsid w:val="002F242F"/>
    <w:rsid w:val="002F269C"/>
    <w:rsid w:val="002F3FA5"/>
    <w:rsid w:val="002F5108"/>
    <w:rsid w:val="002F54E7"/>
    <w:rsid w:val="002F739F"/>
    <w:rsid w:val="002F742B"/>
    <w:rsid w:val="002F7B0B"/>
    <w:rsid w:val="002F7B95"/>
    <w:rsid w:val="00300395"/>
    <w:rsid w:val="00300442"/>
    <w:rsid w:val="00300877"/>
    <w:rsid w:val="00301091"/>
    <w:rsid w:val="003010C6"/>
    <w:rsid w:val="0030169C"/>
    <w:rsid w:val="00301721"/>
    <w:rsid w:val="00301733"/>
    <w:rsid w:val="0030198E"/>
    <w:rsid w:val="0030224E"/>
    <w:rsid w:val="00302472"/>
    <w:rsid w:val="003026AD"/>
    <w:rsid w:val="00302A56"/>
    <w:rsid w:val="00303692"/>
    <w:rsid w:val="003036D7"/>
    <w:rsid w:val="0030458E"/>
    <w:rsid w:val="00304834"/>
    <w:rsid w:val="0030531C"/>
    <w:rsid w:val="00305548"/>
    <w:rsid w:val="00305FF6"/>
    <w:rsid w:val="003068AF"/>
    <w:rsid w:val="0031014E"/>
    <w:rsid w:val="003102B6"/>
    <w:rsid w:val="003103AE"/>
    <w:rsid w:val="0031089A"/>
    <w:rsid w:val="00310CFC"/>
    <w:rsid w:val="0031177C"/>
    <w:rsid w:val="00311BB6"/>
    <w:rsid w:val="00311F05"/>
    <w:rsid w:val="00312341"/>
    <w:rsid w:val="00312C85"/>
    <w:rsid w:val="00313682"/>
    <w:rsid w:val="00313CEA"/>
    <w:rsid w:val="00313DC3"/>
    <w:rsid w:val="00313EE2"/>
    <w:rsid w:val="00314547"/>
    <w:rsid w:val="003145B0"/>
    <w:rsid w:val="003145D3"/>
    <w:rsid w:val="00314A21"/>
    <w:rsid w:val="00314C35"/>
    <w:rsid w:val="00314D54"/>
    <w:rsid w:val="003151F4"/>
    <w:rsid w:val="00315565"/>
    <w:rsid w:val="0031611A"/>
    <w:rsid w:val="00316590"/>
    <w:rsid w:val="00317F16"/>
    <w:rsid w:val="003201AD"/>
    <w:rsid w:val="00320A16"/>
    <w:rsid w:val="003210B2"/>
    <w:rsid w:val="00322F0A"/>
    <w:rsid w:val="003230F0"/>
    <w:rsid w:val="003234F8"/>
    <w:rsid w:val="003235E6"/>
    <w:rsid w:val="00323BB9"/>
    <w:rsid w:val="00323CAD"/>
    <w:rsid w:val="00323F3C"/>
    <w:rsid w:val="00324183"/>
    <w:rsid w:val="003243AB"/>
    <w:rsid w:val="00324625"/>
    <w:rsid w:val="003248AE"/>
    <w:rsid w:val="00324E00"/>
    <w:rsid w:val="00324E2E"/>
    <w:rsid w:val="00324EC2"/>
    <w:rsid w:val="003253EC"/>
    <w:rsid w:val="00325713"/>
    <w:rsid w:val="00325C85"/>
    <w:rsid w:val="00325D30"/>
    <w:rsid w:val="00325EC6"/>
    <w:rsid w:val="003260C0"/>
    <w:rsid w:val="0032650A"/>
    <w:rsid w:val="00326860"/>
    <w:rsid w:val="00326916"/>
    <w:rsid w:val="00326AAA"/>
    <w:rsid w:val="00327243"/>
    <w:rsid w:val="003278AD"/>
    <w:rsid w:val="003279D5"/>
    <w:rsid w:val="003300AF"/>
    <w:rsid w:val="0033054F"/>
    <w:rsid w:val="00331062"/>
    <w:rsid w:val="003313D5"/>
    <w:rsid w:val="003317E0"/>
    <w:rsid w:val="00332329"/>
    <w:rsid w:val="003325D5"/>
    <w:rsid w:val="00332CC4"/>
    <w:rsid w:val="0033394B"/>
    <w:rsid w:val="00334606"/>
    <w:rsid w:val="0033573D"/>
    <w:rsid w:val="00335F55"/>
    <w:rsid w:val="00336499"/>
    <w:rsid w:val="00337302"/>
    <w:rsid w:val="0033731A"/>
    <w:rsid w:val="0033751E"/>
    <w:rsid w:val="00337544"/>
    <w:rsid w:val="003400F9"/>
    <w:rsid w:val="003404F4"/>
    <w:rsid w:val="0034099D"/>
    <w:rsid w:val="00340EFC"/>
    <w:rsid w:val="00341195"/>
    <w:rsid w:val="00341313"/>
    <w:rsid w:val="00341588"/>
    <w:rsid w:val="003417AD"/>
    <w:rsid w:val="00341B9E"/>
    <w:rsid w:val="00341DDE"/>
    <w:rsid w:val="00342828"/>
    <w:rsid w:val="00342BF1"/>
    <w:rsid w:val="00342D32"/>
    <w:rsid w:val="00342F04"/>
    <w:rsid w:val="00343CEF"/>
    <w:rsid w:val="003444B7"/>
    <w:rsid w:val="00344694"/>
    <w:rsid w:val="00344A9B"/>
    <w:rsid w:val="00344FA8"/>
    <w:rsid w:val="00345126"/>
    <w:rsid w:val="003467C3"/>
    <w:rsid w:val="003468D7"/>
    <w:rsid w:val="00346ABF"/>
    <w:rsid w:val="00346C27"/>
    <w:rsid w:val="00346C4A"/>
    <w:rsid w:val="00346CE6"/>
    <w:rsid w:val="00346CFF"/>
    <w:rsid w:val="003470E7"/>
    <w:rsid w:val="00347587"/>
    <w:rsid w:val="00347FB4"/>
    <w:rsid w:val="00350105"/>
    <w:rsid w:val="00350BE0"/>
    <w:rsid w:val="003519DA"/>
    <w:rsid w:val="00351F1C"/>
    <w:rsid w:val="00351FE9"/>
    <w:rsid w:val="0035231C"/>
    <w:rsid w:val="00352937"/>
    <w:rsid w:val="00352997"/>
    <w:rsid w:val="00353558"/>
    <w:rsid w:val="00353571"/>
    <w:rsid w:val="003535AD"/>
    <w:rsid w:val="0035475B"/>
    <w:rsid w:val="00354B55"/>
    <w:rsid w:val="00354EC6"/>
    <w:rsid w:val="0035544E"/>
    <w:rsid w:val="003554DD"/>
    <w:rsid w:val="00355FEB"/>
    <w:rsid w:val="00357958"/>
    <w:rsid w:val="00357FE7"/>
    <w:rsid w:val="00360709"/>
    <w:rsid w:val="00360734"/>
    <w:rsid w:val="00360CEC"/>
    <w:rsid w:val="00360E53"/>
    <w:rsid w:val="00360EEA"/>
    <w:rsid w:val="003610CC"/>
    <w:rsid w:val="003611EA"/>
    <w:rsid w:val="0036140F"/>
    <w:rsid w:val="00361637"/>
    <w:rsid w:val="0036231A"/>
    <w:rsid w:val="00362493"/>
    <w:rsid w:val="00362A69"/>
    <w:rsid w:val="00362B42"/>
    <w:rsid w:val="00363219"/>
    <w:rsid w:val="00363296"/>
    <w:rsid w:val="003638FD"/>
    <w:rsid w:val="00363AF5"/>
    <w:rsid w:val="00364B22"/>
    <w:rsid w:val="00364CDF"/>
    <w:rsid w:val="00364EA6"/>
    <w:rsid w:val="00364EF4"/>
    <w:rsid w:val="003662D9"/>
    <w:rsid w:val="00366861"/>
    <w:rsid w:val="00366920"/>
    <w:rsid w:val="00367557"/>
    <w:rsid w:val="003678ED"/>
    <w:rsid w:val="00367FFD"/>
    <w:rsid w:val="0037098C"/>
    <w:rsid w:val="003718BF"/>
    <w:rsid w:val="00371AF6"/>
    <w:rsid w:val="00371B56"/>
    <w:rsid w:val="00371EAA"/>
    <w:rsid w:val="00371EE4"/>
    <w:rsid w:val="00372125"/>
    <w:rsid w:val="00372322"/>
    <w:rsid w:val="00372B5C"/>
    <w:rsid w:val="00372D10"/>
    <w:rsid w:val="00373213"/>
    <w:rsid w:val="00373F02"/>
    <w:rsid w:val="003742CA"/>
    <w:rsid w:val="003748E3"/>
    <w:rsid w:val="003748EB"/>
    <w:rsid w:val="00374EA0"/>
    <w:rsid w:val="0037558F"/>
    <w:rsid w:val="00375994"/>
    <w:rsid w:val="00375B2F"/>
    <w:rsid w:val="00375C9B"/>
    <w:rsid w:val="00375CE6"/>
    <w:rsid w:val="00375F55"/>
    <w:rsid w:val="003760D1"/>
    <w:rsid w:val="0037643B"/>
    <w:rsid w:val="0037699A"/>
    <w:rsid w:val="00377217"/>
    <w:rsid w:val="003772C1"/>
    <w:rsid w:val="00377460"/>
    <w:rsid w:val="0037779E"/>
    <w:rsid w:val="00377C7B"/>
    <w:rsid w:val="00380242"/>
    <w:rsid w:val="0038085A"/>
    <w:rsid w:val="00380B7A"/>
    <w:rsid w:val="00380BD9"/>
    <w:rsid w:val="0038110F"/>
    <w:rsid w:val="00381363"/>
    <w:rsid w:val="0038152E"/>
    <w:rsid w:val="003816C2"/>
    <w:rsid w:val="00381D7E"/>
    <w:rsid w:val="00382D88"/>
    <w:rsid w:val="00382E5B"/>
    <w:rsid w:val="00382FEF"/>
    <w:rsid w:val="00383258"/>
    <w:rsid w:val="00383361"/>
    <w:rsid w:val="003841E2"/>
    <w:rsid w:val="003844C2"/>
    <w:rsid w:val="00384748"/>
    <w:rsid w:val="00384B9F"/>
    <w:rsid w:val="00384C83"/>
    <w:rsid w:val="003858B6"/>
    <w:rsid w:val="00386724"/>
    <w:rsid w:val="0038680F"/>
    <w:rsid w:val="00386A5F"/>
    <w:rsid w:val="00386D56"/>
    <w:rsid w:val="00387A94"/>
    <w:rsid w:val="00387AFC"/>
    <w:rsid w:val="003902A7"/>
    <w:rsid w:val="00390EA9"/>
    <w:rsid w:val="003911B8"/>
    <w:rsid w:val="00391819"/>
    <w:rsid w:val="00391C54"/>
    <w:rsid w:val="00391E52"/>
    <w:rsid w:val="003920A6"/>
    <w:rsid w:val="00392959"/>
    <w:rsid w:val="003935E1"/>
    <w:rsid w:val="0039392B"/>
    <w:rsid w:val="00395816"/>
    <w:rsid w:val="00395855"/>
    <w:rsid w:val="00396092"/>
    <w:rsid w:val="00396E2B"/>
    <w:rsid w:val="003975F4"/>
    <w:rsid w:val="003A0498"/>
    <w:rsid w:val="003A054E"/>
    <w:rsid w:val="003A146D"/>
    <w:rsid w:val="003A15F8"/>
    <w:rsid w:val="003A2359"/>
    <w:rsid w:val="003A23D2"/>
    <w:rsid w:val="003A2522"/>
    <w:rsid w:val="003A299E"/>
    <w:rsid w:val="003A2F58"/>
    <w:rsid w:val="003A3C8A"/>
    <w:rsid w:val="003A3CE7"/>
    <w:rsid w:val="003A4194"/>
    <w:rsid w:val="003A487B"/>
    <w:rsid w:val="003A4EB6"/>
    <w:rsid w:val="003A5334"/>
    <w:rsid w:val="003A566C"/>
    <w:rsid w:val="003A593B"/>
    <w:rsid w:val="003A5D69"/>
    <w:rsid w:val="003A63C3"/>
    <w:rsid w:val="003A658A"/>
    <w:rsid w:val="003A6FD9"/>
    <w:rsid w:val="003A73D4"/>
    <w:rsid w:val="003A773E"/>
    <w:rsid w:val="003A7781"/>
    <w:rsid w:val="003B0236"/>
    <w:rsid w:val="003B0865"/>
    <w:rsid w:val="003B09D5"/>
    <w:rsid w:val="003B0A32"/>
    <w:rsid w:val="003B1232"/>
    <w:rsid w:val="003B1E6C"/>
    <w:rsid w:val="003B3297"/>
    <w:rsid w:val="003B3953"/>
    <w:rsid w:val="003B3B97"/>
    <w:rsid w:val="003B4C8C"/>
    <w:rsid w:val="003B4D52"/>
    <w:rsid w:val="003B4D68"/>
    <w:rsid w:val="003B56E5"/>
    <w:rsid w:val="003B59D0"/>
    <w:rsid w:val="003B5A40"/>
    <w:rsid w:val="003B5B05"/>
    <w:rsid w:val="003B628C"/>
    <w:rsid w:val="003B774B"/>
    <w:rsid w:val="003B7B40"/>
    <w:rsid w:val="003B7EBE"/>
    <w:rsid w:val="003C0483"/>
    <w:rsid w:val="003C079B"/>
    <w:rsid w:val="003C0961"/>
    <w:rsid w:val="003C0C06"/>
    <w:rsid w:val="003C0C17"/>
    <w:rsid w:val="003C0DB0"/>
    <w:rsid w:val="003C11F9"/>
    <w:rsid w:val="003C1768"/>
    <w:rsid w:val="003C191A"/>
    <w:rsid w:val="003C1A93"/>
    <w:rsid w:val="003C22E5"/>
    <w:rsid w:val="003C23F4"/>
    <w:rsid w:val="003C2E70"/>
    <w:rsid w:val="003C3277"/>
    <w:rsid w:val="003C349A"/>
    <w:rsid w:val="003C34BE"/>
    <w:rsid w:val="003C39D1"/>
    <w:rsid w:val="003C3B67"/>
    <w:rsid w:val="003C3D3C"/>
    <w:rsid w:val="003C4874"/>
    <w:rsid w:val="003C4A9F"/>
    <w:rsid w:val="003C64B2"/>
    <w:rsid w:val="003C6771"/>
    <w:rsid w:val="003C6A67"/>
    <w:rsid w:val="003C6B3F"/>
    <w:rsid w:val="003C6BD4"/>
    <w:rsid w:val="003C712D"/>
    <w:rsid w:val="003C7773"/>
    <w:rsid w:val="003D014F"/>
    <w:rsid w:val="003D0215"/>
    <w:rsid w:val="003D0D39"/>
    <w:rsid w:val="003D1619"/>
    <w:rsid w:val="003D1630"/>
    <w:rsid w:val="003D1A56"/>
    <w:rsid w:val="003D1EEA"/>
    <w:rsid w:val="003D236F"/>
    <w:rsid w:val="003D23F0"/>
    <w:rsid w:val="003D2736"/>
    <w:rsid w:val="003D28B9"/>
    <w:rsid w:val="003D2D82"/>
    <w:rsid w:val="003D3217"/>
    <w:rsid w:val="003D358F"/>
    <w:rsid w:val="003D3713"/>
    <w:rsid w:val="003D3A06"/>
    <w:rsid w:val="003D44C0"/>
    <w:rsid w:val="003D450D"/>
    <w:rsid w:val="003D53B6"/>
    <w:rsid w:val="003D55CE"/>
    <w:rsid w:val="003D5A13"/>
    <w:rsid w:val="003D5A3E"/>
    <w:rsid w:val="003D5F41"/>
    <w:rsid w:val="003D5F56"/>
    <w:rsid w:val="003D69F5"/>
    <w:rsid w:val="003D7027"/>
    <w:rsid w:val="003D70A7"/>
    <w:rsid w:val="003D70B0"/>
    <w:rsid w:val="003D7706"/>
    <w:rsid w:val="003D7D30"/>
    <w:rsid w:val="003E015E"/>
    <w:rsid w:val="003E0B79"/>
    <w:rsid w:val="003E0F6F"/>
    <w:rsid w:val="003E1BAF"/>
    <w:rsid w:val="003E2425"/>
    <w:rsid w:val="003E24DA"/>
    <w:rsid w:val="003E2E48"/>
    <w:rsid w:val="003E3B5B"/>
    <w:rsid w:val="003E3F2C"/>
    <w:rsid w:val="003E40B5"/>
    <w:rsid w:val="003E4170"/>
    <w:rsid w:val="003E4268"/>
    <w:rsid w:val="003E42B0"/>
    <w:rsid w:val="003E4716"/>
    <w:rsid w:val="003E5BF2"/>
    <w:rsid w:val="003E656C"/>
    <w:rsid w:val="003E728D"/>
    <w:rsid w:val="003E7303"/>
    <w:rsid w:val="003E730D"/>
    <w:rsid w:val="003E77D4"/>
    <w:rsid w:val="003E7E3B"/>
    <w:rsid w:val="003F0132"/>
    <w:rsid w:val="003F02E0"/>
    <w:rsid w:val="003F04E1"/>
    <w:rsid w:val="003F0613"/>
    <w:rsid w:val="003F11BB"/>
    <w:rsid w:val="003F148C"/>
    <w:rsid w:val="003F14B4"/>
    <w:rsid w:val="003F2A34"/>
    <w:rsid w:val="003F2A35"/>
    <w:rsid w:val="003F2B30"/>
    <w:rsid w:val="003F2B5E"/>
    <w:rsid w:val="003F319B"/>
    <w:rsid w:val="003F31B4"/>
    <w:rsid w:val="003F3384"/>
    <w:rsid w:val="003F3775"/>
    <w:rsid w:val="003F3895"/>
    <w:rsid w:val="003F4180"/>
    <w:rsid w:val="003F45BD"/>
    <w:rsid w:val="003F464F"/>
    <w:rsid w:val="003F51AA"/>
    <w:rsid w:val="003F54D0"/>
    <w:rsid w:val="003F554F"/>
    <w:rsid w:val="003F60A3"/>
    <w:rsid w:val="003F657F"/>
    <w:rsid w:val="003F69D1"/>
    <w:rsid w:val="003F78C8"/>
    <w:rsid w:val="003F7E31"/>
    <w:rsid w:val="00400449"/>
    <w:rsid w:val="0040114F"/>
    <w:rsid w:val="004017AC"/>
    <w:rsid w:val="0040180D"/>
    <w:rsid w:val="004025A5"/>
    <w:rsid w:val="00403277"/>
    <w:rsid w:val="0040367B"/>
    <w:rsid w:val="00403927"/>
    <w:rsid w:val="00403C45"/>
    <w:rsid w:val="00405563"/>
    <w:rsid w:val="004056D8"/>
    <w:rsid w:val="00405D8E"/>
    <w:rsid w:val="004060A9"/>
    <w:rsid w:val="004065CC"/>
    <w:rsid w:val="00406E4B"/>
    <w:rsid w:val="00407123"/>
    <w:rsid w:val="00410173"/>
    <w:rsid w:val="0041052A"/>
    <w:rsid w:val="00410B9E"/>
    <w:rsid w:val="00410F9F"/>
    <w:rsid w:val="0041190E"/>
    <w:rsid w:val="00411C03"/>
    <w:rsid w:val="00411DC3"/>
    <w:rsid w:val="00411E9C"/>
    <w:rsid w:val="0041225F"/>
    <w:rsid w:val="00412279"/>
    <w:rsid w:val="0041256D"/>
    <w:rsid w:val="00412C44"/>
    <w:rsid w:val="004137F7"/>
    <w:rsid w:val="004139D4"/>
    <w:rsid w:val="0041409B"/>
    <w:rsid w:val="0041418B"/>
    <w:rsid w:val="00414591"/>
    <w:rsid w:val="00414E15"/>
    <w:rsid w:val="0041532E"/>
    <w:rsid w:val="004154FA"/>
    <w:rsid w:val="00415C24"/>
    <w:rsid w:val="00416139"/>
    <w:rsid w:val="004168B7"/>
    <w:rsid w:val="00416931"/>
    <w:rsid w:val="00416AAC"/>
    <w:rsid w:val="0041704D"/>
    <w:rsid w:val="0041785E"/>
    <w:rsid w:val="0041797F"/>
    <w:rsid w:val="00417B92"/>
    <w:rsid w:val="00417D63"/>
    <w:rsid w:val="00417EFD"/>
    <w:rsid w:val="00417FA0"/>
    <w:rsid w:val="00420960"/>
    <w:rsid w:val="00420BD8"/>
    <w:rsid w:val="00420EDC"/>
    <w:rsid w:val="0042111B"/>
    <w:rsid w:val="0042145A"/>
    <w:rsid w:val="00421899"/>
    <w:rsid w:val="00421C16"/>
    <w:rsid w:val="00421ED6"/>
    <w:rsid w:val="00421F4B"/>
    <w:rsid w:val="00422769"/>
    <w:rsid w:val="004228B3"/>
    <w:rsid w:val="00422C0E"/>
    <w:rsid w:val="004232F0"/>
    <w:rsid w:val="00423393"/>
    <w:rsid w:val="004235AE"/>
    <w:rsid w:val="00423DE7"/>
    <w:rsid w:val="004243D6"/>
    <w:rsid w:val="00424FD9"/>
    <w:rsid w:val="00425114"/>
    <w:rsid w:val="00425387"/>
    <w:rsid w:val="00425F25"/>
    <w:rsid w:val="004260FD"/>
    <w:rsid w:val="0042637E"/>
    <w:rsid w:val="00426719"/>
    <w:rsid w:val="00426A5A"/>
    <w:rsid w:val="00427131"/>
    <w:rsid w:val="00427225"/>
    <w:rsid w:val="004277E3"/>
    <w:rsid w:val="00427A2C"/>
    <w:rsid w:val="00427D47"/>
    <w:rsid w:val="00430408"/>
    <w:rsid w:val="004306C9"/>
    <w:rsid w:val="00430B2E"/>
    <w:rsid w:val="00431108"/>
    <w:rsid w:val="004314A1"/>
    <w:rsid w:val="00431776"/>
    <w:rsid w:val="00431AD0"/>
    <w:rsid w:val="004323A5"/>
    <w:rsid w:val="0043256B"/>
    <w:rsid w:val="00432B05"/>
    <w:rsid w:val="00432B4E"/>
    <w:rsid w:val="004332B8"/>
    <w:rsid w:val="004333D9"/>
    <w:rsid w:val="004336C8"/>
    <w:rsid w:val="00433718"/>
    <w:rsid w:val="0043373B"/>
    <w:rsid w:val="00433A89"/>
    <w:rsid w:val="00433E0E"/>
    <w:rsid w:val="004342F4"/>
    <w:rsid w:val="004344A0"/>
    <w:rsid w:val="00434D61"/>
    <w:rsid w:val="004352DC"/>
    <w:rsid w:val="0043595F"/>
    <w:rsid w:val="00435A44"/>
    <w:rsid w:val="00435D53"/>
    <w:rsid w:val="00435E1D"/>
    <w:rsid w:val="004361C5"/>
    <w:rsid w:val="0043648C"/>
    <w:rsid w:val="004368B8"/>
    <w:rsid w:val="0043699F"/>
    <w:rsid w:val="00436C1C"/>
    <w:rsid w:val="00436E32"/>
    <w:rsid w:val="00437012"/>
    <w:rsid w:val="004370F0"/>
    <w:rsid w:val="00437204"/>
    <w:rsid w:val="00440D29"/>
    <w:rsid w:val="00441021"/>
    <w:rsid w:val="00441143"/>
    <w:rsid w:val="00441768"/>
    <w:rsid w:val="0044265C"/>
    <w:rsid w:val="00443020"/>
    <w:rsid w:val="00443C37"/>
    <w:rsid w:val="0044462D"/>
    <w:rsid w:val="004452A5"/>
    <w:rsid w:val="004452D9"/>
    <w:rsid w:val="00445572"/>
    <w:rsid w:val="00446460"/>
    <w:rsid w:val="004466D6"/>
    <w:rsid w:val="004467A3"/>
    <w:rsid w:val="004468AF"/>
    <w:rsid w:val="00446AF3"/>
    <w:rsid w:val="0044731C"/>
    <w:rsid w:val="00447CEB"/>
    <w:rsid w:val="00447F96"/>
    <w:rsid w:val="00450050"/>
    <w:rsid w:val="004502FC"/>
    <w:rsid w:val="004505CF"/>
    <w:rsid w:val="004517AA"/>
    <w:rsid w:val="00452CC9"/>
    <w:rsid w:val="004530FA"/>
    <w:rsid w:val="00453128"/>
    <w:rsid w:val="00453719"/>
    <w:rsid w:val="0045398C"/>
    <w:rsid w:val="00453B83"/>
    <w:rsid w:val="00453FDF"/>
    <w:rsid w:val="004544D0"/>
    <w:rsid w:val="00454649"/>
    <w:rsid w:val="00454A1A"/>
    <w:rsid w:val="00455782"/>
    <w:rsid w:val="004559AF"/>
    <w:rsid w:val="00455A15"/>
    <w:rsid w:val="00455FDC"/>
    <w:rsid w:val="0045626D"/>
    <w:rsid w:val="00456A99"/>
    <w:rsid w:val="00456C6C"/>
    <w:rsid w:val="00456CBF"/>
    <w:rsid w:val="00456D31"/>
    <w:rsid w:val="00456E2F"/>
    <w:rsid w:val="00457068"/>
    <w:rsid w:val="00457557"/>
    <w:rsid w:val="00457909"/>
    <w:rsid w:val="004609BB"/>
    <w:rsid w:val="00460B36"/>
    <w:rsid w:val="004612C4"/>
    <w:rsid w:val="0046190D"/>
    <w:rsid w:val="00462621"/>
    <w:rsid w:val="00463288"/>
    <w:rsid w:val="004651B9"/>
    <w:rsid w:val="00465EB5"/>
    <w:rsid w:val="00465F25"/>
    <w:rsid w:val="00466171"/>
    <w:rsid w:val="00466AF3"/>
    <w:rsid w:val="00466CC1"/>
    <w:rsid w:val="00467095"/>
    <w:rsid w:val="0046719D"/>
    <w:rsid w:val="00467634"/>
    <w:rsid w:val="00467D43"/>
    <w:rsid w:val="004700B5"/>
    <w:rsid w:val="0047030A"/>
    <w:rsid w:val="00470686"/>
    <w:rsid w:val="00470695"/>
    <w:rsid w:val="00470BF0"/>
    <w:rsid w:val="00470E47"/>
    <w:rsid w:val="00471321"/>
    <w:rsid w:val="0047164D"/>
    <w:rsid w:val="004716F3"/>
    <w:rsid w:val="00471967"/>
    <w:rsid w:val="0047211B"/>
    <w:rsid w:val="00472C50"/>
    <w:rsid w:val="00473AF9"/>
    <w:rsid w:val="00473C4E"/>
    <w:rsid w:val="00473F75"/>
    <w:rsid w:val="00474326"/>
    <w:rsid w:val="0047487E"/>
    <w:rsid w:val="00474D04"/>
    <w:rsid w:val="00474DAB"/>
    <w:rsid w:val="00474E66"/>
    <w:rsid w:val="00474FBC"/>
    <w:rsid w:val="004759ED"/>
    <w:rsid w:val="00475A7F"/>
    <w:rsid w:val="00475DB8"/>
    <w:rsid w:val="00476B34"/>
    <w:rsid w:val="00476FF1"/>
    <w:rsid w:val="0047765D"/>
    <w:rsid w:val="004779BB"/>
    <w:rsid w:val="0048024C"/>
    <w:rsid w:val="00480253"/>
    <w:rsid w:val="00480457"/>
    <w:rsid w:val="00480941"/>
    <w:rsid w:val="00480B0B"/>
    <w:rsid w:val="00480DC3"/>
    <w:rsid w:val="0048100F"/>
    <w:rsid w:val="00481218"/>
    <w:rsid w:val="004824BF"/>
    <w:rsid w:val="00482AC9"/>
    <w:rsid w:val="004836FD"/>
    <w:rsid w:val="00484370"/>
    <w:rsid w:val="00484976"/>
    <w:rsid w:val="00485358"/>
    <w:rsid w:val="00485CB6"/>
    <w:rsid w:val="00486F32"/>
    <w:rsid w:val="0048742F"/>
    <w:rsid w:val="0049011A"/>
    <w:rsid w:val="00490A6B"/>
    <w:rsid w:val="00490CD1"/>
    <w:rsid w:val="00490FBD"/>
    <w:rsid w:val="00491DD1"/>
    <w:rsid w:val="004924BB"/>
    <w:rsid w:val="004929A7"/>
    <w:rsid w:val="004931AA"/>
    <w:rsid w:val="004956FC"/>
    <w:rsid w:val="004962F5"/>
    <w:rsid w:val="004967FA"/>
    <w:rsid w:val="00496B3F"/>
    <w:rsid w:val="00497895"/>
    <w:rsid w:val="004979AA"/>
    <w:rsid w:val="00497E7E"/>
    <w:rsid w:val="004A00CB"/>
    <w:rsid w:val="004A0796"/>
    <w:rsid w:val="004A154D"/>
    <w:rsid w:val="004A1B6C"/>
    <w:rsid w:val="004A23E4"/>
    <w:rsid w:val="004A3190"/>
    <w:rsid w:val="004A3430"/>
    <w:rsid w:val="004A3B97"/>
    <w:rsid w:val="004A44D4"/>
    <w:rsid w:val="004A472A"/>
    <w:rsid w:val="004A4A2D"/>
    <w:rsid w:val="004A4B44"/>
    <w:rsid w:val="004A4D6A"/>
    <w:rsid w:val="004A51AD"/>
    <w:rsid w:val="004A64E7"/>
    <w:rsid w:val="004A6D6B"/>
    <w:rsid w:val="004A7170"/>
    <w:rsid w:val="004A74F3"/>
    <w:rsid w:val="004A7682"/>
    <w:rsid w:val="004A7736"/>
    <w:rsid w:val="004B0CA3"/>
    <w:rsid w:val="004B0DBD"/>
    <w:rsid w:val="004B0EC0"/>
    <w:rsid w:val="004B1196"/>
    <w:rsid w:val="004B11DF"/>
    <w:rsid w:val="004B1515"/>
    <w:rsid w:val="004B184F"/>
    <w:rsid w:val="004B1B19"/>
    <w:rsid w:val="004B1F0E"/>
    <w:rsid w:val="004B1F93"/>
    <w:rsid w:val="004B2201"/>
    <w:rsid w:val="004B2A16"/>
    <w:rsid w:val="004B3425"/>
    <w:rsid w:val="004B372B"/>
    <w:rsid w:val="004B4252"/>
    <w:rsid w:val="004B54F8"/>
    <w:rsid w:val="004B5EDC"/>
    <w:rsid w:val="004B5F65"/>
    <w:rsid w:val="004B6259"/>
    <w:rsid w:val="004B656D"/>
    <w:rsid w:val="004B6909"/>
    <w:rsid w:val="004B6E78"/>
    <w:rsid w:val="004B740D"/>
    <w:rsid w:val="004C0389"/>
    <w:rsid w:val="004C04A9"/>
    <w:rsid w:val="004C1656"/>
    <w:rsid w:val="004C2152"/>
    <w:rsid w:val="004C243B"/>
    <w:rsid w:val="004C2D19"/>
    <w:rsid w:val="004C2ECB"/>
    <w:rsid w:val="004C31E1"/>
    <w:rsid w:val="004C386A"/>
    <w:rsid w:val="004C3A0C"/>
    <w:rsid w:val="004C3D67"/>
    <w:rsid w:val="004C3FC9"/>
    <w:rsid w:val="004C4077"/>
    <w:rsid w:val="004C4190"/>
    <w:rsid w:val="004C5ACA"/>
    <w:rsid w:val="004C5BEC"/>
    <w:rsid w:val="004C6249"/>
    <w:rsid w:val="004C6645"/>
    <w:rsid w:val="004C664A"/>
    <w:rsid w:val="004C676A"/>
    <w:rsid w:val="004C6988"/>
    <w:rsid w:val="004C6BE7"/>
    <w:rsid w:val="004C6C63"/>
    <w:rsid w:val="004C7037"/>
    <w:rsid w:val="004C72DF"/>
    <w:rsid w:val="004C7821"/>
    <w:rsid w:val="004C7C3F"/>
    <w:rsid w:val="004D00AF"/>
    <w:rsid w:val="004D056D"/>
    <w:rsid w:val="004D0A3E"/>
    <w:rsid w:val="004D10BF"/>
    <w:rsid w:val="004D13A4"/>
    <w:rsid w:val="004D15E3"/>
    <w:rsid w:val="004D1C72"/>
    <w:rsid w:val="004D1CBA"/>
    <w:rsid w:val="004D221A"/>
    <w:rsid w:val="004D24D9"/>
    <w:rsid w:val="004D2C1E"/>
    <w:rsid w:val="004D2E0D"/>
    <w:rsid w:val="004D30F6"/>
    <w:rsid w:val="004D3FC0"/>
    <w:rsid w:val="004D4274"/>
    <w:rsid w:val="004D44A6"/>
    <w:rsid w:val="004D4693"/>
    <w:rsid w:val="004D4905"/>
    <w:rsid w:val="004D4B13"/>
    <w:rsid w:val="004D4B5D"/>
    <w:rsid w:val="004D4E78"/>
    <w:rsid w:val="004D4E91"/>
    <w:rsid w:val="004D513B"/>
    <w:rsid w:val="004D5621"/>
    <w:rsid w:val="004D579A"/>
    <w:rsid w:val="004D58D9"/>
    <w:rsid w:val="004D7B19"/>
    <w:rsid w:val="004E01DF"/>
    <w:rsid w:val="004E07E6"/>
    <w:rsid w:val="004E0B34"/>
    <w:rsid w:val="004E0EE5"/>
    <w:rsid w:val="004E111C"/>
    <w:rsid w:val="004E174D"/>
    <w:rsid w:val="004E1B28"/>
    <w:rsid w:val="004E1F00"/>
    <w:rsid w:val="004E224D"/>
    <w:rsid w:val="004E252C"/>
    <w:rsid w:val="004E315F"/>
    <w:rsid w:val="004E330D"/>
    <w:rsid w:val="004E3767"/>
    <w:rsid w:val="004E37C3"/>
    <w:rsid w:val="004E3809"/>
    <w:rsid w:val="004E455D"/>
    <w:rsid w:val="004E568D"/>
    <w:rsid w:val="004E5944"/>
    <w:rsid w:val="004E5DB2"/>
    <w:rsid w:val="004E655A"/>
    <w:rsid w:val="004E6F76"/>
    <w:rsid w:val="004E79C6"/>
    <w:rsid w:val="004E7AEB"/>
    <w:rsid w:val="004E7E8D"/>
    <w:rsid w:val="004F26C1"/>
    <w:rsid w:val="004F26EE"/>
    <w:rsid w:val="004F271D"/>
    <w:rsid w:val="004F2770"/>
    <w:rsid w:val="004F27B2"/>
    <w:rsid w:val="004F2C8F"/>
    <w:rsid w:val="004F3E5B"/>
    <w:rsid w:val="004F5BD0"/>
    <w:rsid w:val="004F67AC"/>
    <w:rsid w:val="004F6AA2"/>
    <w:rsid w:val="004F718F"/>
    <w:rsid w:val="004F72C5"/>
    <w:rsid w:val="004F79E9"/>
    <w:rsid w:val="00500177"/>
    <w:rsid w:val="00500622"/>
    <w:rsid w:val="0050068B"/>
    <w:rsid w:val="00500705"/>
    <w:rsid w:val="00500AC7"/>
    <w:rsid w:val="005010A8"/>
    <w:rsid w:val="00501295"/>
    <w:rsid w:val="00501593"/>
    <w:rsid w:val="00501BD1"/>
    <w:rsid w:val="00502116"/>
    <w:rsid w:val="0050256D"/>
    <w:rsid w:val="005025A7"/>
    <w:rsid w:val="00502C8F"/>
    <w:rsid w:val="005032CE"/>
    <w:rsid w:val="00503C08"/>
    <w:rsid w:val="00503FC6"/>
    <w:rsid w:val="0050418E"/>
    <w:rsid w:val="005047EF"/>
    <w:rsid w:val="00504D65"/>
    <w:rsid w:val="005051CD"/>
    <w:rsid w:val="005054A9"/>
    <w:rsid w:val="00505548"/>
    <w:rsid w:val="0050593F"/>
    <w:rsid w:val="00505D2C"/>
    <w:rsid w:val="00505F4F"/>
    <w:rsid w:val="005065AA"/>
    <w:rsid w:val="00506916"/>
    <w:rsid w:val="005069F3"/>
    <w:rsid w:val="00506B4E"/>
    <w:rsid w:val="005077D1"/>
    <w:rsid w:val="00507C43"/>
    <w:rsid w:val="00507CFF"/>
    <w:rsid w:val="00507D57"/>
    <w:rsid w:val="00510227"/>
    <w:rsid w:val="005107D6"/>
    <w:rsid w:val="00510911"/>
    <w:rsid w:val="0051106C"/>
    <w:rsid w:val="00511ADA"/>
    <w:rsid w:val="005120FC"/>
    <w:rsid w:val="00512D0C"/>
    <w:rsid w:val="005137C6"/>
    <w:rsid w:val="00513DEA"/>
    <w:rsid w:val="00513E10"/>
    <w:rsid w:val="00514230"/>
    <w:rsid w:val="0051452F"/>
    <w:rsid w:val="00515AB6"/>
    <w:rsid w:val="00515BD4"/>
    <w:rsid w:val="0051689D"/>
    <w:rsid w:val="005168F6"/>
    <w:rsid w:val="005169AD"/>
    <w:rsid w:val="00517211"/>
    <w:rsid w:val="00517505"/>
    <w:rsid w:val="005178AA"/>
    <w:rsid w:val="00520132"/>
    <w:rsid w:val="00520C07"/>
    <w:rsid w:val="00521AF7"/>
    <w:rsid w:val="00522FEC"/>
    <w:rsid w:val="00523258"/>
    <w:rsid w:val="00523508"/>
    <w:rsid w:val="00523EFD"/>
    <w:rsid w:val="005243E1"/>
    <w:rsid w:val="00525020"/>
    <w:rsid w:val="0052525E"/>
    <w:rsid w:val="00525843"/>
    <w:rsid w:val="005261A1"/>
    <w:rsid w:val="00526783"/>
    <w:rsid w:val="00527540"/>
    <w:rsid w:val="00527C72"/>
    <w:rsid w:val="0053037C"/>
    <w:rsid w:val="00531407"/>
    <w:rsid w:val="005319C9"/>
    <w:rsid w:val="00531A12"/>
    <w:rsid w:val="00532705"/>
    <w:rsid w:val="0053317C"/>
    <w:rsid w:val="00533995"/>
    <w:rsid w:val="00533CCA"/>
    <w:rsid w:val="00534517"/>
    <w:rsid w:val="00534909"/>
    <w:rsid w:val="00534ABB"/>
    <w:rsid w:val="00534FD3"/>
    <w:rsid w:val="00535022"/>
    <w:rsid w:val="005351B5"/>
    <w:rsid w:val="0053550E"/>
    <w:rsid w:val="00535D1F"/>
    <w:rsid w:val="00535FFC"/>
    <w:rsid w:val="005360E3"/>
    <w:rsid w:val="005362EF"/>
    <w:rsid w:val="0053630D"/>
    <w:rsid w:val="005368D7"/>
    <w:rsid w:val="00536CCD"/>
    <w:rsid w:val="00536EC5"/>
    <w:rsid w:val="00537318"/>
    <w:rsid w:val="005373DC"/>
    <w:rsid w:val="00537508"/>
    <w:rsid w:val="00537AD5"/>
    <w:rsid w:val="00540861"/>
    <w:rsid w:val="00540DFD"/>
    <w:rsid w:val="00541279"/>
    <w:rsid w:val="00541962"/>
    <w:rsid w:val="00541E59"/>
    <w:rsid w:val="00542E5D"/>
    <w:rsid w:val="005432D4"/>
    <w:rsid w:val="00543730"/>
    <w:rsid w:val="0054440F"/>
    <w:rsid w:val="00544549"/>
    <w:rsid w:val="005445E1"/>
    <w:rsid w:val="005446E4"/>
    <w:rsid w:val="00544AAF"/>
    <w:rsid w:val="00544CF2"/>
    <w:rsid w:val="005451D0"/>
    <w:rsid w:val="00545896"/>
    <w:rsid w:val="0054597D"/>
    <w:rsid w:val="005459CA"/>
    <w:rsid w:val="00545C5F"/>
    <w:rsid w:val="0054667B"/>
    <w:rsid w:val="005473C4"/>
    <w:rsid w:val="005501BF"/>
    <w:rsid w:val="005510EE"/>
    <w:rsid w:val="0055179E"/>
    <w:rsid w:val="00551807"/>
    <w:rsid w:val="0055209C"/>
    <w:rsid w:val="00552493"/>
    <w:rsid w:val="0055333E"/>
    <w:rsid w:val="0055466B"/>
    <w:rsid w:val="00554838"/>
    <w:rsid w:val="00555AD4"/>
    <w:rsid w:val="00555D07"/>
    <w:rsid w:val="0055604E"/>
    <w:rsid w:val="00556331"/>
    <w:rsid w:val="005578C6"/>
    <w:rsid w:val="00557CDE"/>
    <w:rsid w:val="00560455"/>
    <w:rsid w:val="0056215B"/>
    <w:rsid w:val="00562882"/>
    <w:rsid w:val="00563510"/>
    <w:rsid w:val="00563D44"/>
    <w:rsid w:val="005643A4"/>
    <w:rsid w:val="005646A7"/>
    <w:rsid w:val="00565A95"/>
    <w:rsid w:val="00565D85"/>
    <w:rsid w:val="00565EC0"/>
    <w:rsid w:val="00566309"/>
    <w:rsid w:val="005664EF"/>
    <w:rsid w:val="005666E6"/>
    <w:rsid w:val="005669C5"/>
    <w:rsid w:val="00566BB8"/>
    <w:rsid w:val="00566C85"/>
    <w:rsid w:val="00567219"/>
    <w:rsid w:val="005677AD"/>
    <w:rsid w:val="005700B6"/>
    <w:rsid w:val="00570663"/>
    <w:rsid w:val="005707B1"/>
    <w:rsid w:val="00570A8A"/>
    <w:rsid w:val="005710F7"/>
    <w:rsid w:val="00571516"/>
    <w:rsid w:val="0057171B"/>
    <w:rsid w:val="00571B95"/>
    <w:rsid w:val="00571BB2"/>
    <w:rsid w:val="00571BCD"/>
    <w:rsid w:val="005725E1"/>
    <w:rsid w:val="00572957"/>
    <w:rsid w:val="00573068"/>
    <w:rsid w:val="0057313E"/>
    <w:rsid w:val="005732E6"/>
    <w:rsid w:val="00573B9F"/>
    <w:rsid w:val="00573EB6"/>
    <w:rsid w:val="0057432E"/>
    <w:rsid w:val="00574625"/>
    <w:rsid w:val="00574765"/>
    <w:rsid w:val="00574D55"/>
    <w:rsid w:val="005750ED"/>
    <w:rsid w:val="00575254"/>
    <w:rsid w:val="0057558F"/>
    <w:rsid w:val="00575726"/>
    <w:rsid w:val="0057578B"/>
    <w:rsid w:val="005758EC"/>
    <w:rsid w:val="00575B38"/>
    <w:rsid w:val="00576889"/>
    <w:rsid w:val="00576A9D"/>
    <w:rsid w:val="00576AD3"/>
    <w:rsid w:val="00576B39"/>
    <w:rsid w:val="00577057"/>
    <w:rsid w:val="00577678"/>
    <w:rsid w:val="00577B81"/>
    <w:rsid w:val="00577DA8"/>
    <w:rsid w:val="00580544"/>
    <w:rsid w:val="0058080F"/>
    <w:rsid w:val="00581069"/>
    <w:rsid w:val="00581642"/>
    <w:rsid w:val="0058199F"/>
    <w:rsid w:val="00581E3D"/>
    <w:rsid w:val="005820A9"/>
    <w:rsid w:val="00582A2D"/>
    <w:rsid w:val="00582F10"/>
    <w:rsid w:val="0058340A"/>
    <w:rsid w:val="005841A6"/>
    <w:rsid w:val="005844E8"/>
    <w:rsid w:val="005849D5"/>
    <w:rsid w:val="00584C02"/>
    <w:rsid w:val="005854AC"/>
    <w:rsid w:val="00585FA5"/>
    <w:rsid w:val="00586329"/>
    <w:rsid w:val="00586C90"/>
    <w:rsid w:val="005875C5"/>
    <w:rsid w:val="00587B8A"/>
    <w:rsid w:val="00587C43"/>
    <w:rsid w:val="00587FBF"/>
    <w:rsid w:val="0059004A"/>
    <w:rsid w:val="00590672"/>
    <w:rsid w:val="005909B4"/>
    <w:rsid w:val="005909C3"/>
    <w:rsid w:val="00591156"/>
    <w:rsid w:val="005917EB"/>
    <w:rsid w:val="00591CBF"/>
    <w:rsid w:val="00591F9D"/>
    <w:rsid w:val="00592E73"/>
    <w:rsid w:val="005931DB"/>
    <w:rsid w:val="00593497"/>
    <w:rsid w:val="0059429C"/>
    <w:rsid w:val="00595245"/>
    <w:rsid w:val="0059527D"/>
    <w:rsid w:val="005956FD"/>
    <w:rsid w:val="00595D80"/>
    <w:rsid w:val="005969DA"/>
    <w:rsid w:val="00596E5E"/>
    <w:rsid w:val="005977F8"/>
    <w:rsid w:val="0059799A"/>
    <w:rsid w:val="00597D78"/>
    <w:rsid w:val="00597E5D"/>
    <w:rsid w:val="005A0A3A"/>
    <w:rsid w:val="005A17A7"/>
    <w:rsid w:val="005A18D7"/>
    <w:rsid w:val="005A1E7A"/>
    <w:rsid w:val="005A2027"/>
    <w:rsid w:val="005A228E"/>
    <w:rsid w:val="005A22E0"/>
    <w:rsid w:val="005A2C45"/>
    <w:rsid w:val="005A2C71"/>
    <w:rsid w:val="005A37A2"/>
    <w:rsid w:val="005A3984"/>
    <w:rsid w:val="005A49F8"/>
    <w:rsid w:val="005A4CDF"/>
    <w:rsid w:val="005A533E"/>
    <w:rsid w:val="005A611E"/>
    <w:rsid w:val="005A6341"/>
    <w:rsid w:val="005A63FE"/>
    <w:rsid w:val="005A6981"/>
    <w:rsid w:val="005A720D"/>
    <w:rsid w:val="005A7CC6"/>
    <w:rsid w:val="005A7EF7"/>
    <w:rsid w:val="005B121E"/>
    <w:rsid w:val="005B1E6B"/>
    <w:rsid w:val="005B2374"/>
    <w:rsid w:val="005B2473"/>
    <w:rsid w:val="005B2824"/>
    <w:rsid w:val="005B42DF"/>
    <w:rsid w:val="005B46B1"/>
    <w:rsid w:val="005B46DB"/>
    <w:rsid w:val="005B4A7B"/>
    <w:rsid w:val="005B4A83"/>
    <w:rsid w:val="005B4CC2"/>
    <w:rsid w:val="005B4D85"/>
    <w:rsid w:val="005B4E30"/>
    <w:rsid w:val="005B5F72"/>
    <w:rsid w:val="005B64B4"/>
    <w:rsid w:val="005B6EAF"/>
    <w:rsid w:val="005B7F5A"/>
    <w:rsid w:val="005C05B7"/>
    <w:rsid w:val="005C0801"/>
    <w:rsid w:val="005C08BE"/>
    <w:rsid w:val="005C09E1"/>
    <w:rsid w:val="005C1B02"/>
    <w:rsid w:val="005C1D2B"/>
    <w:rsid w:val="005C1F89"/>
    <w:rsid w:val="005C26BF"/>
    <w:rsid w:val="005C2A4F"/>
    <w:rsid w:val="005C3255"/>
    <w:rsid w:val="005C36C3"/>
    <w:rsid w:val="005C3A67"/>
    <w:rsid w:val="005C3CA7"/>
    <w:rsid w:val="005C3D28"/>
    <w:rsid w:val="005C49C9"/>
    <w:rsid w:val="005C56AF"/>
    <w:rsid w:val="005C5D40"/>
    <w:rsid w:val="005C683F"/>
    <w:rsid w:val="005C6A19"/>
    <w:rsid w:val="005C7006"/>
    <w:rsid w:val="005C7076"/>
    <w:rsid w:val="005D097B"/>
    <w:rsid w:val="005D0FD2"/>
    <w:rsid w:val="005D0FFD"/>
    <w:rsid w:val="005D104F"/>
    <w:rsid w:val="005D1361"/>
    <w:rsid w:val="005D1551"/>
    <w:rsid w:val="005D1748"/>
    <w:rsid w:val="005D2854"/>
    <w:rsid w:val="005D3190"/>
    <w:rsid w:val="005D3263"/>
    <w:rsid w:val="005D33E0"/>
    <w:rsid w:val="005D3441"/>
    <w:rsid w:val="005D3709"/>
    <w:rsid w:val="005D382E"/>
    <w:rsid w:val="005D38FB"/>
    <w:rsid w:val="005D4971"/>
    <w:rsid w:val="005D4EE7"/>
    <w:rsid w:val="005D54A3"/>
    <w:rsid w:val="005D58C8"/>
    <w:rsid w:val="005D5A33"/>
    <w:rsid w:val="005D5DCA"/>
    <w:rsid w:val="005D6023"/>
    <w:rsid w:val="005D6590"/>
    <w:rsid w:val="005D713C"/>
    <w:rsid w:val="005D7CEB"/>
    <w:rsid w:val="005E01F7"/>
    <w:rsid w:val="005E02E7"/>
    <w:rsid w:val="005E04CD"/>
    <w:rsid w:val="005E04D8"/>
    <w:rsid w:val="005E0D01"/>
    <w:rsid w:val="005E1649"/>
    <w:rsid w:val="005E1690"/>
    <w:rsid w:val="005E1C39"/>
    <w:rsid w:val="005E28EE"/>
    <w:rsid w:val="005E391F"/>
    <w:rsid w:val="005E3B95"/>
    <w:rsid w:val="005E3F55"/>
    <w:rsid w:val="005E5AAD"/>
    <w:rsid w:val="005E63F1"/>
    <w:rsid w:val="005E6801"/>
    <w:rsid w:val="005E6C8F"/>
    <w:rsid w:val="005E6E4E"/>
    <w:rsid w:val="005E7297"/>
    <w:rsid w:val="005F08A1"/>
    <w:rsid w:val="005F0C58"/>
    <w:rsid w:val="005F14DB"/>
    <w:rsid w:val="005F1659"/>
    <w:rsid w:val="005F174D"/>
    <w:rsid w:val="005F1945"/>
    <w:rsid w:val="005F1B02"/>
    <w:rsid w:val="005F1C4E"/>
    <w:rsid w:val="005F1F3E"/>
    <w:rsid w:val="005F2148"/>
    <w:rsid w:val="005F2679"/>
    <w:rsid w:val="005F2CC2"/>
    <w:rsid w:val="005F2D2D"/>
    <w:rsid w:val="005F2FB4"/>
    <w:rsid w:val="005F32B0"/>
    <w:rsid w:val="005F34B8"/>
    <w:rsid w:val="005F3AA5"/>
    <w:rsid w:val="005F3C78"/>
    <w:rsid w:val="005F406A"/>
    <w:rsid w:val="005F51F2"/>
    <w:rsid w:val="005F545E"/>
    <w:rsid w:val="005F54EE"/>
    <w:rsid w:val="005F58F9"/>
    <w:rsid w:val="005F61B7"/>
    <w:rsid w:val="005F68E7"/>
    <w:rsid w:val="005F690B"/>
    <w:rsid w:val="005F6A6C"/>
    <w:rsid w:val="005F6DC9"/>
    <w:rsid w:val="005F753C"/>
    <w:rsid w:val="005F77A7"/>
    <w:rsid w:val="005F7CC1"/>
    <w:rsid w:val="006001CA"/>
    <w:rsid w:val="00600267"/>
    <w:rsid w:val="0060149D"/>
    <w:rsid w:val="0060150B"/>
    <w:rsid w:val="006016E7"/>
    <w:rsid w:val="00601849"/>
    <w:rsid w:val="00601939"/>
    <w:rsid w:val="006019BD"/>
    <w:rsid w:val="00602ADA"/>
    <w:rsid w:val="00602F30"/>
    <w:rsid w:val="00603F6B"/>
    <w:rsid w:val="0060403A"/>
    <w:rsid w:val="00604572"/>
    <w:rsid w:val="006046CA"/>
    <w:rsid w:val="00604EB4"/>
    <w:rsid w:val="0060533C"/>
    <w:rsid w:val="00605524"/>
    <w:rsid w:val="0060593C"/>
    <w:rsid w:val="00605C6B"/>
    <w:rsid w:val="0060638E"/>
    <w:rsid w:val="00607A5A"/>
    <w:rsid w:val="0061009A"/>
    <w:rsid w:val="0061039D"/>
    <w:rsid w:val="006105A2"/>
    <w:rsid w:val="006106F6"/>
    <w:rsid w:val="00610846"/>
    <w:rsid w:val="0061109C"/>
    <w:rsid w:val="0061130B"/>
    <w:rsid w:val="00611499"/>
    <w:rsid w:val="00611693"/>
    <w:rsid w:val="006119C7"/>
    <w:rsid w:val="00612140"/>
    <w:rsid w:val="00612432"/>
    <w:rsid w:val="00612458"/>
    <w:rsid w:val="0061255D"/>
    <w:rsid w:val="006127BF"/>
    <w:rsid w:val="00612D93"/>
    <w:rsid w:val="00613781"/>
    <w:rsid w:val="006140AE"/>
    <w:rsid w:val="006141F5"/>
    <w:rsid w:val="0061439B"/>
    <w:rsid w:val="006146F9"/>
    <w:rsid w:val="006148FF"/>
    <w:rsid w:val="00614B3B"/>
    <w:rsid w:val="00614BAB"/>
    <w:rsid w:val="00614D5A"/>
    <w:rsid w:val="0061525A"/>
    <w:rsid w:val="00615322"/>
    <w:rsid w:val="00615563"/>
    <w:rsid w:val="006158D1"/>
    <w:rsid w:val="0061607C"/>
    <w:rsid w:val="00616CBB"/>
    <w:rsid w:val="0061705C"/>
    <w:rsid w:val="00617998"/>
    <w:rsid w:val="00620AF5"/>
    <w:rsid w:val="00621064"/>
    <w:rsid w:val="00621578"/>
    <w:rsid w:val="00621954"/>
    <w:rsid w:val="00621B26"/>
    <w:rsid w:val="00621C7D"/>
    <w:rsid w:val="00621DFE"/>
    <w:rsid w:val="00621FB1"/>
    <w:rsid w:val="00622F68"/>
    <w:rsid w:val="00622F8B"/>
    <w:rsid w:val="00622FE0"/>
    <w:rsid w:val="006232C1"/>
    <w:rsid w:val="00623415"/>
    <w:rsid w:val="00623C2C"/>
    <w:rsid w:val="00623C75"/>
    <w:rsid w:val="00623E37"/>
    <w:rsid w:val="006241D9"/>
    <w:rsid w:val="00624502"/>
    <w:rsid w:val="00625B2D"/>
    <w:rsid w:val="00626025"/>
    <w:rsid w:val="00626D08"/>
    <w:rsid w:val="00627700"/>
    <w:rsid w:val="00630B85"/>
    <w:rsid w:val="0063114E"/>
    <w:rsid w:val="00631706"/>
    <w:rsid w:val="00631AF4"/>
    <w:rsid w:val="00631F99"/>
    <w:rsid w:val="0063450D"/>
    <w:rsid w:val="00634B5A"/>
    <w:rsid w:val="0063553B"/>
    <w:rsid w:val="0063560D"/>
    <w:rsid w:val="00635968"/>
    <w:rsid w:val="00635C4A"/>
    <w:rsid w:val="00635C4D"/>
    <w:rsid w:val="00636034"/>
    <w:rsid w:val="00636C77"/>
    <w:rsid w:val="00636F13"/>
    <w:rsid w:val="006375CB"/>
    <w:rsid w:val="00637696"/>
    <w:rsid w:val="00637886"/>
    <w:rsid w:val="00637F40"/>
    <w:rsid w:val="0064019F"/>
    <w:rsid w:val="00640292"/>
    <w:rsid w:val="0064076D"/>
    <w:rsid w:val="00640C16"/>
    <w:rsid w:val="006415FF"/>
    <w:rsid w:val="0064286E"/>
    <w:rsid w:val="0064290F"/>
    <w:rsid w:val="00642D51"/>
    <w:rsid w:val="00642D8B"/>
    <w:rsid w:val="0064364E"/>
    <w:rsid w:val="00643EFF"/>
    <w:rsid w:val="00643F3C"/>
    <w:rsid w:val="0064401E"/>
    <w:rsid w:val="006441EB"/>
    <w:rsid w:val="00644E62"/>
    <w:rsid w:val="0064547A"/>
    <w:rsid w:val="006460EE"/>
    <w:rsid w:val="0064631E"/>
    <w:rsid w:val="006465E6"/>
    <w:rsid w:val="00646C63"/>
    <w:rsid w:val="00647602"/>
    <w:rsid w:val="00647C3E"/>
    <w:rsid w:val="00647DB0"/>
    <w:rsid w:val="0065008F"/>
    <w:rsid w:val="00650809"/>
    <w:rsid w:val="0065092E"/>
    <w:rsid w:val="00650A38"/>
    <w:rsid w:val="006511D1"/>
    <w:rsid w:val="006514D9"/>
    <w:rsid w:val="00651AED"/>
    <w:rsid w:val="00651B0E"/>
    <w:rsid w:val="00652626"/>
    <w:rsid w:val="0065321C"/>
    <w:rsid w:val="0065326B"/>
    <w:rsid w:val="0065363E"/>
    <w:rsid w:val="00653DDD"/>
    <w:rsid w:val="00654300"/>
    <w:rsid w:val="0065433D"/>
    <w:rsid w:val="00654737"/>
    <w:rsid w:val="00655AA3"/>
    <w:rsid w:val="00655C26"/>
    <w:rsid w:val="00656049"/>
    <w:rsid w:val="006562D0"/>
    <w:rsid w:val="00656AB0"/>
    <w:rsid w:val="00656B67"/>
    <w:rsid w:val="00656F6A"/>
    <w:rsid w:val="006571C0"/>
    <w:rsid w:val="00660E75"/>
    <w:rsid w:val="00660FDF"/>
    <w:rsid w:val="00661469"/>
    <w:rsid w:val="00661A4C"/>
    <w:rsid w:val="0066279A"/>
    <w:rsid w:val="00662815"/>
    <w:rsid w:val="0066298A"/>
    <w:rsid w:val="00662DB1"/>
    <w:rsid w:val="00663041"/>
    <w:rsid w:val="00663159"/>
    <w:rsid w:val="00663277"/>
    <w:rsid w:val="00663531"/>
    <w:rsid w:val="0066392F"/>
    <w:rsid w:val="00663E2A"/>
    <w:rsid w:val="0066557B"/>
    <w:rsid w:val="00665CE3"/>
    <w:rsid w:val="00666892"/>
    <w:rsid w:val="00666ED7"/>
    <w:rsid w:val="00666FE4"/>
    <w:rsid w:val="0066753A"/>
    <w:rsid w:val="00667830"/>
    <w:rsid w:val="00667AC5"/>
    <w:rsid w:val="0067023D"/>
    <w:rsid w:val="0067072C"/>
    <w:rsid w:val="006708AD"/>
    <w:rsid w:val="00670A79"/>
    <w:rsid w:val="006717C3"/>
    <w:rsid w:val="0067211F"/>
    <w:rsid w:val="0067223E"/>
    <w:rsid w:val="0067349C"/>
    <w:rsid w:val="0067351C"/>
    <w:rsid w:val="00673791"/>
    <w:rsid w:val="0067383D"/>
    <w:rsid w:val="00673868"/>
    <w:rsid w:val="006739E7"/>
    <w:rsid w:val="00673D97"/>
    <w:rsid w:val="00674607"/>
    <w:rsid w:val="00674A50"/>
    <w:rsid w:val="00674FCF"/>
    <w:rsid w:val="00675206"/>
    <w:rsid w:val="00675D49"/>
    <w:rsid w:val="00676624"/>
    <w:rsid w:val="00676A3A"/>
    <w:rsid w:val="0067734A"/>
    <w:rsid w:val="00677A35"/>
    <w:rsid w:val="00677A99"/>
    <w:rsid w:val="00680935"/>
    <w:rsid w:val="006810FD"/>
    <w:rsid w:val="0068140C"/>
    <w:rsid w:val="006817E2"/>
    <w:rsid w:val="00681BC8"/>
    <w:rsid w:val="006820C6"/>
    <w:rsid w:val="0068239B"/>
    <w:rsid w:val="006824DD"/>
    <w:rsid w:val="006825F4"/>
    <w:rsid w:val="0068281C"/>
    <w:rsid w:val="00684E5B"/>
    <w:rsid w:val="006854A5"/>
    <w:rsid w:val="00685A67"/>
    <w:rsid w:val="00685BCE"/>
    <w:rsid w:val="00685C9A"/>
    <w:rsid w:val="00685ED9"/>
    <w:rsid w:val="006861F0"/>
    <w:rsid w:val="0068628D"/>
    <w:rsid w:val="00690978"/>
    <w:rsid w:val="00690A6F"/>
    <w:rsid w:val="0069119F"/>
    <w:rsid w:val="006917BB"/>
    <w:rsid w:val="00691B60"/>
    <w:rsid w:val="006921A3"/>
    <w:rsid w:val="006923CE"/>
    <w:rsid w:val="006927CB"/>
    <w:rsid w:val="00692F99"/>
    <w:rsid w:val="006936DE"/>
    <w:rsid w:val="00693DA7"/>
    <w:rsid w:val="0069439D"/>
    <w:rsid w:val="00694B36"/>
    <w:rsid w:val="00694DAD"/>
    <w:rsid w:val="00694E5D"/>
    <w:rsid w:val="00694EC5"/>
    <w:rsid w:val="0069508B"/>
    <w:rsid w:val="00695D8F"/>
    <w:rsid w:val="006966C6"/>
    <w:rsid w:val="00696E35"/>
    <w:rsid w:val="0069779C"/>
    <w:rsid w:val="00697B75"/>
    <w:rsid w:val="00697B84"/>
    <w:rsid w:val="006A019C"/>
    <w:rsid w:val="006A0770"/>
    <w:rsid w:val="006A07EE"/>
    <w:rsid w:val="006A0A9C"/>
    <w:rsid w:val="006A0B7C"/>
    <w:rsid w:val="006A116A"/>
    <w:rsid w:val="006A11C3"/>
    <w:rsid w:val="006A1324"/>
    <w:rsid w:val="006A1F18"/>
    <w:rsid w:val="006A22E9"/>
    <w:rsid w:val="006A30C6"/>
    <w:rsid w:val="006A3283"/>
    <w:rsid w:val="006A34FD"/>
    <w:rsid w:val="006A4774"/>
    <w:rsid w:val="006A4D81"/>
    <w:rsid w:val="006A5808"/>
    <w:rsid w:val="006A5CDD"/>
    <w:rsid w:val="006A648B"/>
    <w:rsid w:val="006A6576"/>
    <w:rsid w:val="006A6AAD"/>
    <w:rsid w:val="006A6CB5"/>
    <w:rsid w:val="006A7C46"/>
    <w:rsid w:val="006B0612"/>
    <w:rsid w:val="006B0A02"/>
    <w:rsid w:val="006B0C79"/>
    <w:rsid w:val="006B0CD2"/>
    <w:rsid w:val="006B1242"/>
    <w:rsid w:val="006B132A"/>
    <w:rsid w:val="006B1BD7"/>
    <w:rsid w:val="006B217B"/>
    <w:rsid w:val="006B2AD5"/>
    <w:rsid w:val="006B2CFB"/>
    <w:rsid w:val="006B3005"/>
    <w:rsid w:val="006B3A47"/>
    <w:rsid w:val="006B3D35"/>
    <w:rsid w:val="006B48EE"/>
    <w:rsid w:val="006B58EC"/>
    <w:rsid w:val="006B60D2"/>
    <w:rsid w:val="006B632F"/>
    <w:rsid w:val="006B6F1D"/>
    <w:rsid w:val="006B7474"/>
    <w:rsid w:val="006B78AA"/>
    <w:rsid w:val="006B7FE9"/>
    <w:rsid w:val="006C0034"/>
    <w:rsid w:val="006C0438"/>
    <w:rsid w:val="006C1389"/>
    <w:rsid w:val="006C17BB"/>
    <w:rsid w:val="006C17DA"/>
    <w:rsid w:val="006C1BBF"/>
    <w:rsid w:val="006C1C55"/>
    <w:rsid w:val="006C325A"/>
    <w:rsid w:val="006C3F04"/>
    <w:rsid w:val="006C40D3"/>
    <w:rsid w:val="006C486D"/>
    <w:rsid w:val="006C5A76"/>
    <w:rsid w:val="006C647D"/>
    <w:rsid w:val="006C7054"/>
    <w:rsid w:val="006C7867"/>
    <w:rsid w:val="006C7B5B"/>
    <w:rsid w:val="006D0B28"/>
    <w:rsid w:val="006D0B43"/>
    <w:rsid w:val="006D0C35"/>
    <w:rsid w:val="006D0F50"/>
    <w:rsid w:val="006D169D"/>
    <w:rsid w:val="006D1748"/>
    <w:rsid w:val="006D2A59"/>
    <w:rsid w:val="006D3136"/>
    <w:rsid w:val="006D32F1"/>
    <w:rsid w:val="006D3312"/>
    <w:rsid w:val="006D3FAE"/>
    <w:rsid w:val="006D409C"/>
    <w:rsid w:val="006D41B2"/>
    <w:rsid w:val="006D4AD1"/>
    <w:rsid w:val="006D5146"/>
    <w:rsid w:val="006D52F1"/>
    <w:rsid w:val="006D53AD"/>
    <w:rsid w:val="006D5E55"/>
    <w:rsid w:val="006D6205"/>
    <w:rsid w:val="006D6601"/>
    <w:rsid w:val="006D665C"/>
    <w:rsid w:val="006D71B2"/>
    <w:rsid w:val="006D748D"/>
    <w:rsid w:val="006D74E6"/>
    <w:rsid w:val="006D75C3"/>
    <w:rsid w:val="006D7E9E"/>
    <w:rsid w:val="006E02A4"/>
    <w:rsid w:val="006E045A"/>
    <w:rsid w:val="006E122E"/>
    <w:rsid w:val="006E1D88"/>
    <w:rsid w:val="006E2542"/>
    <w:rsid w:val="006E2C58"/>
    <w:rsid w:val="006E2E48"/>
    <w:rsid w:val="006E3484"/>
    <w:rsid w:val="006E366C"/>
    <w:rsid w:val="006E3C26"/>
    <w:rsid w:val="006E4E77"/>
    <w:rsid w:val="006E4FCD"/>
    <w:rsid w:val="006E5446"/>
    <w:rsid w:val="006E5DC2"/>
    <w:rsid w:val="006E62F1"/>
    <w:rsid w:val="006E6317"/>
    <w:rsid w:val="006E6A42"/>
    <w:rsid w:val="006E6C9B"/>
    <w:rsid w:val="006E752B"/>
    <w:rsid w:val="006E753F"/>
    <w:rsid w:val="006E7586"/>
    <w:rsid w:val="006E7E75"/>
    <w:rsid w:val="006F050C"/>
    <w:rsid w:val="006F0869"/>
    <w:rsid w:val="006F0FB6"/>
    <w:rsid w:val="006F1B7E"/>
    <w:rsid w:val="006F2387"/>
    <w:rsid w:val="006F2B89"/>
    <w:rsid w:val="006F2D02"/>
    <w:rsid w:val="006F31A3"/>
    <w:rsid w:val="006F3381"/>
    <w:rsid w:val="006F33B1"/>
    <w:rsid w:val="006F3523"/>
    <w:rsid w:val="006F37E7"/>
    <w:rsid w:val="006F3B46"/>
    <w:rsid w:val="006F3C3C"/>
    <w:rsid w:val="006F41AF"/>
    <w:rsid w:val="006F4200"/>
    <w:rsid w:val="006F4B04"/>
    <w:rsid w:val="006F4D1B"/>
    <w:rsid w:val="006F4E93"/>
    <w:rsid w:val="006F5239"/>
    <w:rsid w:val="006F61C0"/>
    <w:rsid w:val="006F6387"/>
    <w:rsid w:val="006F6E5F"/>
    <w:rsid w:val="006F6FA4"/>
    <w:rsid w:val="006F7077"/>
    <w:rsid w:val="006F76B7"/>
    <w:rsid w:val="006F7E07"/>
    <w:rsid w:val="007003B9"/>
    <w:rsid w:val="007004AC"/>
    <w:rsid w:val="00700621"/>
    <w:rsid w:val="007006F6"/>
    <w:rsid w:val="00700709"/>
    <w:rsid w:val="00700909"/>
    <w:rsid w:val="00700DBC"/>
    <w:rsid w:val="00701E2B"/>
    <w:rsid w:val="00701F20"/>
    <w:rsid w:val="007020BC"/>
    <w:rsid w:val="00702BAC"/>
    <w:rsid w:val="00702D98"/>
    <w:rsid w:val="00703249"/>
    <w:rsid w:val="007034AE"/>
    <w:rsid w:val="00703687"/>
    <w:rsid w:val="00703B4D"/>
    <w:rsid w:val="0070407F"/>
    <w:rsid w:val="007050DD"/>
    <w:rsid w:val="0070559B"/>
    <w:rsid w:val="00705868"/>
    <w:rsid w:val="0070651C"/>
    <w:rsid w:val="00706F88"/>
    <w:rsid w:val="00707792"/>
    <w:rsid w:val="007077D0"/>
    <w:rsid w:val="00707B91"/>
    <w:rsid w:val="00711672"/>
    <w:rsid w:val="0071180D"/>
    <w:rsid w:val="00711A64"/>
    <w:rsid w:val="00712055"/>
    <w:rsid w:val="00712110"/>
    <w:rsid w:val="00712B18"/>
    <w:rsid w:val="00712C24"/>
    <w:rsid w:val="00712E12"/>
    <w:rsid w:val="007130AC"/>
    <w:rsid w:val="0071326E"/>
    <w:rsid w:val="0071377F"/>
    <w:rsid w:val="0071380C"/>
    <w:rsid w:val="00713A23"/>
    <w:rsid w:val="00714128"/>
    <w:rsid w:val="007145F4"/>
    <w:rsid w:val="00714780"/>
    <w:rsid w:val="00714792"/>
    <w:rsid w:val="007148AD"/>
    <w:rsid w:val="00715441"/>
    <w:rsid w:val="00715C01"/>
    <w:rsid w:val="00715DAB"/>
    <w:rsid w:val="0071622E"/>
    <w:rsid w:val="007165A7"/>
    <w:rsid w:val="00716607"/>
    <w:rsid w:val="007167CF"/>
    <w:rsid w:val="0071723D"/>
    <w:rsid w:val="00717D8A"/>
    <w:rsid w:val="00717E25"/>
    <w:rsid w:val="0072012B"/>
    <w:rsid w:val="00720245"/>
    <w:rsid w:val="007203D5"/>
    <w:rsid w:val="007210CE"/>
    <w:rsid w:val="0072120E"/>
    <w:rsid w:val="007216E0"/>
    <w:rsid w:val="00721A74"/>
    <w:rsid w:val="00721B35"/>
    <w:rsid w:val="00721B9C"/>
    <w:rsid w:val="00721C9E"/>
    <w:rsid w:val="00721F62"/>
    <w:rsid w:val="0072225D"/>
    <w:rsid w:val="0072268A"/>
    <w:rsid w:val="007226D0"/>
    <w:rsid w:val="007228A0"/>
    <w:rsid w:val="0072302D"/>
    <w:rsid w:val="00723CAB"/>
    <w:rsid w:val="00724D22"/>
    <w:rsid w:val="00725B12"/>
    <w:rsid w:val="00725E93"/>
    <w:rsid w:val="00725FA7"/>
    <w:rsid w:val="00725FB3"/>
    <w:rsid w:val="007305A0"/>
    <w:rsid w:val="00731308"/>
    <w:rsid w:val="00731B48"/>
    <w:rsid w:val="0073229B"/>
    <w:rsid w:val="00732A78"/>
    <w:rsid w:val="00732CB1"/>
    <w:rsid w:val="00732F94"/>
    <w:rsid w:val="007339CA"/>
    <w:rsid w:val="00733A8D"/>
    <w:rsid w:val="00733BF6"/>
    <w:rsid w:val="00734E39"/>
    <w:rsid w:val="00735FCB"/>
    <w:rsid w:val="00736770"/>
    <w:rsid w:val="0073682A"/>
    <w:rsid w:val="00736B00"/>
    <w:rsid w:val="00737530"/>
    <w:rsid w:val="007378F2"/>
    <w:rsid w:val="00737C0B"/>
    <w:rsid w:val="00737FD1"/>
    <w:rsid w:val="0074005D"/>
    <w:rsid w:val="00740341"/>
    <w:rsid w:val="007409AF"/>
    <w:rsid w:val="00740FAE"/>
    <w:rsid w:val="0074119F"/>
    <w:rsid w:val="00741C24"/>
    <w:rsid w:val="007426B8"/>
    <w:rsid w:val="00743014"/>
    <w:rsid w:val="007436DB"/>
    <w:rsid w:val="00743CB1"/>
    <w:rsid w:val="007446EE"/>
    <w:rsid w:val="007448EC"/>
    <w:rsid w:val="00744A18"/>
    <w:rsid w:val="007455DB"/>
    <w:rsid w:val="0074591C"/>
    <w:rsid w:val="00746442"/>
    <w:rsid w:val="00747B4F"/>
    <w:rsid w:val="00747F69"/>
    <w:rsid w:val="00750381"/>
    <w:rsid w:val="007504AD"/>
    <w:rsid w:val="00750C39"/>
    <w:rsid w:val="00750DFE"/>
    <w:rsid w:val="00751030"/>
    <w:rsid w:val="007514DE"/>
    <w:rsid w:val="00751587"/>
    <w:rsid w:val="00752143"/>
    <w:rsid w:val="00752359"/>
    <w:rsid w:val="00752FCC"/>
    <w:rsid w:val="007532C6"/>
    <w:rsid w:val="00753368"/>
    <w:rsid w:val="0075382B"/>
    <w:rsid w:val="00753DF0"/>
    <w:rsid w:val="00753F6C"/>
    <w:rsid w:val="00754279"/>
    <w:rsid w:val="00754405"/>
    <w:rsid w:val="00754EE9"/>
    <w:rsid w:val="0075547F"/>
    <w:rsid w:val="007562DE"/>
    <w:rsid w:val="00756458"/>
    <w:rsid w:val="0075673A"/>
    <w:rsid w:val="00756976"/>
    <w:rsid w:val="00756E4F"/>
    <w:rsid w:val="00757384"/>
    <w:rsid w:val="00757615"/>
    <w:rsid w:val="00757663"/>
    <w:rsid w:val="007600E9"/>
    <w:rsid w:val="00760226"/>
    <w:rsid w:val="007603F6"/>
    <w:rsid w:val="007607AF"/>
    <w:rsid w:val="00760ABA"/>
    <w:rsid w:val="00760B1E"/>
    <w:rsid w:val="00760D2D"/>
    <w:rsid w:val="0076200F"/>
    <w:rsid w:val="00762641"/>
    <w:rsid w:val="007629D9"/>
    <w:rsid w:val="00762AD9"/>
    <w:rsid w:val="00763440"/>
    <w:rsid w:val="00764176"/>
    <w:rsid w:val="0076425B"/>
    <w:rsid w:val="00765C03"/>
    <w:rsid w:val="007660C2"/>
    <w:rsid w:val="0076619A"/>
    <w:rsid w:val="00766CE8"/>
    <w:rsid w:val="00767425"/>
    <w:rsid w:val="007674EC"/>
    <w:rsid w:val="00767671"/>
    <w:rsid w:val="0076771F"/>
    <w:rsid w:val="00767762"/>
    <w:rsid w:val="007678FA"/>
    <w:rsid w:val="00767EEA"/>
    <w:rsid w:val="00770934"/>
    <w:rsid w:val="00771A04"/>
    <w:rsid w:val="007720DF"/>
    <w:rsid w:val="00772217"/>
    <w:rsid w:val="00772962"/>
    <w:rsid w:val="0077303C"/>
    <w:rsid w:val="00773437"/>
    <w:rsid w:val="00773AF5"/>
    <w:rsid w:val="00774028"/>
    <w:rsid w:val="007740E0"/>
    <w:rsid w:val="00774FB0"/>
    <w:rsid w:val="00775E65"/>
    <w:rsid w:val="007769C4"/>
    <w:rsid w:val="00776EF4"/>
    <w:rsid w:val="007770AB"/>
    <w:rsid w:val="00777242"/>
    <w:rsid w:val="0077775D"/>
    <w:rsid w:val="00777E6D"/>
    <w:rsid w:val="0078043A"/>
    <w:rsid w:val="007813FE"/>
    <w:rsid w:val="007814CD"/>
    <w:rsid w:val="0078162F"/>
    <w:rsid w:val="00781DB8"/>
    <w:rsid w:val="00782B15"/>
    <w:rsid w:val="00782B33"/>
    <w:rsid w:val="007830C5"/>
    <w:rsid w:val="007835C4"/>
    <w:rsid w:val="00783C58"/>
    <w:rsid w:val="00783D22"/>
    <w:rsid w:val="00784D01"/>
    <w:rsid w:val="00785139"/>
    <w:rsid w:val="0078528C"/>
    <w:rsid w:val="00786925"/>
    <w:rsid w:val="00787589"/>
    <w:rsid w:val="00787688"/>
    <w:rsid w:val="00787E45"/>
    <w:rsid w:val="007901BA"/>
    <w:rsid w:val="00790BDE"/>
    <w:rsid w:val="00791871"/>
    <w:rsid w:val="00791B61"/>
    <w:rsid w:val="0079213B"/>
    <w:rsid w:val="00792916"/>
    <w:rsid w:val="00793018"/>
    <w:rsid w:val="007931BA"/>
    <w:rsid w:val="00793699"/>
    <w:rsid w:val="0079394C"/>
    <w:rsid w:val="00793A92"/>
    <w:rsid w:val="00794174"/>
    <w:rsid w:val="00794504"/>
    <w:rsid w:val="00794E5B"/>
    <w:rsid w:val="00795087"/>
    <w:rsid w:val="00795BC0"/>
    <w:rsid w:val="00795E66"/>
    <w:rsid w:val="00795F46"/>
    <w:rsid w:val="007963D9"/>
    <w:rsid w:val="007963F4"/>
    <w:rsid w:val="007970EA"/>
    <w:rsid w:val="00797844"/>
    <w:rsid w:val="007A002B"/>
    <w:rsid w:val="007A0753"/>
    <w:rsid w:val="007A1612"/>
    <w:rsid w:val="007A1A37"/>
    <w:rsid w:val="007A1C7E"/>
    <w:rsid w:val="007A1D54"/>
    <w:rsid w:val="007A2311"/>
    <w:rsid w:val="007A2384"/>
    <w:rsid w:val="007A29A5"/>
    <w:rsid w:val="007A2C77"/>
    <w:rsid w:val="007A2D59"/>
    <w:rsid w:val="007A2F17"/>
    <w:rsid w:val="007A30F6"/>
    <w:rsid w:val="007A3CE0"/>
    <w:rsid w:val="007A3D4D"/>
    <w:rsid w:val="007A4534"/>
    <w:rsid w:val="007A49CE"/>
    <w:rsid w:val="007A57D6"/>
    <w:rsid w:val="007A5DFE"/>
    <w:rsid w:val="007A6498"/>
    <w:rsid w:val="007A64D6"/>
    <w:rsid w:val="007A688E"/>
    <w:rsid w:val="007A6DD6"/>
    <w:rsid w:val="007A6E35"/>
    <w:rsid w:val="007A6F20"/>
    <w:rsid w:val="007A7212"/>
    <w:rsid w:val="007A7675"/>
    <w:rsid w:val="007A76A0"/>
    <w:rsid w:val="007A76D8"/>
    <w:rsid w:val="007A7BBD"/>
    <w:rsid w:val="007B0659"/>
    <w:rsid w:val="007B0AF0"/>
    <w:rsid w:val="007B0B49"/>
    <w:rsid w:val="007B146D"/>
    <w:rsid w:val="007B1C8B"/>
    <w:rsid w:val="007B2083"/>
    <w:rsid w:val="007B23CE"/>
    <w:rsid w:val="007B2B6E"/>
    <w:rsid w:val="007B2D1F"/>
    <w:rsid w:val="007B2F73"/>
    <w:rsid w:val="007B3679"/>
    <w:rsid w:val="007B37B5"/>
    <w:rsid w:val="007B55F0"/>
    <w:rsid w:val="007B6447"/>
    <w:rsid w:val="007B6466"/>
    <w:rsid w:val="007B752E"/>
    <w:rsid w:val="007B77BF"/>
    <w:rsid w:val="007B7878"/>
    <w:rsid w:val="007B7A36"/>
    <w:rsid w:val="007B7C46"/>
    <w:rsid w:val="007C0011"/>
    <w:rsid w:val="007C00EC"/>
    <w:rsid w:val="007C02F4"/>
    <w:rsid w:val="007C0890"/>
    <w:rsid w:val="007C1173"/>
    <w:rsid w:val="007C1376"/>
    <w:rsid w:val="007C1528"/>
    <w:rsid w:val="007C29BD"/>
    <w:rsid w:val="007C2FCC"/>
    <w:rsid w:val="007C3254"/>
    <w:rsid w:val="007C33DB"/>
    <w:rsid w:val="007C4354"/>
    <w:rsid w:val="007C4C5A"/>
    <w:rsid w:val="007C5126"/>
    <w:rsid w:val="007C5325"/>
    <w:rsid w:val="007C541F"/>
    <w:rsid w:val="007C557A"/>
    <w:rsid w:val="007C5978"/>
    <w:rsid w:val="007C5A0B"/>
    <w:rsid w:val="007C67D0"/>
    <w:rsid w:val="007C71F3"/>
    <w:rsid w:val="007C75F7"/>
    <w:rsid w:val="007C76A0"/>
    <w:rsid w:val="007C7B4B"/>
    <w:rsid w:val="007C7D44"/>
    <w:rsid w:val="007D075F"/>
    <w:rsid w:val="007D0784"/>
    <w:rsid w:val="007D0924"/>
    <w:rsid w:val="007D0E16"/>
    <w:rsid w:val="007D120F"/>
    <w:rsid w:val="007D1DCD"/>
    <w:rsid w:val="007D2554"/>
    <w:rsid w:val="007D31E4"/>
    <w:rsid w:val="007D39DB"/>
    <w:rsid w:val="007D3CED"/>
    <w:rsid w:val="007D402F"/>
    <w:rsid w:val="007D47DF"/>
    <w:rsid w:val="007D5C5A"/>
    <w:rsid w:val="007D5DD3"/>
    <w:rsid w:val="007D61E7"/>
    <w:rsid w:val="007D6349"/>
    <w:rsid w:val="007D6D41"/>
    <w:rsid w:val="007D6DE8"/>
    <w:rsid w:val="007D6EBB"/>
    <w:rsid w:val="007D7E1B"/>
    <w:rsid w:val="007E0543"/>
    <w:rsid w:val="007E0AE5"/>
    <w:rsid w:val="007E0DA3"/>
    <w:rsid w:val="007E0E87"/>
    <w:rsid w:val="007E1115"/>
    <w:rsid w:val="007E1259"/>
    <w:rsid w:val="007E16F5"/>
    <w:rsid w:val="007E1765"/>
    <w:rsid w:val="007E2026"/>
    <w:rsid w:val="007E20D2"/>
    <w:rsid w:val="007E346B"/>
    <w:rsid w:val="007E3749"/>
    <w:rsid w:val="007E3FC9"/>
    <w:rsid w:val="007E46C1"/>
    <w:rsid w:val="007E4B92"/>
    <w:rsid w:val="007E4D70"/>
    <w:rsid w:val="007E5535"/>
    <w:rsid w:val="007E575F"/>
    <w:rsid w:val="007E585B"/>
    <w:rsid w:val="007E5A91"/>
    <w:rsid w:val="007E5C46"/>
    <w:rsid w:val="007E5F36"/>
    <w:rsid w:val="007E656F"/>
    <w:rsid w:val="007E6B30"/>
    <w:rsid w:val="007E7559"/>
    <w:rsid w:val="007E7C40"/>
    <w:rsid w:val="007F0144"/>
    <w:rsid w:val="007F1014"/>
    <w:rsid w:val="007F1597"/>
    <w:rsid w:val="007F1611"/>
    <w:rsid w:val="007F22C1"/>
    <w:rsid w:val="007F257D"/>
    <w:rsid w:val="007F2651"/>
    <w:rsid w:val="007F26BB"/>
    <w:rsid w:val="007F311B"/>
    <w:rsid w:val="007F3DD3"/>
    <w:rsid w:val="007F4949"/>
    <w:rsid w:val="007F4D2C"/>
    <w:rsid w:val="007F4F70"/>
    <w:rsid w:val="007F5AD9"/>
    <w:rsid w:val="007F5C94"/>
    <w:rsid w:val="007F5E13"/>
    <w:rsid w:val="007F6350"/>
    <w:rsid w:val="007F6561"/>
    <w:rsid w:val="007F796A"/>
    <w:rsid w:val="0080004D"/>
    <w:rsid w:val="00800E82"/>
    <w:rsid w:val="00801326"/>
    <w:rsid w:val="0080198F"/>
    <w:rsid w:val="00801B9A"/>
    <w:rsid w:val="00801D3E"/>
    <w:rsid w:val="00801E41"/>
    <w:rsid w:val="00801FF4"/>
    <w:rsid w:val="00802721"/>
    <w:rsid w:val="00803E48"/>
    <w:rsid w:val="008041C3"/>
    <w:rsid w:val="00804F03"/>
    <w:rsid w:val="00805363"/>
    <w:rsid w:val="00805FB0"/>
    <w:rsid w:val="00806241"/>
    <w:rsid w:val="008062E0"/>
    <w:rsid w:val="0080638F"/>
    <w:rsid w:val="00807848"/>
    <w:rsid w:val="0080793F"/>
    <w:rsid w:val="008100B1"/>
    <w:rsid w:val="008101CB"/>
    <w:rsid w:val="00810B41"/>
    <w:rsid w:val="00810C20"/>
    <w:rsid w:val="00811ACA"/>
    <w:rsid w:val="00812040"/>
    <w:rsid w:val="008120A8"/>
    <w:rsid w:val="008120D1"/>
    <w:rsid w:val="00812681"/>
    <w:rsid w:val="00812CD5"/>
    <w:rsid w:val="00812F5C"/>
    <w:rsid w:val="0081321B"/>
    <w:rsid w:val="008135DA"/>
    <w:rsid w:val="00813A0A"/>
    <w:rsid w:val="00813A7F"/>
    <w:rsid w:val="00813CC0"/>
    <w:rsid w:val="00813CE1"/>
    <w:rsid w:val="008146F2"/>
    <w:rsid w:val="008147C1"/>
    <w:rsid w:val="008149EA"/>
    <w:rsid w:val="00814B4A"/>
    <w:rsid w:val="00814D52"/>
    <w:rsid w:val="00814EA7"/>
    <w:rsid w:val="0081583C"/>
    <w:rsid w:val="00815D7B"/>
    <w:rsid w:val="00816466"/>
    <w:rsid w:val="00816582"/>
    <w:rsid w:val="0081692F"/>
    <w:rsid w:val="00816B5F"/>
    <w:rsid w:val="008174A2"/>
    <w:rsid w:val="00817BD9"/>
    <w:rsid w:val="00820708"/>
    <w:rsid w:val="00821302"/>
    <w:rsid w:val="00821ADF"/>
    <w:rsid w:val="00821CC5"/>
    <w:rsid w:val="0082253C"/>
    <w:rsid w:val="00822725"/>
    <w:rsid w:val="00822A90"/>
    <w:rsid w:val="00822B94"/>
    <w:rsid w:val="00823085"/>
    <w:rsid w:val="0082328D"/>
    <w:rsid w:val="0082351E"/>
    <w:rsid w:val="008237BC"/>
    <w:rsid w:val="0082395D"/>
    <w:rsid w:val="0082398A"/>
    <w:rsid w:val="0082438A"/>
    <w:rsid w:val="00824944"/>
    <w:rsid w:val="00824D4D"/>
    <w:rsid w:val="008253EC"/>
    <w:rsid w:val="008255D4"/>
    <w:rsid w:val="0082585F"/>
    <w:rsid w:val="00826788"/>
    <w:rsid w:val="00826BF5"/>
    <w:rsid w:val="00826C03"/>
    <w:rsid w:val="00826CEE"/>
    <w:rsid w:val="00826F5B"/>
    <w:rsid w:val="00827457"/>
    <w:rsid w:val="008276C0"/>
    <w:rsid w:val="00827902"/>
    <w:rsid w:val="00827A4E"/>
    <w:rsid w:val="008300EC"/>
    <w:rsid w:val="00830105"/>
    <w:rsid w:val="008309F3"/>
    <w:rsid w:val="00830B24"/>
    <w:rsid w:val="00830BF1"/>
    <w:rsid w:val="0083113B"/>
    <w:rsid w:val="0083154C"/>
    <w:rsid w:val="00831581"/>
    <w:rsid w:val="00831739"/>
    <w:rsid w:val="00831B36"/>
    <w:rsid w:val="00831CB4"/>
    <w:rsid w:val="00831CDE"/>
    <w:rsid w:val="00832AB3"/>
    <w:rsid w:val="00833BF7"/>
    <w:rsid w:val="008344EE"/>
    <w:rsid w:val="008346F9"/>
    <w:rsid w:val="00834930"/>
    <w:rsid w:val="00834C9D"/>
    <w:rsid w:val="00834CEC"/>
    <w:rsid w:val="008358E4"/>
    <w:rsid w:val="00835FA0"/>
    <w:rsid w:val="008363CD"/>
    <w:rsid w:val="008363D4"/>
    <w:rsid w:val="00837051"/>
    <w:rsid w:val="008372F5"/>
    <w:rsid w:val="00837621"/>
    <w:rsid w:val="00837A8B"/>
    <w:rsid w:val="00837D04"/>
    <w:rsid w:val="008400DD"/>
    <w:rsid w:val="00840718"/>
    <w:rsid w:val="0084153F"/>
    <w:rsid w:val="0084184D"/>
    <w:rsid w:val="00841E8F"/>
    <w:rsid w:val="0084246D"/>
    <w:rsid w:val="008428CC"/>
    <w:rsid w:val="00842B15"/>
    <w:rsid w:val="00842C30"/>
    <w:rsid w:val="00842DB1"/>
    <w:rsid w:val="0084312C"/>
    <w:rsid w:val="008431C0"/>
    <w:rsid w:val="008431CD"/>
    <w:rsid w:val="008431D0"/>
    <w:rsid w:val="0084325C"/>
    <w:rsid w:val="00843E77"/>
    <w:rsid w:val="00843F51"/>
    <w:rsid w:val="00843FEF"/>
    <w:rsid w:val="0084403D"/>
    <w:rsid w:val="0084422E"/>
    <w:rsid w:val="008442CC"/>
    <w:rsid w:val="00844A57"/>
    <w:rsid w:val="00844D17"/>
    <w:rsid w:val="00844FA2"/>
    <w:rsid w:val="0084532B"/>
    <w:rsid w:val="0084563E"/>
    <w:rsid w:val="008457F6"/>
    <w:rsid w:val="00845AF5"/>
    <w:rsid w:val="00845D35"/>
    <w:rsid w:val="00845E2A"/>
    <w:rsid w:val="00846597"/>
    <w:rsid w:val="00846982"/>
    <w:rsid w:val="00846B57"/>
    <w:rsid w:val="00846B90"/>
    <w:rsid w:val="00847A2A"/>
    <w:rsid w:val="00847B0B"/>
    <w:rsid w:val="00847DC4"/>
    <w:rsid w:val="00850765"/>
    <w:rsid w:val="0085087F"/>
    <w:rsid w:val="008514A7"/>
    <w:rsid w:val="00851E68"/>
    <w:rsid w:val="00852560"/>
    <w:rsid w:val="00852D06"/>
    <w:rsid w:val="0085341A"/>
    <w:rsid w:val="0085352D"/>
    <w:rsid w:val="00853895"/>
    <w:rsid w:val="00853922"/>
    <w:rsid w:val="00853B8F"/>
    <w:rsid w:val="00854DF8"/>
    <w:rsid w:val="00854E7B"/>
    <w:rsid w:val="0085563D"/>
    <w:rsid w:val="008557CE"/>
    <w:rsid w:val="00856201"/>
    <w:rsid w:val="008563C6"/>
    <w:rsid w:val="008564F8"/>
    <w:rsid w:val="008574C8"/>
    <w:rsid w:val="00860E0C"/>
    <w:rsid w:val="008615B4"/>
    <w:rsid w:val="00861A14"/>
    <w:rsid w:val="00862CE9"/>
    <w:rsid w:val="008631A3"/>
    <w:rsid w:val="008637F0"/>
    <w:rsid w:val="00863EAC"/>
    <w:rsid w:val="00863FF7"/>
    <w:rsid w:val="008650C0"/>
    <w:rsid w:val="00866181"/>
    <w:rsid w:val="00866183"/>
    <w:rsid w:val="00866A51"/>
    <w:rsid w:val="00866B39"/>
    <w:rsid w:val="008675D3"/>
    <w:rsid w:val="00867A7F"/>
    <w:rsid w:val="00867BA0"/>
    <w:rsid w:val="00867CB9"/>
    <w:rsid w:val="00870304"/>
    <w:rsid w:val="008707D7"/>
    <w:rsid w:val="008708EF"/>
    <w:rsid w:val="00870B7F"/>
    <w:rsid w:val="008711D9"/>
    <w:rsid w:val="008715C0"/>
    <w:rsid w:val="008720F2"/>
    <w:rsid w:val="00872E70"/>
    <w:rsid w:val="00873022"/>
    <w:rsid w:val="008731CF"/>
    <w:rsid w:val="00873255"/>
    <w:rsid w:val="00873F31"/>
    <w:rsid w:val="00874B72"/>
    <w:rsid w:val="00875003"/>
    <w:rsid w:val="00875163"/>
    <w:rsid w:val="00875468"/>
    <w:rsid w:val="00875AC6"/>
    <w:rsid w:val="0087629F"/>
    <w:rsid w:val="0087655C"/>
    <w:rsid w:val="008765FA"/>
    <w:rsid w:val="0087695D"/>
    <w:rsid w:val="00876FFE"/>
    <w:rsid w:val="008770C2"/>
    <w:rsid w:val="00877E61"/>
    <w:rsid w:val="008800CB"/>
    <w:rsid w:val="00880642"/>
    <w:rsid w:val="00881142"/>
    <w:rsid w:val="00881B19"/>
    <w:rsid w:val="00881C83"/>
    <w:rsid w:val="008825B1"/>
    <w:rsid w:val="0088294C"/>
    <w:rsid w:val="00882B33"/>
    <w:rsid w:val="00882DD4"/>
    <w:rsid w:val="00882DFA"/>
    <w:rsid w:val="00883264"/>
    <w:rsid w:val="00883316"/>
    <w:rsid w:val="0088450D"/>
    <w:rsid w:val="008846AD"/>
    <w:rsid w:val="00884710"/>
    <w:rsid w:val="00884F65"/>
    <w:rsid w:val="00885134"/>
    <w:rsid w:val="00885975"/>
    <w:rsid w:val="00886085"/>
    <w:rsid w:val="008861B1"/>
    <w:rsid w:val="00886D28"/>
    <w:rsid w:val="00887105"/>
    <w:rsid w:val="00887489"/>
    <w:rsid w:val="00887CA0"/>
    <w:rsid w:val="00890281"/>
    <w:rsid w:val="00890477"/>
    <w:rsid w:val="008904A6"/>
    <w:rsid w:val="00890E02"/>
    <w:rsid w:val="0089152A"/>
    <w:rsid w:val="008917A2"/>
    <w:rsid w:val="00891A14"/>
    <w:rsid w:val="00892A7D"/>
    <w:rsid w:val="00892D77"/>
    <w:rsid w:val="00892E25"/>
    <w:rsid w:val="00893447"/>
    <w:rsid w:val="00893828"/>
    <w:rsid w:val="00893869"/>
    <w:rsid w:val="00893F0A"/>
    <w:rsid w:val="0089440E"/>
    <w:rsid w:val="008954F9"/>
    <w:rsid w:val="0089555B"/>
    <w:rsid w:val="00895B9E"/>
    <w:rsid w:val="00896B16"/>
    <w:rsid w:val="00896C3B"/>
    <w:rsid w:val="008972E0"/>
    <w:rsid w:val="0089776B"/>
    <w:rsid w:val="008A0331"/>
    <w:rsid w:val="008A0383"/>
    <w:rsid w:val="008A055A"/>
    <w:rsid w:val="008A0611"/>
    <w:rsid w:val="008A06E9"/>
    <w:rsid w:val="008A0CD5"/>
    <w:rsid w:val="008A114B"/>
    <w:rsid w:val="008A1323"/>
    <w:rsid w:val="008A1483"/>
    <w:rsid w:val="008A14A3"/>
    <w:rsid w:val="008A1D1B"/>
    <w:rsid w:val="008A1D2F"/>
    <w:rsid w:val="008A20D6"/>
    <w:rsid w:val="008A3172"/>
    <w:rsid w:val="008A3667"/>
    <w:rsid w:val="008A3D3E"/>
    <w:rsid w:val="008A4AFD"/>
    <w:rsid w:val="008A54F3"/>
    <w:rsid w:val="008A55E3"/>
    <w:rsid w:val="008A5727"/>
    <w:rsid w:val="008A5772"/>
    <w:rsid w:val="008A670C"/>
    <w:rsid w:val="008A763D"/>
    <w:rsid w:val="008A77A5"/>
    <w:rsid w:val="008B0295"/>
    <w:rsid w:val="008B029F"/>
    <w:rsid w:val="008B07CC"/>
    <w:rsid w:val="008B1212"/>
    <w:rsid w:val="008B1AA8"/>
    <w:rsid w:val="008B1C67"/>
    <w:rsid w:val="008B2156"/>
    <w:rsid w:val="008B2263"/>
    <w:rsid w:val="008B25CD"/>
    <w:rsid w:val="008B2804"/>
    <w:rsid w:val="008B29C2"/>
    <w:rsid w:val="008B2EB0"/>
    <w:rsid w:val="008B2F5E"/>
    <w:rsid w:val="008B3159"/>
    <w:rsid w:val="008B3789"/>
    <w:rsid w:val="008B42D1"/>
    <w:rsid w:val="008B49F5"/>
    <w:rsid w:val="008B54B2"/>
    <w:rsid w:val="008B5628"/>
    <w:rsid w:val="008B5728"/>
    <w:rsid w:val="008B5BCB"/>
    <w:rsid w:val="008B5C6B"/>
    <w:rsid w:val="008B5FDB"/>
    <w:rsid w:val="008B6308"/>
    <w:rsid w:val="008B649E"/>
    <w:rsid w:val="008B6656"/>
    <w:rsid w:val="008B6766"/>
    <w:rsid w:val="008B714C"/>
    <w:rsid w:val="008B779D"/>
    <w:rsid w:val="008C0555"/>
    <w:rsid w:val="008C1565"/>
    <w:rsid w:val="008C1C45"/>
    <w:rsid w:val="008C1C7D"/>
    <w:rsid w:val="008C2027"/>
    <w:rsid w:val="008C2051"/>
    <w:rsid w:val="008C2BAF"/>
    <w:rsid w:val="008C4229"/>
    <w:rsid w:val="008C46F9"/>
    <w:rsid w:val="008C4D73"/>
    <w:rsid w:val="008C542E"/>
    <w:rsid w:val="008C5540"/>
    <w:rsid w:val="008C55CD"/>
    <w:rsid w:val="008C5A8C"/>
    <w:rsid w:val="008C5BDA"/>
    <w:rsid w:val="008C5EA8"/>
    <w:rsid w:val="008C61CE"/>
    <w:rsid w:val="008C629C"/>
    <w:rsid w:val="008C68F8"/>
    <w:rsid w:val="008C6AB6"/>
    <w:rsid w:val="008C6D4D"/>
    <w:rsid w:val="008C7487"/>
    <w:rsid w:val="008C7EC0"/>
    <w:rsid w:val="008D03DE"/>
    <w:rsid w:val="008D04D9"/>
    <w:rsid w:val="008D0AF5"/>
    <w:rsid w:val="008D1163"/>
    <w:rsid w:val="008D1179"/>
    <w:rsid w:val="008D1F52"/>
    <w:rsid w:val="008D26A4"/>
    <w:rsid w:val="008D29B4"/>
    <w:rsid w:val="008D29D0"/>
    <w:rsid w:val="008D346E"/>
    <w:rsid w:val="008D3744"/>
    <w:rsid w:val="008D395D"/>
    <w:rsid w:val="008D3B52"/>
    <w:rsid w:val="008D40B4"/>
    <w:rsid w:val="008D49FD"/>
    <w:rsid w:val="008D4DC1"/>
    <w:rsid w:val="008D59F5"/>
    <w:rsid w:val="008D5DE0"/>
    <w:rsid w:val="008D644B"/>
    <w:rsid w:val="008D6E87"/>
    <w:rsid w:val="008D72CC"/>
    <w:rsid w:val="008D785D"/>
    <w:rsid w:val="008D786A"/>
    <w:rsid w:val="008D7B28"/>
    <w:rsid w:val="008D7E89"/>
    <w:rsid w:val="008E1111"/>
    <w:rsid w:val="008E11F4"/>
    <w:rsid w:val="008E1334"/>
    <w:rsid w:val="008E13D3"/>
    <w:rsid w:val="008E15F9"/>
    <w:rsid w:val="008E16F0"/>
    <w:rsid w:val="008E1C05"/>
    <w:rsid w:val="008E1EEB"/>
    <w:rsid w:val="008E2817"/>
    <w:rsid w:val="008E2E77"/>
    <w:rsid w:val="008E3506"/>
    <w:rsid w:val="008E37E7"/>
    <w:rsid w:val="008E3C43"/>
    <w:rsid w:val="008E4296"/>
    <w:rsid w:val="008E46F8"/>
    <w:rsid w:val="008E4A73"/>
    <w:rsid w:val="008E56BE"/>
    <w:rsid w:val="008E5D5C"/>
    <w:rsid w:val="008E5FB8"/>
    <w:rsid w:val="008E6141"/>
    <w:rsid w:val="008E6458"/>
    <w:rsid w:val="008E675B"/>
    <w:rsid w:val="008E6760"/>
    <w:rsid w:val="008E7042"/>
    <w:rsid w:val="008E743B"/>
    <w:rsid w:val="008E7CEA"/>
    <w:rsid w:val="008E7D54"/>
    <w:rsid w:val="008E7F41"/>
    <w:rsid w:val="008F069A"/>
    <w:rsid w:val="008F087F"/>
    <w:rsid w:val="008F0BDD"/>
    <w:rsid w:val="008F0FF3"/>
    <w:rsid w:val="008F1164"/>
    <w:rsid w:val="008F16A3"/>
    <w:rsid w:val="008F17B8"/>
    <w:rsid w:val="008F210F"/>
    <w:rsid w:val="008F258A"/>
    <w:rsid w:val="008F26F3"/>
    <w:rsid w:val="008F2CE1"/>
    <w:rsid w:val="008F3B77"/>
    <w:rsid w:val="008F3EFB"/>
    <w:rsid w:val="008F42F3"/>
    <w:rsid w:val="008F4ABE"/>
    <w:rsid w:val="008F51DC"/>
    <w:rsid w:val="008F568A"/>
    <w:rsid w:val="008F5A2B"/>
    <w:rsid w:val="008F5C52"/>
    <w:rsid w:val="008F5D9D"/>
    <w:rsid w:val="008F605B"/>
    <w:rsid w:val="008F63A9"/>
    <w:rsid w:val="008F6FD1"/>
    <w:rsid w:val="009001B7"/>
    <w:rsid w:val="0090057C"/>
    <w:rsid w:val="00900778"/>
    <w:rsid w:val="00900905"/>
    <w:rsid w:val="00900A12"/>
    <w:rsid w:val="0090103B"/>
    <w:rsid w:val="00901905"/>
    <w:rsid w:val="00902412"/>
    <w:rsid w:val="00902AC0"/>
    <w:rsid w:val="00902DE4"/>
    <w:rsid w:val="00902F30"/>
    <w:rsid w:val="00904139"/>
    <w:rsid w:val="009044B7"/>
    <w:rsid w:val="0090462D"/>
    <w:rsid w:val="0090499D"/>
    <w:rsid w:val="00904BD3"/>
    <w:rsid w:val="00904CA7"/>
    <w:rsid w:val="009056A3"/>
    <w:rsid w:val="009057C3"/>
    <w:rsid w:val="00906222"/>
    <w:rsid w:val="009062C4"/>
    <w:rsid w:val="00906548"/>
    <w:rsid w:val="00906B85"/>
    <w:rsid w:val="00906E40"/>
    <w:rsid w:val="00907D2E"/>
    <w:rsid w:val="00910419"/>
    <w:rsid w:val="00910C2A"/>
    <w:rsid w:val="00911348"/>
    <w:rsid w:val="009116C7"/>
    <w:rsid w:val="009117CF"/>
    <w:rsid w:val="00911DF8"/>
    <w:rsid w:val="00912510"/>
    <w:rsid w:val="009126E5"/>
    <w:rsid w:val="00913445"/>
    <w:rsid w:val="0091388B"/>
    <w:rsid w:val="0091521B"/>
    <w:rsid w:val="009152D8"/>
    <w:rsid w:val="00915309"/>
    <w:rsid w:val="00915629"/>
    <w:rsid w:val="00915D17"/>
    <w:rsid w:val="00915E42"/>
    <w:rsid w:val="00915F5D"/>
    <w:rsid w:val="009160A2"/>
    <w:rsid w:val="009160FD"/>
    <w:rsid w:val="0091651B"/>
    <w:rsid w:val="009167AC"/>
    <w:rsid w:val="0091749F"/>
    <w:rsid w:val="00917CA6"/>
    <w:rsid w:val="009203AC"/>
    <w:rsid w:val="00920484"/>
    <w:rsid w:val="00920ADB"/>
    <w:rsid w:val="00920CE7"/>
    <w:rsid w:val="009211E9"/>
    <w:rsid w:val="00921523"/>
    <w:rsid w:val="00921684"/>
    <w:rsid w:val="00921F43"/>
    <w:rsid w:val="00922712"/>
    <w:rsid w:val="00923411"/>
    <w:rsid w:val="00923DF8"/>
    <w:rsid w:val="00924036"/>
    <w:rsid w:val="00924852"/>
    <w:rsid w:val="00924BE4"/>
    <w:rsid w:val="00924F2E"/>
    <w:rsid w:val="00925206"/>
    <w:rsid w:val="009253C0"/>
    <w:rsid w:val="00925CEC"/>
    <w:rsid w:val="00926393"/>
    <w:rsid w:val="009264B0"/>
    <w:rsid w:val="00926773"/>
    <w:rsid w:val="0092682F"/>
    <w:rsid w:val="00926940"/>
    <w:rsid w:val="00926998"/>
    <w:rsid w:val="00926FC2"/>
    <w:rsid w:val="00927B54"/>
    <w:rsid w:val="00927FF2"/>
    <w:rsid w:val="009300C3"/>
    <w:rsid w:val="00930B0E"/>
    <w:rsid w:val="00930E75"/>
    <w:rsid w:val="00931160"/>
    <w:rsid w:val="00931416"/>
    <w:rsid w:val="009316AC"/>
    <w:rsid w:val="009316BF"/>
    <w:rsid w:val="00931C39"/>
    <w:rsid w:val="00931CA2"/>
    <w:rsid w:val="00931D69"/>
    <w:rsid w:val="009323A5"/>
    <w:rsid w:val="00932E6E"/>
    <w:rsid w:val="009330AF"/>
    <w:rsid w:val="009335D0"/>
    <w:rsid w:val="00933A57"/>
    <w:rsid w:val="00933DDD"/>
    <w:rsid w:val="00934362"/>
    <w:rsid w:val="0093465A"/>
    <w:rsid w:val="00934896"/>
    <w:rsid w:val="00935D1A"/>
    <w:rsid w:val="00936000"/>
    <w:rsid w:val="009360FA"/>
    <w:rsid w:val="00936297"/>
    <w:rsid w:val="0093633F"/>
    <w:rsid w:val="009363BB"/>
    <w:rsid w:val="00936AA6"/>
    <w:rsid w:val="009379D3"/>
    <w:rsid w:val="00937A41"/>
    <w:rsid w:val="00937D27"/>
    <w:rsid w:val="00937D8A"/>
    <w:rsid w:val="0094041B"/>
    <w:rsid w:val="00940F0C"/>
    <w:rsid w:val="00940F6F"/>
    <w:rsid w:val="00942BC6"/>
    <w:rsid w:val="00942F7E"/>
    <w:rsid w:val="00943121"/>
    <w:rsid w:val="009434E5"/>
    <w:rsid w:val="009435BE"/>
    <w:rsid w:val="009437B4"/>
    <w:rsid w:val="0094397E"/>
    <w:rsid w:val="00943C5B"/>
    <w:rsid w:val="00943EA8"/>
    <w:rsid w:val="0094473A"/>
    <w:rsid w:val="0094475B"/>
    <w:rsid w:val="00944B4F"/>
    <w:rsid w:val="00945BD6"/>
    <w:rsid w:val="00945E3B"/>
    <w:rsid w:val="00946134"/>
    <w:rsid w:val="00946984"/>
    <w:rsid w:val="00947393"/>
    <w:rsid w:val="0095004C"/>
    <w:rsid w:val="009501BC"/>
    <w:rsid w:val="00950603"/>
    <w:rsid w:val="00951052"/>
    <w:rsid w:val="009516FF"/>
    <w:rsid w:val="00952014"/>
    <w:rsid w:val="0095229F"/>
    <w:rsid w:val="00952495"/>
    <w:rsid w:val="00952AF2"/>
    <w:rsid w:val="00952B82"/>
    <w:rsid w:val="0095363E"/>
    <w:rsid w:val="0095367D"/>
    <w:rsid w:val="009536DA"/>
    <w:rsid w:val="00953C4E"/>
    <w:rsid w:val="0095400D"/>
    <w:rsid w:val="00954207"/>
    <w:rsid w:val="009546BA"/>
    <w:rsid w:val="00955110"/>
    <w:rsid w:val="009552D0"/>
    <w:rsid w:val="00955547"/>
    <w:rsid w:val="0095558B"/>
    <w:rsid w:val="009559E2"/>
    <w:rsid w:val="00955EA4"/>
    <w:rsid w:val="009560B4"/>
    <w:rsid w:val="00956A07"/>
    <w:rsid w:val="00956CEB"/>
    <w:rsid w:val="00956D05"/>
    <w:rsid w:val="00956D2C"/>
    <w:rsid w:val="00957407"/>
    <w:rsid w:val="00957648"/>
    <w:rsid w:val="00957C8E"/>
    <w:rsid w:val="009608AA"/>
    <w:rsid w:val="00960A75"/>
    <w:rsid w:val="00961819"/>
    <w:rsid w:val="00961A2E"/>
    <w:rsid w:val="00962982"/>
    <w:rsid w:val="00962C52"/>
    <w:rsid w:val="009631D4"/>
    <w:rsid w:val="0096330A"/>
    <w:rsid w:val="00963778"/>
    <w:rsid w:val="00963848"/>
    <w:rsid w:val="00963A64"/>
    <w:rsid w:val="00963E6F"/>
    <w:rsid w:val="00964953"/>
    <w:rsid w:val="00965135"/>
    <w:rsid w:val="00965323"/>
    <w:rsid w:val="00965A90"/>
    <w:rsid w:val="00965E42"/>
    <w:rsid w:val="0096623F"/>
    <w:rsid w:val="00966487"/>
    <w:rsid w:val="00966AA5"/>
    <w:rsid w:val="00966BF2"/>
    <w:rsid w:val="0096712C"/>
    <w:rsid w:val="00967889"/>
    <w:rsid w:val="009679EE"/>
    <w:rsid w:val="00967A99"/>
    <w:rsid w:val="00967B07"/>
    <w:rsid w:val="00967FBA"/>
    <w:rsid w:val="00970034"/>
    <w:rsid w:val="00970726"/>
    <w:rsid w:val="00970966"/>
    <w:rsid w:val="00970E2D"/>
    <w:rsid w:val="0097170F"/>
    <w:rsid w:val="00971A77"/>
    <w:rsid w:val="00971DB7"/>
    <w:rsid w:val="00973F1A"/>
    <w:rsid w:val="00974936"/>
    <w:rsid w:val="00974CAC"/>
    <w:rsid w:val="00974E43"/>
    <w:rsid w:val="00974FA0"/>
    <w:rsid w:val="009751F8"/>
    <w:rsid w:val="009753C4"/>
    <w:rsid w:val="00975958"/>
    <w:rsid w:val="00975A02"/>
    <w:rsid w:val="00975A10"/>
    <w:rsid w:val="00975AFA"/>
    <w:rsid w:val="00977008"/>
    <w:rsid w:val="00977307"/>
    <w:rsid w:val="00977AFD"/>
    <w:rsid w:val="00977B29"/>
    <w:rsid w:val="00977BC6"/>
    <w:rsid w:val="00980289"/>
    <w:rsid w:val="00980D3D"/>
    <w:rsid w:val="00980D41"/>
    <w:rsid w:val="009810AD"/>
    <w:rsid w:val="0098148D"/>
    <w:rsid w:val="00981782"/>
    <w:rsid w:val="00981820"/>
    <w:rsid w:val="00981936"/>
    <w:rsid w:val="00981961"/>
    <w:rsid w:val="009819AF"/>
    <w:rsid w:val="009821E1"/>
    <w:rsid w:val="009825FB"/>
    <w:rsid w:val="0098268A"/>
    <w:rsid w:val="00982BD1"/>
    <w:rsid w:val="00982D8C"/>
    <w:rsid w:val="0098312E"/>
    <w:rsid w:val="00983662"/>
    <w:rsid w:val="009836C2"/>
    <w:rsid w:val="00983A39"/>
    <w:rsid w:val="00983BB4"/>
    <w:rsid w:val="00984449"/>
    <w:rsid w:val="00984473"/>
    <w:rsid w:val="00984724"/>
    <w:rsid w:val="00984B49"/>
    <w:rsid w:val="00985074"/>
    <w:rsid w:val="00985107"/>
    <w:rsid w:val="0098564B"/>
    <w:rsid w:val="00986347"/>
    <w:rsid w:val="00986645"/>
    <w:rsid w:val="00986DBD"/>
    <w:rsid w:val="00986FA5"/>
    <w:rsid w:val="009876A1"/>
    <w:rsid w:val="009876CA"/>
    <w:rsid w:val="009877E0"/>
    <w:rsid w:val="00990EE4"/>
    <w:rsid w:val="00991378"/>
    <w:rsid w:val="00991AAA"/>
    <w:rsid w:val="00991DF1"/>
    <w:rsid w:val="00991E74"/>
    <w:rsid w:val="00991F9F"/>
    <w:rsid w:val="00992530"/>
    <w:rsid w:val="0099316C"/>
    <w:rsid w:val="009935A9"/>
    <w:rsid w:val="00993BFC"/>
    <w:rsid w:val="00994764"/>
    <w:rsid w:val="00994FEC"/>
    <w:rsid w:val="0099579B"/>
    <w:rsid w:val="00995802"/>
    <w:rsid w:val="00995B38"/>
    <w:rsid w:val="00995C71"/>
    <w:rsid w:val="009962CB"/>
    <w:rsid w:val="009963FE"/>
    <w:rsid w:val="009966AE"/>
    <w:rsid w:val="00996F07"/>
    <w:rsid w:val="009970E2"/>
    <w:rsid w:val="00997769"/>
    <w:rsid w:val="009A0425"/>
    <w:rsid w:val="009A060C"/>
    <w:rsid w:val="009A071F"/>
    <w:rsid w:val="009A085A"/>
    <w:rsid w:val="009A0891"/>
    <w:rsid w:val="009A121F"/>
    <w:rsid w:val="009A17E4"/>
    <w:rsid w:val="009A1ADD"/>
    <w:rsid w:val="009A20D8"/>
    <w:rsid w:val="009A2F34"/>
    <w:rsid w:val="009A3358"/>
    <w:rsid w:val="009A4003"/>
    <w:rsid w:val="009A4117"/>
    <w:rsid w:val="009A4392"/>
    <w:rsid w:val="009A4509"/>
    <w:rsid w:val="009A4697"/>
    <w:rsid w:val="009A5338"/>
    <w:rsid w:val="009A535D"/>
    <w:rsid w:val="009A58DE"/>
    <w:rsid w:val="009A5A10"/>
    <w:rsid w:val="009A72FD"/>
    <w:rsid w:val="009A7E54"/>
    <w:rsid w:val="009B053D"/>
    <w:rsid w:val="009B068C"/>
    <w:rsid w:val="009B0B9A"/>
    <w:rsid w:val="009B0C7F"/>
    <w:rsid w:val="009B215D"/>
    <w:rsid w:val="009B319C"/>
    <w:rsid w:val="009B352C"/>
    <w:rsid w:val="009B3F39"/>
    <w:rsid w:val="009B41E4"/>
    <w:rsid w:val="009B472B"/>
    <w:rsid w:val="009B4935"/>
    <w:rsid w:val="009B49C6"/>
    <w:rsid w:val="009B5160"/>
    <w:rsid w:val="009B563A"/>
    <w:rsid w:val="009B5CA7"/>
    <w:rsid w:val="009B689D"/>
    <w:rsid w:val="009B7B1F"/>
    <w:rsid w:val="009C012C"/>
    <w:rsid w:val="009C0DDA"/>
    <w:rsid w:val="009C100B"/>
    <w:rsid w:val="009C1AE6"/>
    <w:rsid w:val="009C1BF4"/>
    <w:rsid w:val="009C208A"/>
    <w:rsid w:val="009C21B1"/>
    <w:rsid w:val="009C220A"/>
    <w:rsid w:val="009C2795"/>
    <w:rsid w:val="009C2A5F"/>
    <w:rsid w:val="009C2B66"/>
    <w:rsid w:val="009C3924"/>
    <w:rsid w:val="009C4B45"/>
    <w:rsid w:val="009C5103"/>
    <w:rsid w:val="009C53A3"/>
    <w:rsid w:val="009C5DE0"/>
    <w:rsid w:val="009C64F9"/>
    <w:rsid w:val="009C656D"/>
    <w:rsid w:val="009C753D"/>
    <w:rsid w:val="009C7D43"/>
    <w:rsid w:val="009D094A"/>
    <w:rsid w:val="009D0CBC"/>
    <w:rsid w:val="009D183C"/>
    <w:rsid w:val="009D1E23"/>
    <w:rsid w:val="009D2116"/>
    <w:rsid w:val="009D230D"/>
    <w:rsid w:val="009D2473"/>
    <w:rsid w:val="009D251D"/>
    <w:rsid w:val="009D2BC9"/>
    <w:rsid w:val="009D3222"/>
    <w:rsid w:val="009D341D"/>
    <w:rsid w:val="009D349E"/>
    <w:rsid w:val="009D34B0"/>
    <w:rsid w:val="009D38A6"/>
    <w:rsid w:val="009D3D06"/>
    <w:rsid w:val="009D3DB7"/>
    <w:rsid w:val="009D4B59"/>
    <w:rsid w:val="009D4D33"/>
    <w:rsid w:val="009D5A3F"/>
    <w:rsid w:val="009D6DBA"/>
    <w:rsid w:val="009D7FC9"/>
    <w:rsid w:val="009E02AC"/>
    <w:rsid w:val="009E069E"/>
    <w:rsid w:val="009E0B33"/>
    <w:rsid w:val="009E14C7"/>
    <w:rsid w:val="009E172C"/>
    <w:rsid w:val="009E1B3F"/>
    <w:rsid w:val="009E1E8A"/>
    <w:rsid w:val="009E2682"/>
    <w:rsid w:val="009E2E3F"/>
    <w:rsid w:val="009E31E2"/>
    <w:rsid w:val="009E3C17"/>
    <w:rsid w:val="009E3C7A"/>
    <w:rsid w:val="009E3CE2"/>
    <w:rsid w:val="009E3F97"/>
    <w:rsid w:val="009E4416"/>
    <w:rsid w:val="009E466B"/>
    <w:rsid w:val="009E4824"/>
    <w:rsid w:val="009E4D94"/>
    <w:rsid w:val="009E5127"/>
    <w:rsid w:val="009E5235"/>
    <w:rsid w:val="009E651C"/>
    <w:rsid w:val="009E6647"/>
    <w:rsid w:val="009E6778"/>
    <w:rsid w:val="009E6A9D"/>
    <w:rsid w:val="009E6C8F"/>
    <w:rsid w:val="009E7D29"/>
    <w:rsid w:val="009F0979"/>
    <w:rsid w:val="009F1E84"/>
    <w:rsid w:val="009F213A"/>
    <w:rsid w:val="009F23BA"/>
    <w:rsid w:val="009F24C8"/>
    <w:rsid w:val="009F2A4E"/>
    <w:rsid w:val="009F4973"/>
    <w:rsid w:val="009F5218"/>
    <w:rsid w:val="009F59F4"/>
    <w:rsid w:val="009F600D"/>
    <w:rsid w:val="009F6220"/>
    <w:rsid w:val="009F6747"/>
    <w:rsid w:val="009F68FB"/>
    <w:rsid w:val="009F6B12"/>
    <w:rsid w:val="009F6C31"/>
    <w:rsid w:val="009F758D"/>
    <w:rsid w:val="009F7AE7"/>
    <w:rsid w:val="00A003C6"/>
    <w:rsid w:val="00A0115E"/>
    <w:rsid w:val="00A01433"/>
    <w:rsid w:val="00A01454"/>
    <w:rsid w:val="00A02C5C"/>
    <w:rsid w:val="00A03121"/>
    <w:rsid w:val="00A03638"/>
    <w:rsid w:val="00A0385B"/>
    <w:rsid w:val="00A03B5C"/>
    <w:rsid w:val="00A03DE9"/>
    <w:rsid w:val="00A04B48"/>
    <w:rsid w:val="00A05071"/>
    <w:rsid w:val="00A0521B"/>
    <w:rsid w:val="00A05553"/>
    <w:rsid w:val="00A05745"/>
    <w:rsid w:val="00A06103"/>
    <w:rsid w:val="00A06C66"/>
    <w:rsid w:val="00A06DAB"/>
    <w:rsid w:val="00A072DE"/>
    <w:rsid w:val="00A0751C"/>
    <w:rsid w:val="00A07960"/>
    <w:rsid w:val="00A079C9"/>
    <w:rsid w:val="00A07EAA"/>
    <w:rsid w:val="00A10121"/>
    <w:rsid w:val="00A10201"/>
    <w:rsid w:val="00A104B1"/>
    <w:rsid w:val="00A1084B"/>
    <w:rsid w:val="00A10C37"/>
    <w:rsid w:val="00A10CF3"/>
    <w:rsid w:val="00A10EBE"/>
    <w:rsid w:val="00A11131"/>
    <w:rsid w:val="00A11A34"/>
    <w:rsid w:val="00A1256B"/>
    <w:rsid w:val="00A127B9"/>
    <w:rsid w:val="00A129C1"/>
    <w:rsid w:val="00A12EDD"/>
    <w:rsid w:val="00A12F87"/>
    <w:rsid w:val="00A1342E"/>
    <w:rsid w:val="00A13CC1"/>
    <w:rsid w:val="00A146E8"/>
    <w:rsid w:val="00A14868"/>
    <w:rsid w:val="00A14F2F"/>
    <w:rsid w:val="00A157BB"/>
    <w:rsid w:val="00A15941"/>
    <w:rsid w:val="00A15AE1"/>
    <w:rsid w:val="00A16474"/>
    <w:rsid w:val="00A1655F"/>
    <w:rsid w:val="00A165C5"/>
    <w:rsid w:val="00A16C56"/>
    <w:rsid w:val="00A16DF9"/>
    <w:rsid w:val="00A16F9C"/>
    <w:rsid w:val="00A1747C"/>
    <w:rsid w:val="00A179E6"/>
    <w:rsid w:val="00A20348"/>
    <w:rsid w:val="00A20BDE"/>
    <w:rsid w:val="00A21F19"/>
    <w:rsid w:val="00A22AC3"/>
    <w:rsid w:val="00A23783"/>
    <w:rsid w:val="00A25273"/>
    <w:rsid w:val="00A258DA"/>
    <w:rsid w:val="00A25948"/>
    <w:rsid w:val="00A26A96"/>
    <w:rsid w:val="00A26D0D"/>
    <w:rsid w:val="00A2755D"/>
    <w:rsid w:val="00A277A2"/>
    <w:rsid w:val="00A308D3"/>
    <w:rsid w:val="00A309D0"/>
    <w:rsid w:val="00A30AE3"/>
    <w:rsid w:val="00A30ECD"/>
    <w:rsid w:val="00A31778"/>
    <w:rsid w:val="00A31FAC"/>
    <w:rsid w:val="00A3205A"/>
    <w:rsid w:val="00A32CD7"/>
    <w:rsid w:val="00A32F98"/>
    <w:rsid w:val="00A332F5"/>
    <w:rsid w:val="00A33B91"/>
    <w:rsid w:val="00A33DDF"/>
    <w:rsid w:val="00A3428F"/>
    <w:rsid w:val="00A34468"/>
    <w:rsid w:val="00A349D9"/>
    <w:rsid w:val="00A34A7F"/>
    <w:rsid w:val="00A34A9D"/>
    <w:rsid w:val="00A34D6D"/>
    <w:rsid w:val="00A35D82"/>
    <w:rsid w:val="00A361EA"/>
    <w:rsid w:val="00A3673B"/>
    <w:rsid w:val="00A36B3B"/>
    <w:rsid w:val="00A36EBC"/>
    <w:rsid w:val="00A374A1"/>
    <w:rsid w:val="00A37A63"/>
    <w:rsid w:val="00A4025D"/>
    <w:rsid w:val="00A40BAD"/>
    <w:rsid w:val="00A40C53"/>
    <w:rsid w:val="00A40D37"/>
    <w:rsid w:val="00A414F1"/>
    <w:rsid w:val="00A41CD0"/>
    <w:rsid w:val="00A420BC"/>
    <w:rsid w:val="00A430D4"/>
    <w:rsid w:val="00A4310E"/>
    <w:rsid w:val="00A43412"/>
    <w:rsid w:val="00A44231"/>
    <w:rsid w:val="00A44412"/>
    <w:rsid w:val="00A44516"/>
    <w:rsid w:val="00A44BB3"/>
    <w:rsid w:val="00A44C07"/>
    <w:rsid w:val="00A4503F"/>
    <w:rsid w:val="00A45233"/>
    <w:rsid w:val="00A4544F"/>
    <w:rsid w:val="00A46A46"/>
    <w:rsid w:val="00A46C1C"/>
    <w:rsid w:val="00A475E4"/>
    <w:rsid w:val="00A47CE3"/>
    <w:rsid w:val="00A47EC2"/>
    <w:rsid w:val="00A47FD9"/>
    <w:rsid w:val="00A50A0C"/>
    <w:rsid w:val="00A50E25"/>
    <w:rsid w:val="00A51254"/>
    <w:rsid w:val="00A51346"/>
    <w:rsid w:val="00A51B1A"/>
    <w:rsid w:val="00A51DF7"/>
    <w:rsid w:val="00A526CB"/>
    <w:rsid w:val="00A532D9"/>
    <w:rsid w:val="00A532FF"/>
    <w:rsid w:val="00A53418"/>
    <w:rsid w:val="00A535C9"/>
    <w:rsid w:val="00A5404C"/>
    <w:rsid w:val="00A5419F"/>
    <w:rsid w:val="00A5501C"/>
    <w:rsid w:val="00A55254"/>
    <w:rsid w:val="00A5534D"/>
    <w:rsid w:val="00A5598D"/>
    <w:rsid w:val="00A5639E"/>
    <w:rsid w:val="00A56ECA"/>
    <w:rsid w:val="00A57851"/>
    <w:rsid w:val="00A57E8A"/>
    <w:rsid w:val="00A60A7D"/>
    <w:rsid w:val="00A60C01"/>
    <w:rsid w:val="00A616DA"/>
    <w:rsid w:val="00A61BF4"/>
    <w:rsid w:val="00A628FD"/>
    <w:rsid w:val="00A629E2"/>
    <w:rsid w:val="00A62CA3"/>
    <w:rsid w:val="00A62E63"/>
    <w:rsid w:val="00A62FC7"/>
    <w:rsid w:val="00A633B7"/>
    <w:rsid w:val="00A63658"/>
    <w:rsid w:val="00A63890"/>
    <w:rsid w:val="00A63A51"/>
    <w:rsid w:val="00A63DA9"/>
    <w:rsid w:val="00A641B1"/>
    <w:rsid w:val="00A64AD4"/>
    <w:rsid w:val="00A6559F"/>
    <w:rsid w:val="00A6564F"/>
    <w:rsid w:val="00A656B4"/>
    <w:rsid w:val="00A65E02"/>
    <w:rsid w:val="00A662AA"/>
    <w:rsid w:val="00A667E3"/>
    <w:rsid w:val="00A66B6C"/>
    <w:rsid w:val="00A674B7"/>
    <w:rsid w:val="00A675B6"/>
    <w:rsid w:val="00A67602"/>
    <w:rsid w:val="00A701A8"/>
    <w:rsid w:val="00A7039C"/>
    <w:rsid w:val="00A705B3"/>
    <w:rsid w:val="00A70ECE"/>
    <w:rsid w:val="00A71222"/>
    <w:rsid w:val="00A713A3"/>
    <w:rsid w:val="00A716E3"/>
    <w:rsid w:val="00A7192A"/>
    <w:rsid w:val="00A7217C"/>
    <w:rsid w:val="00A721E2"/>
    <w:rsid w:val="00A72227"/>
    <w:rsid w:val="00A72798"/>
    <w:rsid w:val="00A72BF5"/>
    <w:rsid w:val="00A72DC6"/>
    <w:rsid w:val="00A739B9"/>
    <w:rsid w:val="00A74FAF"/>
    <w:rsid w:val="00A755F5"/>
    <w:rsid w:val="00A7570E"/>
    <w:rsid w:val="00A75C80"/>
    <w:rsid w:val="00A76D42"/>
    <w:rsid w:val="00A77536"/>
    <w:rsid w:val="00A77C87"/>
    <w:rsid w:val="00A77D37"/>
    <w:rsid w:val="00A77F52"/>
    <w:rsid w:val="00A8009E"/>
    <w:rsid w:val="00A80221"/>
    <w:rsid w:val="00A802B1"/>
    <w:rsid w:val="00A803D3"/>
    <w:rsid w:val="00A80A44"/>
    <w:rsid w:val="00A80B20"/>
    <w:rsid w:val="00A810EE"/>
    <w:rsid w:val="00A81564"/>
    <w:rsid w:val="00A8187B"/>
    <w:rsid w:val="00A81B87"/>
    <w:rsid w:val="00A81DB8"/>
    <w:rsid w:val="00A829F6"/>
    <w:rsid w:val="00A82C4F"/>
    <w:rsid w:val="00A8324E"/>
    <w:rsid w:val="00A833D1"/>
    <w:rsid w:val="00A83400"/>
    <w:rsid w:val="00A83583"/>
    <w:rsid w:val="00A839E8"/>
    <w:rsid w:val="00A83B06"/>
    <w:rsid w:val="00A83BBE"/>
    <w:rsid w:val="00A83BFB"/>
    <w:rsid w:val="00A843F3"/>
    <w:rsid w:val="00A845F8"/>
    <w:rsid w:val="00A848F3"/>
    <w:rsid w:val="00A84E25"/>
    <w:rsid w:val="00A852A4"/>
    <w:rsid w:val="00A85706"/>
    <w:rsid w:val="00A8580B"/>
    <w:rsid w:val="00A85C60"/>
    <w:rsid w:val="00A8618A"/>
    <w:rsid w:val="00A8670C"/>
    <w:rsid w:val="00A86F25"/>
    <w:rsid w:val="00A86F80"/>
    <w:rsid w:val="00A87543"/>
    <w:rsid w:val="00A905DD"/>
    <w:rsid w:val="00A916CD"/>
    <w:rsid w:val="00A919FA"/>
    <w:rsid w:val="00A91DA0"/>
    <w:rsid w:val="00A91DB0"/>
    <w:rsid w:val="00A92089"/>
    <w:rsid w:val="00A928A9"/>
    <w:rsid w:val="00A92BB4"/>
    <w:rsid w:val="00A92E3E"/>
    <w:rsid w:val="00A930D5"/>
    <w:rsid w:val="00A93AFB"/>
    <w:rsid w:val="00A9467C"/>
    <w:rsid w:val="00A94692"/>
    <w:rsid w:val="00A947F9"/>
    <w:rsid w:val="00A947FD"/>
    <w:rsid w:val="00A95069"/>
    <w:rsid w:val="00A950E4"/>
    <w:rsid w:val="00A954C4"/>
    <w:rsid w:val="00A95519"/>
    <w:rsid w:val="00A95774"/>
    <w:rsid w:val="00A95B29"/>
    <w:rsid w:val="00A965A6"/>
    <w:rsid w:val="00A96B1F"/>
    <w:rsid w:val="00A96E21"/>
    <w:rsid w:val="00A97365"/>
    <w:rsid w:val="00A97641"/>
    <w:rsid w:val="00AA0006"/>
    <w:rsid w:val="00AA0766"/>
    <w:rsid w:val="00AA0BDD"/>
    <w:rsid w:val="00AA0E6A"/>
    <w:rsid w:val="00AA1026"/>
    <w:rsid w:val="00AA195E"/>
    <w:rsid w:val="00AA1C1F"/>
    <w:rsid w:val="00AA30FD"/>
    <w:rsid w:val="00AA3589"/>
    <w:rsid w:val="00AA3717"/>
    <w:rsid w:val="00AA41A9"/>
    <w:rsid w:val="00AA45CC"/>
    <w:rsid w:val="00AA4981"/>
    <w:rsid w:val="00AA4FF6"/>
    <w:rsid w:val="00AA5F82"/>
    <w:rsid w:val="00AA61FB"/>
    <w:rsid w:val="00AA71B8"/>
    <w:rsid w:val="00AA75F2"/>
    <w:rsid w:val="00AA79A0"/>
    <w:rsid w:val="00AB038D"/>
    <w:rsid w:val="00AB0B25"/>
    <w:rsid w:val="00AB0FAE"/>
    <w:rsid w:val="00AB104E"/>
    <w:rsid w:val="00AB1416"/>
    <w:rsid w:val="00AB1912"/>
    <w:rsid w:val="00AB29AF"/>
    <w:rsid w:val="00AB2A88"/>
    <w:rsid w:val="00AB2F6C"/>
    <w:rsid w:val="00AB36F1"/>
    <w:rsid w:val="00AB40AE"/>
    <w:rsid w:val="00AB49C0"/>
    <w:rsid w:val="00AB4C68"/>
    <w:rsid w:val="00AB531B"/>
    <w:rsid w:val="00AB56CF"/>
    <w:rsid w:val="00AB5991"/>
    <w:rsid w:val="00AB606B"/>
    <w:rsid w:val="00AB6655"/>
    <w:rsid w:val="00AB6704"/>
    <w:rsid w:val="00AB77DB"/>
    <w:rsid w:val="00AB77F5"/>
    <w:rsid w:val="00AB7851"/>
    <w:rsid w:val="00AC0665"/>
    <w:rsid w:val="00AC09D1"/>
    <w:rsid w:val="00AC228A"/>
    <w:rsid w:val="00AC2614"/>
    <w:rsid w:val="00AC2949"/>
    <w:rsid w:val="00AC3436"/>
    <w:rsid w:val="00AC347D"/>
    <w:rsid w:val="00AC382B"/>
    <w:rsid w:val="00AC3D6F"/>
    <w:rsid w:val="00AC40DD"/>
    <w:rsid w:val="00AC4314"/>
    <w:rsid w:val="00AC577C"/>
    <w:rsid w:val="00AC57D5"/>
    <w:rsid w:val="00AC596D"/>
    <w:rsid w:val="00AC5C6E"/>
    <w:rsid w:val="00AC5CC0"/>
    <w:rsid w:val="00AC5EE6"/>
    <w:rsid w:val="00AC6221"/>
    <w:rsid w:val="00AC63E7"/>
    <w:rsid w:val="00AC67F3"/>
    <w:rsid w:val="00AC6B4B"/>
    <w:rsid w:val="00AC6F1B"/>
    <w:rsid w:val="00AC7255"/>
    <w:rsid w:val="00AC742E"/>
    <w:rsid w:val="00AC7C76"/>
    <w:rsid w:val="00AC7F14"/>
    <w:rsid w:val="00AD06C1"/>
    <w:rsid w:val="00AD0BEB"/>
    <w:rsid w:val="00AD17BF"/>
    <w:rsid w:val="00AD19BD"/>
    <w:rsid w:val="00AD2041"/>
    <w:rsid w:val="00AD285C"/>
    <w:rsid w:val="00AD32EB"/>
    <w:rsid w:val="00AD34C4"/>
    <w:rsid w:val="00AD3F57"/>
    <w:rsid w:val="00AD4E32"/>
    <w:rsid w:val="00AD4F83"/>
    <w:rsid w:val="00AD54CD"/>
    <w:rsid w:val="00AD54FE"/>
    <w:rsid w:val="00AD6009"/>
    <w:rsid w:val="00AD60F6"/>
    <w:rsid w:val="00AD6526"/>
    <w:rsid w:val="00AD6536"/>
    <w:rsid w:val="00AD6A2F"/>
    <w:rsid w:val="00AD728B"/>
    <w:rsid w:val="00AD7304"/>
    <w:rsid w:val="00AD7547"/>
    <w:rsid w:val="00AD76A4"/>
    <w:rsid w:val="00AD76A9"/>
    <w:rsid w:val="00AD7E9F"/>
    <w:rsid w:val="00AE0460"/>
    <w:rsid w:val="00AE154A"/>
    <w:rsid w:val="00AE226E"/>
    <w:rsid w:val="00AE251D"/>
    <w:rsid w:val="00AE2885"/>
    <w:rsid w:val="00AE3119"/>
    <w:rsid w:val="00AE3608"/>
    <w:rsid w:val="00AE3973"/>
    <w:rsid w:val="00AE3B82"/>
    <w:rsid w:val="00AE4218"/>
    <w:rsid w:val="00AE4292"/>
    <w:rsid w:val="00AE4328"/>
    <w:rsid w:val="00AE437F"/>
    <w:rsid w:val="00AE4A3B"/>
    <w:rsid w:val="00AE4A67"/>
    <w:rsid w:val="00AE4B63"/>
    <w:rsid w:val="00AE52AD"/>
    <w:rsid w:val="00AE5335"/>
    <w:rsid w:val="00AE6036"/>
    <w:rsid w:val="00AE63C5"/>
    <w:rsid w:val="00AE68F0"/>
    <w:rsid w:val="00AE6FCB"/>
    <w:rsid w:val="00AE7221"/>
    <w:rsid w:val="00AE737C"/>
    <w:rsid w:val="00AE7729"/>
    <w:rsid w:val="00AE7F7C"/>
    <w:rsid w:val="00AF0884"/>
    <w:rsid w:val="00AF0CCB"/>
    <w:rsid w:val="00AF29EA"/>
    <w:rsid w:val="00AF2BAC"/>
    <w:rsid w:val="00AF2F22"/>
    <w:rsid w:val="00AF2FB5"/>
    <w:rsid w:val="00AF3164"/>
    <w:rsid w:val="00AF32EF"/>
    <w:rsid w:val="00AF335E"/>
    <w:rsid w:val="00AF51B0"/>
    <w:rsid w:val="00AF522D"/>
    <w:rsid w:val="00AF52C6"/>
    <w:rsid w:val="00AF54FA"/>
    <w:rsid w:val="00AF5CFA"/>
    <w:rsid w:val="00AF5E90"/>
    <w:rsid w:val="00AF6699"/>
    <w:rsid w:val="00AF794A"/>
    <w:rsid w:val="00AF7B53"/>
    <w:rsid w:val="00AF7E33"/>
    <w:rsid w:val="00B004A8"/>
    <w:rsid w:val="00B00711"/>
    <w:rsid w:val="00B00C87"/>
    <w:rsid w:val="00B0102C"/>
    <w:rsid w:val="00B0140F"/>
    <w:rsid w:val="00B0156E"/>
    <w:rsid w:val="00B01A7C"/>
    <w:rsid w:val="00B02646"/>
    <w:rsid w:val="00B02B22"/>
    <w:rsid w:val="00B02F73"/>
    <w:rsid w:val="00B032B9"/>
    <w:rsid w:val="00B032E1"/>
    <w:rsid w:val="00B03C37"/>
    <w:rsid w:val="00B03E58"/>
    <w:rsid w:val="00B03EE4"/>
    <w:rsid w:val="00B03F62"/>
    <w:rsid w:val="00B0454F"/>
    <w:rsid w:val="00B046FE"/>
    <w:rsid w:val="00B04940"/>
    <w:rsid w:val="00B04B7D"/>
    <w:rsid w:val="00B05279"/>
    <w:rsid w:val="00B0541A"/>
    <w:rsid w:val="00B05E17"/>
    <w:rsid w:val="00B06847"/>
    <w:rsid w:val="00B06AE7"/>
    <w:rsid w:val="00B06E3E"/>
    <w:rsid w:val="00B06EBF"/>
    <w:rsid w:val="00B070BC"/>
    <w:rsid w:val="00B0729B"/>
    <w:rsid w:val="00B07642"/>
    <w:rsid w:val="00B07A16"/>
    <w:rsid w:val="00B07B82"/>
    <w:rsid w:val="00B1035C"/>
    <w:rsid w:val="00B10517"/>
    <w:rsid w:val="00B10F47"/>
    <w:rsid w:val="00B1246C"/>
    <w:rsid w:val="00B12768"/>
    <w:rsid w:val="00B12800"/>
    <w:rsid w:val="00B13512"/>
    <w:rsid w:val="00B137CB"/>
    <w:rsid w:val="00B13A9B"/>
    <w:rsid w:val="00B1460E"/>
    <w:rsid w:val="00B14685"/>
    <w:rsid w:val="00B14AE6"/>
    <w:rsid w:val="00B14E68"/>
    <w:rsid w:val="00B14F8A"/>
    <w:rsid w:val="00B15045"/>
    <w:rsid w:val="00B154FE"/>
    <w:rsid w:val="00B15694"/>
    <w:rsid w:val="00B15D8E"/>
    <w:rsid w:val="00B16E78"/>
    <w:rsid w:val="00B16EAF"/>
    <w:rsid w:val="00B16FDC"/>
    <w:rsid w:val="00B17202"/>
    <w:rsid w:val="00B175AD"/>
    <w:rsid w:val="00B1791C"/>
    <w:rsid w:val="00B201CF"/>
    <w:rsid w:val="00B201FE"/>
    <w:rsid w:val="00B204EC"/>
    <w:rsid w:val="00B20A16"/>
    <w:rsid w:val="00B21061"/>
    <w:rsid w:val="00B2143F"/>
    <w:rsid w:val="00B21A63"/>
    <w:rsid w:val="00B21C45"/>
    <w:rsid w:val="00B227E3"/>
    <w:rsid w:val="00B230EE"/>
    <w:rsid w:val="00B233BF"/>
    <w:rsid w:val="00B23822"/>
    <w:rsid w:val="00B24E3C"/>
    <w:rsid w:val="00B25433"/>
    <w:rsid w:val="00B256AF"/>
    <w:rsid w:val="00B25841"/>
    <w:rsid w:val="00B26295"/>
    <w:rsid w:val="00B2657A"/>
    <w:rsid w:val="00B26CA1"/>
    <w:rsid w:val="00B270F5"/>
    <w:rsid w:val="00B313CF"/>
    <w:rsid w:val="00B313D2"/>
    <w:rsid w:val="00B314FD"/>
    <w:rsid w:val="00B31839"/>
    <w:rsid w:val="00B32406"/>
    <w:rsid w:val="00B324D6"/>
    <w:rsid w:val="00B33400"/>
    <w:rsid w:val="00B33601"/>
    <w:rsid w:val="00B340BC"/>
    <w:rsid w:val="00B34886"/>
    <w:rsid w:val="00B34C5D"/>
    <w:rsid w:val="00B3535A"/>
    <w:rsid w:val="00B35784"/>
    <w:rsid w:val="00B35818"/>
    <w:rsid w:val="00B35C00"/>
    <w:rsid w:val="00B364E2"/>
    <w:rsid w:val="00B36AD6"/>
    <w:rsid w:val="00B36BE8"/>
    <w:rsid w:val="00B36FDE"/>
    <w:rsid w:val="00B371D7"/>
    <w:rsid w:val="00B376D9"/>
    <w:rsid w:val="00B37D72"/>
    <w:rsid w:val="00B4045B"/>
    <w:rsid w:val="00B40C77"/>
    <w:rsid w:val="00B411CE"/>
    <w:rsid w:val="00B41E9F"/>
    <w:rsid w:val="00B4317F"/>
    <w:rsid w:val="00B432A8"/>
    <w:rsid w:val="00B439D6"/>
    <w:rsid w:val="00B439E8"/>
    <w:rsid w:val="00B44A60"/>
    <w:rsid w:val="00B44EBB"/>
    <w:rsid w:val="00B4589F"/>
    <w:rsid w:val="00B45939"/>
    <w:rsid w:val="00B4605A"/>
    <w:rsid w:val="00B460AA"/>
    <w:rsid w:val="00B4639D"/>
    <w:rsid w:val="00B469F1"/>
    <w:rsid w:val="00B47072"/>
    <w:rsid w:val="00B47303"/>
    <w:rsid w:val="00B47AE3"/>
    <w:rsid w:val="00B47BA1"/>
    <w:rsid w:val="00B47DA6"/>
    <w:rsid w:val="00B501EA"/>
    <w:rsid w:val="00B505D1"/>
    <w:rsid w:val="00B5067F"/>
    <w:rsid w:val="00B516BE"/>
    <w:rsid w:val="00B518FD"/>
    <w:rsid w:val="00B5256F"/>
    <w:rsid w:val="00B527ED"/>
    <w:rsid w:val="00B52BDC"/>
    <w:rsid w:val="00B541D2"/>
    <w:rsid w:val="00B5481D"/>
    <w:rsid w:val="00B549A9"/>
    <w:rsid w:val="00B55024"/>
    <w:rsid w:val="00B55BA7"/>
    <w:rsid w:val="00B56535"/>
    <w:rsid w:val="00B56987"/>
    <w:rsid w:val="00B569AC"/>
    <w:rsid w:val="00B56B27"/>
    <w:rsid w:val="00B5705D"/>
    <w:rsid w:val="00B57405"/>
    <w:rsid w:val="00B5754A"/>
    <w:rsid w:val="00B576A3"/>
    <w:rsid w:val="00B57B65"/>
    <w:rsid w:val="00B60139"/>
    <w:rsid w:val="00B6067E"/>
    <w:rsid w:val="00B60B91"/>
    <w:rsid w:val="00B60D87"/>
    <w:rsid w:val="00B617E0"/>
    <w:rsid w:val="00B61811"/>
    <w:rsid w:val="00B6192E"/>
    <w:rsid w:val="00B61BD9"/>
    <w:rsid w:val="00B61C7A"/>
    <w:rsid w:val="00B61CA7"/>
    <w:rsid w:val="00B61EFD"/>
    <w:rsid w:val="00B62A16"/>
    <w:rsid w:val="00B62C70"/>
    <w:rsid w:val="00B62D28"/>
    <w:rsid w:val="00B635D7"/>
    <w:rsid w:val="00B637D9"/>
    <w:rsid w:val="00B63D67"/>
    <w:rsid w:val="00B63DB7"/>
    <w:rsid w:val="00B64017"/>
    <w:rsid w:val="00B64450"/>
    <w:rsid w:val="00B64536"/>
    <w:rsid w:val="00B66632"/>
    <w:rsid w:val="00B66BC2"/>
    <w:rsid w:val="00B66FC8"/>
    <w:rsid w:val="00B67003"/>
    <w:rsid w:val="00B673E8"/>
    <w:rsid w:val="00B677F1"/>
    <w:rsid w:val="00B67BE1"/>
    <w:rsid w:val="00B7038D"/>
    <w:rsid w:val="00B70918"/>
    <w:rsid w:val="00B70DA9"/>
    <w:rsid w:val="00B70FAB"/>
    <w:rsid w:val="00B712C7"/>
    <w:rsid w:val="00B71372"/>
    <w:rsid w:val="00B71F37"/>
    <w:rsid w:val="00B72676"/>
    <w:rsid w:val="00B7300F"/>
    <w:rsid w:val="00B7385A"/>
    <w:rsid w:val="00B73874"/>
    <w:rsid w:val="00B745F8"/>
    <w:rsid w:val="00B748CF"/>
    <w:rsid w:val="00B748F3"/>
    <w:rsid w:val="00B749CD"/>
    <w:rsid w:val="00B7552F"/>
    <w:rsid w:val="00B75A72"/>
    <w:rsid w:val="00B75B93"/>
    <w:rsid w:val="00B75C9B"/>
    <w:rsid w:val="00B75F93"/>
    <w:rsid w:val="00B76355"/>
    <w:rsid w:val="00B76573"/>
    <w:rsid w:val="00B765F9"/>
    <w:rsid w:val="00B766B2"/>
    <w:rsid w:val="00B766B8"/>
    <w:rsid w:val="00B7683D"/>
    <w:rsid w:val="00B770FB"/>
    <w:rsid w:val="00B772AB"/>
    <w:rsid w:val="00B7763C"/>
    <w:rsid w:val="00B7775F"/>
    <w:rsid w:val="00B77C87"/>
    <w:rsid w:val="00B8063A"/>
    <w:rsid w:val="00B80FFA"/>
    <w:rsid w:val="00B813B3"/>
    <w:rsid w:val="00B816F8"/>
    <w:rsid w:val="00B82F8B"/>
    <w:rsid w:val="00B835AD"/>
    <w:rsid w:val="00B83868"/>
    <w:rsid w:val="00B83C5A"/>
    <w:rsid w:val="00B83F75"/>
    <w:rsid w:val="00B847AC"/>
    <w:rsid w:val="00B847E2"/>
    <w:rsid w:val="00B84B2C"/>
    <w:rsid w:val="00B85A3D"/>
    <w:rsid w:val="00B86AA9"/>
    <w:rsid w:val="00B87045"/>
    <w:rsid w:val="00B871BA"/>
    <w:rsid w:val="00B877E3"/>
    <w:rsid w:val="00B90654"/>
    <w:rsid w:val="00B906C2"/>
    <w:rsid w:val="00B909C0"/>
    <w:rsid w:val="00B91018"/>
    <w:rsid w:val="00B91260"/>
    <w:rsid w:val="00B91620"/>
    <w:rsid w:val="00B91A99"/>
    <w:rsid w:val="00B9235B"/>
    <w:rsid w:val="00B93232"/>
    <w:rsid w:val="00B937EA"/>
    <w:rsid w:val="00B944B2"/>
    <w:rsid w:val="00B94F7C"/>
    <w:rsid w:val="00B9514D"/>
    <w:rsid w:val="00B954DF"/>
    <w:rsid w:val="00B95953"/>
    <w:rsid w:val="00B95D85"/>
    <w:rsid w:val="00B95E94"/>
    <w:rsid w:val="00B96163"/>
    <w:rsid w:val="00B96657"/>
    <w:rsid w:val="00B966E0"/>
    <w:rsid w:val="00BA016C"/>
    <w:rsid w:val="00BA0329"/>
    <w:rsid w:val="00BA215A"/>
    <w:rsid w:val="00BA3820"/>
    <w:rsid w:val="00BA4769"/>
    <w:rsid w:val="00BA4A54"/>
    <w:rsid w:val="00BA5497"/>
    <w:rsid w:val="00BA5830"/>
    <w:rsid w:val="00BB0466"/>
    <w:rsid w:val="00BB04C2"/>
    <w:rsid w:val="00BB1358"/>
    <w:rsid w:val="00BB1724"/>
    <w:rsid w:val="00BB1D98"/>
    <w:rsid w:val="00BB1FBC"/>
    <w:rsid w:val="00BB1FD0"/>
    <w:rsid w:val="00BB24BF"/>
    <w:rsid w:val="00BB26C0"/>
    <w:rsid w:val="00BB3038"/>
    <w:rsid w:val="00BB322F"/>
    <w:rsid w:val="00BB35D7"/>
    <w:rsid w:val="00BB35E9"/>
    <w:rsid w:val="00BB3ECB"/>
    <w:rsid w:val="00BB4FFC"/>
    <w:rsid w:val="00BB5CFC"/>
    <w:rsid w:val="00BB5E77"/>
    <w:rsid w:val="00BB661A"/>
    <w:rsid w:val="00BB6C85"/>
    <w:rsid w:val="00BB6F1B"/>
    <w:rsid w:val="00BB70E6"/>
    <w:rsid w:val="00BB729D"/>
    <w:rsid w:val="00BB7747"/>
    <w:rsid w:val="00BB7A5C"/>
    <w:rsid w:val="00BB7E03"/>
    <w:rsid w:val="00BB7EEE"/>
    <w:rsid w:val="00BB7FA7"/>
    <w:rsid w:val="00BC01BB"/>
    <w:rsid w:val="00BC054D"/>
    <w:rsid w:val="00BC1702"/>
    <w:rsid w:val="00BC17A6"/>
    <w:rsid w:val="00BC19CE"/>
    <w:rsid w:val="00BC1DA6"/>
    <w:rsid w:val="00BC22AA"/>
    <w:rsid w:val="00BC2FB0"/>
    <w:rsid w:val="00BC35F5"/>
    <w:rsid w:val="00BC3E8E"/>
    <w:rsid w:val="00BC40D0"/>
    <w:rsid w:val="00BC4155"/>
    <w:rsid w:val="00BC4E24"/>
    <w:rsid w:val="00BC571F"/>
    <w:rsid w:val="00BC57CD"/>
    <w:rsid w:val="00BC5FB4"/>
    <w:rsid w:val="00BC6225"/>
    <w:rsid w:val="00BC703E"/>
    <w:rsid w:val="00BC79F0"/>
    <w:rsid w:val="00BD042F"/>
    <w:rsid w:val="00BD07E9"/>
    <w:rsid w:val="00BD0BF4"/>
    <w:rsid w:val="00BD0CDF"/>
    <w:rsid w:val="00BD0FBB"/>
    <w:rsid w:val="00BD1101"/>
    <w:rsid w:val="00BD151C"/>
    <w:rsid w:val="00BD1F5E"/>
    <w:rsid w:val="00BD253B"/>
    <w:rsid w:val="00BD2556"/>
    <w:rsid w:val="00BD31C9"/>
    <w:rsid w:val="00BD380F"/>
    <w:rsid w:val="00BD389B"/>
    <w:rsid w:val="00BD4008"/>
    <w:rsid w:val="00BD500B"/>
    <w:rsid w:val="00BD551A"/>
    <w:rsid w:val="00BD5BFA"/>
    <w:rsid w:val="00BD5D6B"/>
    <w:rsid w:val="00BD6112"/>
    <w:rsid w:val="00BD6ACB"/>
    <w:rsid w:val="00BD6BE9"/>
    <w:rsid w:val="00BD710A"/>
    <w:rsid w:val="00BD7C2E"/>
    <w:rsid w:val="00BE07E7"/>
    <w:rsid w:val="00BE1354"/>
    <w:rsid w:val="00BE1644"/>
    <w:rsid w:val="00BE1CEE"/>
    <w:rsid w:val="00BE21B3"/>
    <w:rsid w:val="00BE277A"/>
    <w:rsid w:val="00BE3B56"/>
    <w:rsid w:val="00BE3CAA"/>
    <w:rsid w:val="00BE3F29"/>
    <w:rsid w:val="00BE4608"/>
    <w:rsid w:val="00BE48EB"/>
    <w:rsid w:val="00BE4A2D"/>
    <w:rsid w:val="00BE4BC9"/>
    <w:rsid w:val="00BE5507"/>
    <w:rsid w:val="00BE5F82"/>
    <w:rsid w:val="00BE63CB"/>
    <w:rsid w:val="00BE6642"/>
    <w:rsid w:val="00BE66E1"/>
    <w:rsid w:val="00BE6FE6"/>
    <w:rsid w:val="00BE702B"/>
    <w:rsid w:val="00BE7510"/>
    <w:rsid w:val="00BE7813"/>
    <w:rsid w:val="00BE7A9E"/>
    <w:rsid w:val="00BF00DE"/>
    <w:rsid w:val="00BF0172"/>
    <w:rsid w:val="00BF09EE"/>
    <w:rsid w:val="00BF0B8A"/>
    <w:rsid w:val="00BF0C60"/>
    <w:rsid w:val="00BF0E6A"/>
    <w:rsid w:val="00BF1152"/>
    <w:rsid w:val="00BF13B9"/>
    <w:rsid w:val="00BF1626"/>
    <w:rsid w:val="00BF177D"/>
    <w:rsid w:val="00BF1F66"/>
    <w:rsid w:val="00BF23F4"/>
    <w:rsid w:val="00BF26C4"/>
    <w:rsid w:val="00BF273A"/>
    <w:rsid w:val="00BF2981"/>
    <w:rsid w:val="00BF2F7D"/>
    <w:rsid w:val="00BF3314"/>
    <w:rsid w:val="00BF3C07"/>
    <w:rsid w:val="00BF3D79"/>
    <w:rsid w:val="00BF4287"/>
    <w:rsid w:val="00BF43E7"/>
    <w:rsid w:val="00BF4AC7"/>
    <w:rsid w:val="00BF4F6E"/>
    <w:rsid w:val="00BF5465"/>
    <w:rsid w:val="00BF575E"/>
    <w:rsid w:val="00BF5CCD"/>
    <w:rsid w:val="00BF642E"/>
    <w:rsid w:val="00BF646F"/>
    <w:rsid w:val="00BF70C2"/>
    <w:rsid w:val="00BF7962"/>
    <w:rsid w:val="00C0058A"/>
    <w:rsid w:val="00C02445"/>
    <w:rsid w:val="00C0417F"/>
    <w:rsid w:val="00C0428F"/>
    <w:rsid w:val="00C0466A"/>
    <w:rsid w:val="00C04694"/>
    <w:rsid w:val="00C04AEF"/>
    <w:rsid w:val="00C04D9B"/>
    <w:rsid w:val="00C04E49"/>
    <w:rsid w:val="00C05016"/>
    <w:rsid w:val="00C056B7"/>
    <w:rsid w:val="00C0584D"/>
    <w:rsid w:val="00C05AF3"/>
    <w:rsid w:val="00C05FFE"/>
    <w:rsid w:val="00C070DA"/>
    <w:rsid w:val="00C073FF"/>
    <w:rsid w:val="00C07435"/>
    <w:rsid w:val="00C077E0"/>
    <w:rsid w:val="00C078BC"/>
    <w:rsid w:val="00C1002B"/>
    <w:rsid w:val="00C10342"/>
    <w:rsid w:val="00C108D7"/>
    <w:rsid w:val="00C11093"/>
    <w:rsid w:val="00C11206"/>
    <w:rsid w:val="00C11343"/>
    <w:rsid w:val="00C114C0"/>
    <w:rsid w:val="00C11974"/>
    <w:rsid w:val="00C11ADD"/>
    <w:rsid w:val="00C11D94"/>
    <w:rsid w:val="00C12295"/>
    <w:rsid w:val="00C12461"/>
    <w:rsid w:val="00C126BE"/>
    <w:rsid w:val="00C127A7"/>
    <w:rsid w:val="00C12B32"/>
    <w:rsid w:val="00C12BB5"/>
    <w:rsid w:val="00C12BCA"/>
    <w:rsid w:val="00C1359C"/>
    <w:rsid w:val="00C137F1"/>
    <w:rsid w:val="00C144F2"/>
    <w:rsid w:val="00C14594"/>
    <w:rsid w:val="00C14B91"/>
    <w:rsid w:val="00C14C5B"/>
    <w:rsid w:val="00C14E07"/>
    <w:rsid w:val="00C14E0A"/>
    <w:rsid w:val="00C14FF7"/>
    <w:rsid w:val="00C151C6"/>
    <w:rsid w:val="00C158EF"/>
    <w:rsid w:val="00C1599C"/>
    <w:rsid w:val="00C15A13"/>
    <w:rsid w:val="00C15DB6"/>
    <w:rsid w:val="00C16297"/>
    <w:rsid w:val="00C16703"/>
    <w:rsid w:val="00C16A18"/>
    <w:rsid w:val="00C16F7C"/>
    <w:rsid w:val="00C1722F"/>
    <w:rsid w:val="00C1747D"/>
    <w:rsid w:val="00C17D48"/>
    <w:rsid w:val="00C17E85"/>
    <w:rsid w:val="00C202AC"/>
    <w:rsid w:val="00C20947"/>
    <w:rsid w:val="00C20B7C"/>
    <w:rsid w:val="00C20D3C"/>
    <w:rsid w:val="00C20E12"/>
    <w:rsid w:val="00C212E6"/>
    <w:rsid w:val="00C2136A"/>
    <w:rsid w:val="00C2217D"/>
    <w:rsid w:val="00C226B9"/>
    <w:rsid w:val="00C238A3"/>
    <w:rsid w:val="00C23A1C"/>
    <w:rsid w:val="00C24807"/>
    <w:rsid w:val="00C2487D"/>
    <w:rsid w:val="00C24A3E"/>
    <w:rsid w:val="00C25C28"/>
    <w:rsid w:val="00C26071"/>
    <w:rsid w:val="00C269C5"/>
    <w:rsid w:val="00C26B7E"/>
    <w:rsid w:val="00C26FE0"/>
    <w:rsid w:val="00C275C8"/>
    <w:rsid w:val="00C27854"/>
    <w:rsid w:val="00C27DBB"/>
    <w:rsid w:val="00C27EE3"/>
    <w:rsid w:val="00C309A3"/>
    <w:rsid w:val="00C30A82"/>
    <w:rsid w:val="00C30B41"/>
    <w:rsid w:val="00C31514"/>
    <w:rsid w:val="00C31535"/>
    <w:rsid w:val="00C31AC6"/>
    <w:rsid w:val="00C32001"/>
    <w:rsid w:val="00C32079"/>
    <w:rsid w:val="00C3212A"/>
    <w:rsid w:val="00C32D08"/>
    <w:rsid w:val="00C33091"/>
    <w:rsid w:val="00C33357"/>
    <w:rsid w:val="00C333F8"/>
    <w:rsid w:val="00C34D4C"/>
    <w:rsid w:val="00C3517C"/>
    <w:rsid w:val="00C35634"/>
    <w:rsid w:val="00C35C27"/>
    <w:rsid w:val="00C36564"/>
    <w:rsid w:val="00C367BA"/>
    <w:rsid w:val="00C36931"/>
    <w:rsid w:val="00C36978"/>
    <w:rsid w:val="00C36A86"/>
    <w:rsid w:val="00C36F1D"/>
    <w:rsid w:val="00C36F6B"/>
    <w:rsid w:val="00C37016"/>
    <w:rsid w:val="00C37A8B"/>
    <w:rsid w:val="00C401E7"/>
    <w:rsid w:val="00C40511"/>
    <w:rsid w:val="00C4066C"/>
    <w:rsid w:val="00C4085A"/>
    <w:rsid w:val="00C41796"/>
    <w:rsid w:val="00C41E18"/>
    <w:rsid w:val="00C42098"/>
    <w:rsid w:val="00C42831"/>
    <w:rsid w:val="00C42EDE"/>
    <w:rsid w:val="00C43228"/>
    <w:rsid w:val="00C43780"/>
    <w:rsid w:val="00C43847"/>
    <w:rsid w:val="00C4388F"/>
    <w:rsid w:val="00C438E3"/>
    <w:rsid w:val="00C43A1E"/>
    <w:rsid w:val="00C44C18"/>
    <w:rsid w:val="00C44EA0"/>
    <w:rsid w:val="00C451C0"/>
    <w:rsid w:val="00C456CC"/>
    <w:rsid w:val="00C457D6"/>
    <w:rsid w:val="00C45915"/>
    <w:rsid w:val="00C4597C"/>
    <w:rsid w:val="00C45C31"/>
    <w:rsid w:val="00C46295"/>
    <w:rsid w:val="00C4684B"/>
    <w:rsid w:val="00C46892"/>
    <w:rsid w:val="00C46A11"/>
    <w:rsid w:val="00C46E6B"/>
    <w:rsid w:val="00C4761D"/>
    <w:rsid w:val="00C47875"/>
    <w:rsid w:val="00C47C92"/>
    <w:rsid w:val="00C47F2B"/>
    <w:rsid w:val="00C5019A"/>
    <w:rsid w:val="00C50461"/>
    <w:rsid w:val="00C50A3C"/>
    <w:rsid w:val="00C51071"/>
    <w:rsid w:val="00C514E4"/>
    <w:rsid w:val="00C5187E"/>
    <w:rsid w:val="00C51947"/>
    <w:rsid w:val="00C51B3E"/>
    <w:rsid w:val="00C51D04"/>
    <w:rsid w:val="00C528C7"/>
    <w:rsid w:val="00C5299C"/>
    <w:rsid w:val="00C52F70"/>
    <w:rsid w:val="00C5328F"/>
    <w:rsid w:val="00C533BA"/>
    <w:rsid w:val="00C537C7"/>
    <w:rsid w:val="00C537E3"/>
    <w:rsid w:val="00C54197"/>
    <w:rsid w:val="00C545D9"/>
    <w:rsid w:val="00C55280"/>
    <w:rsid w:val="00C55422"/>
    <w:rsid w:val="00C5586A"/>
    <w:rsid w:val="00C55B7D"/>
    <w:rsid w:val="00C57461"/>
    <w:rsid w:val="00C57548"/>
    <w:rsid w:val="00C575D7"/>
    <w:rsid w:val="00C5760D"/>
    <w:rsid w:val="00C60310"/>
    <w:rsid w:val="00C60759"/>
    <w:rsid w:val="00C60820"/>
    <w:rsid w:val="00C60839"/>
    <w:rsid w:val="00C6159A"/>
    <w:rsid w:val="00C61860"/>
    <w:rsid w:val="00C61B6D"/>
    <w:rsid w:val="00C61BED"/>
    <w:rsid w:val="00C62161"/>
    <w:rsid w:val="00C62737"/>
    <w:rsid w:val="00C62C8B"/>
    <w:rsid w:val="00C62E29"/>
    <w:rsid w:val="00C63235"/>
    <w:rsid w:val="00C63E9C"/>
    <w:rsid w:val="00C63FAE"/>
    <w:rsid w:val="00C64413"/>
    <w:rsid w:val="00C65649"/>
    <w:rsid w:val="00C65AFC"/>
    <w:rsid w:val="00C6606D"/>
    <w:rsid w:val="00C67C79"/>
    <w:rsid w:val="00C7037F"/>
    <w:rsid w:val="00C70606"/>
    <w:rsid w:val="00C70C4A"/>
    <w:rsid w:val="00C7178A"/>
    <w:rsid w:val="00C7274E"/>
    <w:rsid w:val="00C72C34"/>
    <w:rsid w:val="00C72C83"/>
    <w:rsid w:val="00C72E40"/>
    <w:rsid w:val="00C73042"/>
    <w:rsid w:val="00C73157"/>
    <w:rsid w:val="00C740DF"/>
    <w:rsid w:val="00C742D6"/>
    <w:rsid w:val="00C7460F"/>
    <w:rsid w:val="00C750AB"/>
    <w:rsid w:val="00C752D8"/>
    <w:rsid w:val="00C7540A"/>
    <w:rsid w:val="00C75448"/>
    <w:rsid w:val="00C758FE"/>
    <w:rsid w:val="00C76237"/>
    <w:rsid w:val="00C76904"/>
    <w:rsid w:val="00C76B27"/>
    <w:rsid w:val="00C76B75"/>
    <w:rsid w:val="00C77C00"/>
    <w:rsid w:val="00C80C50"/>
    <w:rsid w:val="00C82343"/>
    <w:rsid w:val="00C82F10"/>
    <w:rsid w:val="00C832A9"/>
    <w:rsid w:val="00C83337"/>
    <w:rsid w:val="00C839C9"/>
    <w:rsid w:val="00C83F22"/>
    <w:rsid w:val="00C84CAB"/>
    <w:rsid w:val="00C8519F"/>
    <w:rsid w:val="00C858BB"/>
    <w:rsid w:val="00C86092"/>
    <w:rsid w:val="00C8630F"/>
    <w:rsid w:val="00C86416"/>
    <w:rsid w:val="00C86C2B"/>
    <w:rsid w:val="00C878F8"/>
    <w:rsid w:val="00C87C98"/>
    <w:rsid w:val="00C905A0"/>
    <w:rsid w:val="00C913DB"/>
    <w:rsid w:val="00C918EB"/>
    <w:rsid w:val="00C92E70"/>
    <w:rsid w:val="00C9388B"/>
    <w:rsid w:val="00C947A2"/>
    <w:rsid w:val="00C9494C"/>
    <w:rsid w:val="00C94CC7"/>
    <w:rsid w:val="00C94EF3"/>
    <w:rsid w:val="00C951D9"/>
    <w:rsid w:val="00C958DE"/>
    <w:rsid w:val="00C95B48"/>
    <w:rsid w:val="00C960C9"/>
    <w:rsid w:val="00C9617E"/>
    <w:rsid w:val="00C965CC"/>
    <w:rsid w:val="00C96915"/>
    <w:rsid w:val="00C9704E"/>
    <w:rsid w:val="00C97CD8"/>
    <w:rsid w:val="00C97FCA"/>
    <w:rsid w:val="00CA0197"/>
    <w:rsid w:val="00CA06CC"/>
    <w:rsid w:val="00CA074C"/>
    <w:rsid w:val="00CA16E7"/>
    <w:rsid w:val="00CA1727"/>
    <w:rsid w:val="00CA1FF0"/>
    <w:rsid w:val="00CA2873"/>
    <w:rsid w:val="00CA2D2B"/>
    <w:rsid w:val="00CA31E5"/>
    <w:rsid w:val="00CA3409"/>
    <w:rsid w:val="00CA35AA"/>
    <w:rsid w:val="00CA3905"/>
    <w:rsid w:val="00CA3A77"/>
    <w:rsid w:val="00CA4105"/>
    <w:rsid w:val="00CA464D"/>
    <w:rsid w:val="00CA47D4"/>
    <w:rsid w:val="00CA4E24"/>
    <w:rsid w:val="00CA4EA6"/>
    <w:rsid w:val="00CA511D"/>
    <w:rsid w:val="00CA5271"/>
    <w:rsid w:val="00CA5FE5"/>
    <w:rsid w:val="00CA7025"/>
    <w:rsid w:val="00CA73DC"/>
    <w:rsid w:val="00CA75DE"/>
    <w:rsid w:val="00CA79CA"/>
    <w:rsid w:val="00CA7AD6"/>
    <w:rsid w:val="00CA7F67"/>
    <w:rsid w:val="00CB0A5A"/>
    <w:rsid w:val="00CB0B78"/>
    <w:rsid w:val="00CB0F22"/>
    <w:rsid w:val="00CB1518"/>
    <w:rsid w:val="00CB1F80"/>
    <w:rsid w:val="00CB2B78"/>
    <w:rsid w:val="00CB2C2F"/>
    <w:rsid w:val="00CB2C8D"/>
    <w:rsid w:val="00CB33F7"/>
    <w:rsid w:val="00CB3CDD"/>
    <w:rsid w:val="00CB46D6"/>
    <w:rsid w:val="00CB4AB9"/>
    <w:rsid w:val="00CB535C"/>
    <w:rsid w:val="00CB544C"/>
    <w:rsid w:val="00CB583F"/>
    <w:rsid w:val="00CB66BA"/>
    <w:rsid w:val="00CB68D4"/>
    <w:rsid w:val="00CB6921"/>
    <w:rsid w:val="00CB6A13"/>
    <w:rsid w:val="00CB6B84"/>
    <w:rsid w:val="00CB6F71"/>
    <w:rsid w:val="00CB776E"/>
    <w:rsid w:val="00CC02A2"/>
    <w:rsid w:val="00CC02C4"/>
    <w:rsid w:val="00CC049E"/>
    <w:rsid w:val="00CC090F"/>
    <w:rsid w:val="00CC0B13"/>
    <w:rsid w:val="00CC0B85"/>
    <w:rsid w:val="00CC12C0"/>
    <w:rsid w:val="00CC16E3"/>
    <w:rsid w:val="00CC172E"/>
    <w:rsid w:val="00CC216D"/>
    <w:rsid w:val="00CC2489"/>
    <w:rsid w:val="00CC2C09"/>
    <w:rsid w:val="00CC2EA3"/>
    <w:rsid w:val="00CC3688"/>
    <w:rsid w:val="00CC3902"/>
    <w:rsid w:val="00CC3C48"/>
    <w:rsid w:val="00CC3F3A"/>
    <w:rsid w:val="00CC3FFA"/>
    <w:rsid w:val="00CC478F"/>
    <w:rsid w:val="00CC5593"/>
    <w:rsid w:val="00CC5C7B"/>
    <w:rsid w:val="00CC5D3A"/>
    <w:rsid w:val="00CC6759"/>
    <w:rsid w:val="00CC6781"/>
    <w:rsid w:val="00CC6D46"/>
    <w:rsid w:val="00CC6F75"/>
    <w:rsid w:val="00CC7F78"/>
    <w:rsid w:val="00CC7F7F"/>
    <w:rsid w:val="00CD070A"/>
    <w:rsid w:val="00CD0BBB"/>
    <w:rsid w:val="00CD13B8"/>
    <w:rsid w:val="00CD19C4"/>
    <w:rsid w:val="00CD1FDA"/>
    <w:rsid w:val="00CD2572"/>
    <w:rsid w:val="00CD270C"/>
    <w:rsid w:val="00CD27A7"/>
    <w:rsid w:val="00CD287D"/>
    <w:rsid w:val="00CD30D8"/>
    <w:rsid w:val="00CD3129"/>
    <w:rsid w:val="00CD327E"/>
    <w:rsid w:val="00CD35DD"/>
    <w:rsid w:val="00CD3776"/>
    <w:rsid w:val="00CD3D07"/>
    <w:rsid w:val="00CD3DD5"/>
    <w:rsid w:val="00CD4236"/>
    <w:rsid w:val="00CD46C4"/>
    <w:rsid w:val="00CD47E9"/>
    <w:rsid w:val="00CD4B56"/>
    <w:rsid w:val="00CD4BF6"/>
    <w:rsid w:val="00CD53D1"/>
    <w:rsid w:val="00CD553E"/>
    <w:rsid w:val="00CD5B79"/>
    <w:rsid w:val="00CD5D17"/>
    <w:rsid w:val="00CD5F1E"/>
    <w:rsid w:val="00CD65B4"/>
    <w:rsid w:val="00CD666D"/>
    <w:rsid w:val="00CD79CE"/>
    <w:rsid w:val="00CD7A6B"/>
    <w:rsid w:val="00CE10B0"/>
    <w:rsid w:val="00CE1166"/>
    <w:rsid w:val="00CE1401"/>
    <w:rsid w:val="00CE151B"/>
    <w:rsid w:val="00CE2FED"/>
    <w:rsid w:val="00CE3DBE"/>
    <w:rsid w:val="00CE4DA0"/>
    <w:rsid w:val="00CE53E7"/>
    <w:rsid w:val="00CE547C"/>
    <w:rsid w:val="00CE5AE4"/>
    <w:rsid w:val="00CE5BE7"/>
    <w:rsid w:val="00CE5F44"/>
    <w:rsid w:val="00CE621C"/>
    <w:rsid w:val="00CE63E0"/>
    <w:rsid w:val="00CE6762"/>
    <w:rsid w:val="00CE696A"/>
    <w:rsid w:val="00CE794E"/>
    <w:rsid w:val="00CE7B94"/>
    <w:rsid w:val="00CE7EF0"/>
    <w:rsid w:val="00CF049C"/>
    <w:rsid w:val="00CF0CB1"/>
    <w:rsid w:val="00CF107D"/>
    <w:rsid w:val="00CF1D64"/>
    <w:rsid w:val="00CF212F"/>
    <w:rsid w:val="00CF219F"/>
    <w:rsid w:val="00CF2BA4"/>
    <w:rsid w:val="00CF2C88"/>
    <w:rsid w:val="00CF2D78"/>
    <w:rsid w:val="00CF30D4"/>
    <w:rsid w:val="00CF39FE"/>
    <w:rsid w:val="00CF3C55"/>
    <w:rsid w:val="00CF44A0"/>
    <w:rsid w:val="00CF4512"/>
    <w:rsid w:val="00CF4519"/>
    <w:rsid w:val="00CF4D9E"/>
    <w:rsid w:val="00CF5815"/>
    <w:rsid w:val="00CF62A0"/>
    <w:rsid w:val="00CF65B9"/>
    <w:rsid w:val="00CF6AD9"/>
    <w:rsid w:val="00CF771F"/>
    <w:rsid w:val="00CF7839"/>
    <w:rsid w:val="00CF7A69"/>
    <w:rsid w:val="00CF7BA5"/>
    <w:rsid w:val="00CF7E0B"/>
    <w:rsid w:val="00CF7FA5"/>
    <w:rsid w:val="00D0025E"/>
    <w:rsid w:val="00D00707"/>
    <w:rsid w:val="00D0082B"/>
    <w:rsid w:val="00D00ED8"/>
    <w:rsid w:val="00D01D81"/>
    <w:rsid w:val="00D01DCE"/>
    <w:rsid w:val="00D021D4"/>
    <w:rsid w:val="00D023CB"/>
    <w:rsid w:val="00D023ED"/>
    <w:rsid w:val="00D02540"/>
    <w:rsid w:val="00D025DF"/>
    <w:rsid w:val="00D02910"/>
    <w:rsid w:val="00D02A00"/>
    <w:rsid w:val="00D02ED7"/>
    <w:rsid w:val="00D03047"/>
    <w:rsid w:val="00D030DE"/>
    <w:rsid w:val="00D03923"/>
    <w:rsid w:val="00D03AB5"/>
    <w:rsid w:val="00D04360"/>
    <w:rsid w:val="00D04C34"/>
    <w:rsid w:val="00D04CDB"/>
    <w:rsid w:val="00D0557F"/>
    <w:rsid w:val="00D0678C"/>
    <w:rsid w:val="00D067C6"/>
    <w:rsid w:val="00D06F96"/>
    <w:rsid w:val="00D07331"/>
    <w:rsid w:val="00D07365"/>
    <w:rsid w:val="00D07973"/>
    <w:rsid w:val="00D07B5B"/>
    <w:rsid w:val="00D07CE2"/>
    <w:rsid w:val="00D07EEB"/>
    <w:rsid w:val="00D07F55"/>
    <w:rsid w:val="00D07FD3"/>
    <w:rsid w:val="00D1035E"/>
    <w:rsid w:val="00D10360"/>
    <w:rsid w:val="00D10707"/>
    <w:rsid w:val="00D11A92"/>
    <w:rsid w:val="00D11E9A"/>
    <w:rsid w:val="00D120A2"/>
    <w:rsid w:val="00D1273C"/>
    <w:rsid w:val="00D12EF9"/>
    <w:rsid w:val="00D13580"/>
    <w:rsid w:val="00D139D0"/>
    <w:rsid w:val="00D13F28"/>
    <w:rsid w:val="00D1403C"/>
    <w:rsid w:val="00D14615"/>
    <w:rsid w:val="00D14ACE"/>
    <w:rsid w:val="00D152AF"/>
    <w:rsid w:val="00D1584A"/>
    <w:rsid w:val="00D159C8"/>
    <w:rsid w:val="00D16141"/>
    <w:rsid w:val="00D164D0"/>
    <w:rsid w:val="00D16B67"/>
    <w:rsid w:val="00D16C02"/>
    <w:rsid w:val="00D16E66"/>
    <w:rsid w:val="00D170B2"/>
    <w:rsid w:val="00D172CA"/>
    <w:rsid w:val="00D1752B"/>
    <w:rsid w:val="00D17916"/>
    <w:rsid w:val="00D17AD9"/>
    <w:rsid w:val="00D17C20"/>
    <w:rsid w:val="00D17F9A"/>
    <w:rsid w:val="00D20551"/>
    <w:rsid w:val="00D20668"/>
    <w:rsid w:val="00D20744"/>
    <w:rsid w:val="00D20B52"/>
    <w:rsid w:val="00D20E04"/>
    <w:rsid w:val="00D211F9"/>
    <w:rsid w:val="00D21D00"/>
    <w:rsid w:val="00D221A1"/>
    <w:rsid w:val="00D22329"/>
    <w:rsid w:val="00D22F0E"/>
    <w:rsid w:val="00D236A5"/>
    <w:rsid w:val="00D2376D"/>
    <w:rsid w:val="00D2426D"/>
    <w:rsid w:val="00D243A3"/>
    <w:rsid w:val="00D249F9"/>
    <w:rsid w:val="00D24F05"/>
    <w:rsid w:val="00D25463"/>
    <w:rsid w:val="00D25B4D"/>
    <w:rsid w:val="00D25FDA"/>
    <w:rsid w:val="00D2662F"/>
    <w:rsid w:val="00D2720F"/>
    <w:rsid w:val="00D304CE"/>
    <w:rsid w:val="00D30827"/>
    <w:rsid w:val="00D30CC5"/>
    <w:rsid w:val="00D30D52"/>
    <w:rsid w:val="00D313B9"/>
    <w:rsid w:val="00D3158F"/>
    <w:rsid w:val="00D318AE"/>
    <w:rsid w:val="00D31D41"/>
    <w:rsid w:val="00D32539"/>
    <w:rsid w:val="00D3275A"/>
    <w:rsid w:val="00D3320D"/>
    <w:rsid w:val="00D3338A"/>
    <w:rsid w:val="00D336C3"/>
    <w:rsid w:val="00D336C4"/>
    <w:rsid w:val="00D33CA8"/>
    <w:rsid w:val="00D340F0"/>
    <w:rsid w:val="00D345A0"/>
    <w:rsid w:val="00D345FD"/>
    <w:rsid w:val="00D34A83"/>
    <w:rsid w:val="00D34EE7"/>
    <w:rsid w:val="00D36263"/>
    <w:rsid w:val="00D36671"/>
    <w:rsid w:val="00D370FC"/>
    <w:rsid w:val="00D37925"/>
    <w:rsid w:val="00D37F2E"/>
    <w:rsid w:val="00D40476"/>
    <w:rsid w:val="00D410E7"/>
    <w:rsid w:val="00D41173"/>
    <w:rsid w:val="00D41241"/>
    <w:rsid w:val="00D414F1"/>
    <w:rsid w:val="00D41F0B"/>
    <w:rsid w:val="00D42556"/>
    <w:rsid w:val="00D42729"/>
    <w:rsid w:val="00D42B32"/>
    <w:rsid w:val="00D42BBD"/>
    <w:rsid w:val="00D42CD1"/>
    <w:rsid w:val="00D44090"/>
    <w:rsid w:val="00D45F1B"/>
    <w:rsid w:val="00D45F37"/>
    <w:rsid w:val="00D45FB2"/>
    <w:rsid w:val="00D46543"/>
    <w:rsid w:val="00D465A1"/>
    <w:rsid w:val="00D47007"/>
    <w:rsid w:val="00D4748A"/>
    <w:rsid w:val="00D479FE"/>
    <w:rsid w:val="00D47CE3"/>
    <w:rsid w:val="00D47D1B"/>
    <w:rsid w:val="00D5171F"/>
    <w:rsid w:val="00D5190F"/>
    <w:rsid w:val="00D51949"/>
    <w:rsid w:val="00D51EAE"/>
    <w:rsid w:val="00D52216"/>
    <w:rsid w:val="00D52406"/>
    <w:rsid w:val="00D52978"/>
    <w:rsid w:val="00D52B58"/>
    <w:rsid w:val="00D52C24"/>
    <w:rsid w:val="00D53CA2"/>
    <w:rsid w:val="00D53CBE"/>
    <w:rsid w:val="00D54BD1"/>
    <w:rsid w:val="00D54D2E"/>
    <w:rsid w:val="00D54DB7"/>
    <w:rsid w:val="00D54E24"/>
    <w:rsid w:val="00D55BF2"/>
    <w:rsid w:val="00D55D2F"/>
    <w:rsid w:val="00D55DF8"/>
    <w:rsid w:val="00D563B0"/>
    <w:rsid w:val="00D57119"/>
    <w:rsid w:val="00D57158"/>
    <w:rsid w:val="00D577C0"/>
    <w:rsid w:val="00D60D73"/>
    <w:rsid w:val="00D60E62"/>
    <w:rsid w:val="00D611EE"/>
    <w:rsid w:val="00D612B8"/>
    <w:rsid w:val="00D61A75"/>
    <w:rsid w:val="00D61CA7"/>
    <w:rsid w:val="00D62434"/>
    <w:rsid w:val="00D6262C"/>
    <w:rsid w:val="00D6347A"/>
    <w:rsid w:val="00D639B8"/>
    <w:rsid w:val="00D64091"/>
    <w:rsid w:val="00D642D0"/>
    <w:rsid w:val="00D64B8F"/>
    <w:rsid w:val="00D658FA"/>
    <w:rsid w:val="00D65B09"/>
    <w:rsid w:val="00D65C52"/>
    <w:rsid w:val="00D65D94"/>
    <w:rsid w:val="00D66330"/>
    <w:rsid w:val="00D663F0"/>
    <w:rsid w:val="00D666B5"/>
    <w:rsid w:val="00D66910"/>
    <w:rsid w:val="00D669E7"/>
    <w:rsid w:val="00D66A19"/>
    <w:rsid w:val="00D66D70"/>
    <w:rsid w:val="00D7070E"/>
    <w:rsid w:val="00D70FA5"/>
    <w:rsid w:val="00D717D2"/>
    <w:rsid w:val="00D71829"/>
    <w:rsid w:val="00D72AFB"/>
    <w:rsid w:val="00D72B97"/>
    <w:rsid w:val="00D72E69"/>
    <w:rsid w:val="00D7419D"/>
    <w:rsid w:val="00D745E3"/>
    <w:rsid w:val="00D7492D"/>
    <w:rsid w:val="00D74BE8"/>
    <w:rsid w:val="00D74D0A"/>
    <w:rsid w:val="00D75131"/>
    <w:rsid w:val="00D75EEF"/>
    <w:rsid w:val="00D75FF8"/>
    <w:rsid w:val="00D7637A"/>
    <w:rsid w:val="00D765A1"/>
    <w:rsid w:val="00D76F9C"/>
    <w:rsid w:val="00D773D0"/>
    <w:rsid w:val="00D77A75"/>
    <w:rsid w:val="00D77C80"/>
    <w:rsid w:val="00D80559"/>
    <w:rsid w:val="00D808BB"/>
    <w:rsid w:val="00D80B33"/>
    <w:rsid w:val="00D8110E"/>
    <w:rsid w:val="00D8177C"/>
    <w:rsid w:val="00D818C0"/>
    <w:rsid w:val="00D81E3F"/>
    <w:rsid w:val="00D81FC3"/>
    <w:rsid w:val="00D8209B"/>
    <w:rsid w:val="00D82710"/>
    <w:rsid w:val="00D82A90"/>
    <w:rsid w:val="00D82BA5"/>
    <w:rsid w:val="00D82D14"/>
    <w:rsid w:val="00D830A5"/>
    <w:rsid w:val="00D831F0"/>
    <w:rsid w:val="00D84038"/>
    <w:rsid w:val="00D86057"/>
    <w:rsid w:val="00D86328"/>
    <w:rsid w:val="00D86357"/>
    <w:rsid w:val="00D864A6"/>
    <w:rsid w:val="00D86F5E"/>
    <w:rsid w:val="00D86F80"/>
    <w:rsid w:val="00D87003"/>
    <w:rsid w:val="00D87914"/>
    <w:rsid w:val="00D90105"/>
    <w:rsid w:val="00D90454"/>
    <w:rsid w:val="00D91906"/>
    <w:rsid w:val="00D91B6E"/>
    <w:rsid w:val="00D92B90"/>
    <w:rsid w:val="00D93168"/>
    <w:rsid w:val="00D934B5"/>
    <w:rsid w:val="00D93EFD"/>
    <w:rsid w:val="00D940DC"/>
    <w:rsid w:val="00D95014"/>
    <w:rsid w:val="00D9553C"/>
    <w:rsid w:val="00D958EE"/>
    <w:rsid w:val="00D95FBB"/>
    <w:rsid w:val="00D9623E"/>
    <w:rsid w:val="00D964FB"/>
    <w:rsid w:val="00D968E2"/>
    <w:rsid w:val="00D9703E"/>
    <w:rsid w:val="00D97AA8"/>
    <w:rsid w:val="00DA004E"/>
    <w:rsid w:val="00DA02DA"/>
    <w:rsid w:val="00DA05D1"/>
    <w:rsid w:val="00DA0DED"/>
    <w:rsid w:val="00DA0F4F"/>
    <w:rsid w:val="00DA1DA1"/>
    <w:rsid w:val="00DA2309"/>
    <w:rsid w:val="00DA2D48"/>
    <w:rsid w:val="00DA2E40"/>
    <w:rsid w:val="00DA3597"/>
    <w:rsid w:val="00DA3B84"/>
    <w:rsid w:val="00DA3EE1"/>
    <w:rsid w:val="00DA4341"/>
    <w:rsid w:val="00DA44B3"/>
    <w:rsid w:val="00DA4660"/>
    <w:rsid w:val="00DA46C8"/>
    <w:rsid w:val="00DA4876"/>
    <w:rsid w:val="00DA4CA0"/>
    <w:rsid w:val="00DA4D0A"/>
    <w:rsid w:val="00DA4D62"/>
    <w:rsid w:val="00DA4F24"/>
    <w:rsid w:val="00DA5796"/>
    <w:rsid w:val="00DA5FA7"/>
    <w:rsid w:val="00DA632A"/>
    <w:rsid w:val="00DA64DD"/>
    <w:rsid w:val="00DA700A"/>
    <w:rsid w:val="00DA73A0"/>
    <w:rsid w:val="00DB0A09"/>
    <w:rsid w:val="00DB0AFC"/>
    <w:rsid w:val="00DB24AE"/>
    <w:rsid w:val="00DB2BAB"/>
    <w:rsid w:val="00DB2D49"/>
    <w:rsid w:val="00DB2FA5"/>
    <w:rsid w:val="00DB3014"/>
    <w:rsid w:val="00DB363E"/>
    <w:rsid w:val="00DB36E9"/>
    <w:rsid w:val="00DB393A"/>
    <w:rsid w:val="00DB452F"/>
    <w:rsid w:val="00DB4A2D"/>
    <w:rsid w:val="00DB4C80"/>
    <w:rsid w:val="00DB50A4"/>
    <w:rsid w:val="00DB5493"/>
    <w:rsid w:val="00DB5A22"/>
    <w:rsid w:val="00DB5BF4"/>
    <w:rsid w:val="00DB61A6"/>
    <w:rsid w:val="00DB6549"/>
    <w:rsid w:val="00DB65C8"/>
    <w:rsid w:val="00DB670A"/>
    <w:rsid w:val="00DB6AD5"/>
    <w:rsid w:val="00DB7137"/>
    <w:rsid w:val="00DB72D1"/>
    <w:rsid w:val="00DB79EA"/>
    <w:rsid w:val="00DB7BC7"/>
    <w:rsid w:val="00DC0004"/>
    <w:rsid w:val="00DC01C0"/>
    <w:rsid w:val="00DC0F82"/>
    <w:rsid w:val="00DC21F0"/>
    <w:rsid w:val="00DC253B"/>
    <w:rsid w:val="00DC29ED"/>
    <w:rsid w:val="00DC310B"/>
    <w:rsid w:val="00DC3A51"/>
    <w:rsid w:val="00DC3EEE"/>
    <w:rsid w:val="00DC4053"/>
    <w:rsid w:val="00DC48AB"/>
    <w:rsid w:val="00DC4CBD"/>
    <w:rsid w:val="00DC4E2B"/>
    <w:rsid w:val="00DC50F6"/>
    <w:rsid w:val="00DC6593"/>
    <w:rsid w:val="00DC6E39"/>
    <w:rsid w:val="00DC6EAD"/>
    <w:rsid w:val="00DC710A"/>
    <w:rsid w:val="00DC7D52"/>
    <w:rsid w:val="00DC7DCE"/>
    <w:rsid w:val="00DD04A1"/>
    <w:rsid w:val="00DD0DC9"/>
    <w:rsid w:val="00DD0F67"/>
    <w:rsid w:val="00DD12B2"/>
    <w:rsid w:val="00DD13A1"/>
    <w:rsid w:val="00DD1588"/>
    <w:rsid w:val="00DD15D9"/>
    <w:rsid w:val="00DD1798"/>
    <w:rsid w:val="00DD25A2"/>
    <w:rsid w:val="00DD447E"/>
    <w:rsid w:val="00DD449E"/>
    <w:rsid w:val="00DD458E"/>
    <w:rsid w:val="00DD48EE"/>
    <w:rsid w:val="00DD4DCB"/>
    <w:rsid w:val="00DD53B3"/>
    <w:rsid w:val="00DD53FF"/>
    <w:rsid w:val="00DD6A55"/>
    <w:rsid w:val="00DD744A"/>
    <w:rsid w:val="00DD777A"/>
    <w:rsid w:val="00DE0A0D"/>
    <w:rsid w:val="00DE0BC6"/>
    <w:rsid w:val="00DE13E9"/>
    <w:rsid w:val="00DE1510"/>
    <w:rsid w:val="00DE15BA"/>
    <w:rsid w:val="00DE2087"/>
    <w:rsid w:val="00DE3DF8"/>
    <w:rsid w:val="00DE4071"/>
    <w:rsid w:val="00DE40E8"/>
    <w:rsid w:val="00DE452E"/>
    <w:rsid w:val="00DE46A1"/>
    <w:rsid w:val="00DE4A0A"/>
    <w:rsid w:val="00DE4A6C"/>
    <w:rsid w:val="00DE4D7C"/>
    <w:rsid w:val="00DE5022"/>
    <w:rsid w:val="00DE5666"/>
    <w:rsid w:val="00DE5E69"/>
    <w:rsid w:val="00DE6869"/>
    <w:rsid w:val="00DE68FF"/>
    <w:rsid w:val="00DE6A3E"/>
    <w:rsid w:val="00DE6AA2"/>
    <w:rsid w:val="00DE6C81"/>
    <w:rsid w:val="00DE6D80"/>
    <w:rsid w:val="00DE6F27"/>
    <w:rsid w:val="00DE7B48"/>
    <w:rsid w:val="00DE7BFA"/>
    <w:rsid w:val="00DE7D9B"/>
    <w:rsid w:val="00DE7E4E"/>
    <w:rsid w:val="00DE7E5E"/>
    <w:rsid w:val="00DF0343"/>
    <w:rsid w:val="00DF049D"/>
    <w:rsid w:val="00DF0605"/>
    <w:rsid w:val="00DF0B12"/>
    <w:rsid w:val="00DF182E"/>
    <w:rsid w:val="00DF1859"/>
    <w:rsid w:val="00DF19A4"/>
    <w:rsid w:val="00DF2155"/>
    <w:rsid w:val="00DF2D43"/>
    <w:rsid w:val="00DF2EB1"/>
    <w:rsid w:val="00DF32AE"/>
    <w:rsid w:val="00DF3FD5"/>
    <w:rsid w:val="00DF433B"/>
    <w:rsid w:val="00DF4BD1"/>
    <w:rsid w:val="00DF4D2C"/>
    <w:rsid w:val="00DF4EF0"/>
    <w:rsid w:val="00DF628A"/>
    <w:rsid w:val="00DF6D55"/>
    <w:rsid w:val="00DF73BB"/>
    <w:rsid w:val="00DF746F"/>
    <w:rsid w:val="00DF7935"/>
    <w:rsid w:val="00DF7A0A"/>
    <w:rsid w:val="00DF7AD0"/>
    <w:rsid w:val="00DF7AF7"/>
    <w:rsid w:val="00DF7B4A"/>
    <w:rsid w:val="00DF7E1D"/>
    <w:rsid w:val="00E00374"/>
    <w:rsid w:val="00E0055F"/>
    <w:rsid w:val="00E005F0"/>
    <w:rsid w:val="00E0094D"/>
    <w:rsid w:val="00E00F8C"/>
    <w:rsid w:val="00E01989"/>
    <w:rsid w:val="00E01E2D"/>
    <w:rsid w:val="00E01E32"/>
    <w:rsid w:val="00E01EFE"/>
    <w:rsid w:val="00E02956"/>
    <w:rsid w:val="00E02B8F"/>
    <w:rsid w:val="00E02D7B"/>
    <w:rsid w:val="00E03522"/>
    <w:rsid w:val="00E038E6"/>
    <w:rsid w:val="00E03CB2"/>
    <w:rsid w:val="00E04445"/>
    <w:rsid w:val="00E047BF"/>
    <w:rsid w:val="00E04BD7"/>
    <w:rsid w:val="00E0513E"/>
    <w:rsid w:val="00E05F6C"/>
    <w:rsid w:val="00E062E7"/>
    <w:rsid w:val="00E07D67"/>
    <w:rsid w:val="00E10614"/>
    <w:rsid w:val="00E10A4A"/>
    <w:rsid w:val="00E10D24"/>
    <w:rsid w:val="00E10D3B"/>
    <w:rsid w:val="00E10F4E"/>
    <w:rsid w:val="00E11358"/>
    <w:rsid w:val="00E11792"/>
    <w:rsid w:val="00E120E3"/>
    <w:rsid w:val="00E12161"/>
    <w:rsid w:val="00E12191"/>
    <w:rsid w:val="00E1249F"/>
    <w:rsid w:val="00E12611"/>
    <w:rsid w:val="00E1332C"/>
    <w:rsid w:val="00E134E7"/>
    <w:rsid w:val="00E1358B"/>
    <w:rsid w:val="00E135F2"/>
    <w:rsid w:val="00E135F4"/>
    <w:rsid w:val="00E13A90"/>
    <w:rsid w:val="00E156F0"/>
    <w:rsid w:val="00E15BEE"/>
    <w:rsid w:val="00E16265"/>
    <w:rsid w:val="00E16638"/>
    <w:rsid w:val="00E1725D"/>
    <w:rsid w:val="00E20C91"/>
    <w:rsid w:val="00E2118D"/>
    <w:rsid w:val="00E21295"/>
    <w:rsid w:val="00E21CAB"/>
    <w:rsid w:val="00E22EA3"/>
    <w:rsid w:val="00E23597"/>
    <w:rsid w:val="00E23A15"/>
    <w:rsid w:val="00E23EB2"/>
    <w:rsid w:val="00E23F49"/>
    <w:rsid w:val="00E2407A"/>
    <w:rsid w:val="00E24108"/>
    <w:rsid w:val="00E24C4D"/>
    <w:rsid w:val="00E254DC"/>
    <w:rsid w:val="00E25513"/>
    <w:rsid w:val="00E25EF7"/>
    <w:rsid w:val="00E262C8"/>
    <w:rsid w:val="00E26740"/>
    <w:rsid w:val="00E26955"/>
    <w:rsid w:val="00E27824"/>
    <w:rsid w:val="00E307C9"/>
    <w:rsid w:val="00E311AB"/>
    <w:rsid w:val="00E32042"/>
    <w:rsid w:val="00E329E5"/>
    <w:rsid w:val="00E32D9D"/>
    <w:rsid w:val="00E334D5"/>
    <w:rsid w:val="00E336C0"/>
    <w:rsid w:val="00E33826"/>
    <w:rsid w:val="00E347F7"/>
    <w:rsid w:val="00E34A3E"/>
    <w:rsid w:val="00E350EB"/>
    <w:rsid w:val="00E351C1"/>
    <w:rsid w:val="00E35228"/>
    <w:rsid w:val="00E355AC"/>
    <w:rsid w:val="00E35B09"/>
    <w:rsid w:val="00E362F3"/>
    <w:rsid w:val="00E364D2"/>
    <w:rsid w:val="00E36683"/>
    <w:rsid w:val="00E36A31"/>
    <w:rsid w:val="00E36D45"/>
    <w:rsid w:val="00E371CB"/>
    <w:rsid w:val="00E37661"/>
    <w:rsid w:val="00E37690"/>
    <w:rsid w:val="00E37A1F"/>
    <w:rsid w:val="00E37C25"/>
    <w:rsid w:val="00E40271"/>
    <w:rsid w:val="00E40C33"/>
    <w:rsid w:val="00E40CEF"/>
    <w:rsid w:val="00E40DB1"/>
    <w:rsid w:val="00E40DC6"/>
    <w:rsid w:val="00E40DF6"/>
    <w:rsid w:val="00E41904"/>
    <w:rsid w:val="00E41B8B"/>
    <w:rsid w:val="00E41BD1"/>
    <w:rsid w:val="00E428C6"/>
    <w:rsid w:val="00E428DF"/>
    <w:rsid w:val="00E42BA2"/>
    <w:rsid w:val="00E42C1C"/>
    <w:rsid w:val="00E4302C"/>
    <w:rsid w:val="00E434C6"/>
    <w:rsid w:val="00E435A4"/>
    <w:rsid w:val="00E43FD2"/>
    <w:rsid w:val="00E440D6"/>
    <w:rsid w:val="00E442CB"/>
    <w:rsid w:val="00E4472C"/>
    <w:rsid w:val="00E449F3"/>
    <w:rsid w:val="00E44B27"/>
    <w:rsid w:val="00E45878"/>
    <w:rsid w:val="00E45B75"/>
    <w:rsid w:val="00E45EC0"/>
    <w:rsid w:val="00E46565"/>
    <w:rsid w:val="00E46C1B"/>
    <w:rsid w:val="00E46CB5"/>
    <w:rsid w:val="00E46D24"/>
    <w:rsid w:val="00E46E56"/>
    <w:rsid w:val="00E46FA0"/>
    <w:rsid w:val="00E47B5C"/>
    <w:rsid w:val="00E50094"/>
    <w:rsid w:val="00E502C6"/>
    <w:rsid w:val="00E50345"/>
    <w:rsid w:val="00E50543"/>
    <w:rsid w:val="00E50594"/>
    <w:rsid w:val="00E50773"/>
    <w:rsid w:val="00E510B3"/>
    <w:rsid w:val="00E5135D"/>
    <w:rsid w:val="00E51502"/>
    <w:rsid w:val="00E515DB"/>
    <w:rsid w:val="00E5190E"/>
    <w:rsid w:val="00E51D61"/>
    <w:rsid w:val="00E51FFF"/>
    <w:rsid w:val="00E5208D"/>
    <w:rsid w:val="00E5243F"/>
    <w:rsid w:val="00E526B7"/>
    <w:rsid w:val="00E52B72"/>
    <w:rsid w:val="00E5324D"/>
    <w:rsid w:val="00E541AB"/>
    <w:rsid w:val="00E548CC"/>
    <w:rsid w:val="00E55007"/>
    <w:rsid w:val="00E55354"/>
    <w:rsid w:val="00E5580F"/>
    <w:rsid w:val="00E55BF7"/>
    <w:rsid w:val="00E55C55"/>
    <w:rsid w:val="00E55F0A"/>
    <w:rsid w:val="00E563D2"/>
    <w:rsid w:val="00E5652F"/>
    <w:rsid w:val="00E56958"/>
    <w:rsid w:val="00E56D53"/>
    <w:rsid w:val="00E56E49"/>
    <w:rsid w:val="00E56E8B"/>
    <w:rsid w:val="00E579A8"/>
    <w:rsid w:val="00E57F05"/>
    <w:rsid w:val="00E6043D"/>
    <w:rsid w:val="00E61181"/>
    <w:rsid w:val="00E611A9"/>
    <w:rsid w:val="00E612EC"/>
    <w:rsid w:val="00E61346"/>
    <w:rsid w:val="00E614FE"/>
    <w:rsid w:val="00E61EE5"/>
    <w:rsid w:val="00E62684"/>
    <w:rsid w:val="00E6289B"/>
    <w:rsid w:val="00E62C84"/>
    <w:rsid w:val="00E634E8"/>
    <w:rsid w:val="00E63713"/>
    <w:rsid w:val="00E63C35"/>
    <w:rsid w:val="00E63E63"/>
    <w:rsid w:val="00E640F9"/>
    <w:rsid w:val="00E64AC0"/>
    <w:rsid w:val="00E64EF9"/>
    <w:rsid w:val="00E66D5B"/>
    <w:rsid w:val="00E66D5D"/>
    <w:rsid w:val="00E67C05"/>
    <w:rsid w:val="00E67CA9"/>
    <w:rsid w:val="00E7030B"/>
    <w:rsid w:val="00E70CAF"/>
    <w:rsid w:val="00E710F5"/>
    <w:rsid w:val="00E7112E"/>
    <w:rsid w:val="00E715F6"/>
    <w:rsid w:val="00E724B0"/>
    <w:rsid w:val="00E72D27"/>
    <w:rsid w:val="00E73448"/>
    <w:rsid w:val="00E7356C"/>
    <w:rsid w:val="00E73DEB"/>
    <w:rsid w:val="00E741AC"/>
    <w:rsid w:val="00E74489"/>
    <w:rsid w:val="00E74979"/>
    <w:rsid w:val="00E74AEF"/>
    <w:rsid w:val="00E74F3A"/>
    <w:rsid w:val="00E754BB"/>
    <w:rsid w:val="00E759B1"/>
    <w:rsid w:val="00E75ACA"/>
    <w:rsid w:val="00E7623B"/>
    <w:rsid w:val="00E76986"/>
    <w:rsid w:val="00E76AAD"/>
    <w:rsid w:val="00E7768C"/>
    <w:rsid w:val="00E77AAA"/>
    <w:rsid w:val="00E77DF5"/>
    <w:rsid w:val="00E77EE3"/>
    <w:rsid w:val="00E806B7"/>
    <w:rsid w:val="00E80DC6"/>
    <w:rsid w:val="00E80EF0"/>
    <w:rsid w:val="00E815E2"/>
    <w:rsid w:val="00E820E3"/>
    <w:rsid w:val="00E82280"/>
    <w:rsid w:val="00E82D1D"/>
    <w:rsid w:val="00E82D85"/>
    <w:rsid w:val="00E82E13"/>
    <w:rsid w:val="00E83053"/>
    <w:rsid w:val="00E834CC"/>
    <w:rsid w:val="00E83545"/>
    <w:rsid w:val="00E83DD8"/>
    <w:rsid w:val="00E8458B"/>
    <w:rsid w:val="00E85752"/>
    <w:rsid w:val="00E85A11"/>
    <w:rsid w:val="00E865AF"/>
    <w:rsid w:val="00E86687"/>
    <w:rsid w:val="00E86F8D"/>
    <w:rsid w:val="00E86FDA"/>
    <w:rsid w:val="00E87FBB"/>
    <w:rsid w:val="00E87FE5"/>
    <w:rsid w:val="00E901C5"/>
    <w:rsid w:val="00E90DA0"/>
    <w:rsid w:val="00E913DA"/>
    <w:rsid w:val="00E915E1"/>
    <w:rsid w:val="00E916BF"/>
    <w:rsid w:val="00E91916"/>
    <w:rsid w:val="00E91DA7"/>
    <w:rsid w:val="00E926C5"/>
    <w:rsid w:val="00E926CF"/>
    <w:rsid w:val="00E92775"/>
    <w:rsid w:val="00E92CF7"/>
    <w:rsid w:val="00E93284"/>
    <w:rsid w:val="00E93896"/>
    <w:rsid w:val="00E94132"/>
    <w:rsid w:val="00E944A9"/>
    <w:rsid w:val="00E95112"/>
    <w:rsid w:val="00E9532A"/>
    <w:rsid w:val="00E9559C"/>
    <w:rsid w:val="00E955FB"/>
    <w:rsid w:val="00E9581A"/>
    <w:rsid w:val="00E95AD9"/>
    <w:rsid w:val="00E95BED"/>
    <w:rsid w:val="00E95E7C"/>
    <w:rsid w:val="00E96D60"/>
    <w:rsid w:val="00E97A95"/>
    <w:rsid w:val="00E97B06"/>
    <w:rsid w:val="00E97C8F"/>
    <w:rsid w:val="00EA014C"/>
    <w:rsid w:val="00EA0EBC"/>
    <w:rsid w:val="00EA0ECD"/>
    <w:rsid w:val="00EA170A"/>
    <w:rsid w:val="00EA17D1"/>
    <w:rsid w:val="00EA182C"/>
    <w:rsid w:val="00EA25E2"/>
    <w:rsid w:val="00EA29AC"/>
    <w:rsid w:val="00EA30D2"/>
    <w:rsid w:val="00EA32B2"/>
    <w:rsid w:val="00EA4F26"/>
    <w:rsid w:val="00EA4F47"/>
    <w:rsid w:val="00EA5056"/>
    <w:rsid w:val="00EA5AC0"/>
    <w:rsid w:val="00EA60AC"/>
    <w:rsid w:val="00EA6AE9"/>
    <w:rsid w:val="00EA6BA6"/>
    <w:rsid w:val="00EA76CE"/>
    <w:rsid w:val="00EA7D7C"/>
    <w:rsid w:val="00EA7EE8"/>
    <w:rsid w:val="00EB004B"/>
    <w:rsid w:val="00EB0925"/>
    <w:rsid w:val="00EB0AE5"/>
    <w:rsid w:val="00EB12EC"/>
    <w:rsid w:val="00EB181B"/>
    <w:rsid w:val="00EB1A55"/>
    <w:rsid w:val="00EB1A95"/>
    <w:rsid w:val="00EB1BC7"/>
    <w:rsid w:val="00EB2043"/>
    <w:rsid w:val="00EB2398"/>
    <w:rsid w:val="00EB279B"/>
    <w:rsid w:val="00EB298F"/>
    <w:rsid w:val="00EB2BD5"/>
    <w:rsid w:val="00EB2DBB"/>
    <w:rsid w:val="00EB2FFA"/>
    <w:rsid w:val="00EB32A8"/>
    <w:rsid w:val="00EB3432"/>
    <w:rsid w:val="00EB3EFA"/>
    <w:rsid w:val="00EB4370"/>
    <w:rsid w:val="00EB4504"/>
    <w:rsid w:val="00EB496B"/>
    <w:rsid w:val="00EB4A35"/>
    <w:rsid w:val="00EB55F9"/>
    <w:rsid w:val="00EB5B5F"/>
    <w:rsid w:val="00EB5DD2"/>
    <w:rsid w:val="00EB5ED4"/>
    <w:rsid w:val="00EB5FCA"/>
    <w:rsid w:val="00EB6861"/>
    <w:rsid w:val="00EB6E66"/>
    <w:rsid w:val="00EB70D6"/>
    <w:rsid w:val="00EB7759"/>
    <w:rsid w:val="00EB7A0D"/>
    <w:rsid w:val="00EB7A1F"/>
    <w:rsid w:val="00EC0111"/>
    <w:rsid w:val="00EC05AC"/>
    <w:rsid w:val="00EC0D7A"/>
    <w:rsid w:val="00EC1789"/>
    <w:rsid w:val="00EC18B4"/>
    <w:rsid w:val="00EC1C2D"/>
    <w:rsid w:val="00EC1E83"/>
    <w:rsid w:val="00EC1F64"/>
    <w:rsid w:val="00EC203E"/>
    <w:rsid w:val="00EC220A"/>
    <w:rsid w:val="00EC23D3"/>
    <w:rsid w:val="00EC2D04"/>
    <w:rsid w:val="00EC2F82"/>
    <w:rsid w:val="00EC35E0"/>
    <w:rsid w:val="00EC40C6"/>
    <w:rsid w:val="00EC4942"/>
    <w:rsid w:val="00EC4E2F"/>
    <w:rsid w:val="00EC6714"/>
    <w:rsid w:val="00EC67C8"/>
    <w:rsid w:val="00EC6B93"/>
    <w:rsid w:val="00ED1093"/>
    <w:rsid w:val="00ED15BE"/>
    <w:rsid w:val="00ED1CDE"/>
    <w:rsid w:val="00ED271B"/>
    <w:rsid w:val="00ED2BBA"/>
    <w:rsid w:val="00ED441B"/>
    <w:rsid w:val="00ED4832"/>
    <w:rsid w:val="00ED48A0"/>
    <w:rsid w:val="00ED5791"/>
    <w:rsid w:val="00ED5ED1"/>
    <w:rsid w:val="00ED6534"/>
    <w:rsid w:val="00ED6DFE"/>
    <w:rsid w:val="00ED798C"/>
    <w:rsid w:val="00ED7E92"/>
    <w:rsid w:val="00ED7FD3"/>
    <w:rsid w:val="00EE0408"/>
    <w:rsid w:val="00EE0430"/>
    <w:rsid w:val="00EE053D"/>
    <w:rsid w:val="00EE0BE8"/>
    <w:rsid w:val="00EE129B"/>
    <w:rsid w:val="00EE2B28"/>
    <w:rsid w:val="00EE34A0"/>
    <w:rsid w:val="00EE397D"/>
    <w:rsid w:val="00EE3E24"/>
    <w:rsid w:val="00EE403E"/>
    <w:rsid w:val="00EE4182"/>
    <w:rsid w:val="00EE4232"/>
    <w:rsid w:val="00EE44F3"/>
    <w:rsid w:val="00EE46CB"/>
    <w:rsid w:val="00EE54C6"/>
    <w:rsid w:val="00EE5732"/>
    <w:rsid w:val="00EE5890"/>
    <w:rsid w:val="00EE6599"/>
    <w:rsid w:val="00EE6C28"/>
    <w:rsid w:val="00EE75EF"/>
    <w:rsid w:val="00EE798B"/>
    <w:rsid w:val="00EF0159"/>
    <w:rsid w:val="00EF04AE"/>
    <w:rsid w:val="00EF0613"/>
    <w:rsid w:val="00EF071E"/>
    <w:rsid w:val="00EF160B"/>
    <w:rsid w:val="00EF17E3"/>
    <w:rsid w:val="00EF18B1"/>
    <w:rsid w:val="00EF193B"/>
    <w:rsid w:val="00EF1D5A"/>
    <w:rsid w:val="00EF2822"/>
    <w:rsid w:val="00EF2DE8"/>
    <w:rsid w:val="00EF3D6A"/>
    <w:rsid w:val="00EF4241"/>
    <w:rsid w:val="00EF458D"/>
    <w:rsid w:val="00EF4741"/>
    <w:rsid w:val="00EF4A29"/>
    <w:rsid w:val="00EF4B35"/>
    <w:rsid w:val="00EF6249"/>
    <w:rsid w:val="00EF680E"/>
    <w:rsid w:val="00EF6BEB"/>
    <w:rsid w:val="00EF6EFC"/>
    <w:rsid w:val="00EF78B0"/>
    <w:rsid w:val="00EF7CC8"/>
    <w:rsid w:val="00F001B4"/>
    <w:rsid w:val="00F00535"/>
    <w:rsid w:val="00F00AB6"/>
    <w:rsid w:val="00F01055"/>
    <w:rsid w:val="00F011F3"/>
    <w:rsid w:val="00F01C28"/>
    <w:rsid w:val="00F02025"/>
    <w:rsid w:val="00F0325C"/>
    <w:rsid w:val="00F03614"/>
    <w:rsid w:val="00F0501F"/>
    <w:rsid w:val="00F05B12"/>
    <w:rsid w:val="00F05BD2"/>
    <w:rsid w:val="00F05D24"/>
    <w:rsid w:val="00F06DFD"/>
    <w:rsid w:val="00F07520"/>
    <w:rsid w:val="00F07AA3"/>
    <w:rsid w:val="00F11DA8"/>
    <w:rsid w:val="00F11FD3"/>
    <w:rsid w:val="00F12524"/>
    <w:rsid w:val="00F12FCF"/>
    <w:rsid w:val="00F13485"/>
    <w:rsid w:val="00F138F0"/>
    <w:rsid w:val="00F13A61"/>
    <w:rsid w:val="00F14089"/>
    <w:rsid w:val="00F142F3"/>
    <w:rsid w:val="00F15716"/>
    <w:rsid w:val="00F15851"/>
    <w:rsid w:val="00F16774"/>
    <w:rsid w:val="00F16D12"/>
    <w:rsid w:val="00F17A0C"/>
    <w:rsid w:val="00F203B0"/>
    <w:rsid w:val="00F20A97"/>
    <w:rsid w:val="00F213DC"/>
    <w:rsid w:val="00F21457"/>
    <w:rsid w:val="00F21E55"/>
    <w:rsid w:val="00F21F80"/>
    <w:rsid w:val="00F21FD0"/>
    <w:rsid w:val="00F2230A"/>
    <w:rsid w:val="00F2242D"/>
    <w:rsid w:val="00F227F8"/>
    <w:rsid w:val="00F24024"/>
    <w:rsid w:val="00F24557"/>
    <w:rsid w:val="00F24A26"/>
    <w:rsid w:val="00F24E6C"/>
    <w:rsid w:val="00F24F6E"/>
    <w:rsid w:val="00F251E8"/>
    <w:rsid w:val="00F255CB"/>
    <w:rsid w:val="00F25ECD"/>
    <w:rsid w:val="00F266CA"/>
    <w:rsid w:val="00F26F1F"/>
    <w:rsid w:val="00F27280"/>
    <w:rsid w:val="00F30F96"/>
    <w:rsid w:val="00F314A9"/>
    <w:rsid w:val="00F314CE"/>
    <w:rsid w:val="00F31686"/>
    <w:rsid w:val="00F31D3F"/>
    <w:rsid w:val="00F32261"/>
    <w:rsid w:val="00F32298"/>
    <w:rsid w:val="00F32FF3"/>
    <w:rsid w:val="00F33C7A"/>
    <w:rsid w:val="00F34F22"/>
    <w:rsid w:val="00F351FE"/>
    <w:rsid w:val="00F352F9"/>
    <w:rsid w:val="00F355AC"/>
    <w:rsid w:val="00F369C9"/>
    <w:rsid w:val="00F36E22"/>
    <w:rsid w:val="00F37077"/>
    <w:rsid w:val="00F3726E"/>
    <w:rsid w:val="00F3731B"/>
    <w:rsid w:val="00F3737D"/>
    <w:rsid w:val="00F4014F"/>
    <w:rsid w:val="00F40287"/>
    <w:rsid w:val="00F40398"/>
    <w:rsid w:val="00F40447"/>
    <w:rsid w:val="00F4073D"/>
    <w:rsid w:val="00F4089D"/>
    <w:rsid w:val="00F4182D"/>
    <w:rsid w:val="00F41A99"/>
    <w:rsid w:val="00F41C12"/>
    <w:rsid w:val="00F41E4A"/>
    <w:rsid w:val="00F4207A"/>
    <w:rsid w:val="00F42285"/>
    <w:rsid w:val="00F423D4"/>
    <w:rsid w:val="00F42413"/>
    <w:rsid w:val="00F42A94"/>
    <w:rsid w:val="00F430DB"/>
    <w:rsid w:val="00F43938"/>
    <w:rsid w:val="00F43A33"/>
    <w:rsid w:val="00F441B6"/>
    <w:rsid w:val="00F44EB1"/>
    <w:rsid w:val="00F45202"/>
    <w:rsid w:val="00F45445"/>
    <w:rsid w:val="00F4562F"/>
    <w:rsid w:val="00F459E7"/>
    <w:rsid w:val="00F45B0C"/>
    <w:rsid w:val="00F461E7"/>
    <w:rsid w:val="00F46FE9"/>
    <w:rsid w:val="00F47ABB"/>
    <w:rsid w:val="00F47B84"/>
    <w:rsid w:val="00F47B97"/>
    <w:rsid w:val="00F5048E"/>
    <w:rsid w:val="00F50931"/>
    <w:rsid w:val="00F50BB6"/>
    <w:rsid w:val="00F511EB"/>
    <w:rsid w:val="00F512E7"/>
    <w:rsid w:val="00F5151A"/>
    <w:rsid w:val="00F519EF"/>
    <w:rsid w:val="00F51D1F"/>
    <w:rsid w:val="00F51F80"/>
    <w:rsid w:val="00F53627"/>
    <w:rsid w:val="00F53867"/>
    <w:rsid w:val="00F539FC"/>
    <w:rsid w:val="00F53A57"/>
    <w:rsid w:val="00F5402C"/>
    <w:rsid w:val="00F5426C"/>
    <w:rsid w:val="00F5431F"/>
    <w:rsid w:val="00F54BB5"/>
    <w:rsid w:val="00F54DA5"/>
    <w:rsid w:val="00F5570E"/>
    <w:rsid w:val="00F55EF9"/>
    <w:rsid w:val="00F56549"/>
    <w:rsid w:val="00F568C9"/>
    <w:rsid w:val="00F56A2C"/>
    <w:rsid w:val="00F56F43"/>
    <w:rsid w:val="00F57016"/>
    <w:rsid w:val="00F5720F"/>
    <w:rsid w:val="00F60419"/>
    <w:rsid w:val="00F60F7F"/>
    <w:rsid w:val="00F60FCD"/>
    <w:rsid w:val="00F610C1"/>
    <w:rsid w:val="00F615F4"/>
    <w:rsid w:val="00F620BD"/>
    <w:rsid w:val="00F62652"/>
    <w:rsid w:val="00F629E7"/>
    <w:rsid w:val="00F62D5F"/>
    <w:rsid w:val="00F62FDF"/>
    <w:rsid w:val="00F634B4"/>
    <w:rsid w:val="00F63E82"/>
    <w:rsid w:val="00F6471D"/>
    <w:rsid w:val="00F64C8B"/>
    <w:rsid w:val="00F64D39"/>
    <w:rsid w:val="00F6508E"/>
    <w:rsid w:val="00F65BD7"/>
    <w:rsid w:val="00F65E00"/>
    <w:rsid w:val="00F66405"/>
    <w:rsid w:val="00F668D2"/>
    <w:rsid w:val="00F66A35"/>
    <w:rsid w:val="00F66CC5"/>
    <w:rsid w:val="00F66F1E"/>
    <w:rsid w:val="00F66FD6"/>
    <w:rsid w:val="00F6709B"/>
    <w:rsid w:val="00F67563"/>
    <w:rsid w:val="00F6762B"/>
    <w:rsid w:val="00F67FA8"/>
    <w:rsid w:val="00F7097D"/>
    <w:rsid w:val="00F714AB"/>
    <w:rsid w:val="00F71581"/>
    <w:rsid w:val="00F7216B"/>
    <w:rsid w:val="00F72A16"/>
    <w:rsid w:val="00F72A50"/>
    <w:rsid w:val="00F731BF"/>
    <w:rsid w:val="00F73A25"/>
    <w:rsid w:val="00F73AF1"/>
    <w:rsid w:val="00F73F89"/>
    <w:rsid w:val="00F74C34"/>
    <w:rsid w:val="00F74D5F"/>
    <w:rsid w:val="00F74E94"/>
    <w:rsid w:val="00F75460"/>
    <w:rsid w:val="00F75C75"/>
    <w:rsid w:val="00F75CCF"/>
    <w:rsid w:val="00F76014"/>
    <w:rsid w:val="00F761CD"/>
    <w:rsid w:val="00F7641F"/>
    <w:rsid w:val="00F76817"/>
    <w:rsid w:val="00F76973"/>
    <w:rsid w:val="00F76DAD"/>
    <w:rsid w:val="00F770C3"/>
    <w:rsid w:val="00F7712B"/>
    <w:rsid w:val="00F7716A"/>
    <w:rsid w:val="00F77419"/>
    <w:rsid w:val="00F77445"/>
    <w:rsid w:val="00F7765C"/>
    <w:rsid w:val="00F778DC"/>
    <w:rsid w:val="00F779FE"/>
    <w:rsid w:val="00F77DBF"/>
    <w:rsid w:val="00F77E3B"/>
    <w:rsid w:val="00F802F1"/>
    <w:rsid w:val="00F803BE"/>
    <w:rsid w:val="00F80614"/>
    <w:rsid w:val="00F80663"/>
    <w:rsid w:val="00F80BC9"/>
    <w:rsid w:val="00F80BEF"/>
    <w:rsid w:val="00F80F78"/>
    <w:rsid w:val="00F8141B"/>
    <w:rsid w:val="00F815EA"/>
    <w:rsid w:val="00F8173C"/>
    <w:rsid w:val="00F81E93"/>
    <w:rsid w:val="00F8223F"/>
    <w:rsid w:val="00F83213"/>
    <w:rsid w:val="00F83A55"/>
    <w:rsid w:val="00F84230"/>
    <w:rsid w:val="00F85CB0"/>
    <w:rsid w:val="00F8651D"/>
    <w:rsid w:val="00F865BE"/>
    <w:rsid w:val="00F8670A"/>
    <w:rsid w:val="00F8690F"/>
    <w:rsid w:val="00F86ABD"/>
    <w:rsid w:val="00F86C5D"/>
    <w:rsid w:val="00F86E3F"/>
    <w:rsid w:val="00F86FB7"/>
    <w:rsid w:val="00F8705A"/>
    <w:rsid w:val="00F87AEE"/>
    <w:rsid w:val="00F87B90"/>
    <w:rsid w:val="00F87DEF"/>
    <w:rsid w:val="00F87E40"/>
    <w:rsid w:val="00F90056"/>
    <w:rsid w:val="00F90108"/>
    <w:rsid w:val="00F9024F"/>
    <w:rsid w:val="00F90464"/>
    <w:rsid w:val="00F91057"/>
    <w:rsid w:val="00F9169A"/>
    <w:rsid w:val="00F91CE1"/>
    <w:rsid w:val="00F92602"/>
    <w:rsid w:val="00F92D75"/>
    <w:rsid w:val="00F93572"/>
    <w:rsid w:val="00F93802"/>
    <w:rsid w:val="00F9414A"/>
    <w:rsid w:val="00F9457C"/>
    <w:rsid w:val="00F94587"/>
    <w:rsid w:val="00F94942"/>
    <w:rsid w:val="00F94BC5"/>
    <w:rsid w:val="00F95631"/>
    <w:rsid w:val="00F95753"/>
    <w:rsid w:val="00F9586C"/>
    <w:rsid w:val="00F961A6"/>
    <w:rsid w:val="00F97C84"/>
    <w:rsid w:val="00FA035C"/>
    <w:rsid w:val="00FA07D7"/>
    <w:rsid w:val="00FA0BDC"/>
    <w:rsid w:val="00FA0DE8"/>
    <w:rsid w:val="00FA0FD7"/>
    <w:rsid w:val="00FA150A"/>
    <w:rsid w:val="00FA1699"/>
    <w:rsid w:val="00FA1E56"/>
    <w:rsid w:val="00FA26BF"/>
    <w:rsid w:val="00FA319A"/>
    <w:rsid w:val="00FA36AB"/>
    <w:rsid w:val="00FA38D8"/>
    <w:rsid w:val="00FA424B"/>
    <w:rsid w:val="00FA42E7"/>
    <w:rsid w:val="00FA4542"/>
    <w:rsid w:val="00FA454A"/>
    <w:rsid w:val="00FA4883"/>
    <w:rsid w:val="00FA5B7A"/>
    <w:rsid w:val="00FA5B85"/>
    <w:rsid w:val="00FA6DDE"/>
    <w:rsid w:val="00FA74DB"/>
    <w:rsid w:val="00FA7F81"/>
    <w:rsid w:val="00FB013A"/>
    <w:rsid w:val="00FB0630"/>
    <w:rsid w:val="00FB07DB"/>
    <w:rsid w:val="00FB0829"/>
    <w:rsid w:val="00FB1BD2"/>
    <w:rsid w:val="00FB1F7E"/>
    <w:rsid w:val="00FB214B"/>
    <w:rsid w:val="00FB24AA"/>
    <w:rsid w:val="00FB28BA"/>
    <w:rsid w:val="00FB3B9C"/>
    <w:rsid w:val="00FB404D"/>
    <w:rsid w:val="00FB4A0C"/>
    <w:rsid w:val="00FB5277"/>
    <w:rsid w:val="00FB5476"/>
    <w:rsid w:val="00FB68E8"/>
    <w:rsid w:val="00FB6C92"/>
    <w:rsid w:val="00FB6D9D"/>
    <w:rsid w:val="00FC0344"/>
    <w:rsid w:val="00FC051D"/>
    <w:rsid w:val="00FC150B"/>
    <w:rsid w:val="00FC26EA"/>
    <w:rsid w:val="00FC2BB6"/>
    <w:rsid w:val="00FC2D9E"/>
    <w:rsid w:val="00FC302D"/>
    <w:rsid w:val="00FC3306"/>
    <w:rsid w:val="00FC4201"/>
    <w:rsid w:val="00FC494E"/>
    <w:rsid w:val="00FC4A80"/>
    <w:rsid w:val="00FC4B23"/>
    <w:rsid w:val="00FC51A0"/>
    <w:rsid w:val="00FC5284"/>
    <w:rsid w:val="00FC5292"/>
    <w:rsid w:val="00FC5AF0"/>
    <w:rsid w:val="00FC6BDD"/>
    <w:rsid w:val="00FC6F37"/>
    <w:rsid w:val="00FC7102"/>
    <w:rsid w:val="00FC720B"/>
    <w:rsid w:val="00FC7689"/>
    <w:rsid w:val="00FC7A7D"/>
    <w:rsid w:val="00FC7E11"/>
    <w:rsid w:val="00FD0237"/>
    <w:rsid w:val="00FD05CF"/>
    <w:rsid w:val="00FD0993"/>
    <w:rsid w:val="00FD0E26"/>
    <w:rsid w:val="00FD0F73"/>
    <w:rsid w:val="00FD11F2"/>
    <w:rsid w:val="00FD140B"/>
    <w:rsid w:val="00FD1C30"/>
    <w:rsid w:val="00FD2005"/>
    <w:rsid w:val="00FD2805"/>
    <w:rsid w:val="00FD646A"/>
    <w:rsid w:val="00FD6B5E"/>
    <w:rsid w:val="00FD6F64"/>
    <w:rsid w:val="00FD744C"/>
    <w:rsid w:val="00FD7650"/>
    <w:rsid w:val="00FD7BE5"/>
    <w:rsid w:val="00FE0294"/>
    <w:rsid w:val="00FE0DE8"/>
    <w:rsid w:val="00FE101E"/>
    <w:rsid w:val="00FE1042"/>
    <w:rsid w:val="00FE189A"/>
    <w:rsid w:val="00FE22A8"/>
    <w:rsid w:val="00FE22DC"/>
    <w:rsid w:val="00FE255C"/>
    <w:rsid w:val="00FE3234"/>
    <w:rsid w:val="00FE365F"/>
    <w:rsid w:val="00FE3A2D"/>
    <w:rsid w:val="00FE3A7C"/>
    <w:rsid w:val="00FE4050"/>
    <w:rsid w:val="00FE4291"/>
    <w:rsid w:val="00FE446F"/>
    <w:rsid w:val="00FE4513"/>
    <w:rsid w:val="00FE4902"/>
    <w:rsid w:val="00FE511D"/>
    <w:rsid w:val="00FE55E6"/>
    <w:rsid w:val="00FE6099"/>
    <w:rsid w:val="00FE61EF"/>
    <w:rsid w:val="00FE675B"/>
    <w:rsid w:val="00FE68F5"/>
    <w:rsid w:val="00FE69A8"/>
    <w:rsid w:val="00FE6C14"/>
    <w:rsid w:val="00FF03ED"/>
    <w:rsid w:val="00FF0BA8"/>
    <w:rsid w:val="00FF0DF4"/>
    <w:rsid w:val="00FF0FF8"/>
    <w:rsid w:val="00FF1D1A"/>
    <w:rsid w:val="00FF25A7"/>
    <w:rsid w:val="00FF279F"/>
    <w:rsid w:val="00FF27C5"/>
    <w:rsid w:val="00FF29C4"/>
    <w:rsid w:val="00FF2FFE"/>
    <w:rsid w:val="00FF3813"/>
    <w:rsid w:val="00FF39CE"/>
    <w:rsid w:val="00FF3EC5"/>
    <w:rsid w:val="00FF43CC"/>
    <w:rsid w:val="00FF53EB"/>
    <w:rsid w:val="00FF554E"/>
    <w:rsid w:val="00FF55CA"/>
    <w:rsid w:val="00FF5B65"/>
    <w:rsid w:val="010D427B"/>
    <w:rsid w:val="011C141A"/>
    <w:rsid w:val="01260E98"/>
    <w:rsid w:val="01284F8D"/>
    <w:rsid w:val="0136141C"/>
    <w:rsid w:val="013E28BC"/>
    <w:rsid w:val="014252EF"/>
    <w:rsid w:val="015F77EF"/>
    <w:rsid w:val="01622488"/>
    <w:rsid w:val="016F45ED"/>
    <w:rsid w:val="017A5136"/>
    <w:rsid w:val="019D1AF5"/>
    <w:rsid w:val="01A64C1F"/>
    <w:rsid w:val="01AA050E"/>
    <w:rsid w:val="01AB0B81"/>
    <w:rsid w:val="01D50B9B"/>
    <w:rsid w:val="02092C94"/>
    <w:rsid w:val="02100194"/>
    <w:rsid w:val="0211311E"/>
    <w:rsid w:val="02165140"/>
    <w:rsid w:val="02286950"/>
    <w:rsid w:val="025130DC"/>
    <w:rsid w:val="02702D13"/>
    <w:rsid w:val="02722A44"/>
    <w:rsid w:val="027C461A"/>
    <w:rsid w:val="028024DC"/>
    <w:rsid w:val="0295023C"/>
    <w:rsid w:val="02CA4975"/>
    <w:rsid w:val="02CF3460"/>
    <w:rsid w:val="02DD7DF9"/>
    <w:rsid w:val="02ED7EC0"/>
    <w:rsid w:val="02F474A0"/>
    <w:rsid w:val="02F64889"/>
    <w:rsid w:val="02FE1A9F"/>
    <w:rsid w:val="03077E3A"/>
    <w:rsid w:val="030D0562"/>
    <w:rsid w:val="031C6C92"/>
    <w:rsid w:val="03261624"/>
    <w:rsid w:val="033234B1"/>
    <w:rsid w:val="03333611"/>
    <w:rsid w:val="033514A1"/>
    <w:rsid w:val="034F14D7"/>
    <w:rsid w:val="03555F39"/>
    <w:rsid w:val="035A774A"/>
    <w:rsid w:val="03635BFF"/>
    <w:rsid w:val="03663FB0"/>
    <w:rsid w:val="037A08D6"/>
    <w:rsid w:val="037A2252"/>
    <w:rsid w:val="037E2E9E"/>
    <w:rsid w:val="038D41B0"/>
    <w:rsid w:val="038E4ABD"/>
    <w:rsid w:val="03B4023E"/>
    <w:rsid w:val="03B92498"/>
    <w:rsid w:val="03CC21CB"/>
    <w:rsid w:val="03D92099"/>
    <w:rsid w:val="03E07A24"/>
    <w:rsid w:val="03E12F2E"/>
    <w:rsid w:val="03E2554B"/>
    <w:rsid w:val="03E312C3"/>
    <w:rsid w:val="04043713"/>
    <w:rsid w:val="040C6A6B"/>
    <w:rsid w:val="043234F0"/>
    <w:rsid w:val="043B6A48"/>
    <w:rsid w:val="04482271"/>
    <w:rsid w:val="044B618E"/>
    <w:rsid w:val="046870D7"/>
    <w:rsid w:val="046E72C3"/>
    <w:rsid w:val="0478135D"/>
    <w:rsid w:val="04826D2E"/>
    <w:rsid w:val="048E56D2"/>
    <w:rsid w:val="049071E7"/>
    <w:rsid w:val="04D76B18"/>
    <w:rsid w:val="051D46C3"/>
    <w:rsid w:val="05264552"/>
    <w:rsid w:val="053221DD"/>
    <w:rsid w:val="057318A6"/>
    <w:rsid w:val="05835CD2"/>
    <w:rsid w:val="05A420D6"/>
    <w:rsid w:val="05AB7BBE"/>
    <w:rsid w:val="05B705A4"/>
    <w:rsid w:val="05C3414E"/>
    <w:rsid w:val="05D9472B"/>
    <w:rsid w:val="05E25A37"/>
    <w:rsid w:val="05E81AE2"/>
    <w:rsid w:val="05F131A3"/>
    <w:rsid w:val="05F501C5"/>
    <w:rsid w:val="06085010"/>
    <w:rsid w:val="061E727F"/>
    <w:rsid w:val="06287461"/>
    <w:rsid w:val="06294BE8"/>
    <w:rsid w:val="06432C87"/>
    <w:rsid w:val="06484360"/>
    <w:rsid w:val="06484E33"/>
    <w:rsid w:val="065B0A72"/>
    <w:rsid w:val="067362A0"/>
    <w:rsid w:val="067D06D7"/>
    <w:rsid w:val="068B011B"/>
    <w:rsid w:val="068F0174"/>
    <w:rsid w:val="069C3D49"/>
    <w:rsid w:val="069F3FEC"/>
    <w:rsid w:val="06AB60C8"/>
    <w:rsid w:val="06B37672"/>
    <w:rsid w:val="06C160ED"/>
    <w:rsid w:val="06EB0B85"/>
    <w:rsid w:val="06ED6C8A"/>
    <w:rsid w:val="06F537E7"/>
    <w:rsid w:val="06F7308C"/>
    <w:rsid w:val="06FD269B"/>
    <w:rsid w:val="0711300A"/>
    <w:rsid w:val="072950F8"/>
    <w:rsid w:val="072B7D8D"/>
    <w:rsid w:val="0739361B"/>
    <w:rsid w:val="074F0715"/>
    <w:rsid w:val="077753AB"/>
    <w:rsid w:val="079F48FD"/>
    <w:rsid w:val="07A41285"/>
    <w:rsid w:val="07B009A2"/>
    <w:rsid w:val="07B74F40"/>
    <w:rsid w:val="07BB53C7"/>
    <w:rsid w:val="07BE6C93"/>
    <w:rsid w:val="07C5765D"/>
    <w:rsid w:val="07C626FD"/>
    <w:rsid w:val="07DA3B3E"/>
    <w:rsid w:val="07E850FA"/>
    <w:rsid w:val="07F93413"/>
    <w:rsid w:val="080B2FFB"/>
    <w:rsid w:val="080B68D9"/>
    <w:rsid w:val="084F6F27"/>
    <w:rsid w:val="08531697"/>
    <w:rsid w:val="086D3F47"/>
    <w:rsid w:val="086E0467"/>
    <w:rsid w:val="08827AB0"/>
    <w:rsid w:val="08843C93"/>
    <w:rsid w:val="088522BA"/>
    <w:rsid w:val="08880B4F"/>
    <w:rsid w:val="08B30C02"/>
    <w:rsid w:val="08B452BA"/>
    <w:rsid w:val="08C416C3"/>
    <w:rsid w:val="08CE7F84"/>
    <w:rsid w:val="08F54825"/>
    <w:rsid w:val="09146B15"/>
    <w:rsid w:val="09153CCC"/>
    <w:rsid w:val="09391870"/>
    <w:rsid w:val="093C56FD"/>
    <w:rsid w:val="093C74AB"/>
    <w:rsid w:val="094755E3"/>
    <w:rsid w:val="096206A2"/>
    <w:rsid w:val="09622C8A"/>
    <w:rsid w:val="09684744"/>
    <w:rsid w:val="0969226A"/>
    <w:rsid w:val="09711BC1"/>
    <w:rsid w:val="097772DE"/>
    <w:rsid w:val="099145E0"/>
    <w:rsid w:val="09B07E99"/>
    <w:rsid w:val="09B111A0"/>
    <w:rsid w:val="09BF418D"/>
    <w:rsid w:val="09C0632E"/>
    <w:rsid w:val="09C963A4"/>
    <w:rsid w:val="09E454D1"/>
    <w:rsid w:val="09E5624E"/>
    <w:rsid w:val="09F04EC7"/>
    <w:rsid w:val="09F761D5"/>
    <w:rsid w:val="0A037E97"/>
    <w:rsid w:val="0A2F481B"/>
    <w:rsid w:val="0A3216EC"/>
    <w:rsid w:val="0A34629B"/>
    <w:rsid w:val="0A4565CD"/>
    <w:rsid w:val="0A696C75"/>
    <w:rsid w:val="0A851326"/>
    <w:rsid w:val="0A991024"/>
    <w:rsid w:val="0AA42458"/>
    <w:rsid w:val="0AC7367C"/>
    <w:rsid w:val="0AC74930"/>
    <w:rsid w:val="0ACB309A"/>
    <w:rsid w:val="0AF71356"/>
    <w:rsid w:val="0AF73FD1"/>
    <w:rsid w:val="0AFA1230"/>
    <w:rsid w:val="0B125886"/>
    <w:rsid w:val="0B2C5E24"/>
    <w:rsid w:val="0B2E71BE"/>
    <w:rsid w:val="0B3C1531"/>
    <w:rsid w:val="0B400F5D"/>
    <w:rsid w:val="0B510F8C"/>
    <w:rsid w:val="0B51127F"/>
    <w:rsid w:val="0B7078E0"/>
    <w:rsid w:val="0B750563"/>
    <w:rsid w:val="0B7B0B27"/>
    <w:rsid w:val="0B7C4508"/>
    <w:rsid w:val="0B7E024F"/>
    <w:rsid w:val="0B84338B"/>
    <w:rsid w:val="0B8909A2"/>
    <w:rsid w:val="0B8D2240"/>
    <w:rsid w:val="0BA94BA0"/>
    <w:rsid w:val="0BBD342B"/>
    <w:rsid w:val="0BE26F5D"/>
    <w:rsid w:val="0BEB6750"/>
    <w:rsid w:val="0BFD3447"/>
    <w:rsid w:val="0C106FE0"/>
    <w:rsid w:val="0C14470F"/>
    <w:rsid w:val="0C357DA1"/>
    <w:rsid w:val="0C3B1C9C"/>
    <w:rsid w:val="0C676C2C"/>
    <w:rsid w:val="0CAA0BCF"/>
    <w:rsid w:val="0CB42A6C"/>
    <w:rsid w:val="0CB90E13"/>
    <w:rsid w:val="0CD520F0"/>
    <w:rsid w:val="0CD8050E"/>
    <w:rsid w:val="0CDB6FDB"/>
    <w:rsid w:val="0CE104BA"/>
    <w:rsid w:val="0CF06F2A"/>
    <w:rsid w:val="0CF4642C"/>
    <w:rsid w:val="0CF63E15"/>
    <w:rsid w:val="0D22155F"/>
    <w:rsid w:val="0D2530DD"/>
    <w:rsid w:val="0D340DCB"/>
    <w:rsid w:val="0D6425B7"/>
    <w:rsid w:val="0D663833"/>
    <w:rsid w:val="0D815336"/>
    <w:rsid w:val="0D9C2C0E"/>
    <w:rsid w:val="0DAA754E"/>
    <w:rsid w:val="0DBA3C09"/>
    <w:rsid w:val="0DD71E98"/>
    <w:rsid w:val="0DE5193E"/>
    <w:rsid w:val="0DE93979"/>
    <w:rsid w:val="0DF477CD"/>
    <w:rsid w:val="0E034C87"/>
    <w:rsid w:val="0E056A05"/>
    <w:rsid w:val="0E2A296D"/>
    <w:rsid w:val="0E3270CE"/>
    <w:rsid w:val="0E44204B"/>
    <w:rsid w:val="0E5B19BB"/>
    <w:rsid w:val="0E6844DD"/>
    <w:rsid w:val="0E6B6DFA"/>
    <w:rsid w:val="0E7A107F"/>
    <w:rsid w:val="0E802CFD"/>
    <w:rsid w:val="0E8E4781"/>
    <w:rsid w:val="0E963B01"/>
    <w:rsid w:val="0F003A79"/>
    <w:rsid w:val="0F02058A"/>
    <w:rsid w:val="0F052A35"/>
    <w:rsid w:val="0F0A3BA7"/>
    <w:rsid w:val="0F130CAE"/>
    <w:rsid w:val="0F384BB8"/>
    <w:rsid w:val="0F3B6457"/>
    <w:rsid w:val="0F40366D"/>
    <w:rsid w:val="0F53554E"/>
    <w:rsid w:val="0F5F5CA1"/>
    <w:rsid w:val="0F6E79DF"/>
    <w:rsid w:val="0F7560C5"/>
    <w:rsid w:val="0F900551"/>
    <w:rsid w:val="0F9A4F2B"/>
    <w:rsid w:val="0FB51D65"/>
    <w:rsid w:val="0FB73C2F"/>
    <w:rsid w:val="0FB951A4"/>
    <w:rsid w:val="0FC06BE7"/>
    <w:rsid w:val="0FC1747F"/>
    <w:rsid w:val="0FD51400"/>
    <w:rsid w:val="0FF7412C"/>
    <w:rsid w:val="0FF87EA4"/>
    <w:rsid w:val="0FFC5BE6"/>
    <w:rsid w:val="100F4FB7"/>
    <w:rsid w:val="10150A56"/>
    <w:rsid w:val="10287D2B"/>
    <w:rsid w:val="10384339"/>
    <w:rsid w:val="104E5708"/>
    <w:rsid w:val="10604293"/>
    <w:rsid w:val="106A6FF4"/>
    <w:rsid w:val="10724992"/>
    <w:rsid w:val="107C7A1E"/>
    <w:rsid w:val="10835CF5"/>
    <w:rsid w:val="10921A3C"/>
    <w:rsid w:val="10A5627E"/>
    <w:rsid w:val="10D12BCF"/>
    <w:rsid w:val="10D213EA"/>
    <w:rsid w:val="10DD6D2D"/>
    <w:rsid w:val="10DF166B"/>
    <w:rsid w:val="10E52962"/>
    <w:rsid w:val="11001706"/>
    <w:rsid w:val="111725AC"/>
    <w:rsid w:val="111D55E4"/>
    <w:rsid w:val="1139288C"/>
    <w:rsid w:val="11465FD8"/>
    <w:rsid w:val="11547C33"/>
    <w:rsid w:val="116766D1"/>
    <w:rsid w:val="11694060"/>
    <w:rsid w:val="118606AF"/>
    <w:rsid w:val="118D258B"/>
    <w:rsid w:val="11A93FF4"/>
    <w:rsid w:val="11B540B4"/>
    <w:rsid w:val="11B8017C"/>
    <w:rsid w:val="11BD2786"/>
    <w:rsid w:val="11E42DD6"/>
    <w:rsid w:val="11E53045"/>
    <w:rsid w:val="11F430BF"/>
    <w:rsid w:val="11F56B22"/>
    <w:rsid w:val="11FC3C7B"/>
    <w:rsid w:val="120E7E53"/>
    <w:rsid w:val="12143BD3"/>
    <w:rsid w:val="121C60CC"/>
    <w:rsid w:val="12252689"/>
    <w:rsid w:val="122F3F8C"/>
    <w:rsid w:val="123F0B55"/>
    <w:rsid w:val="125777D3"/>
    <w:rsid w:val="12627B24"/>
    <w:rsid w:val="12655CC4"/>
    <w:rsid w:val="126D6927"/>
    <w:rsid w:val="12774BD4"/>
    <w:rsid w:val="12851EC3"/>
    <w:rsid w:val="12951EEE"/>
    <w:rsid w:val="129745D8"/>
    <w:rsid w:val="129D0E0E"/>
    <w:rsid w:val="12AA28DD"/>
    <w:rsid w:val="12BB63B7"/>
    <w:rsid w:val="12C60556"/>
    <w:rsid w:val="12D05FAF"/>
    <w:rsid w:val="12DB1609"/>
    <w:rsid w:val="12DE52EB"/>
    <w:rsid w:val="130641B8"/>
    <w:rsid w:val="13064ACC"/>
    <w:rsid w:val="13133B5F"/>
    <w:rsid w:val="131D3B8F"/>
    <w:rsid w:val="1324792E"/>
    <w:rsid w:val="133B0072"/>
    <w:rsid w:val="133B6A25"/>
    <w:rsid w:val="13473A81"/>
    <w:rsid w:val="135950FD"/>
    <w:rsid w:val="13627015"/>
    <w:rsid w:val="13651CF4"/>
    <w:rsid w:val="13712452"/>
    <w:rsid w:val="137954A9"/>
    <w:rsid w:val="13837014"/>
    <w:rsid w:val="138F0BDD"/>
    <w:rsid w:val="13946383"/>
    <w:rsid w:val="139A199E"/>
    <w:rsid w:val="13A91F38"/>
    <w:rsid w:val="13BE0589"/>
    <w:rsid w:val="13D03611"/>
    <w:rsid w:val="13E408A8"/>
    <w:rsid w:val="13E538D6"/>
    <w:rsid w:val="13EF0D78"/>
    <w:rsid w:val="13F07810"/>
    <w:rsid w:val="14025795"/>
    <w:rsid w:val="14075ABB"/>
    <w:rsid w:val="140806EE"/>
    <w:rsid w:val="140B7BB6"/>
    <w:rsid w:val="140C7F31"/>
    <w:rsid w:val="140E413A"/>
    <w:rsid w:val="140E7CD8"/>
    <w:rsid w:val="141622AE"/>
    <w:rsid w:val="1416555E"/>
    <w:rsid w:val="1425364E"/>
    <w:rsid w:val="14551E20"/>
    <w:rsid w:val="1457788F"/>
    <w:rsid w:val="14634486"/>
    <w:rsid w:val="147D6971"/>
    <w:rsid w:val="147F7D60"/>
    <w:rsid w:val="14824319"/>
    <w:rsid w:val="149F00B4"/>
    <w:rsid w:val="14AC4231"/>
    <w:rsid w:val="14C506E1"/>
    <w:rsid w:val="14D47131"/>
    <w:rsid w:val="14DA095B"/>
    <w:rsid w:val="14DD12F7"/>
    <w:rsid w:val="14DD6844"/>
    <w:rsid w:val="150C45ED"/>
    <w:rsid w:val="15292DC3"/>
    <w:rsid w:val="152C4A3E"/>
    <w:rsid w:val="15344B6F"/>
    <w:rsid w:val="15406575"/>
    <w:rsid w:val="1543626B"/>
    <w:rsid w:val="154557EF"/>
    <w:rsid w:val="15595889"/>
    <w:rsid w:val="155C14F6"/>
    <w:rsid w:val="15736F82"/>
    <w:rsid w:val="157D077F"/>
    <w:rsid w:val="15BA3EE0"/>
    <w:rsid w:val="15C466CE"/>
    <w:rsid w:val="15C5364C"/>
    <w:rsid w:val="15C549C1"/>
    <w:rsid w:val="15E35A6B"/>
    <w:rsid w:val="15E6387D"/>
    <w:rsid w:val="15EB3A55"/>
    <w:rsid w:val="15F4571E"/>
    <w:rsid w:val="160A4D4E"/>
    <w:rsid w:val="16141157"/>
    <w:rsid w:val="162440E1"/>
    <w:rsid w:val="16410665"/>
    <w:rsid w:val="16441878"/>
    <w:rsid w:val="16516F57"/>
    <w:rsid w:val="1655523F"/>
    <w:rsid w:val="16607992"/>
    <w:rsid w:val="166532A8"/>
    <w:rsid w:val="166F3C6D"/>
    <w:rsid w:val="1685300E"/>
    <w:rsid w:val="168A7161"/>
    <w:rsid w:val="16A00900"/>
    <w:rsid w:val="16AC6C99"/>
    <w:rsid w:val="16C11CDD"/>
    <w:rsid w:val="16C45831"/>
    <w:rsid w:val="16DE72BC"/>
    <w:rsid w:val="16E14913"/>
    <w:rsid w:val="16F64F7A"/>
    <w:rsid w:val="17035AAC"/>
    <w:rsid w:val="172A5B0B"/>
    <w:rsid w:val="172F46E0"/>
    <w:rsid w:val="17352943"/>
    <w:rsid w:val="173C1697"/>
    <w:rsid w:val="17495E95"/>
    <w:rsid w:val="175463C2"/>
    <w:rsid w:val="17562605"/>
    <w:rsid w:val="175A61CE"/>
    <w:rsid w:val="17611C1D"/>
    <w:rsid w:val="17991F6C"/>
    <w:rsid w:val="179C380B"/>
    <w:rsid w:val="17B779FE"/>
    <w:rsid w:val="17DC57C4"/>
    <w:rsid w:val="17EC425D"/>
    <w:rsid w:val="17EF71A9"/>
    <w:rsid w:val="1810471B"/>
    <w:rsid w:val="18145E9F"/>
    <w:rsid w:val="1816746A"/>
    <w:rsid w:val="182C2DE0"/>
    <w:rsid w:val="18381C3B"/>
    <w:rsid w:val="18451E51"/>
    <w:rsid w:val="185022E7"/>
    <w:rsid w:val="18546FBD"/>
    <w:rsid w:val="186A4292"/>
    <w:rsid w:val="188C6F78"/>
    <w:rsid w:val="18980476"/>
    <w:rsid w:val="189B30C9"/>
    <w:rsid w:val="189E3CDE"/>
    <w:rsid w:val="18AF5EEB"/>
    <w:rsid w:val="18B90B18"/>
    <w:rsid w:val="18C748B7"/>
    <w:rsid w:val="18D111E9"/>
    <w:rsid w:val="18D44A26"/>
    <w:rsid w:val="18DC41FC"/>
    <w:rsid w:val="18DE1993"/>
    <w:rsid w:val="18E03902"/>
    <w:rsid w:val="18E75C1B"/>
    <w:rsid w:val="18F25A2B"/>
    <w:rsid w:val="18F356AC"/>
    <w:rsid w:val="18F4311A"/>
    <w:rsid w:val="18F8564D"/>
    <w:rsid w:val="18FC3BDB"/>
    <w:rsid w:val="18FE116D"/>
    <w:rsid w:val="19030080"/>
    <w:rsid w:val="19097185"/>
    <w:rsid w:val="190B322E"/>
    <w:rsid w:val="19163B63"/>
    <w:rsid w:val="19175293"/>
    <w:rsid w:val="1920656C"/>
    <w:rsid w:val="192D5062"/>
    <w:rsid w:val="193A2FE5"/>
    <w:rsid w:val="194F4FD8"/>
    <w:rsid w:val="1950265E"/>
    <w:rsid w:val="195919B3"/>
    <w:rsid w:val="195B1048"/>
    <w:rsid w:val="196A353D"/>
    <w:rsid w:val="19864BC1"/>
    <w:rsid w:val="19924EC5"/>
    <w:rsid w:val="19A66240"/>
    <w:rsid w:val="19BF0483"/>
    <w:rsid w:val="19DD6775"/>
    <w:rsid w:val="19F17538"/>
    <w:rsid w:val="19F86D5C"/>
    <w:rsid w:val="1A18065F"/>
    <w:rsid w:val="1A1B135F"/>
    <w:rsid w:val="1A442663"/>
    <w:rsid w:val="1A533CBC"/>
    <w:rsid w:val="1A604FC3"/>
    <w:rsid w:val="1A68155E"/>
    <w:rsid w:val="1A6C3968"/>
    <w:rsid w:val="1A8459AA"/>
    <w:rsid w:val="1A873AF1"/>
    <w:rsid w:val="1A8810D9"/>
    <w:rsid w:val="1A897FBF"/>
    <w:rsid w:val="1A8E1FE6"/>
    <w:rsid w:val="1A8E5124"/>
    <w:rsid w:val="1AA777F1"/>
    <w:rsid w:val="1AC35F98"/>
    <w:rsid w:val="1AD27380"/>
    <w:rsid w:val="1AF71484"/>
    <w:rsid w:val="1B040045"/>
    <w:rsid w:val="1B282524"/>
    <w:rsid w:val="1B304996"/>
    <w:rsid w:val="1B373F76"/>
    <w:rsid w:val="1B3C1BB3"/>
    <w:rsid w:val="1B4247DD"/>
    <w:rsid w:val="1B445193"/>
    <w:rsid w:val="1B4D46E7"/>
    <w:rsid w:val="1B5A3813"/>
    <w:rsid w:val="1B6A7D60"/>
    <w:rsid w:val="1B6D3826"/>
    <w:rsid w:val="1B853DD5"/>
    <w:rsid w:val="1BB03A27"/>
    <w:rsid w:val="1BC0585B"/>
    <w:rsid w:val="1BD9010B"/>
    <w:rsid w:val="1BDD4B1E"/>
    <w:rsid w:val="1BDE43F2"/>
    <w:rsid w:val="1BDE7128"/>
    <w:rsid w:val="1BE84F1D"/>
    <w:rsid w:val="1BF46F59"/>
    <w:rsid w:val="1BF63E31"/>
    <w:rsid w:val="1BFC7479"/>
    <w:rsid w:val="1C055E22"/>
    <w:rsid w:val="1C1B3898"/>
    <w:rsid w:val="1C1D13BE"/>
    <w:rsid w:val="1C1F3E01"/>
    <w:rsid w:val="1C2160AC"/>
    <w:rsid w:val="1C43534F"/>
    <w:rsid w:val="1C460B65"/>
    <w:rsid w:val="1C515D5A"/>
    <w:rsid w:val="1C542906"/>
    <w:rsid w:val="1C5D6587"/>
    <w:rsid w:val="1C6D1D6F"/>
    <w:rsid w:val="1C6F14EE"/>
    <w:rsid w:val="1C8C0BB0"/>
    <w:rsid w:val="1CA548EB"/>
    <w:rsid w:val="1CAE2ECD"/>
    <w:rsid w:val="1CD332FA"/>
    <w:rsid w:val="1CE04199"/>
    <w:rsid w:val="1CE43C8A"/>
    <w:rsid w:val="1CED53AF"/>
    <w:rsid w:val="1CFB0890"/>
    <w:rsid w:val="1D106E8B"/>
    <w:rsid w:val="1D1218AC"/>
    <w:rsid w:val="1D181B85"/>
    <w:rsid w:val="1D1C693E"/>
    <w:rsid w:val="1D1E0794"/>
    <w:rsid w:val="1D2547F1"/>
    <w:rsid w:val="1D274825"/>
    <w:rsid w:val="1D436C02"/>
    <w:rsid w:val="1D6B43AB"/>
    <w:rsid w:val="1D7279BB"/>
    <w:rsid w:val="1D7337B0"/>
    <w:rsid w:val="1DA633ED"/>
    <w:rsid w:val="1DB21781"/>
    <w:rsid w:val="1DBF583B"/>
    <w:rsid w:val="1DC52498"/>
    <w:rsid w:val="1DDA0F13"/>
    <w:rsid w:val="1DE71C83"/>
    <w:rsid w:val="1E143AB2"/>
    <w:rsid w:val="1E1918D7"/>
    <w:rsid w:val="1E432C32"/>
    <w:rsid w:val="1E6A4663"/>
    <w:rsid w:val="1E8C282B"/>
    <w:rsid w:val="1E924152"/>
    <w:rsid w:val="1E9F430C"/>
    <w:rsid w:val="1EA34C15"/>
    <w:rsid w:val="1EBC4C0D"/>
    <w:rsid w:val="1EDD7888"/>
    <w:rsid w:val="1EE95587"/>
    <w:rsid w:val="1F022E42"/>
    <w:rsid w:val="1F43795A"/>
    <w:rsid w:val="1F470500"/>
    <w:rsid w:val="1F5A6FB2"/>
    <w:rsid w:val="1F626670"/>
    <w:rsid w:val="1F877440"/>
    <w:rsid w:val="1F9C6A9E"/>
    <w:rsid w:val="1FA13155"/>
    <w:rsid w:val="1FA91A15"/>
    <w:rsid w:val="1FCF29CF"/>
    <w:rsid w:val="1FFA5339"/>
    <w:rsid w:val="200B60C3"/>
    <w:rsid w:val="20103563"/>
    <w:rsid w:val="201E255B"/>
    <w:rsid w:val="203B0065"/>
    <w:rsid w:val="203D34A5"/>
    <w:rsid w:val="203F3E64"/>
    <w:rsid w:val="203F5AAF"/>
    <w:rsid w:val="2041033B"/>
    <w:rsid w:val="20542ED4"/>
    <w:rsid w:val="207F6D61"/>
    <w:rsid w:val="20A976C4"/>
    <w:rsid w:val="20DF7F13"/>
    <w:rsid w:val="210112AE"/>
    <w:rsid w:val="210466A8"/>
    <w:rsid w:val="212D017C"/>
    <w:rsid w:val="215F0457"/>
    <w:rsid w:val="21616763"/>
    <w:rsid w:val="21645399"/>
    <w:rsid w:val="21703D3E"/>
    <w:rsid w:val="21724DA2"/>
    <w:rsid w:val="218003F3"/>
    <w:rsid w:val="21813923"/>
    <w:rsid w:val="21A57AA4"/>
    <w:rsid w:val="21AB746C"/>
    <w:rsid w:val="21BF02D3"/>
    <w:rsid w:val="21BF7A2D"/>
    <w:rsid w:val="21C8676F"/>
    <w:rsid w:val="21CE17E3"/>
    <w:rsid w:val="21D8287C"/>
    <w:rsid w:val="21EA1D4F"/>
    <w:rsid w:val="22000AB5"/>
    <w:rsid w:val="220762CA"/>
    <w:rsid w:val="22091365"/>
    <w:rsid w:val="220B3BD9"/>
    <w:rsid w:val="222D1925"/>
    <w:rsid w:val="22356D36"/>
    <w:rsid w:val="22447136"/>
    <w:rsid w:val="22451BFB"/>
    <w:rsid w:val="22471CDD"/>
    <w:rsid w:val="22631D48"/>
    <w:rsid w:val="229C4172"/>
    <w:rsid w:val="22A26C17"/>
    <w:rsid w:val="22A55C69"/>
    <w:rsid w:val="22B276C6"/>
    <w:rsid w:val="22B93C24"/>
    <w:rsid w:val="22C97BAA"/>
    <w:rsid w:val="22D16DB5"/>
    <w:rsid w:val="22EC6CD2"/>
    <w:rsid w:val="22FC68C8"/>
    <w:rsid w:val="23005595"/>
    <w:rsid w:val="230063DC"/>
    <w:rsid w:val="23220EC8"/>
    <w:rsid w:val="2322375E"/>
    <w:rsid w:val="232C3A31"/>
    <w:rsid w:val="233314C7"/>
    <w:rsid w:val="23396D75"/>
    <w:rsid w:val="2350116A"/>
    <w:rsid w:val="236773C3"/>
    <w:rsid w:val="236D06C9"/>
    <w:rsid w:val="237C5BCD"/>
    <w:rsid w:val="23906919"/>
    <w:rsid w:val="23A41C3B"/>
    <w:rsid w:val="23A960A8"/>
    <w:rsid w:val="23BC51F1"/>
    <w:rsid w:val="23E57DD7"/>
    <w:rsid w:val="23E62605"/>
    <w:rsid w:val="23EA0379"/>
    <w:rsid w:val="2401551A"/>
    <w:rsid w:val="2423778D"/>
    <w:rsid w:val="24305D97"/>
    <w:rsid w:val="244B45EE"/>
    <w:rsid w:val="24507E57"/>
    <w:rsid w:val="24510B78"/>
    <w:rsid w:val="245725B0"/>
    <w:rsid w:val="24577437"/>
    <w:rsid w:val="2468249E"/>
    <w:rsid w:val="247734FB"/>
    <w:rsid w:val="2480111C"/>
    <w:rsid w:val="24860707"/>
    <w:rsid w:val="24977834"/>
    <w:rsid w:val="24A914CD"/>
    <w:rsid w:val="24C23233"/>
    <w:rsid w:val="24D942F0"/>
    <w:rsid w:val="25000A9B"/>
    <w:rsid w:val="250407A2"/>
    <w:rsid w:val="2504136D"/>
    <w:rsid w:val="250747B6"/>
    <w:rsid w:val="251A054F"/>
    <w:rsid w:val="251C4993"/>
    <w:rsid w:val="251E1D03"/>
    <w:rsid w:val="2539119D"/>
    <w:rsid w:val="25463A3E"/>
    <w:rsid w:val="25496098"/>
    <w:rsid w:val="254A5A64"/>
    <w:rsid w:val="255D0A7D"/>
    <w:rsid w:val="257A25F8"/>
    <w:rsid w:val="257D1AD7"/>
    <w:rsid w:val="257F6D97"/>
    <w:rsid w:val="25812A23"/>
    <w:rsid w:val="25936A5F"/>
    <w:rsid w:val="259A75DB"/>
    <w:rsid w:val="25AD2397"/>
    <w:rsid w:val="25B860FE"/>
    <w:rsid w:val="25DC61AB"/>
    <w:rsid w:val="25F960B1"/>
    <w:rsid w:val="25FC7400"/>
    <w:rsid w:val="25FD7B6A"/>
    <w:rsid w:val="262E1543"/>
    <w:rsid w:val="26406D9A"/>
    <w:rsid w:val="265579A6"/>
    <w:rsid w:val="266F1EBF"/>
    <w:rsid w:val="26830982"/>
    <w:rsid w:val="2684148F"/>
    <w:rsid w:val="26881B2A"/>
    <w:rsid w:val="26924756"/>
    <w:rsid w:val="26942940"/>
    <w:rsid w:val="269B7B47"/>
    <w:rsid w:val="269F34FC"/>
    <w:rsid w:val="26A30712"/>
    <w:rsid w:val="26A5586A"/>
    <w:rsid w:val="26C702E7"/>
    <w:rsid w:val="26D56143"/>
    <w:rsid w:val="26D6638D"/>
    <w:rsid w:val="26E54CDB"/>
    <w:rsid w:val="27090EBD"/>
    <w:rsid w:val="270B6B13"/>
    <w:rsid w:val="272555CB"/>
    <w:rsid w:val="273B6FBA"/>
    <w:rsid w:val="274C1F03"/>
    <w:rsid w:val="275A1718"/>
    <w:rsid w:val="27621707"/>
    <w:rsid w:val="27622C6E"/>
    <w:rsid w:val="27654008"/>
    <w:rsid w:val="277B7A78"/>
    <w:rsid w:val="278469CF"/>
    <w:rsid w:val="27870033"/>
    <w:rsid w:val="279D2F44"/>
    <w:rsid w:val="27B04698"/>
    <w:rsid w:val="27BE2EE1"/>
    <w:rsid w:val="27CB239B"/>
    <w:rsid w:val="27D1522C"/>
    <w:rsid w:val="27D668CF"/>
    <w:rsid w:val="27F03E2A"/>
    <w:rsid w:val="27F5546A"/>
    <w:rsid w:val="27F652EA"/>
    <w:rsid w:val="27F85435"/>
    <w:rsid w:val="27FC632B"/>
    <w:rsid w:val="280230C1"/>
    <w:rsid w:val="282D51B1"/>
    <w:rsid w:val="2834380A"/>
    <w:rsid w:val="284555D1"/>
    <w:rsid w:val="285C501C"/>
    <w:rsid w:val="289E5635"/>
    <w:rsid w:val="28AC2ED9"/>
    <w:rsid w:val="28B67FF6"/>
    <w:rsid w:val="28B727C0"/>
    <w:rsid w:val="28BB2B5E"/>
    <w:rsid w:val="28D9666D"/>
    <w:rsid w:val="28E53263"/>
    <w:rsid w:val="28EC1C18"/>
    <w:rsid w:val="28FA6DFA"/>
    <w:rsid w:val="28FD495D"/>
    <w:rsid w:val="290B259E"/>
    <w:rsid w:val="290F6532"/>
    <w:rsid w:val="292024ED"/>
    <w:rsid w:val="292A0397"/>
    <w:rsid w:val="292E22DB"/>
    <w:rsid w:val="293B4780"/>
    <w:rsid w:val="293D4E4D"/>
    <w:rsid w:val="29475CCC"/>
    <w:rsid w:val="294E2269"/>
    <w:rsid w:val="29664F15"/>
    <w:rsid w:val="296C046B"/>
    <w:rsid w:val="298067A1"/>
    <w:rsid w:val="2987570C"/>
    <w:rsid w:val="29A16A53"/>
    <w:rsid w:val="29CE019B"/>
    <w:rsid w:val="29FD1C48"/>
    <w:rsid w:val="2A0E1B3D"/>
    <w:rsid w:val="2A25002F"/>
    <w:rsid w:val="2A3B2255"/>
    <w:rsid w:val="2A3D4434"/>
    <w:rsid w:val="2A463555"/>
    <w:rsid w:val="2A495A74"/>
    <w:rsid w:val="2A4B17EC"/>
    <w:rsid w:val="2A5E1653"/>
    <w:rsid w:val="2A5E2FE1"/>
    <w:rsid w:val="2A65434F"/>
    <w:rsid w:val="2A7372BA"/>
    <w:rsid w:val="2A805BF1"/>
    <w:rsid w:val="2A9A310D"/>
    <w:rsid w:val="2A9B417F"/>
    <w:rsid w:val="2AAE471E"/>
    <w:rsid w:val="2AB46D34"/>
    <w:rsid w:val="2AB63109"/>
    <w:rsid w:val="2AC31FAB"/>
    <w:rsid w:val="2ACA0963"/>
    <w:rsid w:val="2AE36D18"/>
    <w:rsid w:val="2AFA6513"/>
    <w:rsid w:val="2B1B15F8"/>
    <w:rsid w:val="2B2863E5"/>
    <w:rsid w:val="2B6D185F"/>
    <w:rsid w:val="2B6F6908"/>
    <w:rsid w:val="2B8B636C"/>
    <w:rsid w:val="2B96600A"/>
    <w:rsid w:val="2BA72FB4"/>
    <w:rsid w:val="2BC27D07"/>
    <w:rsid w:val="2BC64932"/>
    <w:rsid w:val="2BEB6DE3"/>
    <w:rsid w:val="2BF150F9"/>
    <w:rsid w:val="2BFA7026"/>
    <w:rsid w:val="2BFC59F1"/>
    <w:rsid w:val="2C1B0FB3"/>
    <w:rsid w:val="2C234FD5"/>
    <w:rsid w:val="2C2B6CE8"/>
    <w:rsid w:val="2C444A8F"/>
    <w:rsid w:val="2C4C496C"/>
    <w:rsid w:val="2C4D3598"/>
    <w:rsid w:val="2C5A7434"/>
    <w:rsid w:val="2C6C733C"/>
    <w:rsid w:val="2C7B06C4"/>
    <w:rsid w:val="2C7E3BED"/>
    <w:rsid w:val="2C8F15BF"/>
    <w:rsid w:val="2CA62D0A"/>
    <w:rsid w:val="2CAC10D1"/>
    <w:rsid w:val="2CB52F4D"/>
    <w:rsid w:val="2CBB40B0"/>
    <w:rsid w:val="2CC90714"/>
    <w:rsid w:val="2CCF4538"/>
    <w:rsid w:val="2CD87D14"/>
    <w:rsid w:val="2CDC672B"/>
    <w:rsid w:val="2CDE1CC0"/>
    <w:rsid w:val="2CF33A75"/>
    <w:rsid w:val="2CFF5716"/>
    <w:rsid w:val="2D077D44"/>
    <w:rsid w:val="2D193E0B"/>
    <w:rsid w:val="2D2446D2"/>
    <w:rsid w:val="2D35646E"/>
    <w:rsid w:val="2D416459"/>
    <w:rsid w:val="2D433BF3"/>
    <w:rsid w:val="2D4C1EE7"/>
    <w:rsid w:val="2D5D3ADD"/>
    <w:rsid w:val="2D6E67E5"/>
    <w:rsid w:val="2D6F705E"/>
    <w:rsid w:val="2D7B23E8"/>
    <w:rsid w:val="2D7E3C87"/>
    <w:rsid w:val="2D816F45"/>
    <w:rsid w:val="2DA60AE7"/>
    <w:rsid w:val="2DA95F68"/>
    <w:rsid w:val="2DB2592A"/>
    <w:rsid w:val="2DB8530D"/>
    <w:rsid w:val="2DC723D2"/>
    <w:rsid w:val="2DD65393"/>
    <w:rsid w:val="2DE77D66"/>
    <w:rsid w:val="2DED0823"/>
    <w:rsid w:val="2DFB7085"/>
    <w:rsid w:val="2E2A34C6"/>
    <w:rsid w:val="2E447669"/>
    <w:rsid w:val="2E612A58"/>
    <w:rsid w:val="2EA60904"/>
    <w:rsid w:val="2EA8720E"/>
    <w:rsid w:val="2EAD20CC"/>
    <w:rsid w:val="2EBE2E75"/>
    <w:rsid w:val="2ECC3D6C"/>
    <w:rsid w:val="2ED254F7"/>
    <w:rsid w:val="2ED37BF5"/>
    <w:rsid w:val="2EDF7FDA"/>
    <w:rsid w:val="2EE70873"/>
    <w:rsid w:val="2F076D6F"/>
    <w:rsid w:val="2F0B4992"/>
    <w:rsid w:val="2F0B5006"/>
    <w:rsid w:val="2F191BC1"/>
    <w:rsid w:val="2F1A1A91"/>
    <w:rsid w:val="2F1F57C3"/>
    <w:rsid w:val="2F255896"/>
    <w:rsid w:val="2F274DDC"/>
    <w:rsid w:val="2F2B701F"/>
    <w:rsid w:val="2F37547E"/>
    <w:rsid w:val="2F3905D5"/>
    <w:rsid w:val="2F490DE7"/>
    <w:rsid w:val="2F6904C0"/>
    <w:rsid w:val="2F751470"/>
    <w:rsid w:val="2F796BDB"/>
    <w:rsid w:val="2F8135BA"/>
    <w:rsid w:val="2F907D0E"/>
    <w:rsid w:val="2F970105"/>
    <w:rsid w:val="2FA15A0A"/>
    <w:rsid w:val="2FA74A77"/>
    <w:rsid w:val="2FA84FEB"/>
    <w:rsid w:val="2FB01199"/>
    <w:rsid w:val="2FC83F51"/>
    <w:rsid w:val="2FD26CD6"/>
    <w:rsid w:val="2FF033B3"/>
    <w:rsid w:val="2FFD3161"/>
    <w:rsid w:val="30006BD5"/>
    <w:rsid w:val="300849DC"/>
    <w:rsid w:val="30093CDB"/>
    <w:rsid w:val="300B5DC2"/>
    <w:rsid w:val="300D1068"/>
    <w:rsid w:val="301C58FE"/>
    <w:rsid w:val="30513C27"/>
    <w:rsid w:val="305254BE"/>
    <w:rsid w:val="30646B1C"/>
    <w:rsid w:val="307E2657"/>
    <w:rsid w:val="307E7C81"/>
    <w:rsid w:val="30892AC9"/>
    <w:rsid w:val="309777B1"/>
    <w:rsid w:val="309C320A"/>
    <w:rsid w:val="309D06DC"/>
    <w:rsid w:val="309F63EE"/>
    <w:rsid w:val="30AC77AA"/>
    <w:rsid w:val="30E3647A"/>
    <w:rsid w:val="310444A3"/>
    <w:rsid w:val="310615D0"/>
    <w:rsid w:val="31314381"/>
    <w:rsid w:val="313B073B"/>
    <w:rsid w:val="31793F79"/>
    <w:rsid w:val="31854F2D"/>
    <w:rsid w:val="319A09C5"/>
    <w:rsid w:val="31CA09D5"/>
    <w:rsid w:val="31CB23EC"/>
    <w:rsid w:val="31DB5927"/>
    <w:rsid w:val="31EC0A6D"/>
    <w:rsid w:val="31F2592D"/>
    <w:rsid w:val="31F767B3"/>
    <w:rsid w:val="31FC7249"/>
    <w:rsid w:val="3213237C"/>
    <w:rsid w:val="32166268"/>
    <w:rsid w:val="32206DE6"/>
    <w:rsid w:val="32236E83"/>
    <w:rsid w:val="323808A8"/>
    <w:rsid w:val="323A39E7"/>
    <w:rsid w:val="323C7542"/>
    <w:rsid w:val="323D468B"/>
    <w:rsid w:val="324274CA"/>
    <w:rsid w:val="324413ED"/>
    <w:rsid w:val="326C1BB1"/>
    <w:rsid w:val="327D62BB"/>
    <w:rsid w:val="328035B4"/>
    <w:rsid w:val="32992ECA"/>
    <w:rsid w:val="329A02B3"/>
    <w:rsid w:val="32A55811"/>
    <w:rsid w:val="32C4339B"/>
    <w:rsid w:val="32C723F8"/>
    <w:rsid w:val="32D03B57"/>
    <w:rsid w:val="32FE0A99"/>
    <w:rsid w:val="330728FF"/>
    <w:rsid w:val="331D0738"/>
    <w:rsid w:val="3329076F"/>
    <w:rsid w:val="33316732"/>
    <w:rsid w:val="3335702F"/>
    <w:rsid w:val="33491B2B"/>
    <w:rsid w:val="3349717B"/>
    <w:rsid w:val="334E6B3D"/>
    <w:rsid w:val="33574D5E"/>
    <w:rsid w:val="3360413B"/>
    <w:rsid w:val="336B38EB"/>
    <w:rsid w:val="339D4F1B"/>
    <w:rsid w:val="33A7456F"/>
    <w:rsid w:val="33B709CB"/>
    <w:rsid w:val="33B944F1"/>
    <w:rsid w:val="33C039F3"/>
    <w:rsid w:val="33CB4EA8"/>
    <w:rsid w:val="33D62126"/>
    <w:rsid w:val="33DE722D"/>
    <w:rsid w:val="33FB2306"/>
    <w:rsid w:val="33FE342B"/>
    <w:rsid w:val="34000F51"/>
    <w:rsid w:val="340603EB"/>
    <w:rsid w:val="340842AA"/>
    <w:rsid w:val="3437039D"/>
    <w:rsid w:val="34425A0E"/>
    <w:rsid w:val="34476B80"/>
    <w:rsid w:val="34495489"/>
    <w:rsid w:val="345C52F5"/>
    <w:rsid w:val="346D4150"/>
    <w:rsid w:val="347432CA"/>
    <w:rsid w:val="34745869"/>
    <w:rsid w:val="347C7960"/>
    <w:rsid w:val="34B7692C"/>
    <w:rsid w:val="34C90E81"/>
    <w:rsid w:val="34D523DE"/>
    <w:rsid w:val="34D75753"/>
    <w:rsid w:val="34EA747E"/>
    <w:rsid w:val="34F07218"/>
    <w:rsid w:val="34F32864"/>
    <w:rsid w:val="34F86F82"/>
    <w:rsid w:val="350630EE"/>
    <w:rsid w:val="350B4EE9"/>
    <w:rsid w:val="352852D2"/>
    <w:rsid w:val="35301C7D"/>
    <w:rsid w:val="35307C3C"/>
    <w:rsid w:val="35425910"/>
    <w:rsid w:val="354345FC"/>
    <w:rsid w:val="356433D9"/>
    <w:rsid w:val="35703B55"/>
    <w:rsid w:val="357C3441"/>
    <w:rsid w:val="3598299F"/>
    <w:rsid w:val="359D5252"/>
    <w:rsid w:val="35AD1531"/>
    <w:rsid w:val="35D40299"/>
    <w:rsid w:val="35ED2424"/>
    <w:rsid w:val="36054F45"/>
    <w:rsid w:val="361C7F25"/>
    <w:rsid w:val="362F3A74"/>
    <w:rsid w:val="36504457"/>
    <w:rsid w:val="36787EB4"/>
    <w:rsid w:val="367B4148"/>
    <w:rsid w:val="36812553"/>
    <w:rsid w:val="368A544A"/>
    <w:rsid w:val="36B26808"/>
    <w:rsid w:val="36B8215E"/>
    <w:rsid w:val="36BF45A1"/>
    <w:rsid w:val="36C56E23"/>
    <w:rsid w:val="36C66E7F"/>
    <w:rsid w:val="36CF10AF"/>
    <w:rsid w:val="36D012BC"/>
    <w:rsid w:val="36F705B9"/>
    <w:rsid w:val="36FC4566"/>
    <w:rsid w:val="370B7BEE"/>
    <w:rsid w:val="372238D5"/>
    <w:rsid w:val="375548AE"/>
    <w:rsid w:val="37681B68"/>
    <w:rsid w:val="376D2DA2"/>
    <w:rsid w:val="377F4C3C"/>
    <w:rsid w:val="37823512"/>
    <w:rsid w:val="37A0530B"/>
    <w:rsid w:val="37B5046F"/>
    <w:rsid w:val="37BF218B"/>
    <w:rsid w:val="37C10882"/>
    <w:rsid w:val="37C82ECD"/>
    <w:rsid w:val="37CD14B3"/>
    <w:rsid w:val="37D04FB9"/>
    <w:rsid w:val="37D1291E"/>
    <w:rsid w:val="37E43FEF"/>
    <w:rsid w:val="38025DF4"/>
    <w:rsid w:val="381D7D1D"/>
    <w:rsid w:val="38200DCB"/>
    <w:rsid w:val="382823B7"/>
    <w:rsid w:val="382A26EF"/>
    <w:rsid w:val="382F020F"/>
    <w:rsid w:val="384314FF"/>
    <w:rsid w:val="38436591"/>
    <w:rsid w:val="38482EC7"/>
    <w:rsid w:val="3857338A"/>
    <w:rsid w:val="38573428"/>
    <w:rsid w:val="38615B3F"/>
    <w:rsid w:val="38646BB0"/>
    <w:rsid w:val="38692915"/>
    <w:rsid w:val="38741F0E"/>
    <w:rsid w:val="389E2330"/>
    <w:rsid w:val="38A94937"/>
    <w:rsid w:val="38AB2CA1"/>
    <w:rsid w:val="38BE56C6"/>
    <w:rsid w:val="38D97832"/>
    <w:rsid w:val="38E075A3"/>
    <w:rsid w:val="38E55E71"/>
    <w:rsid w:val="38E935DB"/>
    <w:rsid w:val="38EB4819"/>
    <w:rsid w:val="38F5460B"/>
    <w:rsid w:val="38F60B75"/>
    <w:rsid w:val="38FD3E94"/>
    <w:rsid w:val="39120E35"/>
    <w:rsid w:val="39146C3C"/>
    <w:rsid w:val="39191359"/>
    <w:rsid w:val="39205BF2"/>
    <w:rsid w:val="392379BE"/>
    <w:rsid w:val="3960071B"/>
    <w:rsid w:val="39684EB4"/>
    <w:rsid w:val="397E0D19"/>
    <w:rsid w:val="39B051C8"/>
    <w:rsid w:val="39BD5722"/>
    <w:rsid w:val="39C03F88"/>
    <w:rsid w:val="39CA622A"/>
    <w:rsid w:val="39DC6235"/>
    <w:rsid w:val="39E430C3"/>
    <w:rsid w:val="39F30EC3"/>
    <w:rsid w:val="3A055283"/>
    <w:rsid w:val="3A156036"/>
    <w:rsid w:val="3A2F07E2"/>
    <w:rsid w:val="3A30545C"/>
    <w:rsid w:val="3A3A0F35"/>
    <w:rsid w:val="3A4122C4"/>
    <w:rsid w:val="3A444605"/>
    <w:rsid w:val="3A50591E"/>
    <w:rsid w:val="3A524858"/>
    <w:rsid w:val="3A706705"/>
    <w:rsid w:val="3A843F8B"/>
    <w:rsid w:val="3AA727CF"/>
    <w:rsid w:val="3AC87B2B"/>
    <w:rsid w:val="3ACB643D"/>
    <w:rsid w:val="3ACD4F63"/>
    <w:rsid w:val="3ADC26FC"/>
    <w:rsid w:val="3AE92EF2"/>
    <w:rsid w:val="3AF85078"/>
    <w:rsid w:val="3AFE3587"/>
    <w:rsid w:val="3B123F63"/>
    <w:rsid w:val="3B236456"/>
    <w:rsid w:val="3B243030"/>
    <w:rsid w:val="3B2B4E85"/>
    <w:rsid w:val="3B2C4D22"/>
    <w:rsid w:val="3B40257B"/>
    <w:rsid w:val="3B497682"/>
    <w:rsid w:val="3B5C4823"/>
    <w:rsid w:val="3B602C1D"/>
    <w:rsid w:val="3B776CDA"/>
    <w:rsid w:val="3B7F25C0"/>
    <w:rsid w:val="3B8566A9"/>
    <w:rsid w:val="3B9052B1"/>
    <w:rsid w:val="3B9C3260"/>
    <w:rsid w:val="3BA32A78"/>
    <w:rsid w:val="3BD847F6"/>
    <w:rsid w:val="3BDE1061"/>
    <w:rsid w:val="3BE64ED1"/>
    <w:rsid w:val="3BE950C5"/>
    <w:rsid w:val="3BF15847"/>
    <w:rsid w:val="3C23024F"/>
    <w:rsid w:val="3C385555"/>
    <w:rsid w:val="3C452797"/>
    <w:rsid w:val="3C48242F"/>
    <w:rsid w:val="3C4E6BDF"/>
    <w:rsid w:val="3C613EA5"/>
    <w:rsid w:val="3C7249B6"/>
    <w:rsid w:val="3C763519"/>
    <w:rsid w:val="3C7E7E4E"/>
    <w:rsid w:val="3C8C1F1C"/>
    <w:rsid w:val="3C8D359E"/>
    <w:rsid w:val="3C905550"/>
    <w:rsid w:val="3CAD59EE"/>
    <w:rsid w:val="3CD13DD3"/>
    <w:rsid w:val="3CD236A7"/>
    <w:rsid w:val="3CD72A6B"/>
    <w:rsid w:val="3CE358B4"/>
    <w:rsid w:val="3CE44398"/>
    <w:rsid w:val="3D0F04C0"/>
    <w:rsid w:val="3D3B57CD"/>
    <w:rsid w:val="3D436202"/>
    <w:rsid w:val="3D4C5207"/>
    <w:rsid w:val="3D4F2F4A"/>
    <w:rsid w:val="3D540560"/>
    <w:rsid w:val="3D594611"/>
    <w:rsid w:val="3D8D4180"/>
    <w:rsid w:val="3D9F1C31"/>
    <w:rsid w:val="3D9F5C7F"/>
    <w:rsid w:val="3DA55459"/>
    <w:rsid w:val="3DC70D32"/>
    <w:rsid w:val="3DDD6685"/>
    <w:rsid w:val="3E021D6A"/>
    <w:rsid w:val="3E1807B2"/>
    <w:rsid w:val="3E1C2E2C"/>
    <w:rsid w:val="3E2C671A"/>
    <w:rsid w:val="3E391FB4"/>
    <w:rsid w:val="3E402B40"/>
    <w:rsid w:val="3E435DE7"/>
    <w:rsid w:val="3E4827C7"/>
    <w:rsid w:val="3E516F06"/>
    <w:rsid w:val="3E66195E"/>
    <w:rsid w:val="3E78202C"/>
    <w:rsid w:val="3E832EAB"/>
    <w:rsid w:val="3E8837E0"/>
    <w:rsid w:val="3EB07A18"/>
    <w:rsid w:val="3EB43064"/>
    <w:rsid w:val="3EC139D3"/>
    <w:rsid w:val="3ECF60F0"/>
    <w:rsid w:val="3EE55913"/>
    <w:rsid w:val="3EE768AB"/>
    <w:rsid w:val="3F2B7977"/>
    <w:rsid w:val="3F425250"/>
    <w:rsid w:val="3F5B0FCF"/>
    <w:rsid w:val="3F781034"/>
    <w:rsid w:val="3F8E28E2"/>
    <w:rsid w:val="3F915B31"/>
    <w:rsid w:val="3FAB205B"/>
    <w:rsid w:val="3FDA19DC"/>
    <w:rsid w:val="3FE6509A"/>
    <w:rsid w:val="3FEB6F5A"/>
    <w:rsid w:val="3FF447B9"/>
    <w:rsid w:val="3FF62059"/>
    <w:rsid w:val="40073CB1"/>
    <w:rsid w:val="400A2976"/>
    <w:rsid w:val="400D40FB"/>
    <w:rsid w:val="400F7F20"/>
    <w:rsid w:val="40224BB0"/>
    <w:rsid w:val="40296AF8"/>
    <w:rsid w:val="402B158F"/>
    <w:rsid w:val="402B166C"/>
    <w:rsid w:val="40425ADD"/>
    <w:rsid w:val="405006D8"/>
    <w:rsid w:val="406D434D"/>
    <w:rsid w:val="406E0DAD"/>
    <w:rsid w:val="40837449"/>
    <w:rsid w:val="408A71CE"/>
    <w:rsid w:val="409024B1"/>
    <w:rsid w:val="40AD2461"/>
    <w:rsid w:val="40AD6163"/>
    <w:rsid w:val="40B91190"/>
    <w:rsid w:val="40BA66CD"/>
    <w:rsid w:val="40D21E6C"/>
    <w:rsid w:val="40D43E92"/>
    <w:rsid w:val="40D93256"/>
    <w:rsid w:val="40E67721"/>
    <w:rsid w:val="40E83499"/>
    <w:rsid w:val="40F05018"/>
    <w:rsid w:val="40FE0F0E"/>
    <w:rsid w:val="410A340F"/>
    <w:rsid w:val="410D576B"/>
    <w:rsid w:val="41123B24"/>
    <w:rsid w:val="41161732"/>
    <w:rsid w:val="411A1436"/>
    <w:rsid w:val="412A1D04"/>
    <w:rsid w:val="412F08A6"/>
    <w:rsid w:val="413D7FC0"/>
    <w:rsid w:val="415E1ED8"/>
    <w:rsid w:val="41673C9E"/>
    <w:rsid w:val="41727207"/>
    <w:rsid w:val="417B255F"/>
    <w:rsid w:val="417D374A"/>
    <w:rsid w:val="418015D5"/>
    <w:rsid w:val="41994673"/>
    <w:rsid w:val="41A009AA"/>
    <w:rsid w:val="41AE4A0A"/>
    <w:rsid w:val="41C55588"/>
    <w:rsid w:val="41D35EF7"/>
    <w:rsid w:val="41DB1250"/>
    <w:rsid w:val="41DB2FFE"/>
    <w:rsid w:val="41E42FB0"/>
    <w:rsid w:val="41F525C5"/>
    <w:rsid w:val="422A0C1B"/>
    <w:rsid w:val="42392F35"/>
    <w:rsid w:val="42530B88"/>
    <w:rsid w:val="42661737"/>
    <w:rsid w:val="42742392"/>
    <w:rsid w:val="42892A5A"/>
    <w:rsid w:val="428E7FDB"/>
    <w:rsid w:val="42950A96"/>
    <w:rsid w:val="42A10C13"/>
    <w:rsid w:val="42A14052"/>
    <w:rsid w:val="42B307DD"/>
    <w:rsid w:val="42B96EDC"/>
    <w:rsid w:val="42BE5EF8"/>
    <w:rsid w:val="42C27D1A"/>
    <w:rsid w:val="42C615B8"/>
    <w:rsid w:val="42DF70EC"/>
    <w:rsid w:val="42F442C9"/>
    <w:rsid w:val="42FC3467"/>
    <w:rsid w:val="431F6F1A"/>
    <w:rsid w:val="433F3032"/>
    <w:rsid w:val="43635059"/>
    <w:rsid w:val="43697F90"/>
    <w:rsid w:val="43712856"/>
    <w:rsid w:val="437F640E"/>
    <w:rsid w:val="43BA7AD7"/>
    <w:rsid w:val="43BB14EB"/>
    <w:rsid w:val="43C55D14"/>
    <w:rsid w:val="43C74F1E"/>
    <w:rsid w:val="43D84759"/>
    <w:rsid w:val="43DD19F2"/>
    <w:rsid w:val="43E07EFE"/>
    <w:rsid w:val="4400139F"/>
    <w:rsid w:val="440700DA"/>
    <w:rsid w:val="44112D07"/>
    <w:rsid w:val="443044ED"/>
    <w:rsid w:val="44392CD7"/>
    <w:rsid w:val="443C5C6E"/>
    <w:rsid w:val="443E502D"/>
    <w:rsid w:val="444E7AB7"/>
    <w:rsid w:val="445350CD"/>
    <w:rsid w:val="445D7FCE"/>
    <w:rsid w:val="4465189E"/>
    <w:rsid w:val="447137A5"/>
    <w:rsid w:val="4475773A"/>
    <w:rsid w:val="448922C7"/>
    <w:rsid w:val="448E4344"/>
    <w:rsid w:val="449A6E75"/>
    <w:rsid w:val="44A660D0"/>
    <w:rsid w:val="44AA6558"/>
    <w:rsid w:val="44CF4FE1"/>
    <w:rsid w:val="44E762FE"/>
    <w:rsid w:val="44F543D6"/>
    <w:rsid w:val="44FB4555"/>
    <w:rsid w:val="44FD4773"/>
    <w:rsid w:val="45091347"/>
    <w:rsid w:val="4528733F"/>
    <w:rsid w:val="453B4A05"/>
    <w:rsid w:val="4541761C"/>
    <w:rsid w:val="454D5FC1"/>
    <w:rsid w:val="45603CCA"/>
    <w:rsid w:val="456F7DEA"/>
    <w:rsid w:val="458B53D4"/>
    <w:rsid w:val="458B6AE9"/>
    <w:rsid w:val="459B4F7E"/>
    <w:rsid w:val="459D2CDC"/>
    <w:rsid w:val="45B053CC"/>
    <w:rsid w:val="45B61450"/>
    <w:rsid w:val="45C63752"/>
    <w:rsid w:val="45E25473"/>
    <w:rsid w:val="45F269CE"/>
    <w:rsid w:val="45F31AA8"/>
    <w:rsid w:val="45F7318B"/>
    <w:rsid w:val="45F8515B"/>
    <w:rsid w:val="45F97E91"/>
    <w:rsid w:val="461915B6"/>
    <w:rsid w:val="46222FA9"/>
    <w:rsid w:val="46394F03"/>
    <w:rsid w:val="463960B3"/>
    <w:rsid w:val="464B2CF6"/>
    <w:rsid w:val="464D3AEC"/>
    <w:rsid w:val="464F7B16"/>
    <w:rsid w:val="46552DB5"/>
    <w:rsid w:val="46636CB2"/>
    <w:rsid w:val="46671304"/>
    <w:rsid w:val="46787EE8"/>
    <w:rsid w:val="467934F8"/>
    <w:rsid w:val="467C469B"/>
    <w:rsid w:val="468B6907"/>
    <w:rsid w:val="4694599F"/>
    <w:rsid w:val="469A445E"/>
    <w:rsid w:val="469C3FEF"/>
    <w:rsid w:val="46A9191C"/>
    <w:rsid w:val="46AB61C5"/>
    <w:rsid w:val="46C027C2"/>
    <w:rsid w:val="46DD70D4"/>
    <w:rsid w:val="46E60A17"/>
    <w:rsid w:val="46E7034F"/>
    <w:rsid w:val="46E7412F"/>
    <w:rsid w:val="47044350"/>
    <w:rsid w:val="4708018A"/>
    <w:rsid w:val="47094169"/>
    <w:rsid w:val="47122797"/>
    <w:rsid w:val="47241AEF"/>
    <w:rsid w:val="47546734"/>
    <w:rsid w:val="476D644D"/>
    <w:rsid w:val="478E6941"/>
    <w:rsid w:val="47A70934"/>
    <w:rsid w:val="47CC77D1"/>
    <w:rsid w:val="47CD110C"/>
    <w:rsid w:val="47CF559E"/>
    <w:rsid w:val="47E91A04"/>
    <w:rsid w:val="480C149A"/>
    <w:rsid w:val="48341D70"/>
    <w:rsid w:val="48352BE5"/>
    <w:rsid w:val="48371AE1"/>
    <w:rsid w:val="48601324"/>
    <w:rsid w:val="4867383D"/>
    <w:rsid w:val="487D3DFF"/>
    <w:rsid w:val="48855264"/>
    <w:rsid w:val="4896583C"/>
    <w:rsid w:val="489A776F"/>
    <w:rsid w:val="489F6626"/>
    <w:rsid w:val="48B23416"/>
    <w:rsid w:val="48B704BD"/>
    <w:rsid w:val="48BA396D"/>
    <w:rsid w:val="48CD6A58"/>
    <w:rsid w:val="48CE3611"/>
    <w:rsid w:val="48D615A9"/>
    <w:rsid w:val="48DB796D"/>
    <w:rsid w:val="48F772C6"/>
    <w:rsid w:val="49061802"/>
    <w:rsid w:val="491130C3"/>
    <w:rsid w:val="491721EF"/>
    <w:rsid w:val="49261002"/>
    <w:rsid w:val="494B6697"/>
    <w:rsid w:val="494F1069"/>
    <w:rsid w:val="495C2C76"/>
    <w:rsid w:val="49723C33"/>
    <w:rsid w:val="4989273E"/>
    <w:rsid w:val="49892ABF"/>
    <w:rsid w:val="49956F37"/>
    <w:rsid w:val="499E1082"/>
    <w:rsid w:val="49B55DC7"/>
    <w:rsid w:val="49C32CF5"/>
    <w:rsid w:val="49CD5C25"/>
    <w:rsid w:val="49CE7914"/>
    <w:rsid w:val="49EC4860"/>
    <w:rsid w:val="49F2303F"/>
    <w:rsid w:val="4A1A4DD7"/>
    <w:rsid w:val="4A2C15EC"/>
    <w:rsid w:val="4A307267"/>
    <w:rsid w:val="4A3B1560"/>
    <w:rsid w:val="4A4726A0"/>
    <w:rsid w:val="4A5676C5"/>
    <w:rsid w:val="4A58168F"/>
    <w:rsid w:val="4A693776"/>
    <w:rsid w:val="4A7E5DC0"/>
    <w:rsid w:val="4A8A663F"/>
    <w:rsid w:val="4A9057D9"/>
    <w:rsid w:val="4A9B25C6"/>
    <w:rsid w:val="4AA93421"/>
    <w:rsid w:val="4AB80380"/>
    <w:rsid w:val="4ABA40F8"/>
    <w:rsid w:val="4AC86B0B"/>
    <w:rsid w:val="4ACF7478"/>
    <w:rsid w:val="4ADD3943"/>
    <w:rsid w:val="4AEB6468"/>
    <w:rsid w:val="4AF07B1A"/>
    <w:rsid w:val="4AF8077D"/>
    <w:rsid w:val="4AFD4C19"/>
    <w:rsid w:val="4B0170B3"/>
    <w:rsid w:val="4B14473D"/>
    <w:rsid w:val="4B2431C9"/>
    <w:rsid w:val="4B4371B2"/>
    <w:rsid w:val="4B4F4CB2"/>
    <w:rsid w:val="4B7B0569"/>
    <w:rsid w:val="4B867F1B"/>
    <w:rsid w:val="4B9138FA"/>
    <w:rsid w:val="4BB9130B"/>
    <w:rsid w:val="4BC07D6D"/>
    <w:rsid w:val="4BC468B1"/>
    <w:rsid w:val="4BDC00E5"/>
    <w:rsid w:val="4BE156B5"/>
    <w:rsid w:val="4BE21B40"/>
    <w:rsid w:val="4BEE249A"/>
    <w:rsid w:val="4BF0317E"/>
    <w:rsid w:val="4C0A13AD"/>
    <w:rsid w:val="4C0C0983"/>
    <w:rsid w:val="4C0D0B95"/>
    <w:rsid w:val="4C174BC7"/>
    <w:rsid w:val="4C4A1A42"/>
    <w:rsid w:val="4C653BF0"/>
    <w:rsid w:val="4C6775B3"/>
    <w:rsid w:val="4C6C071C"/>
    <w:rsid w:val="4C771616"/>
    <w:rsid w:val="4C7B34A5"/>
    <w:rsid w:val="4C7D29BC"/>
    <w:rsid w:val="4C936E06"/>
    <w:rsid w:val="4C9C20E5"/>
    <w:rsid w:val="4CA233B2"/>
    <w:rsid w:val="4CA95044"/>
    <w:rsid w:val="4CBE1802"/>
    <w:rsid w:val="4CD44A07"/>
    <w:rsid w:val="4CE849E2"/>
    <w:rsid w:val="4CE90D02"/>
    <w:rsid w:val="4CED0DC7"/>
    <w:rsid w:val="4CEE62DB"/>
    <w:rsid w:val="4CF05FF5"/>
    <w:rsid w:val="4CF30211"/>
    <w:rsid w:val="4D0B386F"/>
    <w:rsid w:val="4D236608"/>
    <w:rsid w:val="4D2505A4"/>
    <w:rsid w:val="4D296DE9"/>
    <w:rsid w:val="4D31441A"/>
    <w:rsid w:val="4D5819A6"/>
    <w:rsid w:val="4D592D83"/>
    <w:rsid w:val="4D5F2D35"/>
    <w:rsid w:val="4D6B792C"/>
    <w:rsid w:val="4D926C66"/>
    <w:rsid w:val="4DBC2F09"/>
    <w:rsid w:val="4DCD4B34"/>
    <w:rsid w:val="4DEF40B9"/>
    <w:rsid w:val="4DF649CD"/>
    <w:rsid w:val="4E105DDD"/>
    <w:rsid w:val="4E1F6036"/>
    <w:rsid w:val="4E2B543A"/>
    <w:rsid w:val="4E41223A"/>
    <w:rsid w:val="4E480A40"/>
    <w:rsid w:val="4E4F68D0"/>
    <w:rsid w:val="4E696187"/>
    <w:rsid w:val="4E6E21B5"/>
    <w:rsid w:val="4E721165"/>
    <w:rsid w:val="4E764744"/>
    <w:rsid w:val="4E922C96"/>
    <w:rsid w:val="4E95248C"/>
    <w:rsid w:val="4E964534"/>
    <w:rsid w:val="4E995740"/>
    <w:rsid w:val="4EA16333"/>
    <w:rsid w:val="4EA22FD6"/>
    <w:rsid w:val="4EBB333D"/>
    <w:rsid w:val="4ED212E5"/>
    <w:rsid w:val="4ED65279"/>
    <w:rsid w:val="4EEE7EE9"/>
    <w:rsid w:val="4EF7422B"/>
    <w:rsid w:val="4F103D15"/>
    <w:rsid w:val="4F147BB7"/>
    <w:rsid w:val="4F1D6A04"/>
    <w:rsid w:val="4F2307E8"/>
    <w:rsid w:val="4F2F1B87"/>
    <w:rsid w:val="4F3B1580"/>
    <w:rsid w:val="4F4911FD"/>
    <w:rsid w:val="4F5F4528"/>
    <w:rsid w:val="4F66068E"/>
    <w:rsid w:val="4F7C0F21"/>
    <w:rsid w:val="4F7C19ED"/>
    <w:rsid w:val="4F870321"/>
    <w:rsid w:val="4F905428"/>
    <w:rsid w:val="4F9B6548"/>
    <w:rsid w:val="4FA84815"/>
    <w:rsid w:val="4FEC7DC2"/>
    <w:rsid w:val="4FFF6109"/>
    <w:rsid w:val="500736FD"/>
    <w:rsid w:val="501A2F43"/>
    <w:rsid w:val="501F09EA"/>
    <w:rsid w:val="50304C03"/>
    <w:rsid w:val="503C6F0D"/>
    <w:rsid w:val="505E1082"/>
    <w:rsid w:val="505F30B9"/>
    <w:rsid w:val="50610B72"/>
    <w:rsid w:val="50830C96"/>
    <w:rsid w:val="50917212"/>
    <w:rsid w:val="50940A9E"/>
    <w:rsid w:val="50A34F31"/>
    <w:rsid w:val="50A92A8E"/>
    <w:rsid w:val="50AB70DB"/>
    <w:rsid w:val="50B153AA"/>
    <w:rsid w:val="50BF11F1"/>
    <w:rsid w:val="50C77B70"/>
    <w:rsid w:val="50D41344"/>
    <w:rsid w:val="50E40542"/>
    <w:rsid w:val="50FE1161"/>
    <w:rsid w:val="510252AD"/>
    <w:rsid w:val="51187EF6"/>
    <w:rsid w:val="51226553"/>
    <w:rsid w:val="514C35BA"/>
    <w:rsid w:val="514D03DE"/>
    <w:rsid w:val="51640305"/>
    <w:rsid w:val="5169540C"/>
    <w:rsid w:val="516E471B"/>
    <w:rsid w:val="518A40F8"/>
    <w:rsid w:val="51A36383"/>
    <w:rsid w:val="51BA2C30"/>
    <w:rsid w:val="51BC0559"/>
    <w:rsid w:val="51E04D7D"/>
    <w:rsid w:val="51E90E1F"/>
    <w:rsid w:val="51FE0445"/>
    <w:rsid w:val="520D5800"/>
    <w:rsid w:val="521E5743"/>
    <w:rsid w:val="521E5B87"/>
    <w:rsid w:val="52252A35"/>
    <w:rsid w:val="5229684F"/>
    <w:rsid w:val="522F282A"/>
    <w:rsid w:val="52324044"/>
    <w:rsid w:val="52481132"/>
    <w:rsid w:val="52556A8E"/>
    <w:rsid w:val="525941F7"/>
    <w:rsid w:val="525A11D0"/>
    <w:rsid w:val="52614E59"/>
    <w:rsid w:val="527C486D"/>
    <w:rsid w:val="52846D9A"/>
    <w:rsid w:val="52906BB5"/>
    <w:rsid w:val="52923265"/>
    <w:rsid w:val="529E7E5B"/>
    <w:rsid w:val="52AE35F5"/>
    <w:rsid w:val="52AF2D02"/>
    <w:rsid w:val="52D26919"/>
    <w:rsid w:val="52D64620"/>
    <w:rsid w:val="52D66B95"/>
    <w:rsid w:val="52D9391F"/>
    <w:rsid w:val="52F024CE"/>
    <w:rsid w:val="52F945F3"/>
    <w:rsid w:val="530002C1"/>
    <w:rsid w:val="53041B9B"/>
    <w:rsid w:val="5321043D"/>
    <w:rsid w:val="5329349B"/>
    <w:rsid w:val="532E0F45"/>
    <w:rsid w:val="533A2D5A"/>
    <w:rsid w:val="534B7774"/>
    <w:rsid w:val="534C78B7"/>
    <w:rsid w:val="534F73A8"/>
    <w:rsid w:val="535C0D29"/>
    <w:rsid w:val="535E4CFA"/>
    <w:rsid w:val="536359E4"/>
    <w:rsid w:val="53700101"/>
    <w:rsid w:val="537806AC"/>
    <w:rsid w:val="53830363"/>
    <w:rsid w:val="53897FB5"/>
    <w:rsid w:val="53923E52"/>
    <w:rsid w:val="539420EC"/>
    <w:rsid w:val="53A15E20"/>
    <w:rsid w:val="53A50811"/>
    <w:rsid w:val="53B20260"/>
    <w:rsid w:val="53BB526A"/>
    <w:rsid w:val="53C03E02"/>
    <w:rsid w:val="53CA61A7"/>
    <w:rsid w:val="53D04386"/>
    <w:rsid w:val="53D4535D"/>
    <w:rsid w:val="53D860A1"/>
    <w:rsid w:val="53F57E46"/>
    <w:rsid w:val="53F841D2"/>
    <w:rsid w:val="541E4C8F"/>
    <w:rsid w:val="54223DBD"/>
    <w:rsid w:val="54297BF9"/>
    <w:rsid w:val="54327CAC"/>
    <w:rsid w:val="5453096B"/>
    <w:rsid w:val="54604111"/>
    <w:rsid w:val="54607796"/>
    <w:rsid w:val="546C6BBE"/>
    <w:rsid w:val="54763601"/>
    <w:rsid w:val="54915321"/>
    <w:rsid w:val="549C3BA0"/>
    <w:rsid w:val="54AA6F8B"/>
    <w:rsid w:val="54CE7ECB"/>
    <w:rsid w:val="54DF1E2E"/>
    <w:rsid w:val="54E3249D"/>
    <w:rsid w:val="54EF43AE"/>
    <w:rsid w:val="54F201FD"/>
    <w:rsid w:val="55206694"/>
    <w:rsid w:val="55360023"/>
    <w:rsid w:val="555549E1"/>
    <w:rsid w:val="55805816"/>
    <w:rsid w:val="55850574"/>
    <w:rsid w:val="558E3B9C"/>
    <w:rsid w:val="559F6F42"/>
    <w:rsid w:val="55A439DB"/>
    <w:rsid w:val="55A84A3B"/>
    <w:rsid w:val="55C23E61"/>
    <w:rsid w:val="55C309A3"/>
    <w:rsid w:val="55CA0D6F"/>
    <w:rsid w:val="55D046BA"/>
    <w:rsid w:val="55D86683"/>
    <w:rsid w:val="55F54236"/>
    <w:rsid w:val="55F63D2B"/>
    <w:rsid w:val="55F94148"/>
    <w:rsid w:val="561C0F0B"/>
    <w:rsid w:val="561D3333"/>
    <w:rsid w:val="562C1781"/>
    <w:rsid w:val="56312D95"/>
    <w:rsid w:val="56535BFC"/>
    <w:rsid w:val="56590E87"/>
    <w:rsid w:val="5664037E"/>
    <w:rsid w:val="56683C63"/>
    <w:rsid w:val="56705FB3"/>
    <w:rsid w:val="567C04B4"/>
    <w:rsid w:val="56922545"/>
    <w:rsid w:val="569F5991"/>
    <w:rsid w:val="56A30DFB"/>
    <w:rsid w:val="56BA538D"/>
    <w:rsid w:val="56BF65F2"/>
    <w:rsid w:val="56D73EE2"/>
    <w:rsid w:val="570438C7"/>
    <w:rsid w:val="570C6C73"/>
    <w:rsid w:val="5713118C"/>
    <w:rsid w:val="571F7F84"/>
    <w:rsid w:val="57366DFD"/>
    <w:rsid w:val="575350D1"/>
    <w:rsid w:val="575B27BF"/>
    <w:rsid w:val="57790E97"/>
    <w:rsid w:val="57843511"/>
    <w:rsid w:val="57AB3370"/>
    <w:rsid w:val="57C245EC"/>
    <w:rsid w:val="57C641F3"/>
    <w:rsid w:val="57C92055"/>
    <w:rsid w:val="57D840FC"/>
    <w:rsid w:val="57F23498"/>
    <w:rsid w:val="57F93BFB"/>
    <w:rsid w:val="58097572"/>
    <w:rsid w:val="580C1D0B"/>
    <w:rsid w:val="58133EC7"/>
    <w:rsid w:val="58167A0C"/>
    <w:rsid w:val="58275552"/>
    <w:rsid w:val="582B1999"/>
    <w:rsid w:val="582F1556"/>
    <w:rsid w:val="582F516C"/>
    <w:rsid w:val="58311772"/>
    <w:rsid w:val="58324F0E"/>
    <w:rsid w:val="583424A4"/>
    <w:rsid w:val="5836135E"/>
    <w:rsid w:val="58761D2A"/>
    <w:rsid w:val="589F481B"/>
    <w:rsid w:val="58A27750"/>
    <w:rsid w:val="58A315BC"/>
    <w:rsid w:val="58A352C2"/>
    <w:rsid w:val="58BC75CD"/>
    <w:rsid w:val="58D4304E"/>
    <w:rsid w:val="58DB276C"/>
    <w:rsid w:val="58E8573E"/>
    <w:rsid w:val="58EC770E"/>
    <w:rsid w:val="58F641C2"/>
    <w:rsid w:val="58FE1762"/>
    <w:rsid w:val="59015FD1"/>
    <w:rsid w:val="5910461E"/>
    <w:rsid w:val="591A2206"/>
    <w:rsid w:val="5920155D"/>
    <w:rsid w:val="59253609"/>
    <w:rsid w:val="593037D7"/>
    <w:rsid w:val="59305431"/>
    <w:rsid w:val="59311EB5"/>
    <w:rsid w:val="59341EF9"/>
    <w:rsid w:val="59436A93"/>
    <w:rsid w:val="594A0877"/>
    <w:rsid w:val="59521926"/>
    <w:rsid w:val="59626DD3"/>
    <w:rsid w:val="59672AD2"/>
    <w:rsid w:val="596F28CC"/>
    <w:rsid w:val="59701683"/>
    <w:rsid w:val="59734651"/>
    <w:rsid w:val="59922628"/>
    <w:rsid w:val="59AA6AEB"/>
    <w:rsid w:val="59CD4F62"/>
    <w:rsid w:val="59E02120"/>
    <w:rsid w:val="59E0274A"/>
    <w:rsid w:val="59E668A4"/>
    <w:rsid w:val="59EC7CCA"/>
    <w:rsid w:val="59F87C2A"/>
    <w:rsid w:val="59FB3DE5"/>
    <w:rsid w:val="5A040EEC"/>
    <w:rsid w:val="5A134EEC"/>
    <w:rsid w:val="5A262620"/>
    <w:rsid w:val="5A53777D"/>
    <w:rsid w:val="5A557999"/>
    <w:rsid w:val="5A7127CF"/>
    <w:rsid w:val="5A7208BA"/>
    <w:rsid w:val="5A8C2C8F"/>
    <w:rsid w:val="5A8D4595"/>
    <w:rsid w:val="5AD3266C"/>
    <w:rsid w:val="5AF91420"/>
    <w:rsid w:val="5AFE2CF6"/>
    <w:rsid w:val="5B07707F"/>
    <w:rsid w:val="5B0E1E02"/>
    <w:rsid w:val="5B247B83"/>
    <w:rsid w:val="5B2555BE"/>
    <w:rsid w:val="5B361287"/>
    <w:rsid w:val="5B3A1127"/>
    <w:rsid w:val="5B404CF2"/>
    <w:rsid w:val="5B563831"/>
    <w:rsid w:val="5B5764E9"/>
    <w:rsid w:val="5B583C22"/>
    <w:rsid w:val="5B637E94"/>
    <w:rsid w:val="5B73752C"/>
    <w:rsid w:val="5B925457"/>
    <w:rsid w:val="5BA43FB8"/>
    <w:rsid w:val="5BAC2F25"/>
    <w:rsid w:val="5BAE1CBD"/>
    <w:rsid w:val="5BB413CA"/>
    <w:rsid w:val="5BB5058D"/>
    <w:rsid w:val="5BB769A3"/>
    <w:rsid w:val="5BBE42B3"/>
    <w:rsid w:val="5BC31412"/>
    <w:rsid w:val="5BCF3B8A"/>
    <w:rsid w:val="5BDE751B"/>
    <w:rsid w:val="5BE0108F"/>
    <w:rsid w:val="5BE020B6"/>
    <w:rsid w:val="5BF22FC6"/>
    <w:rsid w:val="5BF63819"/>
    <w:rsid w:val="5C125416"/>
    <w:rsid w:val="5C142F3C"/>
    <w:rsid w:val="5C1C6235"/>
    <w:rsid w:val="5C291CD6"/>
    <w:rsid w:val="5C30522C"/>
    <w:rsid w:val="5C4C79FE"/>
    <w:rsid w:val="5C514E2F"/>
    <w:rsid w:val="5C550A93"/>
    <w:rsid w:val="5C602626"/>
    <w:rsid w:val="5C741C2D"/>
    <w:rsid w:val="5C8A1451"/>
    <w:rsid w:val="5CBB785C"/>
    <w:rsid w:val="5CDA59E5"/>
    <w:rsid w:val="5CE6420C"/>
    <w:rsid w:val="5CE80538"/>
    <w:rsid w:val="5CE9261B"/>
    <w:rsid w:val="5CE961C3"/>
    <w:rsid w:val="5D110E7F"/>
    <w:rsid w:val="5D1333C5"/>
    <w:rsid w:val="5D213E83"/>
    <w:rsid w:val="5D2A7F73"/>
    <w:rsid w:val="5D2E007F"/>
    <w:rsid w:val="5D327B1E"/>
    <w:rsid w:val="5D335644"/>
    <w:rsid w:val="5D4246D2"/>
    <w:rsid w:val="5D59186F"/>
    <w:rsid w:val="5D5F496D"/>
    <w:rsid w:val="5D635F29"/>
    <w:rsid w:val="5D683D03"/>
    <w:rsid w:val="5D6D4FFA"/>
    <w:rsid w:val="5D6E3541"/>
    <w:rsid w:val="5D8604F9"/>
    <w:rsid w:val="5D873194"/>
    <w:rsid w:val="5DBA7F3F"/>
    <w:rsid w:val="5DD46E27"/>
    <w:rsid w:val="5DE352BC"/>
    <w:rsid w:val="5DF459C6"/>
    <w:rsid w:val="5E361890"/>
    <w:rsid w:val="5E3D49CC"/>
    <w:rsid w:val="5E597FA8"/>
    <w:rsid w:val="5E680F4B"/>
    <w:rsid w:val="5E750075"/>
    <w:rsid w:val="5E7A33AF"/>
    <w:rsid w:val="5E990428"/>
    <w:rsid w:val="5EAE7497"/>
    <w:rsid w:val="5ECC1EF5"/>
    <w:rsid w:val="5EE27322"/>
    <w:rsid w:val="5EF7302C"/>
    <w:rsid w:val="5F053010"/>
    <w:rsid w:val="5F064BBF"/>
    <w:rsid w:val="5F083F22"/>
    <w:rsid w:val="5F183DED"/>
    <w:rsid w:val="5F271841"/>
    <w:rsid w:val="5F2876A7"/>
    <w:rsid w:val="5F2B62A9"/>
    <w:rsid w:val="5F5521EA"/>
    <w:rsid w:val="5F6A361C"/>
    <w:rsid w:val="5F7505BB"/>
    <w:rsid w:val="5F8B5C0B"/>
    <w:rsid w:val="5F906D7E"/>
    <w:rsid w:val="5F942D12"/>
    <w:rsid w:val="5F9A7BFD"/>
    <w:rsid w:val="5FA62A45"/>
    <w:rsid w:val="5FAD0FD9"/>
    <w:rsid w:val="5FB66C13"/>
    <w:rsid w:val="5FBA3DFB"/>
    <w:rsid w:val="5FCA5213"/>
    <w:rsid w:val="5FD52B74"/>
    <w:rsid w:val="5FDC35AC"/>
    <w:rsid w:val="5FE07D05"/>
    <w:rsid w:val="601A0DFF"/>
    <w:rsid w:val="60275934"/>
    <w:rsid w:val="603032C3"/>
    <w:rsid w:val="603C4E5C"/>
    <w:rsid w:val="604279B4"/>
    <w:rsid w:val="604319E8"/>
    <w:rsid w:val="60546516"/>
    <w:rsid w:val="60570521"/>
    <w:rsid w:val="605906E9"/>
    <w:rsid w:val="60675D31"/>
    <w:rsid w:val="607C77C3"/>
    <w:rsid w:val="60857F4C"/>
    <w:rsid w:val="608B0DFC"/>
    <w:rsid w:val="608B370B"/>
    <w:rsid w:val="60A76116"/>
    <w:rsid w:val="60AD137E"/>
    <w:rsid w:val="60B37500"/>
    <w:rsid w:val="60B46CDE"/>
    <w:rsid w:val="60B75483"/>
    <w:rsid w:val="60B90BEE"/>
    <w:rsid w:val="60C05441"/>
    <w:rsid w:val="60C72C73"/>
    <w:rsid w:val="60D66A94"/>
    <w:rsid w:val="60E3072E"/>
    <w:rsid w:val="60E4120D"/>
    <w:rsid w:val="60F976FE"/>
    <w:rsid w:val="60FD48E7"/>
    <w:rsid w:val="61043B5B"/>
    <w:rsid w:val="6108012D"/>
    <w:rsid w:val="6115669F"/>
    <w:rsid w:val="611759A9"/>
    <w:rsid w:val="611E5D12"/>
    <w:rsid w:val="6121784B"/>
    <w:rsid w:val="612873AD"/>
    <w:rsid w:val="61383034"/>
    <w:rsid w:val="61491ADD"/>
    <w:rsid w:val="614E5143"/>
    <w:rsid w:val="616301FF"/>
    <w:rsid w:val="616F5A41"/>
    <w:rsid w:val="617A0FD8"/>
    <w:rsid w:val="6193411C"/>
    <w:rsid w:val="61962B01"/>
    <w:rsid w:val="61AC42AE"/>
    <w:rsid w:val="61D03DA9"/>
    <w:rsid w:val="61D10D05"/>
    <w:rsid w:val="61EA042B"/>
    <w:rsid w:val="61F22181"/>
    <w:rsid w:val="62033C66"/>
    <w:rsid w:val="622814F0"/>
    <w:rsid w:val="62286FE3"/>
    <w:rsid w:val="6243457B"/>
    <w:rsid w:val="62533142"/>
    <w:rsid w:val="6254734E"/>
    <w:rsid w:val="625B4B63"/>
    <w:rsid w:val="62620EA5"/>
    <w:rsid w:val="62683FE2"/>
    <w:rsid w:val="626F24C5"/>
    <w:rsid w:val="627008ED"/>
    <w:rsid w:val="62783CD3"/>
    <w:rsid w:val="628050E8"/>
    <w:rsid w:val="628364F0"/>
    <w:rsid w:val="628E1C9B"/>
    <w:rsid w:val="629514C2"/>
    <w:rsid w:val="62BB137D"/>
    <w:rsid w:val="62DB7E9B"/>
    <w:rsid w:val="62F95A77"/>
    <w:rsid w:val="630176ED"/>
    <w:rsid w:val="630E7059"/>
    <w:rsid w:val="630F26B0"/>
    <w:rsid w:val="63171525"/>
    <w:rsid w:val="631A1780"/>
    <w:rsid w:val="63217375"/>
    <w:rsid w:val="63292BEF"/>
    <w:rsid w:val="636243FB"/>
    <w:rsid w:val="63626C83"/>
    <w:rsid w:val="63627A46"/>
    <w:rsid w:val="636C6E3A"/>
    <w:rsid w:val="637F4788"/>
    <w:rsid w:val="63877481"/>
    <w:rsid w:val="638B1213"/>
    <w:rsid w:val="63956724"/>
    <w:rsid w:val="63BC11BC"/>
    <w:rsid w:val="63BE035D"/>
    <w:rsid w:val="63CD698F"/>
    <w:rsid w:val="63D538F9"/>
    <w:rsid w:val="63DF399F"/>
    <w:rsid w:val="63E13192"/>
    <w:rsid w:val="63E44E96"/>
    <w:rsid w:val="63EC0B3B"/>
    <w:rsid w:val="63F172BF"/>
    <w:rsid w:val="64011D0F"/>
    <w:rsid w:val="640B407C"/>
    <w:rsid w:val="640E75F5"/>
    <w:rsid w:val="641165AA"/>
    <w:rsid w:val="641A3615"/>
    <w:rsid w:val="64397EC6"/>
    <w:rsid w:val="64570756"/>
    <w:rsid w:val="6457085E"/>
    <w:rsid w:val="646F1658"/>
    <w:rsid w:val="6475642E"/>
    <w:rsid w:val="6488096B"/>
    <w:rsid w:val="64924E6B"/>
    <w:rsid w:val="64927373"/>
    <w:rsid w:val="649E577B"/>
    <w:rsid w:val="64B047E8"/>
    <w:rsid w:val="64B61035"/>
    <w:rsid w:val="64C704DE"/>
    <w:rsid w:val="64DF335C"/>
    <w:rsid w:val="64E04304"/>
    <w:rsid w:val="64E80E78"/>
    <w:rsid w:val="64EC0FB4"/>
    <w:rsid w:val="64F174DC"/>
    <w:rsid w:val="65077AE2"/>
    <w:rsid w:val="652756F1"/>
    <w:rsid w:val="654752AE"/>
    <w:rsid w:val="655F3EEF"/>
    <w:rsid w:val="657273FA"/>
    <w:rsid w:val="65872A65"/>
    <w:rsid w:val="658919A5"/>
    <w:rsid w:val="6596047E"/>
    <w:rsid w:val="65A71C4F"/>
    <w:rsid w:val="65AF7B26"/>
    <w:rsid w:val="65C14135"/>
    <w:rsid w:val="65DA3F3F"/>
    <w:rsid w:val="65E23342"/>
    <w:rsid w:val="65FB6053"/>
    <w:rsid w:val="660946E5"/>
    <w:rsid w:val="662D4C42"/>
    <w:rsid w:val="664408C2"/>
    <w:rsid w:val="664A2373"/>
    <w:rsid w:val="664A70DE"/>
    <w:rsid w:val="669347BE"/>
    <w:rsid w:val="669677D7"/>
    <w:rsid w:val="66A17B01"/>
    <w:rsid w:val="66A650D9"/>
    <w:rsid w:val="66BB0C31"/>
    <w:rsid w:val="66BC11AE"/>
    <w:rsid w:val="66C20165"/>
    <w:rsid w:val="66C832A1"/>
    <w:rsid w:val="66E26104"/>
    <w:rsid w:val="66F86F52"/>
    <w:rsid w:val="67073DC9"/>
    <w:rsid w:val="67116F27"/>
    <w:rsid w:val="671D602A"/>
    <w:rsid w:val="672101E2"/>
    <w:rsid w:val="67230643"/>
    <w:rsid w:val="672905D0"/>
    <w:rsid w:val="6729121C"/>
    <w:rsid w:val="6767777D"/>
    <w:rsid w:val="677E05AB"/>
    <w:rsid w:val="67825AAD"/>
    <w:rsid w:val="67825B87"/>
    <w:rsid w:val="67982C74"/>
    <w:rsid w:val="67A13710"/>
    <w:rsid w:val="67CA63FA"/>
    <w:rsid w:val="67E1461B"/>
    <w:rsid w:val="67FD18BB"/>
    <w:rsid w:val="68091D99"/>
    <w:rsid w:val="681C1AF7"/>
    <w:rsid w:val="68242759"/>
    <w:rsid w:val="683461D8"/>
    <w:rsid w:val="683B0973"/>
    <w:rsid w:val="68676685"/>
    <w:rsid w:val="686A3AA5"/>
    <w:rsid w:val="686E53FD"/>
    <w:rsid w:val="68703350"/>
    <w:rsid w:val="687738E2"/>
    <w:rsid w:val="688143EF"/>
    <w:rsid w:val="68815DFE"/>
    <w:rsid w:val="688D02FE"/>
    <w:rsid w:val="68A230E0"/>
    <w:rsid w:val="68C5263E"/>
    <w:rsid w:val="68EB6D22"/>
    <w:rsid w:val="68F97578"/>
    <w:rsid w:val="69147E90"/>
    <w:rsid w:val="69423E5F"/>
    <w:rsid w:val="696C085C"/>
    <w:rsid w:val="69733998"/>
    <w:rsid w:val="69855479"/>
    <w:rsid w:val="698B1A33"/>
    <w:rsid w:val="698E7FCA"/>
    <w:rsid w:val="699878A2"/>
    <w:rsid w:val="699A38FE"/>
    <w:rsid w:val="699F29DF"/>
    <w:rsid w:val="69A1722F"/>
    <w:rsid w:val="69AD0D78"/>
    <w:rsid w:val="69B61AD7"/>
    <w:rsid w:val="69D04AA7"/>
    <w:rsid w:val="69D41F5D"/>
    <w:rsid w:val="69E95A08"/>
    <w:rsid w:val="69F2763C"/>
    <w:rsid w:val="69F309C8"/>
    <w:rsid w:val="69F87808"/>
    <w:rsid w:val="6A2904FB"/>
    <w:rsid w:val="6A2D077C"/>
    <w:rsid w:val="6A503CD9"/>
    <w:rsid w:val="6A5F5CCB"/>
    <w:rsid w:val="6A7327BB"/>
    <w:rsid w:val="6A8E6EF3"/>
    <w:rsid w:val="6AA47B81"/>
    <w:rsid w:val="6AAE1415"/>
    <w:rsid w:val="6AB37038"/>
    <w:rsid w:val="6AC74D6B"/>
    <w:rsid w:val="6AEB0552"/>
    <w:rsid w:val="6AF24D0D"/>
    <w:rsid w:val="6B1A5800"/>
    <w:rsid w:val="6B211820"/>
    <w:rsid w:val="6B3057ED"/>
    <w:rsid w:val="6B3F7229"/>
    <w:rsid w:val="6B421B61"/>
    <w:rsid w:val="6B633598"/>
    <w:rsid w:val="6B677C3B"/>
    <w:rsid w:val="6B695DBE"/>
    <w:rsid w:val="6B7D44BE"/>
    <w:rsid w:val="6B7F3733"/>
    <w:rsid w:val="6B842586"/>
    <w:rsid w:val="6B877A77"/>
    <w:rsid w:val="6B9163AC"/>
    <w:rsid w:val="6BA73122"/>
    <w:rsid w:val="6BB834B8"/>
    <w:rsid w:val="6BBB4C02"/>
    <w:rsid w:val="6BEB000C"/>
    <w:rsid w:val="6BFB49EB"/>
    <w:rsid w:val="6C057A4F"/>
    <w:rsid w:val="6C073351"/>
    <w:rsid w:val="6C0B435C"/>
    <w:rsid w:val="6C303DC2"/>
    <w:rsid w:val="6C321A9C"/>
    <w:rsid w:val="6C4904F9"/>
    <w:rsid w:val="6C675B9F"/>
    <w:rsid w:val="6C847851"/>
    <w:rsid w:val="6C8A2BFE"/>
    <w:rsid w:val="6C8D3BBF"/>
    <w:rsid w:val="6C8D5649"/>
    <w:rsid w:val="6CAB6EFD"/>
    <w:rsid w:val="6CB23970"/>
    <w:rsid w:val="6CB72B48"/>
    <w:rsid w:val="6CD85898"/>
    <w:rsid w:val="6CDA3190"/>
    <w:rsid w:val="6CDF4E4F"/>
    <w:rsid w:val="6CE26421"/>
    <w:rsid w:val="6CEE1F9C"/>
    <w:rsid w:val="6CF50B68"/>
    <w:rsid w:val="6CF82BFD"/>
    <w:rsid w:val="6D050DAB"/>
    <w:rsid w:val="6D0F72C4"/>
    <w:rsid w:val="6D254FA9"/>
    <w:rsid w:val="6D262AD0"/>
    <w:rsid w:val="6D2B6797"/>
    <w:rsid w:val="6D2D5C52"/>
    <w:rsid w:val="6D3952C8"/>
    <w:rsid w:val="6D5059C1"/>
    <w:rsid w:val="6D527259"/>
    <w:rsid w:val="6D572E2F"/>
    <w:rsid w:val="6D5C5AB8"/>
    <w:rsid w:val="6D5D61C8"/>
    <w:rsid w:val="6D644DEA"/>
    <w:rsid w:val="6D697C12"/>
    <w:rsid w:val="6D77157D"/>
    <w:rsid w:val="6D7A6A86"/>
    <w:rsid w:val="6D8671D0"/>
    <w:rsid w:val="6D8D0DA1"/>
    <w:rsid w:val="6D9E51B6"/>
    <w:rsid w:val="6DB5789D"/>
    <w:rsid w:val="6DC20A4A"/>
    <w:rsid w:val="6DDA21C1"/>
    <w:rsid w:val="6DEF55B7"/>
    <w:rsid w:val="6DF57072"/>
    <w:rsid w:val="6E120BB4"/>
    <w:rsid w:val="6E12138B"/>
    <w:rsid w:val="6E126C6E"/>
    <w:rsid w:val="6E17642C"/>
    <w:rsid w:val="6E28165F"/>
    <w:rsid w:val="6E4F6B06"/>
    <w:rsid w:val="6E612366"/>
    <w:rsid w:val="6E62055E"/>
    <w:rsid w:val="6E623FDB"/>
    <w:rsid w:val="6E677844"/>
    <w:rsid w:val="6E6B7334"/>
    <w:rsid w:val="6E6E0BD2"/>
    <w:rsid w:val="6E71421E"/>
    <w:rsid w:val="6E7779D1"/>
    <w:rsid w:val="6E7A1325"/>
    <w:rsid w:val="6E7D3C18"/>
    <w:rsid w:val="6E88234B"/>
    <w:rsid w:val="6E971ED7"/>
    <w:rsid w:val="6EB42461"/>
    <w:rsid w:val="6EB70C74"/>
    <w:rsid w:val="6EC10552"/>
    <w:rsid w:val="6EC837FC"/>
    <w:rsid w:val="6EDF562C"/>
    <w:rsid w:val="6EE462F6"/>
    <w:rsid w:val="6F04156A"/>
    <w:rsid w:val="6F062BB9"/>
    <w:rsid w:val="6F1D72B1"/>
    <w:rsid w:val="6F1E0E23"/>
    <w:rsid w:val="6F1E66D4"/>
    <w:rsid w:val="6F2B7065"/>
    <w:rsid w:val="6F4E0E04"/>
    <w:rsid w:val="6F557240"/>
    <w:rsid w:val="6F562E77"/>
    <w:rsid w:val="6F60676D"/>
    <w:rsid w:val="6F6124E5"/>
    <w:rsid w:val="6F745266"/>
    <w:rsid w:val="6F83245B"/>
    <w:rsid w:val="6F8C7562"/>
    <w:rsid w:val="6F911144"/>
    <w:rsid w:val="6F9E21AC"/>
    <w:rsid w:val="6FA308E5"/>
    <w:rsid w:val="6FC72626"/>
    <w:rsid w:val="6FCD176A"/>
    <w:rsid w:val="6FCF4955"/>
    <w:rsid w:val="6FEB0415"/>
    <w:rsid w:val="6FEB1E8D"/>
    <w:rsid w:val="6FFB658D"/>
    <w:rsid w:val="70082960"/>
    <w:rsid w:val="700B67CD"/>
    <w:rsid w:val="702037C2"/>
    <w:rsid w:val="702A7989"/>
    <w:rsid w:val="70341DAF"/>
    <w:rsid w:val="70397CCC"/>
    <w:rsid w:val="703A5210"/>
    <w:rsid w:val="703C2C82"/>
    <w:rsid w:val="70481646"/>
    <w:rsid w:val="7066335F"/>
    <w:rsid w:val="706933FF"/>
    <w:rsid w:val="70696CC6"/>
    <w:rsid w:val="707017EA"/>
    <w:rsid w:val="70716758"/>
    <w:rsid w:val="7073547E"/>
    <w:rsid w:val="709E387E"/>
    <w:rsid w:val="70AE0A30"/>
    <w:rsid w:val="70B77A6C"/>
    <w:rsid w:val="70BB31BE"/>
    <w:rsid w:val="70D13979"/>
    <w:rsid w:val="70D3024E"/>
    <w:rsid w:val="70D50A94"/>
    <w:rsid w:val="70E8780D"/>
    <w:rsid w:val="7113524B"/>
    <w:rsid w:val="71155335"/>
    <w:rsid w:val="7121017E"/>
    <w:rsid w:val="71277ED3"/>
    <w:rsid w:val="71402523"/>
    <w:rsid w:val="71477B61"/>
    <w:rsid w:val="714F4CEB"/>
    <w:rsid w:val="71750972"/>
    <w:rsid w:val="718A0C20"/>
    <w:rsid w:val="718B55F7"/>
    <w:rsid w:val="71900E5F"/>
    <w:rsid w:val="71AA1C7F"/>
    <w:rsid w:val="71B13859"/>
    <w:rsid w:val="71E34218"/>
    <w:rsid w:val="71E5668C"/>
    <w:rsid w:val="71EC42E8"/>
    <w:rsid w:val="71ED7B45"/>
    <w:rsid w:val="71EF7BFE"/>
    <w:rsid w:val="71F612B6"/>
    <w:rsid w:val="71F726EC"/>
    <w:rsid w:val="72227D09"/>
    <w:rsid w:val="72253C9E"/>
    <w:rsid w:val="72364DBA"/>
    <w:rsid w:val="724B58A5"/>
    <w:rsid w:val="72546E92"/>
    <w:rsid w:val="72591570"/>
    <w:rsid w:val="726059C5"/>
    <w:rsid w:val="728269FA"/>
    <w:rsid w:val="72916071"/>
    <w:rsid w:val="72972D8D"/>
    <w:rsid w:val="729A51A4"/>
    <w:rsid w:val="72AA368A"/>
    <w:rsid w:val="72AD3CED"/>
    <w:rsid w:val="72BD5C84"/>
    <w:rsid w:val="72CD3655"/>
    <w:rsid w:val="72D336FA"/>
    <w:rsid w:val="72D60EAF"/>
    <w:rsid w:val="72E43646"/>
    <w:rsid w:val="72E80977"/>
    <w:rsid w:val="730437CD"/>
    <w:rsid w:val="730C532F"/>
    <w:rsid w:val="731210DF"/>
    <w:rsid w:val="73155AC0"/>
    <w:rsid w:val="731E1550"/>
    <w:rsid w:val="73352D41"/>
    <w:rsid w:val="73353290"/>
    <w:rsid w:val="73463ECB"/>
    <w:rsid w:val="734B21B2"/>
    <w:rsid w:val="7360384F"/>
    <w:rsid w:val="7374707A"/>
    <w:rsid w:val="73856C0D"/>
    <w:rsid w:val="7386076C"/>
    <w:rsid w:val="738910EC"/>
    <w:rsid w:val="739013F2"/>
    <w:rsid w:val="73B75D00"/>
    <w:rsid w:val="73B76B77"/>
    <w:rsid w:val="73B82192"/>
    <w:rsid w:val="73B82FEB"/>
    <w:rsid w:val="73C170C0"/>
    <w:rsid w:val="73D414D7"/>
    <w:rsid w:val="73E62FB9"/>
    <w:rsid w:val="73ED4695"/>
    <w:rsid w:val="73F428A8"/>
    <w:rsid w:val="74057771"/>
    <w:rsid w:val="74251D33"/>
    <w:rsid w:val="742C14B2"/>
    <w:rsid w:val="74324450"/>
    <w:rsid w:val="745A130C"/>
    <w:rsid w:val="74702B29"/>
    <w:rsid w:val="7476258E"/>
    <w:rsid w:val="74796107"/>
    <w:rsid w:val="747B7BA5"/>
    <w:rsid w:val="747F58D1"/>
    <w:rsid w:val="74872E38"/>
    <w:rsid w:val="74915FCF"/>
    <w:rsid w:val="74CC6652"/>
    <w:rsid w:val="74D5201B"/>
    <w:rsid w:val="74DE2DFA"/>
    <w:rsid w:val="74DE3C4D"/>
    <w:rsid w:val="74E2767B"/>
    <w:rsid w:val="74E6074D"/>
    <w:rsid w:val="74F65FDA"/>
    <w:rsid w:val="75243AE6"/>
    <w:rsid w:val="752E736B"/>
    <w:rsid w:val="75382A29"/>
    <w:rsid w:val="753B6CF8"/>
    <w:rsid w:val="755662E6"/>
    <w:rsid w:val="755F1656"/>
    <w:rsid w:val="75683D8D"/>
    <w:rsid w:val="756D0649"/>
    <w:rsid w:val="75956CE5"/>
    <w:rsid w:val="75996A06"/>
    <w:rsid w:val="75A073F5"/>
    <w:rsid w:val="75D27A20"/>
    <w:rsid w:val="75DB5378"/>
    <w:rsid w:val="75E1612D"/>
    <w:rsid w:val="75E35A02"/>
    <w:rsid w:val="75F82347"/>
    <w:rsid w:val="75FA49E1"/>
    <w:rsid w:val="76004806"/>
    <w:rsid w:val="760B6BF6"/>
    <w:rsid w:val="76201FB0"/>
    <w:rsid w:val="76261C39"/>
    <w:rsid w:val="76372875"/>
    <w:rsid w:val="76460374"/>
    <w:rsid w:val="76522B87"/>
    <w:rsid w:val="766267C6"/>
    <w:rsid w:val="76642B11"/>
    <w:rsid w:val="766F48A1"/>
    <w:rsid w:val="76872831"/>
    <w:rsid w:val="769B486A"/>
    <w:rsid w:val="76AA4771"/>
    <w:rsid w:val="76AC04E9"/>
    <w:rsid w:val="76BF7BA8"/>
    <w:rsid w:val="76CA08B0"/>
    <w:rsid w:val="76D461CD"/>
    <w:rsid w:val="76E11650"/>
    <w:rsid w:val="76EF5772"/>
    <w:rsid w:val="76F32D18"/>
    <w:rsid w:val="76FD32AE"/>
    <w:rsid w:val="76FD6F97"/>
    <w:rsid w:val="77174171"/>
    <w:rsid w:val="77316E81"/>
    <w:rsid w:val="774E334F"/>
    <w:rsid w:val="7767317B"/>
    <w:rsid w:val="77785EA7"/>
    <w:rsid w:val="778A74D5"/>
    <w:rsid w:val="7791037F"/>
    <w:rsid w:val="779D6084"/>
    <w:rsid w:val="779F1DFC"/>
    <w:rsid w:val="77A33573"/>
    <w:rsid w:val="77AB3E88"/>
    <w:rsid w:val="77C655DB"/>
    <w:rsid w:val="77C910F6"/>
    <w:rsid w:val="77D2622F"/>
    <w:rsid w:val="77DA156D"/>
    <w:rsid w:val="77E65C7D"/>
    <w:rsid w:val="77EC4224"/>
    <w:rsid w:val="77EF5926"/>
    <w:rsid w:val="77F27C88"/>
    <w:rsid w:val="780659D7"/>
    <w:rsid w:val="781562D4"/>
    <w:rsid w:val="78197A8A"/>
    <w:rsid w:val="7830700A"/>
    <w:rsid w:val="78412EB3"/>
    <w:rsid w:val="78414C61"/>
    <w:rsid w:val="784D4488"/>
    <w:rsid w:val="78525B31"/>
    <w:rsid w:val="78570929"/>
    <w:rsid w:val="785B1C6B"/>
    <w:rsid w:val="785B3F75"/>
    <w:rsid w:val="787178A1"/>
    <w:rsid w:val="78733A3D"/>
    <w:rsid w:val="78E0447A"/>
    <w:rsid w:val="78EA3ABB"/>
    <w:rsid w:val="78EE6B97"/>
    <w:rsid w:val="78EE7F6D"/>
    <w:rsid w:val="78F10436"/>
    <w:rsid w:val="78F16688"/>
    <w:rsid w:val="790939D1"/>
    <w:rsid w:val="790A04C8"/>
    <w:rsid w:val="790E1ADC"/>
    <w:rsid w:val="7922750B"/>
    <w:rsid w:val="793A6280"/>
    <w:rsid w:val="79464C25"/>
    <w:rsid w:val="79470CC5"/>
    <w:rsid w:val="79573DF9"/>
    <w:rsid w:val="795B139E"/>
    <w:rsid w:val="796E6514"/>
    <w:rsid w:val="797006AC"/>
    <w:rsid w:val="797775C4"/>
    <w:rsid w:val="798017B9"/>
    <w:rsid w:val="79806502"/>
    <w:rsid w:val="79900F81"/>
    <w:rsid w:val="7993773F"/>
    <w:rsid w:val="799D73EF"/>
    <w:rsid w:val="79B01290"/>
    <w:rsid w:val="79D7587D"/>
    <w:rsid w:val="79E93803"/>
    <w:rsid w:val="79FD2BF5"/>
    <w:rsid w:val="79FE4645"/>
    <w:rsid w:val="7A164EBD"/>
    <w:rsid w:val="7A220E60"/>
    <w:rsid w:val="7A2B3E1B"/>
    <w:rsid w:val="7A4C33A6"/>
    <w:rsid w:val="7A8809AF"/>
    <w:rsid w:val="7A896674"/>
    <w:rsid w:val="7A8A7945"/>
    <w:rsid w:val="7A8C48BA"/>
    <w:rsid w:val="7A9E639B"/>
    <w:rsid w:val="7AAA2921"/>
    <w:rsid w:val="7AAA632D"/>
    <w:rsid w:val="7AB709C6"/>
    <w:rsid w:val="7AB94F83"/>
    <w:rsid w:val="7ACF1EDC"/>
    <w:rsid w:val="7AD15F82"/>
    <w:rsid w:val="7AD26045"/>
    <w:rsid w:val="7ADA3941"/>
    <w:rsid w:val="7ADA6646"/>
    <w:rsid w:val="7AE035BA"/>
    <w:rsid w:val="7AE110F9"/>
    <w:rsid w:val="7AE71AF0"/>
    <w:rsid w:val="7AF41306"/>
    <w:rsid w:val="7AF65111"/>
    <w:rsid w:val="7B086655"/>
    <w:rsid w:val="7B137599"/>
    <w:rsid w:val="7B3C2F9A"/>
    <w:rsid w:val="7B476A33"/>
    <w:rsid w:val="7B4909FD"/>
    <w:rsid w:val="7B8B0774"/>
    <w:rsid w:val="7BA37F1B"/>
    <w:rsid w:val="7BAE0860"/>
    <w:rsid w:val="7BCF3758"/>
    <w:rsid w:val="7BCF5A1B"/>
    <w:rsid w:val="7BDE2F09"/>
    <w:rsid w:val="7BE61DA8"/>
    <w:rsid w:val="7BEB07A9"/>
    <w:rsid w:val="7C0B7A60"/>
    <w:rsid w:val="7C12462D"/>
    <w:rsid w:val="7C224B62"/>
    <w:rsid w:val="7C353417"/>
    <w:rsid w:val="7C3D1771"/>
    <w:rsid w:val="7C4E4324"/>
    <w:rsid w:val="7C662832"/>
    <w:rsid w:val="7C715507"/>
    <w:rsid w:val="7C8F68E3"/>
    <w:rsid w:val="7CB812FC"/>
    <w:rsid w:val="7CBC6FAC"/>
    <w:rsid w:val="7CE8757F"/>
    <w:rsid w:val="7CF303C9"/>
    <w:rsid w:val="7CF63AFF"/>
    <w:rsid w:val="7D004B75"/>
    <w:rsid w:val="7D0739CE"/>
    <w:rsid w:val="7D0D73AE"/>
    <w:rsid w:val="7D116E38"/>
    <w:rsid w:val="7D2E29A0"/>
    <w:rsid w:val="7D341573"/>
    <w:rsid w:val="7D3A4C1D"/>
    <w:rsid w:val="7D58555C"/>
    <w:rsid w:val="7D5A5B33"/>
    <w:rsid w:val="7D6C6949"/>
    <w:rsid w:val="7D6D362A"/>
    <w:rsid w:val="7D871368"/>
    <w:rsid w:val="7DA55F5D"/>
    <w:rsid w:val="7DA84E29"/>
    <w:rsid w:val="7DB90387"/>
    <w:rsid w:val="7DC44621"/>
    <w:rsid w:val="7DC516BB"/>
    <w:rsid w:val="7DD00CD2"/>
    <w:rsid w:val="7DEB5D9B"/>
    <w:rsid w:val="7DF07AA7"/>
    <w:rsid w:val="7E0B2525"/>
    <w:rsid w:val="7E0E72E0"/>
    <w:rsid w:val="7E1218D7"/>
    <w:rsid w:val="7E2412AD"/>
    <w:rsid w:val="7E271B1A"/>
    <w:rsid w:val="7E370FE0"/>
    <w:rsid w:val="7E432633"/>
    <w:rsid w:val="7E4F632A"/>
    <w:rsid w:val="7E53011B"/>
    <w:rsid w:val="7E5C3C91"/>
    <w:rsid w:val="7E6A6BA6"/>
    <w:rsid w:val="7E6C2B10"/>
    <w:rsid w:val="7E7572D1"/>
    <w:rsid w:val="7E773BAB"/>
    <w:rsid w:val="7E791E85"/>
    <w:rsid w:val="7E8A5B44"/>
    <w:rsid w:val="7E920A44"/>
    <w:rsid w:val="7EAF0B77"/>
    <w:rsid w:val="7EB97524"/>
    <w:rsid w:val="7EBC3294"/>
    <w:rsid w:val="7EC30AC6"/>
    <w:rsid w:val="7EC60B58"/>
    <w:rsid w:val="7ECC4362"/>
    <w:rsid w:val="7EFB0E4A"/>
    <w:rsid w:val="7EFE0548"/>
    <w:rsid w:val="7F0703CE"/>
    <w:rsid w:val="7F0B2451"/>
    <w:rsid w:val="7F460101"/>
    <w:rsid w:val="7F533672"/>
    <w:rsid w:val="7F536A7C"/>
    <w:rsid w:val="7F5565A1"/>
    <w:rsid w:val="7F5B485B"/>
    <w:rsid w:val="7F624CD3"/>
    <w:rsid w:val="7F651B7D"/>
    <w:rsid w:val="7F67392E"/>
    <w:rsid w:val="7F6C5237"/>
    <w:rsid w:val="7F7C245A"/>
    <w:rsid w:val="7F875650"/>
    <w:rsid w:val="7F8F6857"/>
    <w:rsid w:val="7FA66E49"/>
    <w:rsid w:val="7FAA791E"/>
    <w:rsid w:val="7FBE4DEA"/>
    <w:rsid w:val="7FD35BD6"/>
    <w:rsid w:val="7FD438C0"/>
    <w:rsid w:val="7FD86545"/>
    <w:rsid w:val="7FDB2DF4"/>
    <w:rsid w:val="7FDB6F9C"/>
    <w:rsid w:val="7FF014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8"/>
    <w:qFormat/>
    <w:uiPriority w:val="0"/>
    <w:pPr>
      <w:keepNext/>
      <w:keepLines/>
      <w:spacing w:before="340" w:after="330" w:line="576" w:lineRule="auto"/>
      <w:outlineLvl w:val="0"/>
    </w:pPr>
    <w:rPr>
      <w:b/>
      <w:kern w:val="44"/>
      <w:sz w:val="44"/>
    </w:rPr>
  </w:style>
  <w:style w:type="paragraph" w:styleId="3">
    <w:name w:val="heading 2"/>
    <w:basedOn w:val="1"/>
    <w:next w:val="1"/>
    <w:link w:val="69"/>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0"/>
    <w:qFormat/>
    <w:uiPriority w:val="0"/>
    <w:pPr>
      <w:keepNext/>
      <w:keepLines/>
      <w:spacing w:before="260" w:after="260" w:line="413" w:lineRule="auto"/>
      <w:outlineLvl w:val="2"/>
    </w:pPr>
    <w:rPr>
      <w:b/>
      <w:sz w:val="32"/>
    </w:rPr>
  </w:style>
  <w:style w:type="paragraph" w:styleId="5">
    <w:name w:val="heading 4"/>
    <w:basedOn w:val="1"/>
    <w:next w:val="1"/>
    <w:link w:val="71"/>
    <w:qFormat/>
    <w:uiPriority w:val="0"/>
    <w:pPr>
      <w:keepNext/>
      <w:keepLines/>
      <w:spacing w:line="360" w:lineRule="auto"/>
      <w:outlineLvl w:val="3"/>
    </w:pPr>
    <w:rPr>
      <w:rFonts w:ascii="Arial" w:hAnsi="Arial"/>
      <w:b/>
    </w:rPr>
  </w:style>
  <w:style w:type="paragraph" w:styleId="6">
    <w:name w:val="heading 5"/>
    <w:basedOn w:val="1"/>
    <w:next w:val="1"/>
    <w:link w:val="72"/>
    <w:qFormat/>
    <w:uiPriority w:val="0"/>
    <w:pPr>
      <w:keepNext/>
      <w:keepLines/>
      <w:spacing w:before="280" w:after="290" w:line="372" w:lineRule="auto"/>
      <w:outlineLvl w:val="4"/>
    </w:pPr>
    <w:rPr>
      <w:rFonts w:ascii="Calibri" w:hAnsi="Calibri"/>
      <w:b/>
      <w:bCs/>
      <w:sz w:val="28"/>
      <w:szCs w:val="28"/>
    </w:rPr>
  </w:style>
  <w:style w:type="paragraph" w:styleId="7">
    <w:name w:val="heading 6"/>
    <w:basedOn w:val="1"/>
    <w:next w:val="1"/>
    <w:link w:val="73"/>
    <w:qFormat/>
    <w:uiPriority w:val="0"/>
    <w:pPr>
      <w:keepNext/>
      <w:keepLines/>
      <w:spacing w:before="240" w:after="64" w:line="317" w:lineRule="auto"/>
      <w:outlineLvl w:val="5"/>
    </w:pPr>
    <w:rPr>
      <w:rFonts w:ascii="Cambria" w:hAnsi="Cambria"/>
      <w:b/>
      <w:bCs/>
      <w:sz w:val="24"/>
      <w:szCs w:val="24"/>
    </w:rPr>
  </w:style>
  <w:style w:type="paragraph" w:styleId="8">
    <w:name w:val="heading 7"/>
    <w:basedOn w:val="1"/>
    <w:next w:val="1"/>
    <w:link w:val="74"/>
    <w:qFormat/>
    <w:uiPriority w:val="0"/>
    <w:pPr>
      <w:keepNext/>
      <w:keepLines/>
      <w:spacing w:before="240" w:after="64" w:line="317" w:lineRule="auto"/>
      <w:outlineLvl w:val="6"/>
    </w:pPr>
    <w:rPr>
      <w:rFonts w:ascii="Calibri" w:hAnsi="Calibri"/>
      <w:b/>
      <w:bCs/>
      <w:sz w:val="24"/>
      <w:szCs w:val="24"/>
    </w:rPr>
  </w:style>
  <w:style w:type="paragraph" w:styleId="9">
    <w:name w:val="heading 8"/>
    <w:basedOn w:val="1"/>
    <w:next w:val="1"/>
    <w:link w:val="75"/>
    <w:qFormat/>
    <w:uiPriority w:val="0"/>
    <w:pPr>
      <w:keepNext/>
      <w:keepLines/>
      <w:spacing w:before="240" w:after="64" w:line="317" w:lineRule="auto"/>
      <w:outlineLvl w:val="7"/>
    </w:pPr>
    <w:rPr>
      <w:rFonts w:ascii="Cambria" w:hAnsi="Cambria"/>
      <w:sz w:val="24"/>
      <w:szCs w:val="24"/>
    </w:rPr>
  </w:style>
  <w:style w:type="paragraph" w:styleId="10">
    <w:name w:val="heading 9"/>
    <w:basedOn w:val="1"/>
    <w:next w:val="1"/>
    <w:link w:val="76"/>
    <w:qFormat/>
    <w:uiPriority w:val="0"/>
    <w:pPr>
      <w:keepNext/>
      <w:keepLines/>
      <w:spacing w:before="240" w:after="64" w:line="317" w:lineRule="auto"/>
      <w:outlineLvl w:val="8"/>
    </w:pPr>
    <w:rPr>
      <w:rFonts w:ascii="Cambria" w:hAnsi="Cambria"/>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szCs w:val="24"/>
    </w:rPr>
  </w:style>
  <w:style w:type="paragraph" w:styleId="12">
    <w:name w:val="Normal Indent"/>
    <w:basedOn w:val="1"/>
    <w:qFormat/>
    <w:uiPriority w:val="0"/>
    <w:pPr>
      <w:adjustRightInd w:val="0"/>
      <w:ind w:firstLine="420"/>
      <w:jc w:val="left"/>
      <w:textAlignment w:val="baseline"/>
    </w:pPr>
    <w:rPr>
      <w:rFonts w:eastAsia="楷体_GB2312"/>
      <w:sz w:val="24"/>
    </w:rPr>
  </w:style>
  <w:style w:type="paragraph" w:styleId="13">
    <w:name w:val="caption"/>
    <w:basedOn w:val="1"/>
    <w:next w:val="1"/>
    <w:qFormat/>
    <w:uiPriority w:val="0"/>
    <w:rPr>
      <w:rFonts w:ascii="Cambria" w:hAnsi="Cambria" w:eastAsia="黑体"/>
      <w:sz w:val="20"/>
    </w:rPr>
  </w:style>
  <w:style w:type="paragraph" w:styleId="14">
    <w:name w:val="Document Map"/>
    <w:basedOn w:val="1"/>
    <w:link w:val="77"/>
    <w:qFormat/>
    <w:uiPriority w:val="0"/>
    <w:pPr>
      <w:shd w:val="clear" w:color="auto" w:fill="000080"/>
    </w:pPr>
  </w:style>
  <w:style w:type="paragraph" w:styleId="15">
    <w:name w:val="annotation text"/>
    <w:basedOn w:val="1"/>
    <w:link w:val="78"/>
    <w:qFormat/>
    <w:uiPriority w:val="0"/>
    <w:pPr>
      <w:jc w:val="left"/>
    </w:pPr>
  </w:style>
  <w:style w:type="paragraph" w:styleId="16">
    <w:name w:val="Body Text 3"/>
    <w:basedOn w:val="1"/>
    <w:qFormat/>
    <w:uiPriority w:val="0"/>
    <w:pPr>
      <w:spacing w:after="120"/>
    </w:pPr>
    <w:rPr>
      <w:sz w:val="16"/>
      <w:szCs w:val="16"/>
    </w:rPr>
  </w:style>
  <w:style w:type="paragraph" w:styleId="17">
    <w:name w:val="Body Text"/>
    <w:basedOn w:val="1"/>
    <w:next w:val="18"/>
    <w:link w:val="79"/>
    <w:qFormat/>
    <w:uiPriority w:val="0"/>
    <w:pPr>
      <w:adjustRightInd w:val="0"/>
      <w:spacing w:after="60" w:line="360" w:lineRule="atLeast"/>
      <w:ind w:left="72" w:leftChars="30" w:right="30" w:rightChars="30"/>
      <w:jc w:val="center"/>
      <w:textAlignment w:val="baseline"/>
    </w:pPr>
    <w:rPr>
      <w:kern w:val="0"/>
      <w:sz w:val="20"/>
    </w:rPr>
  </w:style>
  <w:style w:type="paragraph" w:styleId="18">
    <w:name w:val="Body Text 2"/>
    <w:basedOn w:val="1"/>
    <w:next w:val="17"/>
    <w:qFormat/>
    <w:uiPriority w:val="0"/>
    <w:pPr>
      <w:spacing w:line="500" w:lineRule="exact"/>
      <w:jc w:val="center"/>
    </w:pPr>
    <w:rPr>
      <w:rFonts w:hAnsi="宋体" w:eastAsia="方正小标宋_GBK"/>
      <w:spacing w:val="-20"/>
      <w:sz w:val="44"/>
    </w:rPr>
  </w:style>
  <w:style w:type="paragraph" w:styleId="19">
    <w:name w:val="Body Text Indent"/>
    <w:basedOn w:val="1"/>
    <w:qFormat/>
    <w:uiPriority w:val="0"/>
    <w:pPr>
      <w:spacing w:after="120"/>
      <w:ind w:left="420" w:leftChars="200"/>
    </w:pPr>
  </w:style>
  <w:style w:type="paragraph" w:styleId="20">
    <w:name w:val="index 4"/>
    <w:basedOn w:val="1"/>
    <w:next w:val="1"/>
    <w:qFormat/>
    <w:uiPriority w:val="0"/>
    <w:pPr>
      <w:ind w:left="600" w:leftChars="600"/>
    </w:pPr>
    <w:rPr>
      <w:szCs w:val="24"/>
    </w:rPr>
  </w:style>
  <w:style w:type="paragraph" w:styleId="21">
    <w:name w:val="toc 5"/>
    <w:basedOn w:val="1"/>
    <w:next w:val="1"/>
    <w:qFormat/>
    <w:uiPriority w:val="39"/>
    <w:pPr>
      <w:ind w:left="1680" w:leftChars="800"/>
    </w:pPr>
    <w:rPr>
      <w:szCs w:val="24"/>
    </w:rPr>
  </w:style>
  <w:style w:type="paragraph" w:styleId="22">
    <w:name w:val="toc 3"/>
    <w:basedOn w:val="1"/>
    <w:next w:val="1"/>
    <w:qFormat/>
    <w:uiPriority w:val="39"/>
    <w:pPr>
      <w:tabs>
        <w:tab w:val="right" w:leader="dot" w:pos="9060"/>
      </w:tabs>
      <w:ind w:left="540" w:leftChars="257" w:firstLine="1"/>
    </w:pPr>
  </w:style>
  <w:style w:type="paragraph" w:styleId="23">
    <w:name w:val="Plain Text"/>
    <w:basedOn w:val="1"/>
    <w:next w:val="17"/>
    <w:qFormat/>
    <w:uiPriority w:val="0"/>
    <w:rPr>
      <w:rFonts w:ascii="宋体" w:hAnsi="Courier New"/>
    </w:rPr>
  </w:style>
  <w:style w:type="paragraph" w:styleId="24">
    <w:name w:val="toc 8"/>
    <w:basedOn w:val="1"/>
    <w:next w:val="1"/>
    <w:qFormat/>
    <w:uiPriority w:val="39"/>
    <w:pPr>
      <w:ind w:left="2940" w:leftChars="1400"/>
    </w:pPr>
    <w:rPr>
      <w:szCs w:val="24"/>
    </w:rPr>
  </w:style>
  <w:style w:type="paragraph" w:styleId="25">
    <w:name w:val="Date"/>
    <w:basedOn w:val="1"/>
    <w:next w:val="1"/>
    <w:link w:val="80"/>
    <w:qFormat/>
    <w:uiPriority w:val="0"/>
    <w:pPr>
      <w:ind w:left="100" w:leftChars="2500"/>
    </w:pPr>
    <w:rPr>
      <w:sz w:val="28"/>
    </w:rPr>
  </w:style>
  <w:style w:type="paragraph" w:styleId="26">
    <w:name w:val="Body Text Indent 2"/>
    <w:basedOn w:val="1"/>
    <w:qFormat/>
    <w:uiPriority w:val="0"/>
    <w:pPr>
      <w:spacing w:after="120" w:line="480" w:lineRule="auto"/>
      <w:ind w:left="420" w:leftChars="200"/>
    </w:pPr>
  </w:style>
  <w:style w:type="paragraph" w:styleId="27">
    <w:name w:val="Balloon Text"/>
    <w:basedOn w:val="1"/>
    <w:link w:val="81"/>
    <w:qFormat/>
    <w:uiPriority w:val="0"/>
    <w:rPr>
      <w:sz w:val="18"/>
      <w:szCs w:val="18"/>
    </w:rPr>
  </w:style>
  <w:style w:type="paragraph" w:styleId="28">
    <w:name w:val="footer"/>
    <w:basedOn w:val="1"/>
    <w:link w:val="82"/>
    <w:qFormat/>
    <w:uiPriority w:val="0"/>
    <w:pPr>
      <w:tabs>
        <w:tab w:val="center" w:pos="4153"/>
        <w:tab w:val="right" w:pos="8306"/>
      </w:tabs>
      <w:snapToGrid w:val="0"/>
      <w:jc w:val="left"/>
    </w:pPr>
    <w:rPr>
      <w:sz w:val="18"/>
    </w:rPr>
  </w:style>
  <w:style w:type="paragraph" w:styleId="29">
    <w:name w:val="envelope return"/>
    <w:basedOn w:val="1"/>
    <w:qFormat/>
    <w:uiPriority w:val="0"/>
    <w:pPr>
      <w:snapToGrid w:val="0"/>
    </w:pPr>
    <w:rPr>
      <w:rFonts w:ascii="Arial" w:hAnsi="Arial"/>
    </w:rPr>
  </w:style>
  <w:style w:type="paragraph" w:styleId="30">
    <w:name w:val="header"/>
    <w:basedOn w:val="1"/>
    <w:link w:val="83"/>
    <w:qFormat/>
    <w:uiPriority w:val="0"/>
    <w:pPr>
      <w:pBdr>
        <w:bottom w:val="single" w:color="auto" w:sz="6" w:space="1"/>
      </w:pBdr>
      <w:tabs>
        <w:tab w:val="center" w:pos="4153"/>
        <w:tab w:val="right" w:pos="8306"/>
      </w:tabs>
      <w:snapToGrid w:val="0"/>
      <w:jc w:val="center"/>
    </w:pPr>
    <w:rPr>
      <w:sz w:val="18"/>
    </w:rPr>
  </w:style>
  <w:style w:type="paragraph" w:styleId="31">
    <w:name w:val="toc 1"/>
    <w:basedOn w:val="1"/>
    <w:next w:val="1"/>
    <w:qFormat/>
    <w:uiPriority w:val="39"/>
  </w:style>
  <w:style w:type="paragraph" w:styleId="32">
    <w:name w:val="toc 4"/>
    <w:basedOn w:val="1"/>
    <w:next w:val="1"/>
    <w:qFormat/>
    <w:uiPriority w:val="39"/>
    <w:pPr>
      <w:ind w:left="1260" w:leftChars="600"/>
    </w:pPr>
    <w:rPr>
      <w:szCs w:val="24"/>
    </w:rPr>
  </w:style>
  <w:style w:type="paragraph" w:styleId="33">
    <w:name w:val="Subtitle"/>
    <w:basedOn w:val="1"/>
    <w:next w:val="1"/>
    <w:link w:val="84"/>
    <w:qFormat/>
    <w:uiPriority w:val="0"/>
    <w:pPr>
      <w:spacing w:before="240" w:after="60" w:line="312" w:lineRule="auto"/>
      <w:jc w:val="center"/>
      <w:outlineLvl w:val="1"/>
    </w:pPr>
    <w:rPr>
      <w:rFonts w:ascii="Cambria" w:hAnsi="Cambria"/>
      <w:b/>
      <w:kern w:val="28"/>
      <w:sz w:val="32"/>
    </w:rPr>
  </w:style>
  <w:style w:type="paragraph" w:styleId="34">
    <w:name w:val="toc 6"/>
    <w:basedOn w:val="1"/>
    <w:next w:val="1"/>
    <w:qFormat/>
    <w:uiPriority w:val="39"/>
    <w:pPr>
      <w:spacing w:line="240" w:lineRule="exact"/>
      <w:ind w:left="71" w:leftChars="34" w:firstLine="1"/>
    </w:pPr>
    <w:rPr>
      <w:szCs w:val="24"/>
    </w:rPr>
  </w:style>
  <w:style w:type="paragraph" w:styleId="35">
    <w:name w:val="Body Text Indent 3"/>
    <w:basedOn w:val="1"/>
    <w:qFormat/>
    <w:uiPriority w:val="0"/>
    <w:pPr>
      <w:ind w:firstLine="420" w:firstLineChars="200"/>
    </w:pPr>
    <w:rPr>
      <w:rFonts w:ascii="宋体" w:hAnsi="宋体"/>
    </w:rPr>
  </w:style>
  <w:style w:type="paragraph" w:styleId="36">
    <w:name w:val="toc 2"/>
    <w:basedOn w:val="1"/>
    <w:next w:val="1"/>
    <w:qFormat/>
    <w:uiPriority w:val="39"/>
    <w:pPr>
      <w:ind w:left="420" w:leftChars="200"/>
    </w:pPr>
  </w:style>
  <w:style w:type="paragraph" w:styleId="37">
    <w:name w:val="toc 9"/>
    <w:basedOn w:val="1"/>
    <w:next w:val="1"/>
    <w:qFormat/>
    <w:uiPriority w:val="39"/>
    <w:pPr>
      <w:ind w:left="3360" w:leftChars="1600"/>
    </w:pPr>
    <w:rPr>
      <w:szCs w:val="24"/>
    </w:rPr>
  </w:style>
  <w:style w:type="paragraph" w:styleId="38">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39">
    <w:name w:val="Title"/>
    <w:basedOn w:val="1"/>
    <w:link w:val="85"/>
    <w:qFormat/>
    <w:uiPriority w:val="0"/>
    <w:pPr>
      <w:spacing w:before="120" w:after="60"/>
      <w:jc w:val="center"/>
    </w:pPr>
    <w:rPr>
      <w:rFonts w:ascii="Arial" w:hAnsi="Arial"/>
      <w:b/>
      <w:sz w:val="44"/>
    </w:rPr>
  </w:style>
  <w:style w:type="paragraph" w:styleId="40">
    <w:name w:val="annotation subject"/>
    <w:basedOn w:val="15"/>
    <w:next w:val="15"/>
    <w:link w:val="86"/>
    <w:qFormat/>
    <w:uiPriority w:val="0"/>
    <w:rPr>
      <w:rFonts w:ascii="宋体"/>
      <w:b/>
      <w:kern w:val="0"/>
      <w:sz w:val="28"/>
    </w:rPr>
  </w:style>
  <w:style w:type="paragraph" w:styleId="41">
    <w:name w:val="Body Text First Indent"/>
    <w:basedOn w:val="17"/>
    <w:next w:val="1"/>
    <w:qFormat/>
    <w:uiPriority w:val="0"/>
    <w:pPr>
      <w:adjustRightInd/>
      <w:spacing w:after="120" w:line="240" w:lineRule="auto"/>
      <w:ind w:left="0" w:leftChars="0" w:right="0" w:rightChars="0" w:firstLine="420" w:firstLineChars="100"/>
      <w:jc w:val="both"/>
      <w:textAlignment w:val="auto"/>
    </w:pPr>
  </w:style>
  <w:style w:type="paragraph" w:styleId="42">
    <w:name w:val="Body Text First Indent 2"/>
    <w:basedOn w:val="19"/>
    <w:qFormat/>
    <w:uiPriority w:val="0"/>
    <w:pPr>
      <w:ind w:left="0" w:leftChars="0"/>
    </w:pPr>
  </w:style>
  <w:style w:type="table" w:styleId="44">
    <w:name w:val="Table Grid"/>
    <w:basedOn w:val="4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page number"/>
    <w:basedOn w:val="45"/>
    <w:qFormat/>
    <w:uiPriority w:val="0"/>
  </w:style>
  <w:style w:type="character" w:styleId="48">
    <w:name w:val="FollowedHyperlink"/>
    <w:basedOn w:val="45"/>
    <w:qFormat/>
    <w:uiPriority w:val="0"/>
    <w:rPr>
      <w:color w:val="800080"/>
      <w:u w:val="none"/>
    </w:rPr>
  </w:style>
  <w:style w:type="character" w:styleId="49">
    <w:name w:val="Emphasis"/>
    <w:qFormat/>
    <w:uiPriority w:val="0"/>
    <w:rPr>
      <w:rFonts w:cs="Times New Roman"/>
      <w:i/>
    </w:rPr>
  </w:style>
  <w:style w:type="character" w:styleId="50">
    <w:name w:val="HTML Definition"/>
    <w:basedOn w:val="45"/>
    <w:qFormat/>
    <w:uiPriority w:val="0"/>
  </w:style>
  <w:style w:type="character" w:styleId="51">
    <w:name w:val="HTML Typewriter"/>
    <w:basedOn w:val="45"/>
    <w:qFormat/>
    <w:uiPriority w:val="0"/>
    <w:rPr>
      <w:rFonts w:hint="default" w:ascii="monospace" w:hAnsi="monospace" w:eastAsia="monospace" w:cs="monospace"/>
      <w:sz w:val="20"/>
    </w:rPr>
  </w:style>
  <w:style w:type="character" w:styleId="52">
    <w:name w:val="HTML Acronym"/>
    <w:basedOn w:val="45"/>
    <w:qFormat/>
    <w:uiPriority w:val="0"/>
  </w:style>
  <w:style w:type="character" w:styleId="53">
    <w:name w:val="HTML Variable"/>
    <w:basedOn w:val="45"/>
    <w:qFormat/>
    <w:uiPriority w:val="0"/>
  </w:style>
  <w:style w:type="character" w:styleId="54">
    <w:name w:val="Hyperlink"/>
    <w:basedOn w:val="45"/>
    <w:qFormat/>
    <w:uiPriority w:val="99"/>
    <w:rPr>
      <w:color w:val="0000FF"/>
      <w:u w:val="none"/>
    </w:rPr>
  </w:style>
  <w:style w:type="character" w:styleId="55">
    <w:name w:val="HTML Code"/>
    <w:basedOn w:val="45"/>
    <w:qFormat/>
    <w:uiPriority w:val="0"/>
    <w:rPr>
      <w:rFonts w:ascii="monospace" w:hAnsi="monospace" w:eastAsia="monospace" w:cs="monospace"/>
      <w:sz w:val="20"/>
    </w:rPr>
  </w:style>
  <w:style w:type="character" w:styleId="56">
    <w:name w:val="annotation reference"/>
    <w:qFormat/>
    <w:uiPriority w:val="0"/>
    <w:rPr>
      <w:rFonts w:cs="Times New Roman"/>
      <w:sz w:val="21"/>
    </w:rPr>
  </w:style>
  <w:style w:type="character" w:styleId="57">
    <w:name w:val="HTML Cite"/>
    <w:basedOn w:val="45"/>
    <w:qFormat/>
    <w:uiPriority w:val="0"/>
  </w:style>
  <w:style w:type="character" w:styleId="58">
    <w:name w:val="HTML Keyboard"/>
    <w:basedOn w:val="45"/>
    <w:qFormat/>
    <w:uiPriority w:val="0"/>
    <w:rPr>
      <w:rFonts w:hint="default" w:ascii="monospace" w:hAnsi="monospace" w:eastAsia="monospace" w:cs="monospace"/>
      <w:sz w:val="20"/>
    </w:rPr>
  </w:style>
  <w:style w:type="character" w:styleId="59">
    <w:name w:val="HTML Sample"/>
    <w:basedOn w:val="45"/>
    <w:qFormat/>
    <w:uiPriority w:val="0"/>
    <w:rPr>
      <w:rFonts w:hint="default" w:ascii="monospace" w:hAnsi="monospace" w:eastAsia="monospace" w:cs="monospace"/>
    </w:rPr>
  </w:style>
  <w:style w:type="paragraph" w:customStyle="1" w:styleId="60">
    <w:name w:val="style4"/>
    <w:basedOn w:val="61"/>
    <w:next w:val="62"/>
    <w:qFormat/>
    <w:uiPriority w:val="0"/>
    <w:pPr>
      <w:widowControl/>
      <w:spacing w:before="280" w:after="280"/>
    </w:pPr>
    <w:rPr>
      <w:rFonts w:ascii="宋体" w:eastAsia="宋体"/>
      <w:sz w:val="18"/>
    </w:rPr>
  </w:style>
  <w:style w:type="paragraph" w:customStyle="1" w:styleId="61">
    <w:name w:val="Normal"/>
    <w:next w:val="41"/>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2">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
    <w:name w:val="正文1"/>
    <w:next w:val="41"/>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4">
    <w:name w:val="正文111"/>
    <w:next w:val="41"/>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5">
    <w:name w:val="正文（缩进）"/>
    <w:basedOn w:val="1"/>
    <w:qFormat/>
    <w:uiPriority w:val="0"/>
    <w:pPr>
      <w:spacing w:before="156" w:after="156"/>
      <w:ind w:firstLine="480" w:firstLineChars="200"/>
    </w:pPr>
  </w:style>
  <w:style w:type="paragraph" w:customStyle="1" w:styleId="66">
    <w:name w:val="正文11"/>
    <w:next w:val="41"/>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7">
    <w:name w:val="样式 正文首行缩进 2 + Arial"/>
    <w:basedOn w:val="1"/>
    <w:next w:val="1"/>
    <w:qFormat/>
    <w:uiPriority w:val="0"/>
    <w:pPr>
      <w:spacing w:after="120" w:line="320" w:lineRule="atLeast"/>
      <w:ind w:firstLine="200" w:firstLineChars="200"/>
    </w:pPr>
    <w:rPr>
      <w:rFonts w:ascii="Arial" w:hAnsi="Arial"/>
      <w:kern w:val="0"/>
    </w:rPr>
  </w:style>
  <w:style w:type="character" w:customStyle="1" w:styleId="68">
    <w:name w:val="标题 1 Char"/>
    <w:link w:val="2"/>
    <w:qFormat/>
    <w:uiPriority w:val="0"/>
    <w:rPr>
      <w:rFonts w:eastAsia="宋体"/>
      <w:b/>
      <w:kern w:val="44"/>
      <w:sz w:val="44"/>
      <w:lang w:val="en-US" w:eastAsia="zh-CN" w:bidi="ar-SA"/>
    </w:rPr>
  </w:style>
  <w:style w:type="character" w:customStyle="1" w:styleId="69">
    <w:name w:val="标题 2 Char"/>
    <w:link w:val="3"/>
    <w:qFormat/>
    <w:uiPriority w:val="0"/>
    <w:rPr>
      <w:rFonts w:ascii="Arial" w:hAnsi="Arial" w:eastAsia="黑体"/>
      <w:b/>
      <w:kern w:val="2"/>
      <w:sz w:val="32"/>
      <w:lang w:val="en-US" w:eastAsia="zh-CN"/>
    </w:rPr>
  </w:style>
  <w:style w:type="character" w:customStyle="1" w:styleId="70">
    <w:name w:val="标题 3 Char"/>
    <w:link w:val="4"/>
    <w:qFormat/>
    <w:uiPriority w:val="0"/>
    <w:rPr>
      <w:rFonts w:eastAsia="宋体"/>
      <w:b/>
      <w:kern w:val="2"/>
      <w:sz w:val="32"/>
      <w:lang w:val="en-US" w:eastAsia="zh-CN"/>
    </w:rPr>
  </w:style>
  <w:style w:type="character" w:customStyle="1" w:styleId="71">
    <w:name w:val="标题 4 Char"/>
    <w:link w:val="5"/>
    <w:qFormat/>
    <w:uiPriority w:val="0"/>
    <w:rPr>
      <w:rFonts w:ascii="Arial" w:hAnsi="Arial" w:eastAsia="宋体"/>
      <w:b/>
      <w:kern w:val="2"/>
      <w:sz w:val="21"/>
      <w:lang w:val="en-US" w:eastAsia="zh-CN"/>
    </w:rPr>
  </w:style>
  <w:style w:type="character" w:customStyle="1" w:styleId="72">
    <w:name w:val="标题 5 Char"/>
    <w:link w:val="6"/>
    <w:qFormat/>
    <w:locked/>
    <w:uiPriority w:val="0"/>
    <w:rPr>
      <w:rFonts w:ascii="Calibri" w:hAnsi="Calibri" w:eastAsia="宋体"/>
      <w:b/>
      <w:bCs/>
      <w:kern w:val="2"/>
      <w:sz w:val="28"/>
      <w:szCs w:val="28"/>
      <w:lang w:val="en-US" w:eastAsia="zh-CN" w:bidi="ar-SA"/>
    </w:rPr>
  </w:style>
  <w:style w:type="character" w:customStyle="1" w:styleId="73">
    <w:name w:val="标题 6 Char"/>
    <w:link w:val="7"/>
    <w:qFormat/>
    <w:locked/>
    <w:uiPriority w:val="0"/>
    <w:rPr>
      <w:rFonts w:ascii="Cambria" w:hAnsi="Cambria" w:eastAsia="宋体"/>
      <w:b/>
      <w:bCs/>
      <w:kern w:val="2"/>
      <w:sz w:val="24"/>
      <w:szCs w:val="24"/>
      <w:lang w:val="en-US" w:eastAsia="zh-CN" w:bidi="ar-SA"/>
    </w:rPr>
  </w:style>
  <w:style w:type="character" w:customStyle="1" w:styleId="74">
    <w:name w:val="标题 7 Char"/>
    <w:link w:val="8"/>
    <w:qFormat/>
    <w:locked/>
    <w:uiPriority w:val="0"/>
    <w:rPr>
      <w:rFonts w:ascii="Calibri" w:hAnsi="Calibri" w:eastAsia="宋体"/>
      <w:b/>
      <w:bCs/>
      <w:kern w:val="2"/>
      <w:sz w:val="24"/>
      <w:szCs w:val="24"/>
      <w:lang w:val="en-US" w:eastAsia="zh-CN" w:bidi="ar-SA"/>
    </w:rPr>
  </w:style>
  <w:style w:type="character" w:customStyle="1" w:styleId="75">
    <w:name w:val="标题 8 Char"/>
    <w:link w:val="9"/>
    <w:qFormat/>
    <w:locked/>
    <w:uiPriority w:val="0"/>
    <w:rPr>
      <w:rFonts w:ascii="Cambria" w:hAnsi="Cambria" w:eastAsia="宋体"/>
      <w:kern w:val="2"/>
      <w:sz w:val="24"/>
      <w:szCs w:val="24"/>
      <w:lang w:val="en-US" w:eastAsia="zh-CN" w:bidi="ar-SA"/>
    </w:rPr>
  </w:style>
  <w:style w:type="character" w:customStyle="1" w:styleId="76">
    <w:name w:val="标题 9 Char"/>
    <w:link w:val="10"/>
    <w:qFormat/>
    <w:locked/>
    <w:uiPriority w:val="0"/>
    <w:rPr>
      <w:rFonts w:ascii="Cambria" w:hAnsi="Cambria" w:eastAsia="宋体"/>
      <w:kern w:val="2"/>
      <w:sz w:val="21"/>
      <w:szCs w:val="21"/>
      <w:lang w:val="en-US" w:eastAsia="zh-CN" w:bidi="ar-SA"/>
    </w:rPr>
  </w:style>
  <w:style w:type="character" w:customStyle="1" w:styleId="77">
    <w:name w:val="文档结构图 Char"/>
    <w:link w:val="14"/>
    <w:qFormat/>
    <w:locked/>
    <w:uiPriority w:val="0"/>
    <w:rPr>
      <w:rFonts w:eastAsia="宋体"/>
      <w:kern w:val="2"/>
      <w:sz w:val="21"/>
      <w:lang w:val="en-US" w:eastAsia="zh-CN" w:bidi="ar-SA"/>
    </w:rPr>
  </w:style>
  <w:style w:type="character" w:customStyle="1" w:styleId="78">
    <w:name w:val="批注文字 Char"/>
    <w:link w:val="15"/>
    <w:qFormat/>
    <w:locked/>
    <w:uiPriority w:val="0"/>
    <w:rPr>
      <w:rFonts w:eastAsia="宋体"/>
      <w:kern w:val="2"/>
      <w:sz w:val="21"/>
      <w:lang w:val="en-US" w:eastAsia="zh-CN" w:bidi="ar-SA"/>
    </w:rPr>
  </w:style>
  <w:style w:type="character" w:customStyle="1" w:styleId="79">
    <w:name w:val="正文文本 Char"/>
    <w:link w:val="17"/>
    <w:qFormat/>
    <w:locked/>
    <w:uiPriority w:val="0"/>
    <w:rPr>
      <w:lang w:bidi="ar-SA"/>
    </w:rPr>
  </w:style>
  <w:style w:type="character" w:customStyle="1" w:styleId="80">
    <w:name w:val="日期 Char"/>
    <w:link w:val="25"/>
    <w:qFormat/>
    <w:locked/>
    <w:uiPriority w:val="0"/>
    <w:rPr>
      <w:rFonts w:eastAsia="宋体"/>
      <w:kern w:val="2"/>
      <w:sz w:val="28"/>
      <w:lang w:val="en-US" w:eastAsia="zh-CN" w:bidi="ar-SA"/>
    </w:rPr>
  </w:style>
  <w:style w:type="character" w:customStyle="1" w:styleId="81">
    <w:name w:val="批注框文本 Char"/>
    <w:link w:val="27"/>
    <w:qFormat/>
    <w:locked/>
    <w:uiPriority w:val="0"/>
    <w:rPr>
      <w:rFonts w:eastAsia="宋体"/>
      <w:kern w:val="2"/>
      <w:sz w:val="18"/>
      <w:szCs w:val="18"/>
      <w:lang w:val="en-US" w:eastAsia="zh-CN" w:bidi="ar-SA"/>
    </w:rPr>
  </w:style>
  <w:style w:type="character" w:customStyle="1" w:styleId="82">
    <w:name w:val="页脚 Char"/>
    <w:link w:val="28"/>
    <w:qFormat/>
    <w:locked/>
    <w:uiPriority w:val="0"/>
    <w:rPr>
      <w:rFonts w:eastAsia="宋体"/>
      <w:kern w:val="2"/>
      <w:sz w:val="18"/>
      <w:lang w:val="en-US" w:eastAsia="zh-CN" w:bidi="ar-SA"/>
    </w:rPr>
  </w:style>
  <w:style w:type="character" w:customStyle="1" w:styleId="83">
    <w:name w:val="页眉 Char"/>
    <w:link w:val="30"/>
    <w:qFormat/>
    <w:locked/>
    <w:uiPriority w:val="0"/>
    <w:rPr>
      <w:rFonts w:eastAsia="宋体"/>
      <w:kern w:val="2"/>
      <w:sz w:val="18"/>
      <w:lang w:val="en-US" w:eastAsia="zh-CN" w:bidi="ar-SA"/>
    </w:rPr>
  </w:style>
  <w:style w:type="character" w:customStyle="1" w:styleId="84">
    <w:name w:val="副标题 Char"/>
    <w:link w:val="33"/>
    <w:qFormat/>
    <w:locked/>
    <w:uiPriority w:val="0"/>
    <w:rPr>
      <w:rFonts w:ascii="Cambria" w:hAnsi="Cambria"/>
      <w:b/>
      <w:kern w:val="28"/>
      <w:sz w:val="32"/>
      <w:lang w:bidi="ar-SA"/>
    </w:rPr>
  </w:style>
  <w:style w:type="character" w:customStyle="1" w:styleId="85">
    <w:name w:val="标题 Char"/>
    <w:link w:val="39"/>
    <w:qFormat/>
    <w:uiPriority w:val="0"/>
    <w:rPr>
      <w:rFonts w:ascii="Arial" w:hAnsi="Arial" w:eastAsia="宋体"/>
      <w:b/>
      <w:kern w:val="2"/>
      <w:sz w:val="44"/>
      <w:lang w:val="en-US" w:eastAsia="zh-CN" w:bidi="ar-SA"/>
    </w:rPr>
  </w:style>
  <w:style w:type="character" w:customStyle="1" w:styleId="86">
    <w:name w:val="批注主题 Char"/>
    <w:link w:val="40"/>
    <w:qFormat/>
    <w:locked/>
    <w:uiPriority w:val="0"/>
    <w:rPr>
      <w:rFonts w:ascii="宋体"/>
      <w:b/>
      <w:sz w:val="28"/>
      <w:lang w:bidi="ar-SA"/>
    </w:rPr>
  </w:style>
  <w:style w:type="paragraph" w:customStyle="1" w:styleId="87">
    <w:name w:val="Default"/>
    <w:basedOn w:val="23"/>
    <w:qFormat/>
    <w:uiPriority w:val="0"/>
    <w:pPr>
      <w:autoSpaceDE w:val="0"/>
      <w:autoSpaceDN w:val="0"/>
      <w:adjustRightInd w:val="0"/>
    </w:pPr>
    <w:rPr>
      <w:rFonts w:hAnsi="Times New Roman"/>
      <w:color w:val="000000"/>
      <w:sz w:val="24"/>
    </w:rPr>
  </w:style>
  <w:style w:type="paragraph" w:customStyle="1" w:styleId="88">
    <w:name w:val="样式 宋体 行距: 1.5 倍行距1"/>
    <w:basedOn w:val="1"/>
    <w:qFormat/>
    <w:uiPriority w:val="0"/>
    <w:pPr>
      <w:spacing w:line="360" w:lineRule="auto"/>
      <w:ind w:firstLine="560" w:firstLineChars="200"/>
    </w:pPr>
    <w:rPr>
      <w:rFonts w:ascii="宋体" w:hAnsi="宋体" w:cs="宋体"/>
      <w:szCs w:val="24"/>
    </w:rPr>
  </w:style>
  <w:style w:type="character" w:customStyle="1" w:styleId="89">
    <w:name w:val="Char Char8"/>
    <w:qFormat/>
    <w:locked/>
    <w:uiPriority w:val="0"/>
    <w:rPr>
      <w:rFonts w:eastAsia="宋体"/>
      <w:kern w:val="2"/>
      <w:sz w:val="18"/>
      <w:lang w:val="en-US" w:eastAsia="zh-CN" w:bidi="ar-SA"/>
    </w:rPr>
  </w:style>
  <w:style w:type="character" w:customStyle="1" w:styleId="90">
    <w:name w:val="Char Char16"/>
    <w:qFormat/>
    <w:uiPriority w:val="0"/>
    <w:rPr>
      <w:rFonts w:eastAsia="宋体"/>
      <w:b/>
      <w:kern w:val="2"/>
      <w:sz w:val="32"/>
      <w:lang w:val="en-US" w:eastAsia="zh-CN"/>
    </w:rPr>
  </w:style>
  <w:style w:type="character" w:customStyle="1" w:styleId="91">
    <w:name w:val="明显强调1"/>
    <w:qFormat/>
    <w:uiPriority w:val="0"/>
    <w:rPr>
      <w:rFonts w:cs="Times New Roman"/>
      <w:b/>
      <w:i/>
      <w:color w:val="4F81BD"/>
    </w:rPr>
  </w:style>
  <w:style w:type="character" w:customStyle="1" w:styleId="92">
    <w:name w:val="Char Char4"/>
    <w:qFormat/>
    <w:locked/>
    <w:uiPriority w:val="0"/>
    <w:rPr>
      <w:rFonts w:eastAsia="宋体"/>
      <w:kern w:val="2"/>
      <w:sz w:val="18"/>
      <w:szCs w:val="18"/>
      <w:lang w:val="en-US" w:eastAsia="zh-CN" w:bidi="ar-SA"/>
    </w:rPr>
  </w:style>
  <w:style w:type="character" w:customStyle="1" w:styleId="93">
    <w:name w:val="明显引用 Char"/>
    <w:link w:val="94"/>
    <w:qFormat/>
    <w:uiPriority w:val="0"/>
    <w:rPr>
      <w:b/>
      <w:bCs/>
      <w:i/>
      <w:iCs/>
      <w:color w:val="4F81BD"/>
      <w:kern w:val="2"/>
      <w:sz w:val="21"/>
      <w:szCs w:val="22"/>
    </w:rPr>
  </w:style>
  <w:style w:type="paragraph" w:styleId="94">
    <w:name w:val="Intense Quote"/>
    <w:basedOn w:val="1"/>
    <w:next w:val="1"/>
    <w:link w:val="93"/>
    <w:qFormat/>
    <w:uiPriority w:val="0"/>
    <w:pPr>
      <w:pBdr>
        <w:bottom w:val="single" w:color="4F81BD" w:sz="4" w:space="4"/>
      </w:pBdr>
      <w:spacing w:before="200" w:after="280"/>
      <w:ind w:left="936" w:right="936"/>
    </w:pPr>
    <w:rPr>
      <w:b/>
      <w:bCs/>
      <w:i/>
      <w:iCs/>
      <w:color w:val="4F81BD"/>
      <w:szCs w:val="22"/>
    </w:rPr>
  </w:style>
  <w:style w:type="character" w:customStyle="1" w:styleId="95">
    <w:name w:val="Char Char17"/>
    <w:qFormat/>
    <w:uiPriority w:val="0"/>
    <w:rPr>
      <w:rFonts w:ascii="Arial" w:hAnsi="Arial" w:eastAsia="黑体"/>
      <w:b/>
      <w:kern w:val="2"/>
      <w:sz w:val="32"/>
      <w:lang w:val="en-US" w:eastAsia="zh-CN"/>
    </w:rPr>
  </w:style>
  <w:style w:type="character" w:customStyle="1" w:styleId="96">
    <w:name w:val="正文文本 Char1"/>
    <w:qFormat/>
    <w:uiPriority w:val="0"/>
    <w:rPr>
      <w:kern w:val="2"/>
      <w:sz w:val="22"/>
    </w:rPr>
  </w:style>
  <w:style w:type="character" w:customStyle="1" w:styleId="97">
    <w:name w:val="Char Char13"/>
    <w:qFormat/>
    <w:locked/>
    <w:uiPriority w:val="0"/>
    <w:rPr>
      <w:rFonts w:ascii="Cambria" w:hAnsi="Cambria" w:eastAsia="宋体"/>
      <w:b/>
      <w:bCs/>
      <w:kern w:val="2"/>
      <w:sz w:val="24"/>
      <w:szCs w:val="24"/>
      <w:lang w:val="en-US" w:eastAsia="zh-CN" w:bidi="ar-SA"/>
    </w:rPr>
  </w:style>
  <w:style w:type="character" w:customStyle="1" w:styleId="98">
    <w:name w:val="Char Char18"/>
    <w:qFormat/>
    <w:uiPriority w:val="0"/>
    <w:rPr>
      <w:rFonts w:eastAsia="宋体"/>
      <w:b/>
      <w:kern w:val="44"/>
      <w:sz w:val="44"/>
      <w:lang w:val="en-US" w:eastAsia="zh-CN" w:bidi="ar-SA"/>
    </w:rPr>
  </w:style>
  <w:style w:type="character" w:customStyle="1" w:styleId="99">
    <w:name w:val="Title Char1"/>
    <w:qFormat/>
    <w:locked/>
    <w:uiPriority w:val="0"/>
    <w:rPr>
      <w:rFonts w:ascii="Cambria" w:hAnsi="Cambria" w:cs="Times New Roman"/>
      <w:b/>
      <w:bCs/>
      <w:sz w:val="32"/>
      <w:szCs w:val="32"/>
    </w:rPr>
  </w:style>
  <w:style w:type="character" w:customStyle="1" w:styleId="100">
    <w:name w:val="Char Char10"/>
    <w:qFormat/>
    <w:locked/>
    <w:uiPriority w:val="0"/>
    <w:rPr>
      <w:rFonts w:ascii="Cambria" w:hAnsi="Cambria" w:eastAsia="宋体"/>
      <w:kern w:val="2"/>
      <w:sz w:val="21"/>
      <w:szCs w:val="21"/>
      <w:lang w:val="en-US" w:eastAsia="zh-CN" w:bidi="ar-SA"/>
    </w:rPr>
  </w:style>
  <w:style w:type="character" w:customStyle="1" w:styleId="101">
    <w:name w:val="文档结构图 Char1"/>
    <w:qFormat/>
    <w:uiPriority w:val="0"/>
    <w:rPr>
      <w:rFonts w:ascii="宋体"/>
      <w:kern w:val="2"/>
      <w:sz w:val="18"/>
    </w:rPr>
  </w:style>
  <w:style w:type="character" w:customStyle="1" w:styleId="102">
    <w:name w:val="Char Char9"/>
    <w:qFormat/>
    <w:locked/>
    <w:uiPriority w:val="0"/>
    <w:rPr>
      <w:rFonts w:eastAsia="宋体"/>
      <w:kern w:val="2"/>
      <w:sz w:val="28"/>
      <w:lang w:val="en-US" w:eastAsia="zh-CN" w:bidi="ar-SA"/>
    </w:rPr>
  </w:style>
  <w:style w:type="character" w:customStyle="1" w:styleId="103">
    <w:name w:val="标题 Char1"/>
    <w:qFormat/>
    <w:uiPriority w:val="10"/>
    <w:rPr>
      <w:rFonts w:ascii="Cambria" w:hAnsi="Cambria" w:cs="Times New Roman"/>
      <w:b/>
      <w:bCs/>
      <w:kern w:val="2"/>
      <w:sz w:val="32"/>
      <w:szCs w:val="32"/>
    </w:rPr>
  </w:style>
  <w:style w:type="character" w:customStyle="1" w:styleId="104">
    <w:name w:val="Char Char5"/>
    <w:qFormat/>
    <w:locked/>
    <w:uiPriority w:val="0"/>
    <w:rPr>
      <w:rFonts w:eastAsia="宋体"/>
      <w:kern w:val="2"/>
      <w:sz w:val="21"/>
      <w:lang w:val="en-US" w:eastAsia="zh-CN" w:bidi="ar-SA"/>
    </w:rPr>
  </w:style>
  <w:style w:type="character" w:customStyle="1" w:styleId="105">
    <w:name w:val="Char Char12"/>
    <w:qFormat/>
    <w:locked/>
    <w:uiPriority w:val="0"/>
    <w:rPr>
      <w:rFonts w:ascii="Calibri" w:hAnsi="Calibri" w:eastAsia="宋体"/>
      <w:b/>
      <w:bCs/>
      <w:kern w:val="2"/>
      <w:sz w:val="24"/>
      <w:szCs w:val="24"/>
      <w:lang w:val="en-US" w:eastAsia="zh-CN" w:bidi="ar-SA"/>
    </w:rPr>
  </w:style>
  <w:style w:type="character" w:customStyle="1" w:styleId="106">
    <w:name w:val="标题5 Char Char"/>
    <w:link w:val="107"/>
    <w:qFormat/>
    <w:locked/>
    <w:uiPriority w:val="0"/>
    <w:rPr>
      <w:rFonts w:ascii="Arial" w:hAnsi="Arial"/>
      <w:b/>
      <w:sz w:val="32"/>
      <w:lang w:bidi="ar-SA"/>
    </w:rPr>
  </w:style>
  <w:style w:type="paragraph" w:customStyle="1" w:styleId="107">
    <w:name w:val="标题5"/>
    <w:basedOn w:val="4"/>
    <w:link w:val="106"/>
    <w:qFormat/>
    <w:uiPriority w:val="0"/>
    <w:rPr>
      <w:rFonts w:ascii="Arial" w:hAnsi="Arial"/>
      <w:kern w:val="0"/>
    </w:rPr>
  </w:style>
  <w:style w:type="character" w:customStyle="1" w:styleId="108">
    <w:name w:val="不明显强调1"/>
    <w:qFormat/>
    <w:uiPriority w:val="0"/>
    <w:rPr>
      <w:rFonts w:cs="Times New Roman"/>
      <w:i/>
      <w:color w:val="808080"/>
    </w:rPr>
  </w:style>
  <w:style w:type="character" w:customStyle="1" w:styleId="109">
    <w:name w:val="Char Char15"/>
    <w:qFormat/>
    <w:uiPriority w:val="0"/>
    <w:rPr>
      <w:rFonts w:ascii="Arial" w:hAnsi="Arial" w:eastAsia="宋体"/>
      <w:b/>
      <w:kern w:val="2"/>
      <w:sz w:val="21"/>
      <w:lang w:val="en-US" w:eastAsia="zh-CN"/>
    </w:rPr>
  </w:style>
  <w:style w:type="character" w:customStyle="1" w:styleId="110">
    <w:name w:val="批注框文本 Char1"/>
    <w:qFormat/>
    <w:uiPriority w:val="0"/>
    <w:rPr>
      <w:kern w:val="2"/>
      <w:sz w:val="18"/>
    </w:rPr>
  </w:style>
  <w:style w:type="character" w:customStyle="1" w:styleId="111">
    <w:name w:val="_Style 102"/>
    <w:qFormat/>
    <w:uiPriority w:val="0"/>
    <w:rPr>
      <w:i/>
      <w:iCs/>
      <w:color w:val="808080"/>
    </w:rPr>
  </w:style>
  <w:style w:type="character" w:customStyle="1" w:styleId="112">
    <w:name w:val="Quote Char"/>
    <w:link w:val="113"/>
    <w:qFormat/>
    <w:locked/>
    <w:uiPriority w:val="0"/>
    <w:rPr>
      <w:i/>
      <w:color w:val="000000"/>
      <w:kern w:val="2"/>
      <w:sz w:val="22"/>
      <w:lang w:bidi="ar-SA"/>
    </w:rPr>
  </w:style>
  <w:style w:type="paragraph" w:customStyle="1" w:styleId="113">
    <w:name w:val="Quote1"/>
    <w:basedOn w:val="1"/>
    <w:next w:val="1"/>
    <w:link w:val="112"/>
    <w:qFormat/>
    <w:uiPriority w:val="0"/>
    <w:rPr>
      <w:i/>
      <w:color w:val="000000"/>
      <w:sz w:val="22"/>
    </w:rPr>
  </w:style>
  <w:style w:type="character" w:customStyle="1" w:styleId="114">
    <w:name w:val="Char Char3"/>
    <w:qFormat/>
    <w:uiPriority w:val="0"/>
    <w:rPr>
      <w:rFonts w:ascii="Arial" w:hAnsi="Arial" w:eastAsia="宋体"/>
      <w:b/>
      <w:kern w:val="2"/>
      <w:sz w:val="44"/>
      <w:lang w:val="en-US" w:eastAsia="zh-CN" w:bidi="ar-SA"/>
    </w:rPr>
  </w:style>
  <w:style w:type="character" w:customStyle="1" w:styleId="115">
    <w:name w:val="Char Char6"/>
    <w:qFormat/>
    <w:locked/>
    <w:uiPriority w:val="0"/>
    <w:rPr>
      <w:rFonts w:eastAsia="宋体"/>
      <w:kern w:val="2"/>
      <w:sz w:val="18"/>
      <w:lang w:val="en-US" w:eastAsia="zh-CN" w:bidi="ar-SA"/>
    </w:rPr>
  </w:style>
  <w:style w:type="character" w:customStyle="1" w:styleId="116">
    <w:name w:val="_Style 107"/>
    <w:qFormat/>
    <w:uiPriority w:val="0"/>
    <w:rPr>
      <w:b/>
      <w:bCs/>
      <w:smallCaps/>
      <w:color w:val="C0504D"/>
      <w:spacing w:val="5"/>
      <w:u w:val="single"/>
    </w:rPr>
  </w:style>
  <w:style w:type="character" w:customStyle="1" w:styleId="117">
    <w:name w:val="textcontents"/>
    <w:qFormat/>
    <w:uiPriority w:val="0"/>
  </w:style>
  <w:style w:type="character" w:customStyle="1" w:styleId="118">
    <w:name w:val="批注主题 Char1"/>
    <w:qFormat/>
    <w:uiPriority w:val="0"/>
    <w:rPr>
      <w:b/>
      <w:kern w:val="2"/>
      <w:sz w:val="22"/>
    </w:rPr>
  </w:style>
  <w:style w:type="character" w:customStyle="1" w:styleId="119">
    <w:name w:val="_Style 110"/>
    <w:qFormat/>
    <w:uiPriority w:val="0"/>
    <w:rPr>
      <w:smallCaps/>
      <w:color w:val="C0504D"/>
      <w:u w:val="single"/>
    </w:rPr>
  </w:style>
  <w:style w:type="character" w:customStyle="1" w:styleId="120">
    <w:name w:val="标题4 Char Char"/>
    <w:link w:val="121"/>
    <w:qFormat/>
    <w:locked/>
    <w:uiPriority w:val="0"/>
    <w:rPr>
      <w:rFonts w:ascii="Arial" w:hAnsi="Arial"/>
      <w:b/>
      <w:sz w:val="32"/>
      <w:lang w:bidi="ar-SA"/>
    </w:rPr>
  </w:style>
  <w:style w:type="paragraph" w:customStyle="1" w:styleId="121">
    <w:name w:val="标题4"/>
    <w:basedOn w:val="3"/>
    <w:next w:val="20"/>
    <w:link w:val="120"/>
    <w:qFormat/>
    <w:uiPriority w:val="0"/>
    <w:rPr>
      <w:rFonts w:eastAsia="宋体"/>
      <w:kern w:val="0"/>
    </w:rPr>
  </w:style>
  <w:style w:type="character" w:customStyle="1" w:styleId="122">
    <w:name w:val="引用 Char"/>
    <w:link w:val="123"/>
    <w:qFormat/>
    <w:uiPriority w:val="0"/>
    <w:rPr>
      <w:i/>
      <w:iCs/>
      <w:color w:val="000000"/>
      <w:kern w:val="2"/>
      <w:sz w:val="21"/>
      <w:szCs w:val="22"/>
    </w:rPr>
  </w:style>
  <w:style w:type="paragraph" w:styleId="123">
    <w:name w:val="Quote"/>
    <w:basedOn w:val="1"/>
    <w:next w:val="1"/>
    <w:link w:val="122"/>
    <w:qFormat/>
    <w:uiPriority w:val="0"/>
    <w:rPr>
      <w:i/>
      <w:iCs/>
      <w:color w:val="000000"/>
      <w:szCs w:val="22"/>
    </w:rPr>
  </w:style>
  <w:style w:type="character" w:customStyle="1" w:styleId="124">
    <w:name w:val="Intense Quote Char1"/>
    <w:qFormat/>
    <w:locked/>
    <w:uiPriority w:val="0"/>
    <w:rPr>
      <w:rFonts w:cs="Times New Roman"/>
      <w:b/>
      <w:bCs/>
      <w:i/>
      <w:iCs/>
      <w:color w:val="4F81BD"/>
    </w:rPr>
  </w:style>
  <w:style w:type="character" w:customStyle="1" w:styleId="125">
    <w:name w:val="引用 Char1"/>
    <w:qFormat/>
    <w:uiPriority w:val="29"/>
    <w:rPr>
      <w:i/>
      <w:iCs/>
      <w:color w:val="000000"/>
      <w:kern w:val="2"/>
      <w:sz w:val="21"/>
    </w:rPr>
  </w:style>
  <w:style w:type="character" w:customStyle="1" w:styleId="126">
    <w:name w:val="Char Char Char Char Char Char"/>
    <w:link w:val="127"/>
    <w:qFormat/>
    <w:uiPriority w:val="0"/>
    <w:rPr>
      <w:rFonts w:ascii="Tahoma" w:hAnsi="Tahoma" w:eastAsia="宋体"/>
      <w:kern w:val="2"/>
      <w:sz w:val="24"/>
      <w:lang w:val="en-US" w:eastAsia="zh-CN" w:bidi="ar-SA"/>
    </w:rPr>
  </w:style>
  <w:style w:type="paragraph" w:customStyle="1" w:styleId="127">
    <w:name w:val="Char Char Char Char"/>
    <w:basedOn w:val="1"/>
    <w:link w:val="126"/>
    <w:qFormat/>
    <w:uiPriority w:val="0"/>
    <w:rPr>
      <w:rFonts w:ascii="Tahoma" w:hAnsi="Tahoma"/>
      <w:sz w:val="24"/>
    </w:rPr>
  </w:style>
  <w:style w:type="character" w:customStyle="1" w:styleId="128">
    <w:name w:val="dash6b63_6587__char1"/>
    <w:qFormat/>
    <w:uiPriority w:val="0"/>
    <w:rPr>
      <w:rFonts w:hint="default" w:ascii="Calibri" w:hAnsi="Calibri" w:cs="Calibri"/>
      <w:sz w:val="20"/>
      <w:szCs w:val="20"/>
    </w:rPr>
  </w:style>
  <w:style w:type="character" w:customStyle="1" w:styleId="129">
    <w:name w:val="Subtitle Char1"/>
    <w:qFormat/>
    <w:locked/>
    <w:uiPriority w:val="0"/>
    <w:rPr>
      <w:rFonts w:ascii="Cambria" w:hAnsi="Cambria" w:cs="Times New Roman"/>
      <w:b/>
      <w:bCs/>
      <w:kern w:val="28"/>
      <w:sz w:val="32"/>
      <w:szCs w:val="32"/>
    </w:rPr>
  </w:style>
  <w:style w:type="character" w:customStyle="1" w:styleId="130">
    <w:name w:val="Heading 1 Char"/>
    <w:qFormat/>
    <w:locked/>
    <w:uiPriority w:val="0"/>
    <w:rPr>
      <w:rFonts w:cs="Times New Roman"/>
      <w:b/>
      <w:kern w:val="44"/>
      <w:sz w:val="44"/>
    </w:rPr>
  </w:style>
  <w:style w:type="character" w:customStyle="1" w:styleId="131">
    <w:name w:val="批注文字 Char Char"/>
    <w:qFormat/>
    <w:uiPriority w:val="0"/>
    <w:rPr>
      <w:rFonts w:ascii="宋体" w:hAnsi="Times New Roman" w:eastAsia="宋体"/>
      <w:sz w:val="20"/>
    </w:rPr>
  </w:style>
  <w:style w:type="character" w:customStyle="1" w:styleId="132">
    <w:name w:val="明显引用 Char1"/>
    <w:qFormat/>
    <w:uiPriority w:val="30"/>
    <w:rPr>
      <w:b/>
      <w:bCs/>
      <w:i/>
      <w:iCs/>
      <w:color w:val="4F81BD"/>
      <w:kern w:val="2"/>
      <w:sz w:val="21"/>
    </w:rPr>
  </w:style>
  <w:style w:type="character" w:customStyle="1" w:styleId="133">
    <w:name w:val="Title Char"/>
    <w:qFormat/>
    <w:locked/>
    <w:uiPriority w:val="0"/>
    <w:rPr>
      <w:rFonts w:ascii="Cambria" w:hAnsi="Cambria"/>
      <w:b/>
      <w:kern w:val="2"/>
      <w:sz w:val="32"/>
    </w:rPr>
  </w:style>
  <w:style w:type="character" w:customStyle="1" w:styleId="134">
    <w:name w:val="Char Char14"/>
    <w:qFormat/>
    <w:locked/>
    <w:uiPriority w:val="0"/>
    <w:rPr>
      <w:rFonts w:ascii="Calibri" w:hAnsi="Calibri" w:eastAsia="宋体"/>
      <w:b/>
      <w:bCs/>
      <w:kern w:val="2"/>
      <w:sz w:val="28"/>
      <w:szCs w:val="28"/>
      <w:lang w:val="en-US" w:eastAsia="zh-CN" w:bidi="ar-SA"/>
    </w:rPr>
  </w:style>
  <w:style w:type="character" w:customStyle="1" w:styleId="135">
    <w:name w:val="Heading 2 Char"/>
    <w:qFormat/>
    <w:locked/>
    <w:uiPriority w:val="0"/>
    <w:rPr>
      <w:rFonts w:ascii="Cambria" w:hAnsi="Cambria" w:eastAsia="宋体" w:cs="Times New Roman"/>
      <w:b/>
      <w:kern w:val="2"/>
      <w:sz w:val="32"/>
    </w:rPr>
  </w:style>
  <w:style w:type="character" w:customStyle="1" w:styleId="136">
    <w:name w:val="Heading 3 Char"/>
    <w:qFormat/>
    <w:locked/>
    <w:uiPriority w:val="0"/>
    <w:rPr>
      <w:rFonts w:cs="Times New Roman"/>
      <w:b/>
      <w:kern w:val="2"/>
      <w:sz w:val="32"/>
    </w:rPr>
  </w:style>
  <w:style w:type="character" w:customStyle="1" w:styleId="137">
    <w:name w:val="Heading 4 Char"/>
    <w:qFormat/>
    <w:locked/>
    <w:uiPriority w:val="0"/>
    <w:rPr>
      <w:rFonts w:ascii="Cambria" w:hAnsi="Cambria" w:eastAsia="宋体" w:cs="Times New Roman"/>
      <w:b/>
      <w:kern w:val="2"/>
      <w:sz w:val="28"/>
    </w:rPr>
  </w:style>
  <w:style w:type="character" w:customStyle="1" w:styleId="138">
    <w:name w:val="日期 Char1"/>
    <w:qFormat/>
    <w:uiPriority w:val="0"/>
    <w:rPr>
      <w:kern w:val="2"/>
      <w:sz w:val="22"/>
    </w:rPr>
  </w:style>
  <w:style w:type="character" w:customStyle="1" w:styleId="139">
    <w:name w:val="副标题 Char1"/>
    <w:qFormat/>
    <w:uiPriority w:val="11"/>
    <w:rPr>
      <w:rFonts w:ascii="Cambria" w:hAnsi="Cambria" w:cs="Times New Roman"/>
      <w:b/>
      <w:bCs/>
      <w:kern w:val="28"/>
      <w:sz w:val="32"/>
      <w:szCs w:val="32"/>
    </w:rPr>
  </w:style>
  <w:style w:type="character" w:customStyle="1" w:styleId="140">
    <w:name w:val="首行缩进两字 Char1"/>
    <w:link w:val="141"/>
    <w:qFormat/>
    <w:uiPriority w:val="0"/>
    <w:rPr>
      <w:rFonts w:ascii="宋体" w:hAnsi="宋体" w:eastAsia="宋体"/>
      <w:color w:val="000000"/>
      <w:sz w:val="28"/>
      <w:lang w:val="en-US" w:eastAsia="zh-CN"/>
    </w:rPr>
  </w:style>
  <w:style w:type="paragraph" w:customStyle="1" w:styleId="141">
    <w:name w:val="首行缩进两字"/>
    <w:basedOn w:val="1"/>
    <w:link w:val="140"/>
    <w:qFormat/>
    <w:uiPriority w:val="0"/>
    <w:pPr>
      <w:ind w:firstLine="549" w:firstLineChars="200"/>
      <w:jc w:val="left"/>
    </w:pPr>
    <w:rPr>
      <w:rFonts w:ascii="宋体" w:hAnsi="宋体"/>
      <w:color w:val="000000"/>
      <w:kern w:val="0"/>
      <w:sz w:val="28"/>
    </w:rPr>
  </w:style>
  <w:style w:type="character" w:customStyle="1" w:styleId="142">
    <w:name w:val="书籍标题1"/>
    <w:qFormat/>
    <w:uiPriority w:val="0"/>
    <w:rPr>
      <w:rFonts w:cs="Times New Roman"/>
      <w:b/>
      <w:smallCaps/>
      <w:spacing w:val="5"/>
    </w:rPr>
  </w:style>
  <w:style w:type="character" w:customStyle="1" w:styleId="143">
    <w:name w:val="Char Char11"/>
    <w:qFormat/>
    <w:locked/>
    <w:uiPriority w:val="0"/>
    <w:rPr>
      <w:rFonts w:ascii="Cambria" w:hAnsi="Cambria" w:eastAsia="宋体"/>
      <w:kern w:val="2"/>
      <w:sz w:val="24"/>
      <w:szCs w:val="24"/>
      <w:lang w:val="en-US" w:eastAsia="zh-CN" w:bidi="ar-SA"/>
    </w:rPr>
  </w:style>
  <w:style w:type="character" w:customStyle="1" w:styleId="144">
    <w:name w:val="正文1111"/>
    <w:qFormat/>
    <w:uiPriority w:val="0"/>
    <w:rPr>
      <w:rFonts w:ascii="宋体" w:hAnsi="宋体"/>
      <w:sz w:val="28"/>
    </w:rPr>
  </w:style>
  <w:style w:type="character" w:customStyle="1" w:styleId="145">
    <w:name w:val="明显参考1"/>
    <w:qFormat/>
    <w:uiPriority w:val="0"/>
    <w:rPr>
      <w:rFonts w:cs="Times New Roman"/>
      <w:b/>
      <w:smallCaps/>
      <w:color w:val="C0504D"/>
      <w:spacing w:val="5"/>
      <w:u w:val="single"/>
    </w:rPr>
  </w:style>
  <w:style w:type="character" w:customStyle="1" w:styleId="146">
    <w:name w:val="Char Char7"/>
    <w:qFormat/>
    <w:locked/>
    <w:uiPriority w:val="0"/>
    <w:rPr>
      <w:rFonts w:eastAsia="宋体"/>
      <w:kern w:val="2"/>
      <w:sz w:val="21"/>
      <w:lang w:val="en-US" w:eastAsia="zh-CN" w:bidi="ar-SA"/>
    </w:rPr>
  </w:style>
  <w:style w:type="character" w:customStyle="1" w:styleId="147">
    <w:name w:val="_Style 138"/>
    <w:qFormat/>
    <w:uiPriority w:val="0"/>
    <w:rPr>
      <w:b/>
      <w:bCs/>
      <w:i/>
      <w:iCs/>
      <w:color w:val="4F81BD"/>
    </w:rPr>
  </w:style>
  <w:style w:type="character" w:customStyle="1" w:styleId="148">
    <w:name w:val="_Style 139"/>
    <w:qFormat/>
    <w:uiPriority w:val="0"/>
    <w:rPr>
      <w:b/>
      <w:bCs/>
      <w:smallCaps/>
      <w:spacing w:val="5"/>
    </w:rPr>
  </w:style>
  <w:style w:type="character" w:customStyle="1" w:styleId="149">
    <w:name w:val="Quote Char1"/>
    <w:qFormat/>
    <w:locked/>
    <w:uiPriority w:val="0"/>
    <w:rPr>
      <w:rFonts w:cs="Times New Roman"/>
      <w:i/>
      <w:iCs/>
      <w:color w:val="000000"/>
    </w:rPr>
  </w:style>
  <w:style w:type="character" w:customStyle="1" w:styleId="150">
    <w:name w:val="apple-converted-space"/>
    <w:qFormat/>
    <w:uiPriority w:val="0"/>
  </w:style>
  <w:style w:type="character" w:customStyle="1" w:styleId="151">
    <w:name w:val="Intense Quote Char"/>
    <w:link w:val="152"/>
    <w:qFormat/>
    <w:locked/>
    <w:uiPriority w:val="0"/>
    <w:rPr>
      <w:b/>
      <w:i/>
      <w:color w:val="4F81BD"/>
      <w:kern w:val="2"/>
      <w:sz w:val="22"/>
      <w:lang w:bidi="ar-SA"/>
    </w:rPr>
  </w:style>
  <w:style w:type="paragraph" w:customStyle="1" w:styleId="152">
    <w:name w:val="Intense Quote1"/>
    <w:basedOn w:val="1"/>
    <w:next w:val="1"/>
    <w:link w:val="151"/>
    <w:qFormat/>
    <w:uiPriority w:val="0"/>
    <w:pPr>
      <w:pBdr>
        <w:bottom w:val="single" w:color="4F81BD" w:sz="4" w:space="4"/>
      </w:pBdr>
      <w:spacing w:before="200" w:after="280"/>
      <w:ind w:left="936" w:right="936"/>
    </w:pPr>
    <w:rPr>
      <w:b/>
      <w:i/>
      <w:color w:val="4F81BD"/>
      <w:sz w:val="22"/>
    </w:rPr>
  </w:style>
  <w:style w:type="character" w:customStyle="1" w:styleId="153">
    <w:name w:val="不明显参考1"/>
    <w:qFormat/>
    <w:uiPriority w:val="0"/>
    <w:rPr>
      <w:rFonts w:cs="Times New Roman"/>
      <w:smallCaps/>
      <w:color w:val="C0504D"/>
      <w:u w:val="single"/>
    </w:rPr>
  </w:style>
  <w:style w:type="paragraph" w:customStyle="1" w:styleId="154">
    <w:name w:val="修订1"/>
    <w:qFormat/>
    <w:uiPriority w:val="0"/>
    <w:rPr>
      <w:rFonts w:ascii="Times New Roman" w:hAnsi="Times New Roman" w:eastAsia="宋体" w:cs="Times New Roman"/>
      <w:kern w:val="2"/>
      <w:sz w:val="21"/>
      <w:szCs w:val="24"/>
      <w:lang w:val="en-US" w:eastAsia="zh-CN" w:bidi="ar-SA"/>
    </w:rPr>
  </w:style>
  <w:style w:type="paragraph" w:customStyle="1" w:styleId="155">
    <w:name w:val="Char1 Char Char Char"/>
    <w:basedOn w:val="1"/>
    <w:qFormat/>
    <w:uiPriority w:val="0"/>
  </w:style>
  <w:style w:type="paragraph" w:customStyle="1" w:styleId="156">
    <w:name w:val="默认段落字体 Para Char Char Char Char"/>
    <w:basedOn w:val="1"/>
    <w:qFormat/>
    <w:uiPriority w:val="0"/>
    <w:pPr>
      <w:snapToGrid w:val="0"/>
      <w:spacing w:line="360" w:lineRule="auto"/>
      <w:ind w:firstLine="200" w:firstLineChars="200"/>
    </w:pPr>
    <w:rPr>
      <w:rFonts w:eastAsia="仿宋_GB2312"/>
      <w:sz w:val="24"/>
      <w:szCs w:val="24"/>
    </w:rPr>
  </w:style>
  <w:style w:type="paragraph" w:customStyle="1" w:styleId="157">
    <w:name w:val="0"/>
    <w:basedOn w:val="1"/>
    <w:qFormat/>
    <w:uiPriority w:val="0"/>
    <w:pPr>
      <w:widowControl/>
      <w:snapToGrid w:val="0"/>
    </w:pPr>
    <w:rPr>
      <w:kern w:val="0"/>
    </w:rPr>
  </w:style>
  <w:style w:type="paragraph" w:styleId="158">
    <w:name w:val="List Paragraph"/>
    <w:basedOn w:val="1"/>
    <w:qFormat/>
    <w:uiPriority w:val="0"/>
    <w:pPr>
      <w:ind w:firstLine="420" w:firstLineChars="200"/>
    </w:pPr>
    <w:rPr>
      <w:rFonts w:ascii="Calibri" w:hAnsi="Calibri"/>
      <w:szCs w:val="22"/>
    </w:rPr>
  </w:style>
  <w:style w:type="paragraph" w:customStyle="1" w:styleId="159">
    <w:name w:val="节标题"/>
    <w:basedOn w:val="1"/>
    <w:next w:val="1"/>
    <w:qFormat/>
    <w:uiPriority w:val="0"/>
    <w:pPr>
      <w:widowControl/>
      <w:spacing w:line="289" w:lineRule="atLeast"/>
      <w:jc w:val="center"/>
      <w:textAlignment w:val="baseline"/>
    </w:pPr>
    <w:rPr>
      <w:color w:val="000000"/>
      <w:kern w:val="0"/>
      <w:sz w:val="28"/>
      <w:u w:color="000000"/>
    </w:rPr>
  </w:style>
  <w:style w:type="paragraph" w:customStyle="1" w:styleId="160">
    <w:name w:val="样式3"/>
    <w:basedOn w:val="23"/>
    <w:qFormat/>
    <w:uiPriority w:val="0"/>
    <w:pPr>
      <w:spacing w:line="0" w:lineRule="atLeast"/>
      <w:outlineLvl w:val="0"/>
    </w:pPr>
    <w:rPr>
      <w:sz w:val="28"/>
    </w:rPr>
  </w:style>
  <w:style w:type="paragraph" w:customStyle="1" w:styleId="161">
    <w:name w:val="_Style 152"/>
    <w:basedOn w:val="2"/>
    <w:next w:val="1"/>
    <w:qFormat/>
    <w:uiPriority w:val="0"/>
    <w:pPr>
      <w:spacing w:line="578" w:lineRule="auto"/>
      <w:outlineLvl w:val="9"/>
    </w:pPr>
    <w:rPr>
      <w:bCs/>
      <w:szCs w:val="44"/>
    </w:rPr>
  </w:style>
  <w:style w:type="paragraph" w:customStyle="1" w:styleId="162">
    <w:name w:val="_Style 153"/>
    <w:qFormat/>
    <w:uiPriority w:val="0"/>
    <w:rPr>
      <w:rFonts w:ascii="Times New Roman" w:hAnsi="Times New Roman" w:eastAsia="宋体" w:cs="Times New Roman"/>
      <w:kern w:val="2"/>
      <w:sz w:val="21"/>
      <w:szCs w:val="24"/>
      <w:lang w:val="en-US" w:eastAsia="zh-CN" w:bidi="ar-SA"/>
    </w:rPr>
  </w:style>
  <w:style w:type="paragraph" w:customStyle="1" w:styleId="163">
    <w:name w:val="索引 6 New"/>
    <w:qFormat/>
    <w:uiPriority w:val="0"/>
    <w:rPr>
      <w:rFonts w:ascii="Times New Roman" w:hAnsi="Times New Roman" w:eastAsia="宋体" w:cs="Times New Roman"/>
      <w:sz w:val="24"/>
      <w:szCs w:val="24"/>
      <w:lang w:val="en-US" w:eastAsia="zh-CN" w:bidi="en-US"/>
    </w:rPr>
  </w:style>
  <w:style w:type="paragraph" w:customStyle="1" w:styleId="164">
    <w:name w:val="_Style 7"/>
    <w:basedOn w:val="2"/>
    <w:next w:val="1"/>
    <w:qFormat/>
    <w:uiPriority w:val="0"/>
    <w:pPr>
      <w:spacing w:line="578" w:lineRule="auto"/>
      <w:outlineLvl w:val="9"/>
    </w:pPr>
    <w:rPr>
      <w:bCs/>
      <w:szCs w:val="44"/>
    </w:rPr>
  </w:style>
  <w:style w:type="paragraph" w:customStyle="1" w:styleId="165">
    <w:name w:val="No Spacing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6">
    <w:name w:val="TOC 标题1"/>
    <w:basedOn w:val="2"/>
    <w:next w:val="1"/>
    <w:qFormat/>
    <w:uiPriority w:val="0"/>
    <w:pPr>
      <w:outlineLvl w:val="9"/>
    </w:pPr>
    <w:rPr>
      <w:rFonts w:ascii="Calibri" w:hAnsi="Calibri"/>
      <w:bCs/>
      <w:szCs w:val="44"/>
    </w:rPr>
  </w:style>
  <w:style w:type="paragraph" w:styleId="167">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8">
    <w:name w:val="p0"/>
    <w:basedOn w:val="1"/>
    <w:qFormat/>
    <w:uiPriority w:val="0"/>
    <w:pPr>
      <w:widowControl/>
      <w:spacing w:line="365" w:lineRule="atLeast"/>
      <w:ind w:left="1"/>
      <w:textAlignment w:val="bottom"/>
    </w:pPr>
    <w:rPr>
      <w:kern w:val="0"/>
      <w:sz w:val="20"/>
    </w:rPr>
  </w:style>
  <w:style w:type="paragraph" w:customStyle="1" w:styleId="169">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170">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171">
    <w:name w:val="样式 标题 3 + (中文) 黑体 小四 非加粗 段前: 7.8 磅 段后: 0 磅 行距: 固定值 20 磅"/>
    <w:basedOn w:val="4"/>
    <w:qFormat/>
    <w:uiPriority w:val="0"/>
    <w:pPr>
      <w:spacing w:before="0" w:after="0" w:line="400" w:lineRule="exact"/>
    </w:pPr>
    <w:rPr>
      <w:rFonts w:eastAsia="黑体" w:cs="宋体"/>
      <w:b w:val="0"/>
      <w:sz w:val="24"/>
    </w:rPr>
  </w:style>
  <w:style w:type="paragraph" w:customStyle="1" w:styleId="172">
    <w:name w:val="List Paragraph1"/>
    <w:basedOn w:val="1"/>
    <w:qFormat/>
    <w:uiPriority w:val="0"/>
    <w:pPr>
      <w:ind w:firstLine="420" w:firstLineChars="200"/>
    </w:pPr>
    <w:rPr>
      <w:rFonts w:ascii="Calibri" w:hAnsi="Calibri"/>
      <w:szCs w:val="22"/>
    </w:rPr>
  </w:style>
  <w:style w:type="paragraph" w:customStyle="1" w:styleId="173">
    <w:name w:val="空半行"/>
    <w:basedOn w:val="1"/>
    <w:qFormat/>
    <w:uiPriority w:val="0"/>
    <w:pPr>
      <w:adjustRightInd w:val="0"/>
      <w:spacing w:line="120" w:lineRule="exact"/>
      <w:textAlignment w:val="baseline"/>
    </w:pPr>
    <w:rPr>
      <w:rFonts w:eastAsia="仿宋_GB2312"/>
      <w:color w:val="FFFFFF"/>
      <w:kern w:val="0"/>
      <w:sz w:val="30"/>
    </w:rPr>
  </w:style>
  <w:style w:type="paragraph" w:customStyle="1" w:styleId="174">
    <w:name w:val="Char"/>
    <w:basedOn w:val="1"/>
    <w:qFormat/>
    <w:uiPriority w:val="0"/>
    <w:pPr>
      <w:snapToGrid w:val="0"/>
      <w:spacing w:line="360" w:lineRule="auto"/>
      <w:ind w:firstLine="200" w:firstLineChars="200"/>
    </w:pPr>
    <w:rPr>
      <w:rFonts w:eastAsia="仿宋_GB2312"/>
      <w:sz w:val="24"/>
    </w:rPr>
  </w:style>
  <w:style w:type="paragraph" w:customStyle="1" w:styleId="175">
    <w:name w:val="dash6b63_65871"/>
    <w:basedOn w:val="1"/>
    <w:qFormat/>
    <w:uiPriority w:val="0"/>
    <w:pPr>
      <w:widowControl/>
    </w:pPr>
    <w:rPr>
      <w:rFonts w:ascii="Calibri" w:hAnsi="Calibri" w:cs="Calibri"/>
      <w:kern w:val="0"/>
      <w:sz w:val="20"/>
    </w:rPr>
  </w:style>
  <w:style w:type="paragraph" w:customStyle="1" w:styleId="176">
    <w:name w:val="Char1"/>
    <w:basedOn w:val="1"/>
    <w:qFormat/>
    <w:uiPriority w:val="0"/>
    <w:pPr>
      <w:snapToGrid w:val="0"/>
      <w:spacing w:line="360" w:lineRule="auto"/>
      <w:ind w:firstLine="200" w:firstLineChars="200"/>
    </w:pPr>
  </w:style>
  <w:style w:type="paragraph" w:customStyle="1" w:styleId="177">
    <w:name w:val="Table Paragraph"/>
    <w:basedOn w:val="1"/>
    <w:qFormat/>
    <w:uiPriority w:val="0"/>
    <w:pPr>
      <w:autoSpaceDE w:val="0"/>
      <w:autoSpaceDN w:val="0"/>
      <w:jc w:val="left"/>
    </w:pPr>
    <w:rPr>
      <w:rFonts w:hint="eastAsia" w:ascii="宋体" w:hAnsi="宋体"/>
      <w:kern w:val="0"/>
      <w:sz w:val="22"/>
      <w:szCs w:val="22"/>
    </w:rPr>
  </w:style>
  <w:style w:type="paragraph" w:customStyle="1" w:styleId="178">
    <w:name w:val="目录 51"/>
    <w:next w:val="1"/>
    <w:qFormat/>
    <w:uiPriority w:val="0"/>
    <w:pPr>
      <w:wordWrap w:val="0"/>
      <w:ind w:left="1700"/>
      <w:jc w:val="both"/>
    </w:pPr>
    <w:rPr>
      <w:rFonts w:ascii="Calibri" w:hAnsi="Calibri" w:eastAsia="Calibri" w:cs="Times New Roman"/>
      <w:sz w:val="21"/>
      <w:lang w:val="en-US" w:eastAsia="zh-CN" w:bidi="ar-SA"/>
    </w:rPr>
  </w:style>
  <w:style w:type="paragraph" w:customStyle="1" w:styleId="179">
    <w:name w:val="无间隔1"/>
    <w:basedOn w:val="180"/>
    <w:next w:val="13"/>
    <w:qFormat/>
    <w:uiPriority w:val="1"/>
    <w:pPr>
      <w:spacing w:line="400" w:lineRule="exact"/>
      <w:ind w:firstLine="420" w:firstLineChars="200"/>
    </w:pPr>
    <w:rPr>
      <w:rFonts w:ascii="Calibri" w:hAnsi="Calibri"/>
      <w:sz w:val="24"/>
    </w:rPr>
  </w:style>
  <w:style w:type="paragraph" w:customStyle="1" w:styleId="180">
    <w:name w:val="正文_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TOC Heading1"/>
    <w:next w:val="1"/>
    <w:qFormat/>
    <w:uiPriority w:val="0"/>
    <w:pPr>
      <w:wordWrap w:val="0"/>
    </w:pPr>
    <w:rPr>
      <w:rFonts w:ascii="Calibri" w:hAnsi="Calibri" w:eastAsia="宋体" w:cs="Times New Roman"/>
      <w:sz w:val="32"/>
      <w:szCs w:val="22"/>
      <w:lang w:val="en-US" w:eastAsia="zh-CN" w:bidi="ar-SA"/>
    </w:rPr>
  </w:style>
  <w:style w:type="character" w:customStyle="1" w:styleId="182">
    <w:name w:val="font01"/>
    <w:basedOn w:val="45"/>
    <w:qFormat/>
    <w:uiPriority w:val="0"/>
    <w:rPr>
      <w:rFonts w:hint="default" w:ascii="Cambria" w:hAnsi="Cambria" w:eastAsia="Cambria" w:cs="Cambria"/>
      <w:color w:val="191919"/>
      <w:sz w:val="24"/>
      <w:szCs w:val="24"/>
      <w:u w:val="none"/>
      <w:vertAlign w:val="subscript"/>
    </w:rPr>
  </w:style>
  <w:style w:type="character" w:customStyle="1" w:styleId="183">
    <w:name w:val="font21"/>
    <w:basedOn w:val="45"/>
    <w:qFormat/>
    <w:uiPriority w:val="0"/>
    <w:rPr>
      <w:rFonts w:hint="eastAsia" w:ascii="宋体" w:hAnsi="宋体" w:eastAsia="宋体" w:cs="宋体"/>
      <w:color w:val="191919"/>
      <w:sz w:val="21"/>
      <w:szCs w:val="21"/>
      <w:u w:val="none"/>
    </w:rPr>
  </w:style>
  <w:style w:type="character" w:customStyle="1" w:styleId="184">
    <w:name w:val="font31"/>
    <w:basedOn w:val="45"/>
    <w:qFormat/>
    <w:uiPriority w:val="0"/>
    <w:rPr>
      <w:rFonts w:hint="default" w:ascii="Cambria" w:hAnsi="Cambria" w:eastAsia="Cambria" w:cs="Cambria"/>
      <w:color w:val="191919"/>
      <w:sz w:val="24"/>
      <w:szCs w:val="24"/>
      <w:u w:val="none"/>
    </w:rPr>
  </w:style>
  <w:style w:type="character" w:customStyle="1" w:styleId="185">
    <w:name w:val="font61"/>
    <w:basedOn w:val="45"/>
    <w:qFormat/>
    <w:uiPriority w:val="0"/>
    <w:rPr>
      <w:rFonts w:hint="default" w:ascii="Cambria" w:hAnsi="Cambria" w:eastAsia="Cambria" w:cs="Cambria"/>
      <w:color w:val="191919"/>
      <w:sz w:val="21"/>
      <w:szCs w:val="21"/>
      <w:u w:val="none"/>
    </w:rPr>
  </w:style>
  <w:style w:type="paragraph" w:customStyle="1" w:styleId="186">
    <w:name w:val="Table Text"/>
    <w:basedOn w:val="1"/>
    <w:semiHidden/>
    <w:qFormat/>
    <w:uiPriority w:val="0"/>
    <w:rPr>
      <w:rFonts w:ascii="宋体" w:hAnsi="宋体" w:cs="宋体"/>
      <w:sz w:val="20"/>
      <w:lang w:eastAsia="en-US"/>
    </w:rPr>
  </w:style>
  <w:style w:type="paragraph" w:customStyle="1" w:styleId="187">
    <w:name w:val="正文 首缩2"/>
    <w:basedOn w:val="12"/>
    <w:next w:val="42"/>
    <w:qFormat/>
    <w:uiPriority w:val="0"/>
    <w:pPr>
      <w:ind w:firstLine="560"/>
      <w:textAlignment w:val="auto"/>
    </w:pPr>
    <w:rPr>
      <w:szCs w:val="36"/>
    </w:rPr>
  </w:style>
  <w:style w:type="paragraph" w:customStyle="1" w:styleId="188">
    <w:name w:val="_Style 8"/>
    <w:basedOn w:val="2"/>
    <w:next w:val="1"/>
    <w:qFormat/>
    <w:uiPriority w:val="0"/>
    <w:pPr>
      <w:spacing w:line="578" w:lineRule="auto"/>
      <w:outlineLvl w:val="9"/>
    </w:pPr>
    <w:rPr>
      <w:bCs/>
      <w:szCs w:val="44"/>
    </w:rPr>
  </w:style>
  <w:style w:type="character" w:customStyle="1" w:styleId="189">
    <w:name w:val="esdskipcrossnaventer"/>
    <w:basedOn w:val="45"/>
    <w:qFormat/>
    <w:uiPriority w:val="0"/>
    <w:rPr>
      <w:color w:val="FFFFFF"/>
      <w:sz w:val="24"/>
      <w:szCs w:val="24"/>
      <w:shd w:val="clear" w:color="auto" w:fill="2A6EB3"/>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2.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5.png"/><Relationship Id="rId24" Type="http://schemas.openxmlformats.org/officeDocument/2006/relationships/image" Target="media/image4.png"/><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3FA30E-C952-4CB5-A89C-A21CA53AF7A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115</Pages>
  <Words>54006</Words>
  <Characters>58072</Characters>
  <Lines>446</Lines>
  <Paragraphs>125</Paragraphs>
  <TotalTime>45</TotalTime>
  <ScaleCrop>false</ScaleCrop>
  <LinksUpToDate>false</LinksUpToDate>
  <CharactersWithSpaces>65352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2025-12-23T04:39:00Z</dcterms:created>
  <dc:creator>微软用户</dc:creator>
  <cp:lastModifiedBy>NTKO</cp:lastModifiedBy>
  <cp:lastPrinted>2026-07-03T07:30:00Z</cp:lastPrinted>
  <dcterms:modified xsi:type="dcterms:W3CDTF">2026-09-18T00:56:12Z</dcterms:modified>
  <dc:title>附件二：</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37B1C9E520CC4D2E96280826A496FBB6_13</vt:lpwstr>
  </property>
  <property fmtid="{D5CDD505-2E9C-101B-9397-08002B2CF9AE}" pid="4" name="KSOTemplateDocerSaveRecord">
    <vt:lpwstr>eyJoZGlkIjoiNTA0NTg2Y2I1MzM5NjU3MGE1MWQwNzYzZDkzMDE5YTIiLCJ1c2VySWQiOiIxNjA1NDU5NyJ9</vt:lpwstr>
  </property>
</Properties>
</file>