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86" w:beforeLines="100" w:after="286" w:afterLines="100" w:line="360" w:lineRule="auto"/>
        <w:jc w:val="center"/>
        <w:rPr>
          <w:rFonts w:asciiTheme="minorEastAsia" w:hAnsiTheme="minorEastAsia" w:cstheme="minorEastAsia"/>
          <w:b/>
          <w:spacing w:val="-20"/>
          <w:sz w:val="44"/>
          <w:szCs w:val="36"/>
        </w:rPr>
      </w:pPr>
    </w:p>
    <w:p>
      <w:pPr>
        <w:pStyle w:val="5"/>
        <w:jc w:val="center"/>
        <w:rPr>
          <w:rFonts w:asciiTheme="minorEastAsia" w:hAnsiTheme="minorEastAsia" w:eastAsiaTheme="minorEastAsia" w:cstheme="minorEastAsia"/>
          <w:b/>
          <w:spacing w:val="-20"/>
          <w:sz w:val="56"/>
          <w:szCs w:val="48"/>
        </w:rPr>
      </w:pPr>
      <w:r>
        <w:rPr>
          <w:rFonts w:hint="eastAsia"/>
          <w:b/>
          <w:bCs/>
          <w:sz w:val="40"/>
          <w:szCs w:val="40"/>
        </w:rPr>
        <w:t>安阳市中等职业技术学校（安阳市职业教育中心）智慧黑板建设项目（</w:t>
      </w:r>
      <w:r>
        <w:rPr>
          <w:rFonts w:hint="eastAsia"/>
          <w:b/>
          <w:bCs/>
          <w:sz w:val="40"/>
          <w:szCs w:val="40"/>
          <w:lang w:eastAsia="zh-CN"/>
        </w:rPr>
        <w:t>四</w:t>
      </w:r>
      <w:r>
        <w:rPr>
          <w:rFonts w:hint="eastAsia"/>
          <w:b/>
          <w:bCs/>
          <w:sz w:val="40"/>
          <w:szCs w:val="40"/>
        </w:rPr>
        <w:t>次）</w:t>
      </w:r>
    </w:p>
    <w:p>
      <w:pPr>
        <w:pStyle w:val="17"/>
      </w:pPr>
    </w:p>
    <w:p>
      <w:pPr>
        <w:pStyle w:val="5"/>
        <w:spacing w:after="0" w:line="360" w:lineRule="auto"/>
        <w:rPr>
          <w:rFonts w:asciiTheme="minorEastAsia" w:hAnsiTheme="minorEastAsia" w:eastAsiaTheme="minorEastAsia" w:cstheme="minorEastAsia"/>
          <w:b/>
          <w:spacing w:val="-20"/>
          <w:sz w:val="48"/>
          <w:szCs w:val="40"/>
        </w:rPr>
      </w:pPr>
    </w:p>
    <w:p>
      <w:pPr>
        <w:pStyle w:val="17"/>
      </w:pPr>
    </w:p>
    <w:p>
      <w:pPr>
        <w:pStyle w:val="17"/>
      </w:pPr>
    </w:p>
    <w:p>
      <w:pPr>
        <w:spacing w:before="286" w:beforeLines="100" w:after="143" w:afterLines="50" w:line="360" w:lineRule="auto"/>
        <w:jc w:val="center"/>
        <w:rPr>
          <w:rFonts w:asciiTheme="minorEastAsia" w:hAnsiTheme="minorEastAsia" w:cstheme="minorEastAsia"/>
          <w:b/>
          <w:spacing w:val="100"/>
          <w:sz w:val="96"/>
          <w:szCs w:val="96"/>
        </w:rPr>
      </w:pPr>
      <w:r>
        <w:rPr>
          <w:rFonts w:hint="eastAsia" w:asciiTheme="minorEastAsia" w:hAnsiTheme="minorEastAsia" w:cstheme="minorEastAsia"/>
          <w:b/>
          <w:spacing w:val="130"/>
          <w:sz w:val="96"/>
          <w:szCs w:val="96"/>
        </w:rPr>
        <w:t>招标文件</w:t>
      </w:r>
    </w:p>
    <w:p>
      <w:pPr>
        <w:pStyle w:val="20"/>
        <w:spacing w:after="0"/>
        <w:ind w:firstLine="241"/>
        <w:jc w:val="center"/>
        <w:rPr>
          <w:rFonts w:hint="default" w:eastAsia="宋体"/>
          <w:color w:val="auto"/>
          <w:lang w:val="en-US" w:eastAsia="zh-CN"/>
        </w:rPr>
      </w:pPr>
      <w:r>
        <w:rPr>
          <w:rFonts w:hint="eastAsia" w:asciiTheme="minorEastAsia" w:hAnsiTheme="minorEastAsia" w:cstheme="minorEastAsia"/>
          <w:b/>
          <w:bCs/>
          <w:color w:val="auto"/>
          <w:sz w:val="24"/>
          <w:szCs w:val="24"/>
        </w:rPr>
        <w:t>项目编号：安财招标采购-2022-16</w:t>
      </w: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bookmarkStart w:id="76" w:name="_GoBack"/>
      <w:bookmarkEnd w:id="76"/>
    </w:p>
    <w:p>
      <w:pPr>
        <w:spacing w:before="143" w:beforeLines="50" w:after="143" w:afterLines="50" w:line="360" w:lineRule="auto"/>
        <w:rPr>
          <w:rFonts w:asciiTheme="minorEastAsia" w:hAnsiTheme="minorEastAsia" w:cstheme="minorEastAsia"/>
          <w:b/>
          <w:sz w:val="36"/>
          <w:szCs w:val="36"/>
        </w:rPr>
      </w:pP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采 购 人：安阳市中等职业技术学校</w:t>
      </w: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代理机构：中资国际工程咨询集团有限责任公司</w:t>
      </w: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日    期：二〇二二年</w:t>
      </w:r>
      <w:r>
        <w:rPr>
          <w:rFonts w:hint="eastAsia" w:asciiTheme="minorEastAsia" w:hAnsiTheme="minorEastAsia" w:cstheme="minorEastAsia"/>
          <w:b/>
          <w:sz w:val="30"/>
          <w:szCs w:val="30"/>
          <w:lang w:eastAsia="zh-CN"/>
        </w:rPr>
        <w:t>十二</w:t>
      </w:r>
      <w:r>
        <w:rPr>
          <w:rFonts w:hint="eastAsia" w:asciiTheme="minorEastAsia" w:hAnsiTheme="minorEastAsia" w:cstheme="minorEastAsia"/>
          <w:b/>
          <w:sz w:val="30"/>
          <w:szCs w:val="30"/>
        </w:rPr>
        <w:t>月</w:t>
      </w:r>
    </w:p>
    <w:p>
      <w:pPr>
        <w:spacing w:before="286" w:beforeLines="100" w:after="286" w:afterLines="100" w:line="360" w:lineRule="auto"/>
        <w:rPr>
          <w:rFonts w:asciiTheme="minorEastAsia" w:hAnsiTheme="minorEastAsia" w:cstheme="minorEastAsia"/>
          <w:b/>
          <w:sz w:val="36"/>
          <w:szCs w:val="36"/>
        </w:rPr>
      </w:pPr>
    </w:p>
    <w:p>
      <w:pPr>
        <w:spacing w:before="286" w:beforeLines="100" w:after="286" w:afterLines="100" w:line="360" w:lineRule="auto"/>
        <w:jc w:val="center"/>
        <w:rPr>
          <w:rFonts w:asciiTheme="minorEastAsia" w:hAnsiTheme="minorEastAsia" w:cstheme="minorEastAsia"/>
          <w:b/>
          <w:sz w:val="44"/>
          <w:szCs w:val="44"/>
        </w:rPr>
      </w:pPr>
    </w:p>
    <w:p>
      <w:pPr>
        <w:spacing w:before="286" w:beforeLines="100" w:after="286" w:afterLines="100" w:line="360" w:lineRule="auto"/>
        <w:jc w:val="center"/>
        <w:rPr>
          <w:rFonts w:asciiTheme="minorEastAsia" w:hAnsiTheme="minorEastAsia" w:cstheme="minorEastAsia"/>
          <w:b/>
          <w:sz w:val="44"/>
          <w:szCs w:val="44"/>
        </w:rPr>
      </w:pPr>
    </w:p>
    <w:p>
      <w:pPr>
        <w:spacing w:before="286" w:beforeLines="100" w:after="286" w:afterLines="100" w:line="360" w:lineRule="auto"/>
        <w:jc w:val="center"/>
        <w:rPr>
          <w:rFonts w:asciiTheme="minorEastAsia" w:hAnsiTheme="minorEastAsia" w:cstheme="minorEastAsia"/>
          <w:b/>
          <w:sz w:val="44"/>
          <w:szCs w:val="44"/>
        </w:rPr>
      </w:pPr>
      <w:r>
        <w:rPr>
          <w:rFonts w:hint="eastAsia" w:asciiTheme="minorEastAsia" w:hAnsiTheme="minorEastAsia" w:cstheme="minorEastAsia"/>
          <w:b/>
          <w:sz w:val="44"/>
          <w:szCs w:val="44"/>
        </w:rPr>
        <w:t>目     录</w:t>
      </w:r>
    </w:p>
    <w:p>
      <w:pPr>
        <w:pStyle w:val="15"/>
        <w:tabs>
          <w:tab w:val="right" w:leader="dot" w:pos="9580"/>
          <w:tab w:val="clear" w:pos="9345"/>
        </w:tabs>
        <w:rPr>
          <w:rFonts w:asciiTheme="minorEastAsia" w:hAnsiTheme="minorEastAsia" w:cstheme="minorEastAsia"/>
          <w:szCs w:val="32"/>
        </w:rPr>
      </w:pPr>
      <w:r>
        <w:rPr>
          <w:rFonts w:asciiTheme="minorEastAsia" w:hAnsiTheme="minorEastAsia" w:cstheme="minorEastAsia"/>
          <w:sz w:val="32"/>
          <w:szCs w:val="32"/>
        </w:rPr>
        <w:fldChar w:fldCharType="begin"/>
      </w:r>
      <w:r>
        <w:rPr>
          <w:rFonts w:asciiTheme="minorEastAsia" w:hAnsiTheme="minorEastAsia" w:cstheme="minorEastAsia"/>
          <w:sz w:val="32"/>
          <w:szCs w:val="32"/>
        </w:rPr>
        <w:instrText xml:space="preserve">TOC \o "1-3" \h \u </w:instrText>
      </w:r>
      <w:r>
        <w:rPr>
          <w:rFonts w:asciiTheme="minorEastAsia" w:hAnsiTheme="minorEastAsia" w:cstheme="minorEastAsia"/>
          <w:sz w:val="32"/>
          <w:szCs w:val="32"/>
        </w:rPr>
        <w:fldChar w:fldCharType="separate"/>
      </w: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_Toc2311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第一章  招标公告</w:t>
      </w:r>
      <w:r>
        <w:tab/>
      </w:r>
      <w:r>
        <w:fldChar w:fldCharType="begin"/>
      </w:r>
      <w:r>
        <w:instrText xml:space="preserve"> PAGEREF _Toc2311 \h </w:instrText>
      </w:r>
      <w:r>
        <w:fldChar w:fldCharType="separate"/>
      </w:r>
      <w:r>
        <w:t>1</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_Toc11358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第二章  采购人需求</w:t>
      </w:r>
      <w:r>
        <w:tab/>
      </w:r>
      <w:r>
        <w:fldChar w:fldCharType="begin"/>
      </w:r>
      <w:r>
        <w:instrText xml:space="preserve"> PAGEREF _Toc11358 \h </w:instrText>
      </w:r>
      <w:r>
        <w:fldChar w:fldCharType="separate"/>
      </w:r>
      <w:r>
        <w:t>5</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_Toc2007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 xml:space="preserve">第三章 </w:t>
      </w:r>
      <w:r>
        <w:rPr>
          <w:rFonts w:hint="eastAsia" w:asciiTheme="minorEastAsia" w:hAnsiTheme="minorEastAsia" w:eastAsiaTheme="minorEastAsia" w:cstheme="minorEastAsia"/>
          <w:szCs w:val="32"/>
          <w:lang w:eastAsia="zh-CN"/>
        </w:rPr>
        <w:t>投标人</w:t>
      </w:r>
      <w:r>
        <w:rPr>
          <w:rFonts w:hint="eastAsia" w:asciiTheme="minorEastAsia" w:hAnsiTheme="minorEastAsia" w:eastAsiaTheme="minorEastAsia" w:cstheme="minorEastAsia"/>
          <w:szCs w:val="32"/>
        </w:rPr>
        <w:t>须知</w:t>
      </w:r>
      <w:r>
        <w:tab/>
      </w:r>
      <w:r>
        <w:fldChar w:fldCharType="begin"/>
      </w:r>
      <w:r>
        <w:instrText xml:space="preserve"> PAGEREF _Toc2007 \h </w:instrText>
      </w:r>
      <w:r>
        <w:fldChar w:fldCharType="separate"/>
      </w:r>
      <w:r>
        <w:t>16</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_Toc27226 </w:instrText>
      </w:r>
      <w:r>
        <w:rPr>
          <w:rFonts w:asciiTheme="minorEastAsia" w:hAnsiTheme="minorEastAsia" w:cstheme="minorEastAsia"/>
          <w:szCs w:val="32"/>
        </w:rPr>
        <w:fldChar w:fldCharType="separate"/>
      </w:r>
      <w:r>
        <w:rPr>
          <w:rFonts w:hint="eastAsia" w:asciiTheme="minorEastAsia" w:hAnsiTheme="minorEastAsia" w:cstheme="minorEastAsia"/>
          <w:bCs/>
          <w:kern w:val="44"/>
          <w:szCs w:val="32"/>
          <w:lang w:val="zh-CN"/>
        </w:rPr>
        <w:t>第四章  评标办法（综合评分法）</w:t>
      </w:r>
      <w:r>
        <w:tab/>
      </w:r>
      <w:r>
        <w:fldChar w:fldCharType="begin"/>
      </w:r>
      <w:r>
        <w:instrText xml:space="preserve"> PAGEREF _Toc27226 \h </w:instrText>
      </w:r>
      <w:r>
        <w:fldChar w:fldCharType="separate"/>
      </w:r>
      <w:r>
        <w:t>29</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_Toc31762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第五章    合同（格式）</w:t>
      </w:r>
      <w:r>
        <w:tab/>
      </w:r>
      <w:r>
        <w:fldChar w:fldCharType="begin"/>
      </w:r>
      <w:r>
        <w:instrText xml:space="preserve"> PAGEREF _Toc31762 \h </w:instrText>
      </w:r>
      <w:r>
        <w:fldChar w:fldCharType="separate"/>
      </w:r>
      <w:r>
        <w:t>39</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_Toc31620 </w:instrText>
      </w:r>
      <w:r>
        <w:rPr>
          <w:rFonts w:asciiTheme="minorEastAsia" w:hAnsiTheme="minorEastAsia" w:cstheme="minorEastAsia"/>
          <w:szCs w:val="32"/>
        </w:rPr>
        <w:fldChar w:fldCharType="separate"/>
      </w:r>
      <w:r>
        <w:rPr>
          <w:rFonts w:hint="eastAsia"/>
          <w:szCs w:val="36"/>
          <w:lang w:val="zh-CN"/>
        </w:rPr>
        <w:t>第六章 投标文件格式</w:t>
      </w:r>
      <w:r>
        <w:tab/>
      </w:r>
      <w:r>
        <w:fldChar w:fldCharType="begin"/>
      </w:r>
      <w:r>
        <w:instrText xml:space="preserve"> PAGEREF _Toc31620 \h </w:instrText>
      </w:r>
      <w:r>
        <w:fldChar w:fldCharType="separate"/>
      </w:r>
      <w:r>
        <w:t>42</w:t>
      </w:r>
      <w:r>
        <w:fldChar w:fldCharType="end"/>
      </w:r>
      <w:r>
        <w:rPr>
          <w:rFonts w:asciiTheme="minorEastAsia" w:hAnsiTheme="minorEastAsia" w:cstheme="minorEastAsia"/>
          <w:szCs w:val="32"/>
        </w:rPr>
        <w:fldChar w:fldCharType="end"/>
      </w:r>
    </w:p>
    <w:p>
      <w:pPr>
        <w:snapToGrid w:val="0"/>
        <w:spacing w:before="429" w:beforeLines="150" w:after="429" w:afterLines="150" w:line="560" w:lineRule="atLeast"/>
        <w:textAlignment w:val="top"/>
        <w:rPr>
          <w:rFonts w:asciiTheme="minorEastAsia" w:hAnsiTheme="minorEastAsia" w:cstheme="minorEastAsia"/>
          <w:sz w:val="32"/>
          <w:szCs w:val="32"/>
        </w:rPr>
      </w:pPr>
      <w:r>
        <w:rPr>
          <w:rFonts w:asciiTheme="minorEastAsia" w:hAnsiTheme="minorEastAsia" w:cstheme="minorEastAsia"/>
          <w:szCs w:val="32"/>
        </w:rPr>
        <w:fldChar w:fldCharType="end"/>
      </w:r>
    </w:p>
    <w:p>
      <w:pPr>
        <w:pStyle w:val="3"/>
        <w:pageBreakBefore/>
        <w:widowControl/>
        <w:spacing w:before="0" w:after="0" w:line="360" w:lineRule="auto"/>
        <w:jc w:val="center"/>
        <w:rPr>
          <w:rFonts w:asciiTheme="minorEastAsia" w:hAnsiTheme="minorEastAsia" w:eastAsiaTheme="minorEastAsia" w:cstheme="minorEastAsia"/>
          <w:sz w:val="32"/>
          <w:szCs w:val="32"/>
        </w:rPr>
        <w:sectPr>
          <w:pgSz w:w="11906" w:h="16838"/>
          <w:pgMar w:top="1418" w:right="1135" w:bottom="1135" w:left="1191" w:header="964" w:footer="851" w:gutter="0"/>
          <w:pgNumType w:start="0"/>
          <w:cols w:space="425" w:num="1"/>
          <w:docGrid w:type="lines" w:linePitch="286" w:charSpace="0"/>
        </w:sectPr>
      </w:pPr>
      <w:bookmarkStart w:id="0" w:name="_Toc46320045"/>
    </w:p>
    <w:p>
      <w:pPr>
        <w:pStyle w:val="3"/>
        <w:pageBreakBefore/>
        <w:widowControl/>
        <w:spacing w:before="0" w:after="0" w:line="360" w:lineRule="auto"/>
        <w:jc w:val="center"/>
        <w:rPr>
          <w:rFonts w:asciiTheme="minorEastAsia" w:hAnsiTheme="minorEastAsia" w:eastAsiaTheme="minorEastAsia" w:cstheme="minorEastAsia"/>
          <w:sz w:val="32"/>
          <w:szCs w:val="32"/>
        </w:rPr>
      </w:pPr>
      <w:bookmarkStart w:id="1" w:name="_Toc2311"/>
      <w:r>
        <w:rPr>
          <w:rFonts w:hint="eastAsia" w:asciiTheme="minorEastAsia" w:hAnsiTheme="minorEastAsia" w:eastAsiaTheme="minorEastAsia" w:cstheme="minorEastAsia"/>
          <w:sz w:val="32"/>
          <w:szCs w:val="32"/>
        </w:rPr>
        <w:t>第一章  招标公告</w:t>
      </w:r>
      <w:bookmarkEnd w:id="0"/>
      <w:bookmarkEnd w:id="1"/>
    </w:p>
    <w:p>
      <w:pPr>
        <w:snapToGrid w:val="0"/>
        <w:spacing w:line="460" w:lineRule="exact"/>
        <w:rPr>
          <w:rFonts w:asciiTheme="minorEastAsia" w:hAnsiTheme="minorEastAsia" w:cstheme="minorEastAsia"/>
          <w:b/>
          <w:sz w:val="28"/>
          <w:szCs w:val="28"/>
        </w:rPr>
      </w:pPr>
      <w:r>
        <w:rPr>
          <w:rFonts w:hint="eastAsia" w:asciiTheme="minorEastAsia" w:hAnsiTheme="minorEastAsia" w:cstheme="minorEastAsia"/>
          <w:b/>
          <w:sz w:val="28"/>
          <w:szCs w:val="28"/>
        </w:rPr>
        <w:t>1.项目概况：</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1.1项目名称：安阳市中等职业技术学校（安阳市职业教育中心）智慧黑板建设项目（</w:t>
      </w:r>
      <w:r>
        <w:rPr>
          <w:rFonts w:hint="eastAsia" w:asciiTheme="minorEastAsia" w:hAnsiTheme="minorEastAsia" w:cstheme="minorEastAsia"/>
          <w:sz w:val="21"/>
          <w:szCs w:val="21"/>
          <w:lang w:eastAsia="zh-CN"/>
        </w:rPr>
        <w:t>四</w:t>
      </w:r>
      <w:r>
        <w:rPr>
          <w:rFonts w:hint="eastAsia" w:asciiTheme="minorEastAsia" w:hAnsiTheme="minorEastAsia" w:cstheme="minorEastAsia"/>
          <w:sz w:val="21"/>
          <w:szCs w:val="21"/>
        </w:rPr>
        <w:t>次）</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1.2项目编号：安财招标采购-2022-16</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1.3采购方式：公开招标</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1.4预算金额：3995500.00元</w:t>
      </w:r>
    </w:p>
    <w:p>
      <w:pPr>
        <w:adjustRightInd w:val="0"/>
        <w:snapToGrid w:val="0"/>
        <w:spacing w:line="440" w:lineRule="exact"/>
        <w:ind w:firstLine="892" w:firstLineChars="425"/>
        <w:jc w:val="left"/>
        <w:rPr>
          <w:rFonts w:asciiTheme="minorEastAsia" w:hAnsiTheme="minorEastAsia" w:cstheme="minorEastAsia"/>
          <w:sz w:val="21"/>
          <w:szCs w:val="21"/>
        </w:rPr>
      </w:pPr>
      <w:r>
        <w:rPr>
          <w:rFonts w:hint="eastAsia" w:asciiTheme="minorEastAsia" w:hAnsiTheme="minorEastAsia" w:cstheme="minorEastAsia"/>
          <w:sz w:val="21"/>
          <w:szCs w:val="21"/>
        </w:rPr>
        <w:t>最高限价：</w:t>
      </w:r>
      <w:r>
        <w:rPr>
          <w:rFonts w:hint="eastAsia" w:asciiTheme="minorEastAsia" w:hAnsiTheme="minorEastAsia" w:cstheme="minorEastAsia"/>
          <w:sz w:val="21"/>
          <w:szCs w:val="21"/>
          <w:lang w:eastAsia="zh-CN"/>
        </w:rPr>
        <w:t>3660000</w:t>
      </w:r>
      <w:r>
        <w:rPr>
          <w:rFonts w:hint="eastAsia" w:asciiTheme="minorEastAsia" w:hAnsiTheme="minorEastAsia" w:cstheme="minorEastAsia"/>
          <w:sz w:val="21"/>
          <w:szCs w:val="21"/>
        </w:rPr>
        <w:t>.00元。</w:t>
      </w:r>
    </w:p>
    <w:p>
      <w:pPr>
        <w:pStyle w:val="21"/>
        <w:spacing w:after="0" w:line="440" w:lineRule="exact"/>
        <w:ind w:left="0" w:leftChars="0"/>
        <w:rPr>
          <w:rFonts w:asciiTheme="minorEastAsia" w:hAnsiTheme="minorEastAsia" w:cstheme="minorEastAsia"/>
          <w:sz w:val="21"/>
          <w:szCs w:val="21"/>
        </w:rPr>
      </w:pPr>
      <w:r>
        <w:rPr>
          <w:rFonts w:hint="eastAsia" w:asciiTheme="minorEastAsia" w:hAnsiTheme="minorEastAsia" w:cstheme="minorEastAsia"/>
          <w:sz w:val="21"/>
          <w:szCs w:val="21"/>
        </w:rPr>
        <w:t>1.5采购需求</w:t>
      </w:r>
      <w:r>
        <w:rPr>
          <w:rFonts w:ascii="宋体" w:hAnsi="宋体" w:eastAsia="宋体" w:cs="宋体"/>
          <w:sz w:val="21"/>
          <w:szCs w:val="21"/>
        </w:rPr>
        <w:t>（</w:t>
      </w:r>
      <w:r>
        <w:rPr>
          <w:rFonts w:hint="eastAsia" w:asciiTheme="minorEastAsia" w:hAnsiTheme="minorEastAsia" w:cstheme="minorEastAsia"/>
          <w:sz w:val="21"/>
          <w:szCs w:val="21"/>
        </w:rPr>
        <w:t>包括但不限于标的的名称、数量、简要技术需求服务要求等）</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5.1采购内容：智慧黑板建设</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5.2交付地点：采购人指定地点</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5.3技术服务要求：详见文件内招标项目需求及采购需求</w:t>
      </w:r>
    </w:p>
    <w:p>
      <w:pPr>
        <w:adjustRightInd w:val="0"/>
        <w:snapToGrid w:val="0"/>
        <w:spacing w:line="440" w:lineRule="exact"/>
        <w:ind w:firstLine="472" w:firstLineChars="225"/>
        <w:jc w:val="left"/>
        <w:rPr>
          <w:rFonts w:hint="eastAsia" w:asciiTheme="minorEastAsia" w:hAnsiTheme="minorEastAsia" w:cstheme="minorEastAsia"/>
          <w:sz w:val="21"/>
          <w:szCs w:val="21"/>
          <w:highlight w:val="none"/>
        </w:rPr>
      </w:pPr>
      <w:r>
        <w:rPr>
          <w:rFonts w:hint="eastAsia" w:asciiTheme="minorEastAsia" w:hAnsiTheme="minorEastAsia" w:cstheme="minorEastAsia"/>
          <w:sz w:val="21"/>
          <w:szCs w:val="21"/>
          <w:highlight w:val="none"/>
          <w:lang w:val="en-US" w:eastAsia="zh-CN"/>
        </w:rPr>
        <w:t>1.</w:t>
      </w:r>
      <w:r>
        <w:rPr>
          <w:rFonts w:hint="eastAsia" w:asciiTheme="minorEastAsia" w:hAnsiTheme="minorEastAsia" w:cstheme="minorEastAsia"/>
          <w:sz w:val="21"/>
          <w:szCs w:val="21"/>
          <w:highlight w:val="none"/>
        </w:rPr>
        <w:t>5.4交货期：202</w:t>
      </w:r>
      <w:r>
        <w:rPr>
          <w:rFonts w:hint="eastAsia" w:asciiTheme="minorEastAsia" w:hAnsiTheme="minorEastAsia" w:cstheme="minorEastAsia"/>
          <w:sz w:val="21"/>
          <w:szCs w:val="21"/>
          <w:highlight w:val="none"/>
          <w:lang w:eastAsia="zh-CN"/>
        </w:rPr>
        <w:t>3</w:t>
      </w:r>
      <w:r>
        <w:rPr>
          <w:rFonts w:hint="eastAsia" w:asciiTheme="minorEastAsia" w:hAnsiTheme="minorEastAsia" w:cstheme="minorEastAsia"/>
          <w:sz w:val="21"/>
          <w:szCs w:val="21"/>
          <w:highlight w:val="none"/>
        </w:rPr>
        <w:t>年</w:t>
      </w:r>
      <w:r>
        <w:rPr>
          <w:rFonts w:hint="eastAsia" w:asciiTheme="minorEastAsia" w:hAnsiTheme="minorEastAsia" w:cstheme="minorEastAsia"/>
          <w:sz w:val="21"/>
          <w:szCs w:val="21"/>
          <w:highlight w:val="none"/>
          <w:lang w:val="en-US" w:eastAsia="zh-CN"/>
        </w:rPr>
        <w:t>02</w:t>
      </w:r>
      <w:r>
        <w:rPr>
          <w:rFonts w:hint="eastAsia" w:asciiTheme="minorEastAsia" w:hAnsiTheme="minorEastAsia" w:cstheme="minorEastAsia"/>
          <w:sz w:val="21"/>
          <w:szCs w:val="21"/>
          <w:highlight w:val="none"/>
        </w:rPr>
        <w:t>月</w:t>
      </w:r>
      <w:r>
        <w:rPr>
          <w:rFonts w:hint="eastAsia" w:asciiTheme="minorEastAsia" w:hAnsiTheme="minorEastAsia" w:cstheme="minorEastAsia"/>
          <w:sz w:val="21"/>
          <w:szCs w:val="21"/>
          <w:highlight w:val="none"/>
          <w:lang w:val="en-US" w:eastAsia="zh-CN"/>
        </w:rPr>
        <w:t>28</w:t>
      </w:r>
      <w:r>
        <w:rPr>
          <w:rFonts w:hint="eastAsia" w:asciiTheme="minorEastAsia" w:hAnsiTheme="minorEastAsia" w:cstheme="minorEastAsia"/>
          <w:sz w:val="21"/>
          <w:szCs w:val="21"/>
          <w:highlight w:val="none"/>
        </w:rPr>
        <w:t>日完成交付并验收通过</w:t>
      </w:r>
    </w:p>
    <w:p>
      <w:pPr>
        <w:adjustRightInd w:val="0"/>
        <w:snapToGrid w:val="0"/>
        <w:spacing w:line="440" w:lineRule="exact"/>
        <w:ind w:firstLine="472" w:firstLineChars="225"/>
        <w:jc w:val="left"/>
        <w:rPr>
          <w:rFonts w:asciiTheme="minorEastAsia" w:hAnsiTheme="minorEastAsia" w:cstheme="minorEastAsia"/>
          <w:sz w:val="21"/>
          <w:szCs w:val="21"/>
          <w:highlight w:val="none"/>
        </w:rPr>
      </w:pPr>
      <w:r>
        <w:rPr>
          <w:rFonts w:hint="eastAsia" w:asciiTheme="minorEastAsia" w:hAnsiTheme="minorEastAsia" w:cstheme="minorEastAsia"/>
          <w:sz w:val="21"/>
          <w:szCs w:val="21"/>
          <w:highlight w:val="none"/>
        </w:rPr>
        <w:t>1.6合同履行期限：202</w:t>
      </w:r>
      <w:r>
        <w:rPr>
          <w:rFonts w:hint="eastAsia" w:asciiTheme="minorEastAsia" w:hAnsiTheme="minorEastAsia" w:cstheme="minorEastAsia"/>
          <w:sz w:val="21"/>
          <w:szCs w:val="21"/>
          <w:highlight w:val="none"/>
          <w:lang w:eastAsia="zh-CN"/>
        </w:rPr>
        <w:t>3</w:t>
      </w:r>
      <w:r>
        <w:rPr>
          <w:rFonts w:hint="eastAsia" w:asciiTheme="minorEastAsia" w:hAnsiTheme="minorEastAsia" w:cstheme="minorEastAsia"/>
          <w:sz w:val="21"/>
          <w:szCs w:val="21"/>
          <w:highlight w:val="none"/>
        </w:rPr>
        <w:t>年</w:t>
      </w:r>
      <w:r>
        <w:rPr>
          <w:rFonts w:hint="eastAsia" w:asciiTheme="minorEastAsia" w:hAnsiTheme="minorEastAsia" w:cstheme="minorEastAsia"/>
          <w:sz w:val="21"/>
          <w:szCs w:val="21"/>
          <w:highlight w:val="none"/>
          <w:lang w:val="en-US" w:eastAsia="zh-CN"/>
        </w:rPr>
        <w:t>02</w:t>
      </w:r>
      <w:r>
        <w:rPr>
          <w:rFonts w:hint="eastAsia" w:asciiTheme="minorEastAsia" w:hAnsiTheme="minorEastAsia" w:cstheme="minorEastAsia"/>
          <w:sz w:val="21"/>
          <w:szCs w:val="21"/>
          <w:highlight w:val="none"/>
        </w:rPr>
        <w:t>月</w:t>
      </w:r>
      <w:r>
        <w:rPr>
          <w:rFonts w:hint="eastAsia" w:asciiTheme="minorEastAsia" w:hAnsiTheme="minorEastAsia" w:cstheme="minorEastAsia"/>
          <w:sz w:val="21"/>
          <w:szCs w:val="21"/>
          <w:highlight w:val="none"/>
          <w:lang w:val="en-US" w:eastAsia="zh-CN"/>
        </w:rPr>
        <w:t>28</w:t>
      </w:r>
      <w:r>
        <w:rPr>
          <w:rFonts w:hint="eastAsia" w:asciiTheme="minorEastAsia" w:hAnsiTheme="minorEastAsia" w:cstheme="minorEastAsia"/>
          <w:sz w:val="21"/>
          <w:szCs w:val="21"/>
          <w:highlight w:val="none"/>
        </w:rPr>
        <w:t>日完成交付并验收通过</w:t>
      </w:r>
    </w:p>
    <w:p>
      <w:pPr>
        <w:adjustRightInd w:val="0"/>
        <w:snapToGrid w:val="0"/>
        <w:spacing w:line="440" w:lineRule="exact"/>
        <w:ind w:firstLine="472" w:firstLineChars="225"/>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1.7本项目（是/否）接受联合体投标：否</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1.8是否接受进口产品：否</w:t>
      </w:r>
    </w:p>
    <w:p>
      <w:pPr>
        <w:pStyle w:val="9"/>
        <w:spacing w:line="440" w:lineRule="exact"/>
        <w:ind w:left="0" w:leftChars="0"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1.9是否专门面向中小企业：否</w:t>
      </w:r>
    </w:p>
    <w:p>
      <w:pPr>
        <w:snapToGrid w:val="0"/>
        <w:spacing w:line="460" w:lineRule="exact"/>
        <w:rPr>
          <w:rFonts w:asciiTheme="minorEastAsia" w:hAnsiTheme="minorEastAsia" w:cstheme="minorEastAsia"/>
          <w:b/>
          <w:sz w:val="24"/>
        </w:rPr>
      </w:pPr>
      <w:bookmarkStart w:id="2" w:name="_Toc35393622"/>
      <w:bookmarkEnd w:id="2"/>
      <w:bookmarkStart w:id="3" w:name="_Toc35393791"/>
      <w:bookmarkEnd w:id="3"/>
      <w:bookmarkStart w:id="4" w:name="_Toc28359003"/>
      <w:bookmarkEnd w:id="4"/>
      <w:bookmarkStart w:id="5" w:name="_Toc28359080"/>
      <w:bookmarkEnd w:id="5"/>
      <w:r>
        <w:rPr>
          <w:rFonts w:hint="eastAsia" w:asciiTheme="minorEastAsia" w:hAnsiTheme="minorEastAsia" w:cstheme="minorEastAsia"/>
          <w:b/>
          <w:sz w:val="24"/>
        </w:rPr>
        <w:t>2.申请人的资格要求：</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2.1满足《中华人民共和国政府采购法》第二十二条规定；</w:t>
      </w:r>
    </w:p>
    <w:p>
      <w:pPr>
        <w:adjustRightInd w:val="0"/>
        <w:snapToGrid w:val="0"/>
        <w:spacing w:line="440" w:lineRule="exact"/>
        <w:ind w:firstLine="472" w:firstLineChars="225"/>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2.2落实政府采购政策需满足的资格要求：无。</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2.3本项目的特定资格要求：</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2.3.1《政府采购法》第二十二条第一款--法定基本资格条件需提供的相关资格证明材料（文件）：</w:t>
      </w:r>
    </w:p>
    <w:p>
      <w:pPr>
        <w:numPr>
          <w:ilvl w:val="0"/>
          <w:numId w:val="1"/>
        </w:numPr>
        <w:adjustRightInd w:val="0"/>
        <w:snapToGrid w:val="0"/>
        <w:spacing w:line="440" w:lineRule="exact"/>
        <w:ind w:firstLine="420" w:firstLineChars="200"/>
        <w:jc w:val="left"/>
        <w:rPr>
          <w:rFonts w:hint="eastAsia" w:asciiTheme="minorEastAsia" w:hAnsiTheme="minorEastAsia" w:cstheme="minorEastAsia"/>
          <w:sz w:val="21"/>
          <w:szCs w:val="21"/>
        </w:rPr>
      </w:pPr>
      <w:r>
        <w:rPr>
          <w:rFonts w:hint="eastAsia" w:asciiTheme="minorEastAsia" w:hAnsiTheme="minorEastAsia" w:cstheme="minorEastAsia"/>
          <w:sz w:val="21"/>
          <w:szCs w:val="21"/>
        </w:rPr>
        <w:t>具有独立承担民事责任的能力。■提供营业执照或事业单位法人证书或其他相应业务或经营范围登记证照，■提供税务登记证（三证合一的只需提供三证合一的营业执照）。</w:t>
      </w:r>
    </w:p>
    <w:p>
      <w:pPr>
        <w:numPr>
          <w:ilvl w:val="0"/>
          <w:numId w:val="0"/>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（2）具有良好的商业信誉和健全的财务会计制度，有依法缴纳税收和社会保障资金的良好记录。■提供银行出具的近1年内资信证明（法人为基本开户行）或2019年度以来（任意一年）经审计的财务报告</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rPr>
        <w:t>■提供近12个月内（任意1个月）已依法缴纳税收的凭据；■提供近12个月内（任意1个月）已依法缴纳社会保险的凭据；依法免税或不需要缴纳社会保障资金的</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，应提供相应证明文件。</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（3）具备履行合同所必需的设备和专业技术能力。</w:t>
      </w:r>
      <w:r>
        <w:rPr>
          <w:rFonts w:hint="eastAsia" w:ascii="宋体" w:hAnsi="宋体"/>
          <w:color w:val="auto"/>
          <w:sz w:val="21"/>
          <w:szCs w:val="21"/>
        </w:rPr>
        <w:t>■提供具备相关设备或相关设施的购置发票或收据（任一）。■专业人员用工合同（任一人）或技术人员的职称证书或职业（执业）资格证或等级证书等相关证书（任一人）等的证明材料。</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（4）参加政府采购活动前3年内在经营活动中没有重大违法记录。■提供</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书面声明；</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（5）具备法律、行政法规规定的其他条件。</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2.3.2无不良信用记录。(未列入“信用中国”&lt;www.creditchina.gov.cn&gt;网站的“失信被执行人”和“重大税收违法失信主体”及“中国政府采购网”&lt;www.ccgp.gov.cn&gt;网站的“政府采购严重违法失信行为记录名单”)。</w:t>
      </w:r>
    </w:p>
    <w:p>
      <w:pPr>
        <w:pStyle w:val="2"/>
        <w:ind w:firstLine="422" w:firstLineChars="200"/>
        <w:rPr>
          <w:rFonts w:hint="eastAsia" w:ascii="宋体" w:hAnsi="宋体" w:eastAsia="宋体" w:cs="Times New Roman"/>
          <w:b/>
          <w:bCs/>
          <w:color w:val="auto"/>
          <w:sz w:val="21"/>
          <w:szCs w:val="21"/>
          <w:u w:color="000000"/>
          <w:lang w:val="en-US" w:eastAsia="zh-CN" w:bidi="ar-SA"/>
        </w:rPr>
      </w:pPr>
      <w:bookmarkStart w:id="6" w:name="_Toc26202"/>
      <w:r>
        <w:rPr>
          <w:rFonts w:hint="eastAsia" w:ascii="宋体" w:hAnsi="宋体" w:eastAsia="宋体" w:cs="Times New Roman"/>
          <w:b/>
          <w:bCs/>
          <w:color w:val="auto"/>
          <w:sz w:val="21"/>
          <w:szCs w:val="21"/>
          <w:u w:color="000000"/>
          <w:lang w:val="en-US" w:eastAsia="zh-CN" w:bidi="ar-SA"/>
        </w:rPr>
        <w:t>根据《关于在政府采购活动中查询及使用信用记录有关问题的通知》(财库[2016]125号)的规定，对列入失信被执行人、重大税收违法失信主体、政府采购严重违法失信行为记录名单的供应商，拒绝参与本项目政府采购活动（查询渠道：“失信被执行人”通过“信用中国或中国执行信息公开网”网站查询，“重大税收违法失信主体”通过“信用中国”网站查询；“政府采购严重违法失信行为”通过“中国政府采购网”查询)：采购代理机构将在解密响应文件之前对参加本项目的供应商进行信用信息查询，截图打印，作为证据留存，供应商可不提供相关证明材料。</w:t>
      </w:r>
      <w:bookmarkEnd w:id="6"/>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3</w:t>
      </w:r>
      <w:r>
        <w:rPr>
          <w:rFonts w:hint="eastAsia" w:asciiTheme="minorEastAsia" w:hAnsiTheme="minorEastAsia" w:cstheme="minorEastAsia"/>
          <w:sz w:val="21"/>
          <w:szCs w:val="21"/>
        </w:rPr>
        <w:t>单位负责人为同一人或者存在直接控股、管理关系的不同</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，不得参加本合同项下的政府采购活动。</w:t>
      </w:r>
      <w:r>
        <w:rPr>
          <w:rFonts w:hint="eastAsia" w:ascii="宋体" w:hAnsi="宋体"/>
          <w:color w:val="auto"/>
          <w:sz w:val="21"/>
          <w:szCs w:val="21"/>
        </w:rPr>
        <w:t>■</w:t>
      </w:r>
      <w:r>
        <w:rPr>
          <w:rFonts w:hint="eastAsia" w:ascii="宋体" w:hAnsi="宋体"/>
          <w:color w:val="auto"/>
          <w:sz w:val="21"/>
          <w:szCs w:val="21"/>
          <w:lang w:eastAsia="zh-CN"/>
        </w:rPr>
        <w:t>投标人</w:t>
      </w:r>
      <w:r>
        <w:rPr>
          <w:rFonts w:hint="eastAsia" w:ascii="宋体" w:hAnsi="宋体"/>
          <w:color w:val="auto"/>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4</w:t>
      </w:r>
      <w:r>
        <w:rPr>
          <w:rFonts w:hint="eastAsia" w:asciiTheme="minorEastAsia" w:hAnsiTheme="minorEastAsia" w:cstheme="minorEastAsia"/>
          <w:sz w:val="21"/>
          <w:szCs w:val="21"/>
        </w:rPr>
        <w:t>为本招标项目提供整体设计、规范编制或者项目管理、监理、检测等服务的</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，不得再参加本招标项目。</w:t>
      </w:r>
      <w:r>
        <w:rPr>
          <w:rFonts w:hint="eastAsia" w:ascii="宋体" w:hAnsi="宋体"/>
          <w:color w:val="auto"/>
          <w:sz w:val="21"/>
          <w:szCs w:val="21"/>
        </w:rPr>
        <w:t>■</w:t>
      </w:r>
      <w:r>
        <w:rPr>
          <w:rFonts w:hint="eastAsia" w:ascii="宋体" w:hAnsi="宋体"/>
          <w:color w:val="auto"/>
          <w:sz w:val="21"/>
          <w:szCs w:val="21"/>
          <w:lang w:eastAsia="zh-CN"/>
        </w:rPr>
        <w:t>投标人</w:t>
      </w:r>
      <w:r>
        <w:rPr>
          <w:rFonts w:hint="eastAsia" w:ascii="宋体" w:hAnsi="宋体"/>
          <w:color w:val="auto"/>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5</w:t>
      </w:r>
      <w:r>
        <w:rPr>
          <w:rFonts w:hint="eastAsia" w:asciiTheme="minorEastAsia" w:hAnsiTheme="minorEastAsia" w:cstheme="minorEastAsia"/>
          <w:sz w:val="21"/>
          <w:szCs w:val="21"/>
        </w:rPr>
        <w:t>所有证照均应在有效期内，证照如需年检的、应为经年检有效的证照；文中“近”、“前”指距投标截止时间。</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6</w:t>
      </w:r>
      <w:r>
        <w:rPr>
          <w:rFonts w:hint="eastAsia" w:asciiTheme="minorEastAsia" w:hAnsiTheme="minorEastAsia" w:cstheme="minorEastAsia"/>
          <w:sz w:val="21"/>
          <w:szCs w:val="21"/>
        </w:rPr>
        <w:t>资格证明材料（文件）应附于投标文件中并经</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电子签章。投标人对资格证明文件真实性有效合规承担责任，提供虚假材料的为无效投标并将进一步追究其责任。</w:t>
      </w:r>
    </w:p>
    <w:p>
      <w:pPr>
        <w:adjustRightInd w:val="0"/>
        <w:snapToGrid w:val="0"/>
        <w:spacing w:line="440" w:lineRule="exact"/>
        <w:ind w:firstLine="420" w:firstLineChars="200"/>
        <w:jc w:val="left"/>
        <w:rPr>
          <w:rFonts w:asciiTheme="minorEastAsia" w:hAnsiTheme="minorEastAsia" w:cstheme="minorEastAsia"/>
          <w:sz w:val="24"/>
          <w:szCs w:val="24"/>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7</w:t>
      </w:r>
      <w:r>
        <w:rPr>
          <w:rFonts w:hint="eastAsia" w:asciiTheme="minorEastAsia" w:hAnsiTheme="minorEastAsia" w:cstheme="minorEastAsia"/>
          <w:sz w:val="21"/>
          <w:szCs w:val="21"/>
        </w:rPr>
        <w:t>本项目采取资格后审，开标后，将由采购人或者采购代理机构对</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的资格证明材料（文件）等进行资格审核，未按要求逐一提供或资格审查不合格的为无效投标，</w:t>
      </w:r>
      <w:r>
        <w:rPr>
          <w:rFonts w:hint="eastAsia" w:asciiTheme="minorEastAsia" w:hAnsiTheme="minorEastAsia" w:cstheme="minorEastAsia"/>
          <w:sz w:val="21"/>
          <w:szCs w:val="21"/>
          <w:lang w:eastAsia="zh-CN"/>
        </w:rPr>
        <w:t>投标</w:t>
      </w:r>
      <w:r>
        <w:rPr>
          <w:rFonts w:hint="eastAsia" w:asciiTheme="minorEastAsia" w:hAnsiTheme="minorEastAsia" w:cstheme="minorEastAsia"/>
          <w:sz w:val="24"/>
          <w:szCs w:val="24"/>
          <w:lang w:eastAsia="zh-CN"/>
        </w:rPr>
        <w:t>人</w:t>
      </w:r>
      <w:r>
        <w:rPr>
          <w:rFonts w:hint="eastAsia" w:asciiTheme="minorEastAsia" w:hAnsiTheme="minorEastAsia" w:cstheme="minorEastAsia"/>
          <w:sz w:val="24"/>
          <w:szCs w:val="24"/>
        </w:rPr>
        <w:t>应自负其风险费用。</w:t>
      </w:r>
    </w:p>
    <w:p>
      <w:pPr>
        <w:adjustRightInd w:val="0"/>
        <w:snapToGrid w:val="0"/>
        <w:spacing w:line="440" w:lineRule="exact"/>
        <w:ind w:firstLine="420" w:firstLineChars="200"/>
        <w:jc w:val="left"/>
        <w:rPr>
          <w:rFonts w:hint="eastAsia" w:asciiTheme="minorEastAsia" w:hAnsiTheme="minorEastAsia" w:cstheme="minorEastAsia"/>
          <w:sz w:val="21"/>
          <w:szCs w:val="21"/>
        </w:rPr>
      </w:pPr>
      <w:r>
        <w:rPr>
          <w:rFonts w:hint="eastAsia" w:asciiTheme="minorEastAsia" w:hAnsiTheme="minorEastAsia" w:cstheme="minorEastAsia"/>
          <w:sz w:val="21"/>
          <w:szCs w:val="21"/>
        </w:rPr>
        <w:t>2.3.</w:t>
      </w:r>
      <w:r>
        <w:rPr>
          <w:rFonts w:hint="eastAsia" w:asciiTheme="minorEastAsia" w:hAnsiTheme="minorEastAsia" w:cstheme="minorEastAsia"/>
          <w:sz w:val="21"/>
          <w:szCs w:val="21"/>
          <w:lang w:val="en-US" w:eastAsia="zh-CN"/>
        </w:rPr>
        <w:t>8</w:t>
      </w:r>
      <w:r>
        <w:rPr>
          <w:rFonts w:hint="eastAsia" w:asciiTheme="minorEastAsia" w:hAnsiTheme="minorEastAsia" w:cstheme="minorEastAsia"/>
          <w:sz w:val="21"/>
          <w:szCs w:val="21"/>
        </w:rPr>
        <w:t>联合体投标：不接受。</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3.招标文件获取：</w:t>
      </w:r>
    </w:p>
    <w:p>
      <w:pPr>
        <w:tabs>
          <w:tab w:val="left" w:pos="300"/>
        </w:tabs>
        <w:adjustRightInd w:val="0"/>
        <w:snapToGrid w:val="0"/>
        <w:spacing w:line="44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3.1招标文件</w:t>
      </w:r>
      <w:r>
        <w:rPr>
          <w:rFonts w:hint="eastAsia" w:asciiTheme="minorEastAsia" w:hAnsiTheme="minorEastAsia" w:eastAsiaTheme="minorEastAsia" w:cstheme="minorEastAsia"/>
          <w:color w:val="auto"/>
          <w:sz w:val="21"/>
          <w:szCs w:val="21"/>
        </w:rPr>
        <w:t>获取时间：</w:t>
      </w:r>
      <w:r>
        <w:rPr>
          <w:rFonts w:hint="eastAsia" w:asciiTheme="minorEastAsia" w:hAnsiTheme="minorEastAsia" w:eastAsiaTheme="minorEastAsia" w:cstheme="minorEastAsia"/>
          <w:b/>
          <w:bCs/>
          <w:color w:val="auto"/>
          <w:sz w:val="21"/>
          <w:szCs w:val="21"/>
        </w:rPr>
        <w:t>2022年</w:t>
      </w:r>
      <w:r>
        <w:rPr>
          <w:rFonts w:hint="eastAsia" w:asciiTheme="minorEastAsia" w:hAnsiTheme="minorEastAsia" w:cstheme="minorEastAsia"/>
          <w:b/>
          <w:bCs/>
          <w:color w:val="auto"/>
          <w:sz w:val="21"/>
          <w:szCs w:val="21"/>
          <w:lang w:val="en-US" w:eastAsia="zh-CN"/>
        </w:rPr>
        <w:t>12</w:t>
      </w:r>
      <w:r>
        <w:rPr>
          <w:rFonts w:hint="eastAsia" w:asciiTheme="minorEastAsia" w:hAnsiTheme="minorEastAsia" w:eastAsia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16</w:t>
      </w:r>
      <w:r>
        <w:rPr>
          <w:rFonts w:hint="eastAsia" w:asciiTheme="minorEastAsia" w:hAnsiTheme="minorEastAsia" w:eastAsiaTheme="minorEastAsia" w:cstheme="minorEastAsia"/>
          <w:b/>
          <w:bCs/>
          <w:color w:val="auto"/>
          <w:sz w:val="21"/>
          <w:szCs w:val="21"/>
        </w:rPr>
        <w:t>日至2022年</w:t>
      </w:r>
      <w:r>
        <w:rPr>
          <w:rFonts w:hint="eastAsia" w:asciiTheme="minorEastAsia" w:hAnsiTheme="minorEastAsia" w:cstheme="minorEastAsia"/>
          <w:b/>
          <w:bCs/>
          <w:color w:val="auto"/>
          <w:sz w:val="21"/>
          <w:szCs w:val="21"/>
          <w:lang w:val="en-US" w:eastAsia="zh-CN"/>
        </w:rPr>
        <w:t>12</w:t>
      </w:r>
      <w:r>
        <w:rPr>
          <w:rFonts w:hint="eastAsia" w:asciiTheme="minorEastAsia" w:hAnsiTheme="minorEastAsia" w:eastAsia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23</w:t>
      </w:r>
      <w:r>
        <w:rPr>
          <w:rFonts w:hint="eastAsia" w:asciiTheme="minorEastAsia" w:hAnsiTheme="minorEastAsia" w:eastAsiaTheme="minorEastAsia" w:cstheme="minorEastAsia"/>
          <w:b/>
          <w:bCs/>
          <w:color w:val="auto"/>
          <w:sz w:val="21"/>
          <w:szCs w:val="21"/>
        </w:rPr>
        <w:t>日</w:t>
      </w:r>
      <w:r>
        <w:rPr>
          <w:rFonts w:hint="eastAsia" w:asciiTheme="minorEastAsia" w:hAnsiTheme="minorEastAsia" w:eastAsiaTheme="minorEastAsia" w:cstheme="minorEastAsia"/>
          <w:color w:val="auto"/>
          <w:sz w:val="21"/>
          <w:szCs w:val="21"/>
        </w:rPr>
        <w:t>，每天上午00:00至12:00，下午12:00至23:59（北京时间，法定节假日除外）。</w:t>
      </w:r>
    </w:p>
    <w:p>
      <w:pPr>
        <w:adjustRightInd w:val="0"/>
        <w:snapToGrid w:val="0"/>
        <w:spacing w:line="44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3.2招标文件获取地点：登陆安阳市公共资源交易中心网站（http://ggzy.anyang.gov.cn/），完成用户注册后、凭企业数字证书点击“投标用户入口”登录“政府采购”系统，获取电子版招标文件及其它资料。</w:t>
      </w:r>
    </w:p>
    <w:p>
      <w:pPr>
        <w:pStyle w:val="20"/>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z w:val="21"/>
          <w:szCs w:val="21"/>
        </w:rPr>
        <w:t>3.3方式：网上下载</w:t>
      </w:r>
    </w:p>
    <w:p>
      <w:pPr>
        <w:pStyle w:val="21"/>
        <w:ind w:left="0" w:leftChars="0"/>
        <w:rPr>
          <w:rFonts w:hint="eastAsia" w:asciiTheme="minorEastAsia" w:hAnsiTheme="minorEastAsia" w:eastAsiaTheme="minorEastAsia" w:cstheme="minorEastAsia"/>
          <w:color w:val="000000"/>
          <w:kern w:val="0"/>
          <w:sz w:val="21"/>
          <w:szCs w:val="21"/>
          <w:u w:color="000000"/>
        </w:rPr>
      </w:pPr>
      <w:r>
        <w:rPr>
          <w:rFonts w:hint="eastAsia" w:asciiTheme="minorEastAsia" w:hAnsiTheme="minorEastAsia" w:eastAsiaTheme="minorEastAsia" w:cstheme="minorEastAsia"/>
          <w:color w:val="000000"/>
          <w:kern w:val="0"/>
          <w:sz w:val="21"/>
          <w:szCs w:val="21"/>
          <w:u w:color="000000"/>
        </w:rPr>
        <w:t>3.4 售价：0 元</w:t>
      </w:r>
    </w:p>
    <w:p>
      <w:pPr>
        <w:snapToGrid w:val="0"/>
        <w:spacing w:line="460" w:lineRule="exact"/>
        <w:rPr>
          <w:rFonts w:asciiTheme="minorEastAsia" w:hAnsiTheme="minorEastAsia" w:cstheme="minorEastAsia"/>
          <w:b w:val="0"/>
          <w:bCs/>
          <w:sz w:val="24"/>
          <w:highlight w:val="none"/>
        </w:rPr>
      </w:pPr>
      <w:r>
        <w:rPr>
          <w:rFonts w:hint="eastAsia" w:asciiTheme="minorEastAsia" w:hAnsiTheme="minorEastAsia" w:cstheme="minorEastAsia"/>
          <w:b/>
          <w:sz w:val="24"/>
        </w:rPr>
        <w:t>4.投标截止时间( 投标文件递交截止时间)及地点：</w:t>
      </w:r>
      <w:r>
        <w:rPr>
          <w:rFonts w:hint="eastAsia" w:asciiTheme="minorEastAsia" w:hAnsiTheme="minorEastAsia" w:cstheme="minorEastAsia"/>
          <w:b w:val="0"/>
          <w:bCs/>
          <w:sz w:val="24"/>
          <w:highlight w:val="none"/>
        </w:rPr>
        <w:t xml:space="preserve"> </w:t>
      </w:r>
    </w:p>
    <w:p>
      <w:pPr>
        <w:adjustRightInd w:val="0"/>
        <w:snapToGrid w:val="0"/>
        <w:spacing w:line="440" w:lineRule="exact"/>
        <w:ind w:firstLine="420" w:firstLineChars="200"/>
        <w:jc w:val="left"/>
        <w:rPr>
          <w:rFonts w:asciiTheme="minorEastAsia" w:hAnsiTheme="minorEastAsia" w:cstheme="minorEastAsia"/>
          <w:b w:val="0"/>
          <w:bCs/>
          <w:color w:val="FF0000"/>
          <w:sz w:val="21"/>
          <w:szCs w:val="21"/>
          <w:highlight w:val="none"/>
        </w:rPr>
      </w:pPr>
      <w:r>
        <w:rPr>
          <w:rFonts w:hint="eastAsia" w:asciiTheme="minorEastAsia" w:hAnsiTheme="minorEastAsia" w:cstheme="minorEastAsia"/>
          <w:b w:val="0"/>
          <w:bCs/>
          <w:sz w:val="21"/>
          <w:szCs w:val="21"/>
          <w:highlight w:val="none"/>
        </w:rPr>
        <w:t>4.1时</w:t>
      </w:r>
      <w:r>
        <w:rPr>
          <w:rFonts w:hint="eastAsia" w:asciiTheme="minorEastAsia" w:hAnsiTheme="minorEastAsia" w:cstheme="minorEastAsia"/>
          <w:b w:val="0"/>
          <w:bCs/>
          <w:color w:val="auto"/>
          <w:sz w:val="21"/>
          <w:szCs w:val="21"/>
          <w:highlight w:val="none"/>
        </w:rPr>
        <w:t>间:</w:t>
      </w:r>
      <w:r>
        <w:rPr>
          <w:rFonts w:hint="eastAsia" w:asciiTheme="minorEastAsia" w:hAnsiTheme="minorEastAsia" w:cstheme="minorEastAsia"/>
          <w:b/>
          <w:bCs w:val="0"/>
          <w:color w:val="auto"/>
          <w:sz w:val="21"/>
          <w:szCs w:val="21"/>
          <w:highlight w:val="none"/>
        </w:rPr>
        <w:t>202</w:t>
      </w:r>
      <w:r>
        <w:rPr>
          <w:rFonts w:hint="eastAsia" w:asciiTheme="minorEastAsia" w:hAnsiTheme="minorEastAsia" w:cstheme="minorEastAsia"/>
          <w:b/>
          <w:bCs w:val="0"/>
          <w:color w:val="auto"/>
          <w:sz w:val="21"/>
          <w:szCs w:val="21"/>
          <w:highlight w:val="none"/>
          <w:lang w:val="en-US" w:eastAsia="zh-CN"/>
        </w:rPr>
        <w:t>3</w:t>
      </w:r>
      <w:r>
        <w:rPr>
          <w:rFonts w:hint="eastAsia" w:asciiTheme="minorEastAsia" w:hAnsiTheme="minorEastAsia" w:cstheme="minorEastAsia"/>
          <w:b/>
          <w:bCs w:val="0"/>
          <w:color w:val="auto"/>
          <w:sz w:val="21"/>
          <w:szCs w:val="21"/>
          <w:highlight w:val="none"/>
        </w:rPr>
        <w:t>年</w:t>
      </w:r>
      <w:r>
        <w:rPr>
          <w:rFonts w:hint="eastAsia" w:asciiTheme="minorEastAsia" w:hAnsiTheme="minorEastAsia" w:cstheme="minorEastAsia"/>
          <w:b/>
          <w:bCs w:val="0"/>
          <w:color w:val="auto"/>
          <w:sz w:val="21"/>
          <w:szCs w:val="21"/>
          <w:highlight w:val="none"/>
          <w:lang w:val="en-US" w:eastAsia="zh-CN"/>
        </w:rPr>
        <w:t>01</w:t>
      </w:r>
      <w:r>
        <w:rPr>
          <w:rFonts w:hint="eastAsia" w:asciiTheme="minorEastAsia" w:hAnsiTheme="minorEastAsia" w:cstheme="minorEastAsia"/>
          <w:b/>
          <w:bCs w:val="0"/>
          <w:color w:val="auto"/>
          <w:sz w:val="21"/>
          <w:szCs w:val="21"/>
          <w:highlight w:val="none"/>
        </w:rPr>
        <w:t>月</w:t>
      </w:r>
      <w:r>
        <w:rPr>
          <w:rFonts w:hint="eastAsia" w:asciiTheme="minorEastAsia" w:hAnsiTheme="minorEastAsia" w:cstheme="minorEastAsia"/>
          <w:b/>
          <w:bCs w:val="0"/>
          <w:color w:val="auto"/>
          <w:sz w:val="21"/>
          <w:szCs w:val="21"/>
          <w:highlight w:val="none"/>
          <w:lang w:val="en-US" w:eastAsia="zh-CN"/>
        </w:rPr>
        <w:t>05</w:t>
      </w:r>
      <w:r>
        <w:rPr>
          <w:rFonts w:hint="eastAsia" w:asciiTheme="minorEastAsia" w:hAnsiTheme="minorEastAsia" w:cstheme="minorEastAsia"/>
          <w:b/>
          <w:bCs w:val="0"/>
          <w:color w:val="auto"/>
          <w:sz w:val="21"/>
          <w:szCs w:val="21"/>
          <w:highlight w:val="none"/>
        </w:rPr>
        <w:t>日上午9:00(北京时间)</w:t>
      </w:r>
    </w:p>
    <w:p>
      <w:pPr>
        <w:adjustRightInd w:val="0"/>
        <w:snapToGrid w:val="0"/>
        <w:spacing w:line="440" w:lineRule="exact"/>
        <w:ind w:firstLine="420" w:firstLineChars="200"/>
        <w:jc w:val="left"/>
        <w:rPr>
          <w:rFonts w:asciiTheme="minorEastAsia" w:hAnsiTheme="minorEastAsia" w:cstheme="minorEastAsia"/>
          <w:b w:val="0"/>
          <w:bCs/>
          <w:sz w:val="21"/>
          <w:szCs w:val="21"/>
          <w:highlight w:val="none"/>
        </w:rPr>
      </w:pPr>
      <w:r>
        <w:rPr>
          <w:rFonts w:hint="eastAsia" w:asciiTheme="minorEastAsia" w:hAnsiTheme="minorEastAsia" w:cstheme="minorEastAsia"/>
          <w:b w:val="0"/>
          <w:bCs/>
          <w:sz w:val="21"/>
          <w:szCs w:val="21"/>
          <w:highlight w:val="none"/>
        </w:rPr>
        <w:t>4.2地点：于安阳市公共资源交易平台网上上传递交、并由</w:t>
      </w:r>
      <w:r>
        <w:rPr>
          <w:rFonts w:hint="eastAsia" w:asciiTheme="minorEastAsia" w:hAnsiTheme="minorEastAsia" w:cstheme="minorEastAsia"/>
          <w:b w:val="0"/>
          <w:bCs/>
          <w:sz w:val="21"/>
          <w:szCs w:val="21"/>
          <w:highlight w:val="none"/>
          <w:lang w:eastAsia="zh-CN"/>
        </w:rPr>
        <w:t>投标人</w:t>
      </w:r>
      <w:r>
        <w:rPr>
          <w:rFonts w:hint="eastAsia" w:asciiTheme="minorEastAsia" w:hAnsiTheme="minorEastAsia" w:cstheme="minorEastAsia"/>
          <w:b w:val="0"/>
          <w:bCs/>
          <w:sz w:val="21"/>
          <w:szCs w:val="21"/>
          <w:highlight w:val="none"/>
        </w:rPr>
        <w:t>在规定时间远程解密。</w:t>
      </w:r>
    </w:p>
    <w:p>
      <w:pPr>
        <w:snapToGrid w:val="0"/>
        <w:spacing w:line="460" w:lineRule="exact"/>
        <w:rPr>
          <w:rFonts w:hint="eastAsia" w:asciiTheme="minorEastAsia" w:hAnsiTheme="minorEastAsia" w:cstheme="minorEastAsia"/>
          <w:b/>
          <w:sz w:val="24"/>
        </w:rPr>
      </w:pPr>
      <w:r>
        <w:rPr>
          <w:rFonts w:hint="eastAsia" w:asciiTheme="minorEastAsia" w:hAnsiTheme="minorEastAsia" w:cstheme="minorEastAsia"/>
          <w:b/>
          <w:sz w:val="24"/>
        </w:rPr>
        <w:t>5.开标时间及地点：</w:t>
      </w:r>
    </w:p>
    <w:p>
      <w:pPr>
        <w:adjustRightInd w:val="0"/>
        <w:snapToGrid w:val="0"/>
        <w:spacing w:line="440" w:lineRule="exact"/>
        <w:ind w:firstLine="420" w:firstLineChars="200"/>
        <w:jc w:val="left"/>
        <w:rPr>
          <w:rFonts w:asciiTheme="minorEastAsia" w:hAnsiTheme="minorEastAsia" w:cstheme="minorEastAsia"/>
          <w:b w:val="0"/>
          <w:bCs/>
          <w:color w:val="FF0000"/>
          <w:sz w:val="21"/>
          <w:szCs w:val="21"/>
          <w:highlight w:val="none"/>
        </w:rPr>
      </w:pPr>
      <w:r>
        <w:rPr>
          <w:rFonts w:hint="eastAsia" w:asciiTheme="minorEastAsia" w:hAnsiTheme="minorEastAsia" w:cstheme="minorEastAsia"/>
          <w:b w:val="0"/>
          <w:bCs/>
          <w:sz w:val="21"/>
          <w:szCs w:val="21"/>
          <w:highlight w:val="none"/>
        </w:rPr>
        <w:t>5.1开</w:t>
      </w:r>
      <w:r>
        <w:rPr>
          <w:rFonts w:hint="eastAsia" w:asciiTheme="minorEastAsia" w:hAnsiTheme="minorEastAsia" w:cstheme="minorEastAsia"/>
          <w:b w:val="0"/>
          <w:bCs/>
          <w:color w:val="auto"/>
          <w:sz w:val="21"/>
          <w:szCs w:val="21"/>
          <w:highlight w:val="none"/>
        </w:rPr>
        <w:t>标时间:</w:t>
      </w:r>
      <w:r>
        <w:rPr>
          <w:rFonts w:hint="eastAsia" w:asciiTheme="minorEastAsia" w:hAnsiTheme="minorEastAsia" w:cstheme="minorEastAsia"/>
          <w:b/>
          <w:bCs w:val="0"/>
          <w:color w:val="auto"/>
          <w:sz w:val="21"/>
          <w:szCs w:val="21"/>
          <w:highlight w:val="none"/>
        </w:rPr>
        <w:t>202</w:t>
      </w:r>
      <w:r>
        <w:rPr>
          <w:rFonts w:hint="eastAsia" w:asciiTheme="minorEastAsia" w:hAnsiTheme="minorEastAsia" w:cstheme="minorEastAsia"/>
          <w:b/>
          <w:bCs w:val="0"/>
          <w:color w:val="auto"/>
          <w:sz w:val="21"/>
          <w:szCs w:val="21"/>
          <w:highlight w:val="none"/>
          <w:lang w:val="en-US" w:eastAsia="zh-CN"/>
        </w:rPr>
        <w:t>3</w:t>
      </w:r>
      <w:r>
        <w:rPr>
          <w:rFonts w:hint="eastAsia" w:asciiTheme="minorEastAsia" w:hAnsiTheme="minorEastAsia" w:cstheme="minorEastAsia"/>
          <w:b/>
          <w:bCs w:val="0"/>
          <w:color w:val="auto"/>
          <w:sz w:val="21"/>
          <w:szCs w:val="21"/>
          <w:highlight w:val="none"/>
        </w:rPr>
        <w:t>年</w:t>
      </w:r>
      <w:r>
        <w:rPr>
          <w:rFonts w:hint="eastAsia" w:asciiTheme="minorEastAsia" w:hAnsiTheme="minorEastAsia" w:cstheme="minorEastAsia"/>
          <w:b/>
          <w:bCs w:val="0"/>
          <w:color w:val="auto"/>
          <w:sz w:val="21"/>
          <w:szCs w:val="21"/>
          <w:highlight w:val="none"/>
          <w:lang w:val="en-US" w:eastAsia="zh-CN"/>
        </w:rPr>
        <w:t>01</w:t>
      </w:r>
      <w:r>
        <w:rPr>
          <w:rFonts w:hint="eastAsia" w:asciiTheme="minorEastAsia" w:hAnsiTheme="minorEastAsia" w:cstheme="minorEastAsia"/>
          <w:b/>
          <w:bCs w:val="0"/>
          <w:color w:val="auto"/>
          <w:sz w:val="21"/>
          <w:szCs w:val="21"/>
          <w:highlight w:val="none"/>
        </w:rPr>
        <w:t>月</w:t>
      </w:r>
      <w:r>
        <w:rPr>
          <w:rFonts w:hint="eastAsia" w:asciiTheme="minorEastAsia" w:hAnsiTheme="minorEastAsia" w:cstheme="minorEastAsia"/>
          <w:b/>
          <w:bCs w:val="0"/>
          <w:color w:val="auto"/>
          <w:sz w:val="21"/>
          <w:szCs w:val="21"/>
          <w:highlight w:val="none"/>
          <w:lang w:val="en-US" w:eastAsia="zh-CN"/>
        </w:rPr>
        <w:t>05</w:t>
      </w:r>
      <w:r>
        <w:rPr>
          <w:rFonts w:hint="eastAsia" w:asciiTheme="minorEastAsia" w:hAnsiTheme="minorEastAsia" w:cstheme="minorEastAsia"/>
          <w:b/>
          <w:bCs w:val="0"/>
          <w:color w:val="auto"/>
          <w:sz w:val="21"/>
          <w:szCs w:val="21"/>
          <w:highlight w:val="none"/>
        </w:rPr>
        <w:t xml:space="preserve">日上午9:00(北京时间) </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b w:val="0"/>
          <w:bCs/>
          <w:sz w:val="21"/>
          <w:szCs w:val="21"/>
          <w:highlight w:val="none"/>
        </w:rPr>
        <w:t>5.2开标地点（管理员网上操作地点）：安阳市公共资</w:t>
      </w:r>
      <w:r>
        <w:rPr>
          <w:rFonts w:hint="eastAsia" w:asciiTheme="minorEastAsia" w:hAnsiTheme="minorEastAsia" w:cstheme="minorEastAsia"/>
          <w:b w:val="0"/>
          <w:bCs/>
          <w:color w:val="auto"/>
          <w:sz w:val="21"/>
          <w:szCs w:val="21"/>
          <w:highlight w:val="none"/>
        </w:rPr>
        <w:t>源交易中心</w:t>
      </w:r>
      <w:r>
        <w:rPr>
          <w:rFonts w:hint="eastAsia" w:asciiTheme="minorEastAsia" w:hAnsiTheme="minorEastAsia" w:cstheme="minorEastAsia"/>
          <w:b/>
          <w:bCs w:val="0"/>
          <w:color w:val="auto"/>
          <w:sz w:val="21"/>
          <w:szCs w:val="21"/>
          <w:highlight w:val="none"/>
        </w:rPr>
        <w:t>五楼集中开标大厅</w:t>
      </w:r>
      <w:r>
        <w:rPr>
          <w:rFonts w:hint="eastAsia" w:asciiTheme="minorEastAsia" w:hAnsiTheme="minorEastAsia" w:cstheme="minorEastAsia"/>
          <w:b/>
          <w:bCs w:val="0"/>
          <w:color w:val="auto"/>
          <w:sz w:val="21"/>
          <w:szCs w:val="21"/>
          <w:highlight w:val="none"/>
          <w:lang w:val="en-US" w:eastAsia="zh-CN"/>
        </w:rPr>
        <w:t>7</w:t>
      </w:r>
      <w:r>
        <w:rPr>
          <w:rFonts w:hint="eastAsia" w:asciiTheme="minorEastAsia" w:hAnsiTheme="minorEastAsia" w:cstheme="minorEastAsia"/>
          <w:b/>
          <w:bCs w:val="0"/>
          <w:color w:val="auto"/>
          <w:sz w:val="21"/>
          <w:szCs w:val="21"/>
          <w:highlight w:val="none"/>
        </w:rPr>
        <w:t>室</w:t>
      </w:r>
      <w:r>
        <w:rPr>
          <w:rFonts w:hint="eastAsia" w:asciiTheme="minorEastAsia" w:hAnsiTheme="minorEastAsia" w:cstheme="minorEastAsia"/>
          <w:b w:val="0"/>
          <w:bCs/>
          <w:color w:val="auto"/>
          <w:sz w:val="21"/>
          <w:szCs w:val="21"/>
          <w:highlight w:val="none"/>
        </w:rPr>
        <w:t>（</w:t>
      </w:r>
      <w:r>
        <w:rPr>
          <w:rFonts w:hint="eastAsia" w:asciiTheme="minorEastAsia" w:hAnsiTheme="minorEastAsia" w:cstheme="minorEastAsia"/>
          <w:sz w:val="21"/>
          <w:szCs w:val="21"/>
        </w:rPr>
        <w:t>安阳市文峰大道东段559号安阳市民之家）。本项目采用“远程不见面”开标方式，</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 xml:space="preserve">须提前进入安阳市公共资源交易中心网站“网上开标大厅”，进行开标操作和响应文件的解密。 </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6.发布公告的媒介及招标公告期限：</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本次招标公告在《河南省政府采购网》、《安阳市政府采购网》、《安阳市公共资源交易中心网》上发布。招标公告期限为五个工作日。</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7.注意事项：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7.1项目落实的政府采购政策</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强制节能产品强制采购、节能产品、环境标志产品及贫困地区产品优先采购、促进中小企业发展扶持政策、进口产品政策、信息安全产品、社会信用体系建设、促进残疾人就业、支持监狱企业发展等。</w:t>
      </w:r>
    </w:p>
    <w:p>
      <w:pPr>
        <w:adjustRightInd w:val="0"/>
        <w:snapToGrid w:val="0"/>
        <w:spacing w:line="440" w:lineRule="exact"/>
        <w:ind w:firstLine="210" w:firstLineChars="100"/>
        <w:jc w:val="left"/>
        <w:rPr>
          <w:rFonts w:asciiTheme="minorEastAsia" w:hAnsiTheme="minorEastAsia" w:cstheme="minorEastAsia"/>
          <w:sz w:val="21"/>
          <w:szCs w:val="21"/>
        </w:rPr>
      </w:pPr>
      <w:r>
        <w:rPr>
          <w:rFonts w:hint="eastAsia" w:asciiTheme="minorEastAsia" w:hAnsiTheme="minorEastAsia" w:cstheme="minorEastAsia"/>
          <w:sz w:val="21"/>
          <w:szCs w:val="21"/>
        </w:rPr>
        <w:t xml:space="preserve"> 7.2政府采购合同融资</w:t>
      </w:r>
    </w:p>
    <w:p>
      <w:pPr>
        <w:adjustRightInd w:val="0"/>
        <w:snapToGrid w:val="0"/>
        <w:spacing w:line="44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根据豫财购〔2017〕10号和安财购〔2017〕7号文要求，参加政府采购项目的中小微企业</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，持中标（成交）通知书可向金融机构申请合同融资，详情请登录安阳市政府采购网（http://anyang.hngp.gov.cn/anyang），进入网站飘窗或业务指南窗口了解金融机构提供的融资服务内容。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7.3本项目采用网上方式进行，</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需提前办理数字证书（咨询电话：0372- 5116081）。</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7.4安阳市市县一体化公共资源电子交易系统由北京筑龙信息技术有限责任公司提供技术支持，如遇技术问题可拨打服务热线010-86483801。</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7.5投标文件递交流程：</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登录安阳市公共资源交易中心网站，点击“投标用户入口”登录“政府采购”系统，选择所投项目，上传密封后的电子投标文件。如对已上传的电子投标文件进行修改，</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可以重新上传。开标时间截止后，系统将自动锁定已经递交的电子投标文件，拒绝再次提交。</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8.联系方式：</w:t>
      </w:r>
    </w:p>
    <w:p>
      <w:pPr>
        <w:numPr>
          <w:ilvl w:val="0"/>
          <w:numId w:val="2"/>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采购人信息</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名    称：安阳市中等职业技术学校</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地    址：安阳市高新技术产业开发区平原路461号</w:t>
      </w:r>
    </w:p>
    <w:p>
      <w:pPr>
        <w:adjustRightInd w:val="0"/>
        <w:snapToGrid w:val="0"/>
        <w:spacing w:line="440" w:lineRule="exact"/>
        <w:ind w:firstLine="420" w:firstLineChars="200"/>
        <w:jc w:val="left"/>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联 系 人：</w:t>
      </w:r>
      <w:r>
        <w:rPr>
          <w:rFonts w:hint="eastAsia" w:asciiTheme="minorEastAsia" w:hAnsiTheme="minorEastAsia" w:cstheme="minorEastAsia"/>
          <w:color w:val="000000" w:themeColor="text1"/>
          <w:sz w:val="21"/>
          <w:szCs w:val="21"/>
          <w:lang w:eastAsia="zh-CN"/>
          <w14:textFill>
            <w14:solidFill>
              <w14:schemeClr w14:val="tx1"/>
            </w14:solidFill>
          </w14:textFill>
        </w:rPr>
        <w:t>杨幸福</w:t>
      </w:r>
    </w:p>
    <w:p>
      <w:pPr>
        <w:adjustRightInd w:val="0"/>
        <w:snapToGrid w:val="0"/>
        <w:spacing w:line="440" w:lineRule="exact"/>
        <w:ind w:firstLine="420" w:firstLineChars="200"/>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电    话：13569096588</w:t>
      </w:r>
    </w:p>
    <w:p>
      <w:pPr>
        <w:numPr>
          <w:ilvl w:val="0"/>
          <w:numId w:val="2"/>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采购代理机构信息</w:t>
      </w:r>
    </w:p>
    <w:p>
      <w:pPr>
        <w:adjustRightInd w:val="0"/>
        <w:snapToGrid w:val="0"/>
        <w:spacing w:line="440" w:lineRule="exact"/>
        <w:ind w:left="420" w:leftChars="200"/>
        <w:jc w:val="left"/>
        <w:rPr>
          <w:rFonts w:asciiTheme="minorEastAsia" w:hAnsiTheme="minorEastAsia" w:cstheme="minorEastAsia"/>
          <w:sz w:val="21"/>
          <w:szCs w:val="21"/>
        </w:rPr>
      </w:pPr>
      <w:r>
        <w:rPr>
          <w:rFonts w:hint="eastAsia" w:asciiTheme="minorEastAsia" w:hAnsiTheme="minorEastAsia" w:cstheme="minorEastAsia"/>
          <w:sz w:val="21"/>
          <w:szCs w:val="21"/>
        </w:rPr>
        <w:t>名    称：</w:t>
      </w:r>
      <w:r>
        <w:rPr>
          <w:rFonts w:hint="eastAsia" w:ascii="宋体" w:hAnsi="宋体" w:cs="宋体"/>
          <w:color w:val="auto"/>
          <w:sz w:val="21"/>
          <w:szCs w:val="21"/>
        </w:rPr>
        <w:t>中资国际工程咨询集团有限责任公司</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地    址：海河大道与平原路交叉口向西100米路南安阳高新技术创业服务中心一楼</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联 系 人：</w:t>
      </w:r>
      <w:r>
        <w:rPr>
          <w:rFonts w:hint="eastAsia" w:ascii="宋体" w:hAnsi="宋体" w:cs="宋体"/>
          <w:color w:val="auto"/>
          <w:sz w:val="21"/>
          <w:szCs w:val="21"/>
        </w:rPr>
        <w:t xml:space="preserve">唐晓 </w:t>
      </w:r>
      <w:r>
        <w:rPr>
          <w:rFonts w:ascii="宋体" w:hAnsi="宋体" w:cs="宋体"/>
          <w:color w:val="auto"/>
          <w:sz w:val="21"/>
          <w:szCs w:val="21"/>
        </w:rPr>
        <w:t xml:space="preserve"> </w:t>
      </w:r>
      <w:r>
        <w:rPr>
          <w:rFonts w:hint="eastAsia" w:ascii="宋体" w:hAnsi="宋体" w:cs="宋体"/>
          <w:color w:val="auto"/>
          <w:sz w:val="21"/>
          <w:szCs w:val="21"/>
        </w:rPr>
        <w:t>张莹莹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 xml:space="preserve">电    话：0372-2166011      15670017762 </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3.项目联系方式</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项目联系人：</w:t>
      </w:r>
      <w:r>
        <w:rPr>
          <w:rFonts w:hint="eastAsia" w:ascii="宋体" w:hAnsi="宋体" w:cs="宋体"/>
          <w:color w:val="auto"/>
          <w:sz w:val="21"/>
          <w:szCs w:val="21"/>
        </w:rPr>
        <w:t xml:space="preserve">唐晓 </w:t>
      </w:r>
      <w:r>
        <w:rPr>
          <w:rFonts w:ascii="宋体" w:hAnsi="宋体" w:cs="宋体"/>
          <w:color w:val="auto"/>
          <w:sz w:val="21"/>
          <w:szCs w:val="21"/>
        </w:rPr>
        <w:t xml:space="preserve"> </w:t>
      </w:r>
      <w:r>
        <w:rPr>
          <w:rFonts w:hint="eastAsia" w:ascii="宋体" w:hAnsi="宋体" w:cs="宋体"/>
          <w:color w:val="auto"/>
          <w:sz w:val="21"/>
          <w:szCs w:val="21"/>
        </w:rPr>
        <w:t>张莹莹</w:t>
      </w:r>
    </w:p>
    <w:p>
      <w:pPr>
        <w:adjustRightInd w:val="0"/>
        <w:snapToGrid w:val="0"/>
        <w:spacing w:line="440" w:lineRule="exact"/>
        <w:ind w:firstLine="420" w:firstLineChars="200"/>
        <w:jc w:val="left"/>
        <w:rPr>
          <w:rFonts w:hint="eastAsia" w:asciiTheme="minorEastAsia" w:hAnsiTheme="minorEastAsia" w:eastAsiaTheme="minorEastAsia" w:cstheme="minorEastAsia"/>
          <w:bCs/>
          <w:sz w:val="32"/>
          <w:szCs w:val="32"/>
          <w:shd w:val="clear" w:color="auto" w:fill="FFFFFF"/>
          <w:lang w:eastAsia="zh-CN"/>
        </w:rPr>
      </w:pPr>
      <w:r>
        <w:rPr>
          <w:rFonts w:hint="eastAsia" w:asciiTheme="minorEastAsia" w:hAnsiTheme="minorEastAsia" w:cstheme="minorEastAsia"/>
          <w:sz w:val="21"/>
          <w:szCs w:val="21"/>
        </w:rPr>
        <w:t xml:space="preserve">联系方式：0372-2166011      15670017762  </w:t>
      </w:r>
      <w:r>
        <w:rPr>
          <w:rFonts w:hint="eastAsia" w:asciiTheme="minorEastAsia" w:hAnsiTheme="minorEastAsia" w:cstheme="minorEastAsia"/>
          <w:sz w:val="24"/>
          <w:szCs w:val="24"/>
        </w:rPr>
        <w:t xml:space="preserve"> </w:t>
      </w:r>
    </w:p>
    <w:p>
      <w:pPr>
        <w:pStyle w:val="3"/>
        <w:pageBreakBefore/>
        <w:widowControl/>
        <w:spacing w:before="0" w:after="0" w:line="360" w:lineRule="auto"/>
        <w:jc w:val="center"/>
        <w:rPr>
          <w:rFonts w:asciiTheme="minorEastAsia" w:hAnsiTheme="minorEastAsia" w:eastAsiaTheme="minorEastAsia" w:cstheme="minorEastAsia"/>
          <w:sz w:val="32"/>
          <w:szCs w:val="32"/>
        </w:rPr>
      </w:pPr>
      <w:bookmarkStart w:id="7" w:name="_Toc11358"/>
      <w:bookmarkStart w:id="8" w:name="_Toc46320046"/>
      <w:r>
        <w:rPr>
          <w:rFonts w:hint="eastAsia" w:asciiTheme="minorEastAsia" w:hAnsiTheme="minorEastAsia" w:eastAsiaTheme="minorEastAsia" w:cstheme="minorEastAsia"/>
          <w:sz w:val="32"/>
          <w:szCs w:val="32"/>
        </w:rPr>
        <w:t>第二章  采购人需求</w:t>
      </w:r>
      <w:bookmarkEnd w:id="7"/>
      <w:bookmarkEnd w:id="8"/>
    </w:p>
    <w:p>
      <w:pPr>
        <w:snapToGrid w:val="0"/>
        <w:spacing w:line="360" w:lineRule="auto"/>
        <w:jc w:val="left"/>
        <w:outlineLvl w:val="1"/>
        <w:rPr>
          <w:rFonts w:asciiTheme="minorEastAsia" w:hAnsiTheme="minorEastAsia" w:cstheme="minorEastAsia"/>
          <w:b/>
          <w:sz w:val="24"/>
          <w:szCs w:val="22"/>
        </w:rPr>
      </w:pPr>
      <w:bookmarkStart w:id="9" w:name="_Toc22470"/>
      <w:bookmarkStart w:id="10" w:name="_Toc8395964"/>
      <w:r>
        <w:rPr>
          <w:rFonts w:hint="eastAsia" w:asciiTheme="minorEastAsia" w:hAnsiTheme="minorEastAsia" w:cstheme="minorEastAsia"/>
          <w:b/>
          <w:sz w:val="24"/>
          <w:szCs w:val="22"/>
        </w:rPr>
        <w:t>1.招标项目、标段</w:t>
      </w:r>
      <w:r>
        <w:rPr>
          <w:rFonts w:hint="eastAsia" w:asciiTheme="minorEastAsia" w:hAnsiTheme="minorEastAsia" w:cstheme="minorEastAsia"/>
          <w:b/>
          <w:szCs w:val="21"/>
        </w:rPr>
        <w:t>（包）</w:t>
      </w:r>
      <w:r>
        <w:rPr>
          <w:rFonts w:hint="eastAsia" w:asciiTheme="minorEastAsia" w:hAnsiTheme="minorEastAsia" w:cstheme="minorEastAsia"/>
          <w:b/>
          <w:sz w:val="24"/>
          <w:szCs w:val="22"/>
        </w:rPr>
        <w:t>划分、投标报价</w:t>
      </w:r>
      <w:bookmarkEnd w:id="9"/>
      <w:bookmarkEnd w:id="10"/>
    </w:p>
    <w:p>
      <w:pPr>
        <w:snapToGrid w:val="0"/>
        <w:spacing w:line="360" w:lineRule="auto"/>
        <w:ind w:firstLine="422" w:firstLineChars="200"/>
        <w:jc w:val="left"/>
        <w:outlineLvl w:val="1"/>
        <w:rPr>
          <w:rFonts w:hint="eastAsia" w:asciiTheme="minorEastAsia" w:hAnsiTheme="minorEastAsia" w:eastAsiaTheme="minorEastAsia" w:cstheme="minorEastAsia"/>
          <w:szCs w:val="21"/>
          <w:lang w:eastAsia="zh-CN"/>
        </w:rPr>
      </w:pPr>
      <w:bookmarkStart w:id="11" w:name="_Toc22246"/>
      <w:r>
        <w:rPr>
          <w:rFonts w:hint="eastAsia" w:asciiTheme="minorEastAsia" w:hAnsiTheme="minorEastAsia" w:cstheme="minorEastAsia"/>
          <w:b/>
          <w:szCs w:val="21"/>
        </w:rPr>
        <w:t>1.1招标项目名称</w:t>
      </w:r>
      <w:r>
        <w:rPr>
          <w:rFonts w:hint="eastAsia" w:asciiTheme="minorEastAsia" w:hAnsiTheme="minorEastAsia" w:cstheme="minorEastAsia"/>
          <w:szCs w:val="21"/>
        </w:rPr>
        <w:t>：安阳市中等职业技术学校（安阳市职业教育中心）智慧黑板建设项目</w:t>
      </w:r>
      <w:r>
        <w:rPr>
          <w:rFonts w:hint="eastAsia" w:asciiTheme="minorEastAsia" w:hAnsiTheme="minorEastAsia" w:cstheme="minorEastAsia"/>
          <w:szCs w:val="21"/>
          <w:lang w:eastAsia="zh-CN"/>
        </w:rPr>
        <w:t>（四次）</w:t>
      </w:r>
      <w:bookmarkEnd w:id="11"/>
    </w:p>
    <w:p>
      <w:pPr>
        <w:snapToGrid w:val="0"/>
        <w:spacing w:line="440" w:lineRule="exact"/>
        <w:ind w:firstLine="422" w:firstLineChars="200"/>
        <w:jc w:val="left"/>
        <w:outlineLvl w:val="1"/>
        <w:rPr>
          <w:rFonts w:asciiTheme="minorEastAsia" w:hAnsiTheme="minorEastAsia" w:cstheme="minorEastAsia"/>
          <w:szCs w:val="21"/>
        </w:rPr>
      </w:pPr>
      <w:bookmarkStart w:id="12" w:name="_Toc10351"/>
      <w:r>
        <w:rPr>
          <w:rFonts w:hint="eastAsia" w:asciiTheme="minorEastAsia" w:hAnsiTheme="minorEastAsia" w:cstheme="minorEastAsia"/>
          <w:b/>
          <w:szCs w:val="21"/>
        </w:rPr>
        <w:t>1.2标段（包）划分及交付（实施）期交付（实施）地点</w:t>
      </w:r>
      <w:r>
        <w:rPr>
          <w:rFonts w:hint="eastAsia" w:asciiTheme="minorEastAsia" w:hAnsiTheme="minorEastAsia" w:cstheme="minorEastAsia"/>
          <w:szCs w:val="21"/>
        </w:rPr>
        <w:t>：本次招标项目划分为1个标段（包）。</w:t>
      </w:r>
      <w:bookmarkEnd w:id="12"/>
    </w:p>
    <w:tbl>
      <w:tblPr>
        <w:tblStyle w:val="23"/>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4"/>
        <w:gridCol w:w="2966"/>
        <w:gridCol w:w="2066"/>
        <w:gridCol w:w="1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334" w:type="dxa"/>
            <w:vAlign w:val="center"/>
          </w:tcPr>
          <w:p>
            <w:pPr>
              <w:snapToGrid w:val="0"/>
              <w:spacing w:line="440" w:lineRule="exact"/>
              <w:jc w:val="center"/>
              <w:outlineLvl w:val="1"/>
              <w:rPr>
                <w:rFonts w:hint="eastAsia" w:ascii="宋体" w:hAnsi="宋体" w:eastAsia="宋体" w:cs="宋体"/>
                <w:b/>
                <w:szCs w:val="21"/>
              </w:rPr>
            </w:pPr>
            <w:bookmarkStart w:id="13" w:name="_Toc3659"/>
            <w:r>
              <w:rPr>
                <w:rFonts w:hint="eastAsia" w:ascii="宋体" w:hAnsi="宋体" w:eastAsia="宋体" w:cs="宋体"/>
                <w:b/>
                <w:szCs w:val="21"/>
              </w:rPr>
              <w:t>项目名称</w:t>
            </w:r>
            <w:bookmarkEnd w:id="13"/>
          </w:p>
        </w:tc>
        <w:tc>
          <w:tcPr>
            <w:tcW w:w="2966" w:type="dxa"/>
            <w:vAlign w:val="center"/>
          </w:tcPr>
          <w:p>
            <w:pPr>
              <w:snapToGrid w:val="0"/>
              <w:spacing w:line="440" w:lineRule="exact"/>
              <w:jc w:val="center"/>
              <w:outlineLvl w:val="1"/>
              <w:rPr>
                <w:rFonts w:hint="eastAsia" w:ascii="宋体" w:hAnsi="宋体" w:eastAsia="宋体" w:cs="宋体"/>
                <w:b/>
                <w:szCs w:val="21"/>
              </w:rPr>
            </w:pPr>
            <w:bookmarkStart w:id="14" w:name="_Toc14270"/>
            <w:r>
              <w:rPr>
                <w:rFonts w:hint="eastAsia" w:ascii="宋体" w:hAnsi="宋体" w:eastAsia="宋体" w:cs="宋体"/>
                <w:b/>
                <w:szCs w:val="21"/>
              </w:rPr>
              <w:t>标段（包）内容（范围）</w:t>
            </w:r>
            <w:bookmarkEnd w:id="14"/>
          </w:p>
        </w:tc>
        <w:tc>
          <w:tcPr>
            <w:tcW w:w="2066" w:type="dxa"/>
            <w:vAlign w:val="center"/>
          </w:tcPr>
          <w:p>
            <w:pPr>
              <w:snapToGrid w:val="0"/>
              <w:spacing w:line="440" w:lineRule="exact"/>
              <w:jc w:val="center"/>
              <w:outlineLvl w:val="1"/>
              <w:rPr>
                <w:rFonts w:hint="eastAsia" w:ascii="宋体" w:hAnsi="宋体" w:eastAsia="宋体" w:cs="宋体"/>
                <w:b/>
                <w:szCs w:val="21"/>
              </w:rPr>
            </w:pPr>
            <w:bookmarkStart w:id="15" w:name="_Toc11004"/>
            <w:r>
              <w:rPr>
                <w:rFonts w:hint="eastAsia" w:ascii="宋体" w:hAnsi="宋体" w:eastAsia="宋体" w:cs="宋体"/>
                <w:b/>
                <w:szCs w:val="21"/>
                <w:highlight w:val="none"/>
              </w:rPr>
              <w:t>交付 &lt; 实施&gt; 期</w:t>
            </w:r>
            <w:bookmarkEnd w:id="15"/>
          </w:p>
        </w:tc>
        <w:tc>
          <w:tcPr>
            <w:tcW w:w="1873" w:type="dxa"/>
            <w:vAlign w:val="center"/>
          </w:tcPr>
          <w:p>
            <w:pPr>
              <w:snapToGrid w:val="0"/>
              <w:spacing w:line="440" w:lineRule="exact"/>
              <w:jc w:val="center"/>
              <w:outlineLvl w:val="1"/>
              <w:rPr>
                <w:rFonts w:hint="eastAsia" w:ascii="宋体" w:hAnsi="宋体" w:eastAsia="宋体" w:cs="宋体"/>
                <w:b/>
                <w:szCs w:val="21"/>
              </w:rPr>
            </w:pPr>
            <w:bookmarkStart w:id="16" w:name="_Toc16495"/>
            <w:r>
              <w:rPr>
                <w:rFonts w:hint="eastAsia" w:ascii="宋体" w:hAnsi="宋体" w:eastAsia="宋体" w:cs="宋体"/>
                <w:b/>
                <w:szCs w:val="21"/>
              </w:rPr>
              <w:t>交付（实施）地点</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2334" w:type="dxa"/>
            <w:vAlign w:val="center"/>
          </w:tcPr>
          <w:p>
            <w:pPr>
              <w:adjustRightInd w:val="0"/>
              <w:snapToGrid w:val="0"/>
              <w:spacing w:line="440" w:lineRule="exact"/>
              <w:jc w:val="center"/>
              <w:rPr>
                <w:rFonts w:hint="eastAsia" w:ascii="宋体" w:hAnsi="宋体" w:eastAsia="宋体" w:cs="宋体"/>
                <w:b/>
                <w:szCs w:val="21"/>
              </w:rPr>
            </w:pPr>
            <w:r>
              <w:rPr>
                <w:rFonts w:hint="eastAsia" w:ascii="宋体" w:hAnsi="宋体" w:eastAsia="宋体" w:cs="宋体"/>
                <w:b w:val="0"/>
                <w:bCs/>
                <w:szCs w:val="21"/>
              </w:rPr>
              <w:t>安阳市中等职业技术学校（安阳市职业教育中心）智慧黑板建设项目（</w:t>
            </w:r>
            <w:r>
              <w:rPr>
                <w:rFonts w:hint="eastAsia" w:ascii="宋体" w:hAnsi="宋体" w:eastAsia="宋体" w:cs="宋体"/>
                <w:b w:val="0"/>
                <w:bCs/>
                <w:szCs w:val="21"/>
                <w:lang w:eastAsia="zh-CN"/>
              </w:rPr>
              <w:t>四</w:t>
            </w:r>
            <w:r>
              <w:rPr>
                <w:rFonts w:hint="eastAsia" w:ascii="宋体" w:hAnsi="宋体" w:eastAsia="宋体" w:cs="宋体"/>
                <w:b w:val="0"/>
                <w:bCs/>
                <w:szCs w:val="21"/>
              </w:rPr>
              <w:t>次）</w:t>
            </w:r>
          </w:p>
        </w:tc>
        <w:tc>
          <w:tcPr>
            <w:tcW w:w="2966" w:type="dxa"/>
            <w:vAlign w:val="center"/>
          </w:tcPr>
          <w:p>
            <w:pPr>
              <w:pStyle w:val="21"/>
              <w:spacing w:after="0"/>
              <w:ind w:left="0" w:leftChars="0"/>
              <w:rPr>
                <w:rFonts w:hint="eastAsia" w:ascii="宋体" w:hAnsi="宋体" w:eastAsia="宋体" w:cs="宋体"/>
              </w:rPr>
            </w:pPr>
            <w:r>
              <w:rPr>
                <w:rFonts w:hint="eastAsia" w:ascii="宋体" w:hAnsi="宋体" w:eastAsia="宋体" w:cs="宋体"/>
              </w:rPr>
              <w:t>见“第二章第2条：标段内容（范围）及具体采购需求”</w:t>
            </w:r>
          </w:p>
        </w:tc>
        <w:tc>
          <w:tcPr>
            <w:tcW w:w="2066" w:type="dxa"/>
            <w:vAlign w:val="center"/>
          </w:tcPr>
          <w:p>
            <w:pPr>
              <w:snapToGrid w:val="0"/>
              <w:spacing w:line="440" w:lineRule="exact"/>
              <w:outlineLvl w:val="1"/>
              <w:rPr>
                <w:rFonts w:hint="eastAsia" w:ascii="宋体" w:hAnsi="宋体" w:eastAsia="宋体" w:cs="宋体"/>
                <w:b/>
                <w:szCs w:val="21"/>
              </w:rPr>
            </w:pPr>
            <w:r>
              <w:rPr>
                <w:rFonts w:hint="eastAsia" w:ascii="宋体" w:hAnsi="宋体" w:eastAsia="宋体" w:cs="宋体"/>
                <w:kern w:val="2"/>
                <w:sz w:val="21"/>
                <w:szCs w:val="24"/>
                <w:lang w:val="en-US" w:eastAsia="zh-CN" w:bidi="ar-SA"/>
              </w:rPr>
              <w:t>2023年02月28日完成交付并验收通过</w:t>
            </w:r>
          </w:p>
        </w:tc>
        <w:tc>
          <w:tcPr>
            <w:tcW w:w="1873" w:type="dxa"/>
            <w:vAlign w:val="center"/>
          </w:tcPr>
          <w:p>
            <w:pPr>
              <w:snapToGrid w:val="0"/>
              <w:jc w:val="both"/>
              <w:outlineLvl w:val="1"/>
              <w:rPr>
                <w:rFonts w:hint="eastAsia" w:ascii="宋体" w:hAnsi="宋体" w:eastAsia="宋体" w:cs="宋体"/>
                <w:b/>
                <w:szCs w:val="21"/>
              </w:rPr>
            </w:pPr>
            <w:bookmarkStart w:id="17" w:name="_Toc14529"/>
            <w:r>
              <w:rPr>
                <w:rFonts w:hint="eastAsia" w:ascii="宋体" w:hAnsi="宋体" w:eastAsia="宋体" w:cs="宋体"/>
                <w:szCs w:val="21"/>
              </w:rPr>
              <w:t>采购人指定地点</w:t>
            </w:r>
            <w:bookmarkEnd w:id="17"/>
          </w:p>
        </w:tc>
      </w:tr>
    </w:tbl>
    <w:p>
      <w:pPr>
        <w:snapToGrid w:val="0"/>
        <w:spacing w:line="440" w:lineRule="exact"/>
        <w:ind w:firstLine="422" w:firstLineChars="200"/>
        <w:jc w:val="left"/>
        <w:outlineLvl w:val="1"/>
        <w:rPr>
          <w:rFonts w:asciiTheme="minorEastAsia" w:hAnsiTheme="minorEastAsia" w:cstheme="minorEastAsia"/>
          <w:b/>
          <w:szCs w:val="21"/>
        </w:rPr>
      </w:pPr>
      <w:bookmarkStart w:id="18" w:name="_Toc21302"/>
      <w:r>
        <w:rPr>
          <w:rFonts w:hint="eastAsia" w:asciiTheme="minorEastAsia" w:hAnsiTheme="minorEastAsia" w:cstheme="minorEastAsia"/>
          <w:b/>
          <w:szCs w:val="21"/>
        </w:rPr>
        <w:t>1.3.投标报价（价格构成）</w:t>
      </w:r>
      <w:bookmarkEnd w:id="18"/>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1.3.1投标人的投标报价均为达到正常使用条件下的目的地交验价，包括设备价款、相关税款、易损件价、专用工具价、售后及技术服务费、安装调试费及运送到安阳地区指定地点的运杂费、装卸费等与招标项目相关的、必须的款项及费用（包括未列明而完成交验所必须的所有设备、材料、工具、费用）。</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1.3.2投标报价为一次性报价，报价时间截止后对投标报价的任何承诺、修改，除法定修正或招标文件规定修正情形外，评标委员会将不予考虑。</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1.3.3 如投标人的投标报价未超过该项</w:t>
      </w:r>
      <w:r>
        <w:rPr>
          <w:rFonts w:hint="eastAsia" w:asciiTheme="minorEastAsia" w:hAnsiTheme="minorEastAsia" w:cstheme="minorEastAsia"/>
          <w:color w:val="000000" w:themeColor="text1"/>
          <w:szCs w:val="21"/>
          <w14:textFill>
            <w14:solidFill>
              <w14:schemeClr w14:val="tx1"/>
            </w14:solidFill>
          </w14:textFill>
        </w:rPr>
        <w:t>目</w:t>
      </w:r>
      <w:r>
        <w:rPr>
          <w:rFonts w:hint="eastAsia" w:asciiTheme="minorEastAsia" w:hAnsiTheme="minorEastAsia" w:cstheme="minorEastAsia"/>
          <w:color w:val="000000" w:themeColor="text1"/>
          <w:szCs w:val="21"/>
          <w:lang w:eastAsia="zh-CN"/>
          <w14:textFill>
            <w14:solidFill>
              <w14:schemeClr w14:val="tx1"/>
            </w14:solidFill>
          </w14:textFill>
        </w:rPr>
        <w:t>最高限价</w:t>
      </w:r>
      <w:r>
        <w:rPr>
          <w:rFonts w:hint="eastAsia" w:asciiTheme="minorEastAsia" w:hAnsiTheme="minorEastAsia" w:cstheme="minorEastAsia"/>
          <w:color w:val="000000" w:themeColor="text1"/>
          <w:szCs w:val="21"/>
          <w14:textFill>
            <w14:solidFill>
              <w14:schemeClr w14:val="tx1"/>
            </w14:solidFill>
          </w14:textFill>
        </w:rPr>
        <w:t>（见</w:t>
      </w:r>
      <w:r>
        <w:rPr>
          <w:rFonts w:hint="eastAsia" w:asciiTheme="minorEastAsia" w:hAnsiTheme="minorEastAsia" w:cstheme="minorEastAsia"/>
          <w:szCs w:val="21"/>
        </w:rPr>
        <w:t>招标公告1.4）的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不足三家的，该项目做废标处理。</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1.3.4 遵循第三章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须知3.7.5项规定。</w:t>
      </w:r>
    </w:p>
    <w:p>
      <w:pPr>
        <w:snapToGrid w:val="0"/>
        <w:spacing w:line="440" w:lineRule="exact"/>
        <w:jc w:val="left"/>
        <w:outlineLvl w:val="1"/>
        <w:rPr>
          <w:rFonts w:asciiTheme="minorEastAsia" w:hAnsiTheme="minorEastAsia" w:cstheme="minorEastAsia"/>
          <w:b/>
          <w:sz w:val="24"/>
          <w:szCs w:val="22"/>
        </w:rPr>
      </w:pPr>
      <w:bookmarkStart w:id="19" w:name="_Toc8395965"/>
      <w:bookmarkStart w:id="20" w:name="_Toc12616"/>
      <w:r>
        <w:rPr>
          <w:rFonts w:hint="eastAsia" w:asciiTheme="minorEastAsia" w:hAnsiTheme="minorEastAsia" w:cstheme="minorEastAsia"/>
          <w:b/>
          <w:sz w:val="24"/>
          <w:szCs w:val="22"/>
        </w:rPr>
        <w:t>2.标段内容（范围）及具体采购需求</w:t>
      </w:r>
      <w:bookmarkEnd w:id="19"/>
      <w:bookmarkEnd w:id="20"/>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2.1采购标的需实现的功能或者目标，标段总体范围：满足采购人的采购需求。</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2.2 项目落实的政府采购政策（法规标准条款）</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2.2.1 政府采购节能产品、环境标志产品实施品目清单管理后，对本次采购产品属于品目清单中强制采购品目的，投标产品应当具有相应的认证证书（认证证书应当为国家确定的认证机构出具、且应处于有效期之内），投标文件中应当提供相应的认证证书（认证证书应当为国家确定的认证机构出具、且应处于有效期之内）。属于政府强制采购品目、而未按要求提供相应资料的</w:t>
      </w:r>
      <w:r>
        <w:rPr>
          <w:rFonts w:hint="eastAsia" w:asciiTheme="minorEastAsia" w:hAnsiTheme="minorEastAsia" w:cstheme="minorEastAsia"/>
          <w:b/>
          <w:bCs/>
          <w:szCs w:val="21"/>
        </w:rPr>
        <w:t>，为无效投标。</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2.2.2 同等条件下，获得节能产品认证证书或环境标志产品认证证书的产品优先采购。认证证书应当为国家确定的认证机构出具、且应处于有效期之内。</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2.2.3 本次采购不允许进口产品参加。</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2.2.4信息安全产品须通过国家信息安全认证中心认证，计算机产品须预装正版操作系统软件。</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2.2.5 促进中小企业发展扶持政策：见第四章“评标办法”第4条。</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2.2.6 政府采购支持监狱企业发展</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2.2.7 促进残疾人就业：见第四章“评标办法”第4条。</w:t>
      </w:r>
    </w:p>
    <w:p>
      <w:pPr>
        <w:pStyle w:val="20"/>
        <w:spacing w:after="0" w:line="440" w:lineRule="exact"/>
        <w:ind w:firstLine="420" w:firstLineChars="200"/>
        <w:rPr>
          <w:rFonts w:asciiTheme="minorEastAsia" w:hAnsiTheme="minorEastAsia" w:eastAsiaTheme="minorEastAsia" w:cstheme="minorEastAsia"/>
          <w:color w:val="auto"/>
          <w:kern w:val="2"/>
          <w:szCs w:val="21"/>
        </w:rPr>
      </w:pPr>
      <w:r>
        <w:rPr>
          <w:rFonts w:hint="eastAsia" w:asciiTheme="minorEastAsia" w:hAnsiTheme="minorEastAsia" w:eastAsiaTheme="minorEastAsia" w:cstheme="minorEastAsia"/>
          <w:color w:val="auto"/>
          <w:kern w:val="2"/>
          <w:szCs w:val="21"/>
        </w:rPr>
        <w:t>2.2.8 所涉产品有环保政策要求的，应符合相关环保法律政策要求。</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2.3采购标的需执行的国家相关标准、行业标准、地方标准或者其他标准、规范；</w:t>
      </w:r>
    </w:p>
    <w:p>
      <w:pPr>
        <w:adjustRightInd w:val="0"/>
        <w:snapToGrid w:val="0"/>
        <w:spacing w:line="440" w:lineRule="exact"/>
        <w:ind w:firstLine="440" w:firstLineChars="200"/>
        <w:jc w:val="left"/>
        <w:rPr>
          <w:rFonts w:asciiTheme="minorEastAsia" w:hAnsiTheme="minorEastAsia" w:cstheme="minorEastAsia"/>
          <w:szCs w:val="21"/>
        </w:rPr>
      </w:pPr>
      <w:r>
        <w:rPr>
          <w:rFonts w:hint="eastAsia" w:ascii="宋体" w:hAnsi="宋体" w:eastAsia="宋体" w:cs="宋体"/>
          <w:color w:val="000000" w:themeColor="text1"/>
          <w:sz w:val="22"/>
          <w:szCs w:val="22"/>
          <w14:textFill>
            <w14:solidFill>
              <w14:schemeClr w14:val="tx1"/>
            </w14:solidFill>
          </w14:textFill>
        </w:rPr>
        <w:t>投标人所投产品应符合国家质量标准、部颁标准及行业规范的要求，符合国家各项强制性规范及安全标准，投标产品不应与第三方存在知识产权权属问题；投标人应本着服务客户、为客户着想的宗旨，来完善产品及技术要求未尽事宜，不得以招标文件未列明事项为由，来降低投标产品的质量。</w:t>
      </w:r>
    </w:p>
    <w:p>
      <w:pPr>
        <w:adjustRightInd w:val="0"/>
        <w:snapToGrid w:val="0"/>
        <w:spacing w:line="440" w:lineRule="exact"/>
        <w:ind w:firstLine="422" w:firstLineChars="200"/>
        <w:jc w:val="left"/>
        <w:rPr>
          <w:rFonts w:hint="eastAsia"/>
        </w:rPr>
      </w:pPr>
      <w:r>
        <w:rPr>
          <w:rFonts w:hint="eastAsia" w:asciiTheme="minorEastAsia" w:hAnsiTheme="minorEastAsia" w:cstheme="minorEastAsia"/>
          <w:b/>
          <w:bCs/>
          <w:szCs w:val="21"/>
        </w:rPr>
        <w:t>2.4标段内容（具体范围、数量），</w:t>
      </w:r>
      <w:r>
        <w:rPr>
          <w:rFonts w:hint="eastAsia" w:asciiTheme="minorEastAsia" w:hAnsiTheme="minorEastAsia" w:cstheme="minorEastAsia"/>
          <w:b/>
          <w:bCs/>
          <w:szCs w:val="21"/>
          <w:lang w:val="en-US" w:eastAsia="zh-CN"/>
        </w:rPr>
        <w:t xml:space="preserve"> </w:t>
      </w:r>
      <w:r>
        <w:rPr>
          <w:rFonts w:hint="eastAsia" w:asciiTheme="minorEastAsia" w:hAnsiTheme="minorEastAsia" w:cstheme="minorEastAsia"/>
          <w:b/>
          <w:bCs/>
          <w:szCs w:val="21"/>
        </w:rPr>
        <w:t>技术要求</w:t>
      </w:r>
    </w:p>
    <w:tbl>
      <w:tblPr>
        <w:tblStyle w:val="23"/>
        <w:tblpPr w:leftFromText="180" w:rightFromText="180" w:vertAnchor="text" w:horzAnchor="page" w:tblpX="1331" w:tblpY="1450"/>
        <w:tblOverlap w:val="never"/>
        <w:tblW w:w="9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13"/>
        <w:gridCol w:w="7087"/>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62" w:type="dxa"/>
            <w:vAlign w:val="center"/>
          </w:tcPr>
          <w:p>
            <w:pPr>
              <w:jc w:val="center"/>
              <w:rPr>
                <w:rFonts w:ascii="宋体" w:hAnsi="宋体" w:cs="宋体"/>
                <w:szCs w:val="21"/>
              </w:rPr>
            </w:pPr>
            <w:r>
              <w:rPr>
                <w:rFonts w:hint="eastAsia" w:ascii="宋体" w:hAnsi="宋体" w:cs="宋体"/>
                <w:szCs w:val="21"/>
              </w:rPr>
              <w:t>序号</w:t>
            </w:r>
          </w:p>
        </w:tc>
        <w:tc>
          <w:tcPr>
            <w:tcW w:w="1113" w:type="dxa"/>
            <w:vAlign w:val="center"/>
          </w:tcPr>
          <w:p>
            <w:pPr>
              <w:jc w:val="center"/>
              <w:rPr>
                <w:rFonts w:ascii="宋体" w:hAnsi="宋体" w:cs="宋体"/>
                <w:szCs w:val="21"/>
              </w:rPr>
            </w:pPr>
            <w:r>
              <w:rPr>
                <w:rFonts w:hint="eastAsia" w:ascii="宋体" w:hAnsi="宋体" w:cs="宋体"/>
                <w:szCs w:val="21"/>
              </w:rPr>
              <w:t>设备名称</w:t>
            </w:r>
          </w:p>
        </w:tc>
        <w:tc>
          <w:tcPr>
            <w:tcW w:w="7087" w:type="dxa"/>
            <w:vAlign w:val="center"/>
          </w:tcPr>
          <w:p>
            <w:pPr>
              <w:spacing w:line="360" w:lineRule="auto"/>
              <w:jc w:val="center"/>
              <w:rPr>
                <w:rFonts w:ascii="宋体" w:hAnsi="宋体" w:cs="宋体"/>
                <w:szCs w:val="21"/>
              </w:rPr>
            </w:pPr>
            <w:r>
              <w:rPr>
                <w:rFonts w:hint="eastAsia" w:ascii="宋体" w:hAnsi="宋体" w:cs="宋体"/>
                <w:szCs w:val="21"/>
              </w:rPr>
              <w:t>技术要求</w:t>
            </w:r>
          </w:p>
        </w:tc>
        <w:tc>
          <w:tcPr>
            <w:tcW w:w="788" w:type="dxa"/>
            <w:vAlign w:val="center"/>
          </w:tcPr>
          <w:p>
            <w:pPr>
              <w:jc w:val="center"/>
              <w:rPr>
                <w:rFonts w:ascii="宋体" w:hAnsi="宋体" w:cs="宋体"/>
                <w:szCs w:val="21"/>
              </w:rPr>
            </w:pPr>
            <w:r>
              <w:rPr>
                <w:rFonts w:hint="eastAsia" w:ascii="宋体" w:hAnsi="宋体" w:cs="宋体"/>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62" w:type="dxa"/>
            <w:vAlign w:val="center"/>
          </w:tcPr>
          <w:p>
            <w:pPr>
              <w:jc w:val="center"/>
              <w:rPr>
                <w:rFonts w:ascii="宋体" w:hAnsi="宋体" w:cs="宋体"/>
                <w:szCs w:val="21"/>
              </w:rPr>
            </w:pPr>
            <w:r>
              <w:rPr>
                <w:rFonts w:hint="eastAsia" w:ascii="宋体" w:hAnsi="宋体" w:cs="宋体"/>
                <w:szCs w:val="21"/>
              </w:rPr>
              <w:t>1</w:t>
            </w:r>
          </w:p>
        </w:tc>
        <w:tc>
          <w:tcPr>
            <w:tcW w:w="1113" w:type="dxa"/>
            <w:vAlign w:val="center"/>
          </w:tcPr>
          <w:p>
            <w:pPr>
              <w:jc w:val="center"/>
              <w:rPr>
                <w:rFonts w:ascii="宋体" w:hAnsi="宋体" w:cs="宋体"/>
                <w:szCs w:val="21"/>
                <w:highlight w:val="none"/>
              </w:rPr>
            </w:pPr>
            <w:r>
              <w:rPr>
                <w:rFonts w:hint="eastAsia" w:ascii="宋体" w:hAnsi="宋体" w:cs="宋体"/>
                <w:szCs w:val="21"/>
                <w:highlight w:val="none"/>
              </w:rPr>
              <w:t>智慧黑板</w:t>
            </w:r>
          </w:p>
        </w:tc>
        <w:tc>
          <w:tcPr>
            <w:tcW w:w="7087" w:type="dxa"/>
          </w:tcPr>
          <w:p>
            <w:pPr>
              <w:widowControl w:val="0"/>
              <w:numPr>
                <w:ilvl w:val="1"/>
                <w:numId w:val="3"/>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整体外观要求：</w:t>
            </w:r>
          </w:p>
          <w:p>
            <w:pPr>
              <w:widowControl w:val="0"/>
              <w:numPr>
                <w:ilvl w:val="0"/>
                <w:numId w:val="4"/>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要求智慧黑板采用三段式一体化设计,无推拉式结构纯平面黑板，采用金属机身，左右两侧为副板，中间为显示主屏。智慧黑板中间区域为LED液晶显示屏幕，两侧侧板与中间主板拼接间隙≤0.5mm。整块板面长度≥4190mm，高度≥1190mm，厚度≤110mm。</w:t>
            </w:r>
          </w:p>
          <w:p>
            <w:pPr>
              <w:widowControl w:val="0"/>
              <w:numPr>
                <w:ilvl w:val="0"/>
                <w:numId w:val="4"/>
              </w:numPr>
              <w:snapToGrid w:val="0"/>
              <w:spacing w:before="156" w:beforeLines="50" w:line="360" w:lineRule="auto"/>
              <w:jc w:val="left"/>
              <w:textAlignment w:val="auto"/>
              <w:rPr>
                <w:rFonts w:ascii="宋体" w:hAnsi="宋体" w:cs="宋体"/>
                <w:szCs w:val="21"/>
                <w:highlight w:val="none"/>
              </w:rPr>
            </w:pPr>
            <w:r>
              <w:rPr>
                <w:rFonts w:hint="eastAsia" w:ascii="宋体" w:hAnsi="宋体" w:cs="宋体"/>
                <w:szCs w:val="21"/>
                <w:highlight w:val="none"/>
              </w:rPr>
              <w:t>智慧黑板具备笔槽，可放置书写笔等教学工具。</w:t>
            </w:r>
          </w:p>
          <w:p>
            <w:pPr>
              <w:widowControl w:val="0"/>
              <w:numPr>
                <w:ilvl w:val="0"/>
                <w:numId w:val="4"/>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四周采用安全倒角或圆角设计，无任何外露边角，防划、防暴、抗击打。</w:t>
            </w:r>
          </w:p>
          <w:p>
            <w:pPr>
              <w:widowControl w:val="0"/>
              <w:numPr>
                <w:ilvl w:val="1"/>
                <w:numId w:val="3"/>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书写板技术参数：</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智慧黑板左右两侧副板具有磁吸附功能,两侧侧板采用高抗反光纳米材料，实现无反光效果，在任何角度均可清晰可见书写笔迹。表面支持超过3种及以上类型的笔书写:水性笔、普通粉笔、无尘粉笔等。</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显示屏幕表面采用硬度≥9H</w:t>
            </w:r>
            <w:r>
              <w:rPr>
                <w:rFonts w:hint="eastAsia" w:ascii="宋体" w:hAnsi="宋体" w:cs="宋体"/>
                <w:color w:val="auto"/>
                <w:szCs w:val="21"/>
                <w:highlight w:val="none"/>
              </w:rPr>
              <w:t>的防眩光钢化玻璃（提供具有CMA</w:t>
            </w:r>
            <w:r>
              <w:rPr>
                <w:rFonts w:hint="eastAsia" w:ascii="宋体" w:hAnsi="宋体" w:cs="宋体"/>
                <w:szCs w:val="21"/>
                <w:highlight w:val="none"/>
              </w:rPr>
              <w:t>或CNAS资质认定的检测机构出具的检测报告）。</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智慧黑板采用防眩光技术，屏幕表面不形成反射影像，不影响可视画面；透过率≥95%，雾度≤5%。</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智慧黑板板面防水，支持喷水板擦擦除，也可以用湿抹布擦除，不影响老师反复书写擦试。</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左右两侧副板硬度≥9H；</w:t>
            </w:r>
            <w:r>
              <w:rPr>
                <w:rFonts w:hint="eastAsia" w:ascii="宋体" w:hAnsi="宋体" w:cs="宋体"/>
                <w:color w:val="auto"/>
                <w:szCs w:val="21"/>
                <w:highlight w:val="none"/>
              </w:rPr>
              <w:t>光泽度≤6%,粗</w:t>
            </w:r>
            <w:r>
              <w:rPr>
                <w:rFonts w:hint="eastAsia" w:ascii="宋体" w:hAnsi="宋体" w:cs="宋体"/>
                <w:szCs w:val="21"/>
                <w:highlight w:val="none"/>
              </w:rPr>
              <w:t>糙度Ra≥1.</w:t>
            </w:r>
            <w:r>
              <w:rPr>
                <w:rFonts w:hint="eastAsia" w:ascii="宋体" w:hAnsi="宋体" w:cs="宋体"/>
                <w:szCs w:val="21"/>
                <w:highlight w:val="none"/>
                <w:lang w:val="en-US" w:eastAsia="zh-CN"/>
              </w:rPr>
              <w:t>1</w:t>
            </w:r>
            <w:r>
              <w:rPr>
                <w:rFonts w:hint="eastAsia" w:ascii="宋体" w:hAnsi="宋体" w:cs="宋体"/>
                <w:szCs w:val="21"/>
                <w:highlight w:val="none"/>
              </w:rPr>
              <w:t>um（提供具有CMA或CNAS资质认定的检测机构出具的检测报告）。</w:t>
            </w:r>
          </w:p>
          <w:p>
            <w:pPr>
              <w:widowControl w:val="0"/>
              <w:numPr>
                <w:ilvl w:val="1"/>
                <w:numId w:val="3"/>
              </w:numPr>
              <w:spacing w:before="156" w:beforeLines="50" w:line="276" w:lineRule="auto"/>
              <w:ind w:left="647" w:hanging="437"/>
              <w:textAlignment w:val="auto"/>
              <w:rPr>
                <w:rFonts w:ascii="宋体" w:hAnsi="宋体" w:cs="宋体"/>
                <w:szCs w:val="21"/>
                <w:highlight w:val="none"/>
              </w:rPr>
            </w:pPr>
            <w:r>
              <w:rPr>
                <w:rFonts w:hint="eastAsia" w:ascii="宋体" w:hAnsi="宋体" w:cs="宋体"/>
                <w:szCs w:val="21"/>
                <w:highlight w:val="none"/>
              </w:rPr>
              <w:t>整机参数：</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、整机系统技术要求：</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智慧黑板具有双系统windows和Android，系统之间可以切换使用。</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内置安卓嵌入式系统，配置要求不低于：Android 9.0,安卓配置采用采用CPU≥4核、GPU≥2核，内存：≧2GB，储存≧：8GB ；具备2.4G&amp;5G WiFi连接功能</w:t>
            </w:r>
            <w:r>
              <w:rPr>
                <w:rFonts w:hint="eastAsia" w:ascii="宋体" w:hAnsi="宋体" w:cs="宋体"/>
                <w:color w:val="FF0000"/>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整机提供前置USB接口≥</w:t>
            </w:r>
            <w:r>
              <w:rPr>
                <w:rFonts w:hint="eastAsia" w:ascii="宋体" w:hAnsi="宋体" w:cs="宋体"/>
                <w:szCs w:val="21"/>
                <w:highlight w:val="none"/>
                <w:lang w:val="en-US" w:eastAsia="zh-CN"/>
              </w:rPr>
              <w:t>3</w:t>
            </w:r>
            <w:r>
              <w:rPr>
                <w:rFonts w:hint="eastAsia" w:ascii="宋体" w:hAnsi="宋体" w:cs="宋体"/>
                <w:szCs w:val="21"/>
                <w:highlight w:val="none"/>
              </w:rPr>
              <w:t>个（其中至少包含2路USB3.0，1路Type-C）前置USB同时支持在Windows和Android系统下被读取。</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整机其他接口（不包含前置接口）：HDMI输入≥1，touch≥1，LAN≥1。整机支持纯硬件高清解码技术，至少支持H.265解码，支持≥4K(3840×2160)超高清视频；</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内置总功率≥30W扬声器</w:t>
            </w:r>
            <w:r>
              <w:rPr>
                <w:rFonts w:hint="eastAsia" w:ascii="宋体" w:hAnsi="宋体" w:cs="宋体"/>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支持</w:t>
            </w:r>
            <w:r>
              <w:rPr>
                <w:rFonts w:hint="eastAsia" w:ascii="宋体" w:hAnsi="宋体" w:cs="宋体"/>
                <w:szCs w:val="21"/>
                <w:highlight w:val="none"/>
                <w:lang w:eastAsia="zh-CN"/>
              </w:rPr>
              <w:t>数字</w:t>
            </w:r>
            <w:r>
              <w:rPr>
                <w:rFonts w:hint="eastAsia" w:ascii="宋体" w:hAnsi="宋体" w:cs="宋体"/>
                <w:szCs w:val="21"/>
                <w:highlight w:val="none"/>
              </w:rPr>
              <w:t>音效解码和杜比音效（提供具有CMA或CNAS资质认定的检测机构出具的检测报告）。</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使用外接HDMI 等设备时，信号源可以自动切换至相应设备，拔出后自动返回原通道。</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智慧黑板内置≥1</w:t>
            </w:r>
            <w:r>
              <w:rPr>
                <w:rFonts w:hint="eastAsia" w:ascii="宋体" w:hAnsi="宋体" w:cs="宋体"/>
                <w:szCs w:val="21"/>
                <w:highlight w:val="none"/>
                <w:lang w:val="en-US" w:eastAsia="zh-CN"/>
              </w:rPr>
              <w:t>1</w:t>
            </w:r>
            <w:r>
              <w:rPr>
                <w:rFonts w:hint="eastAsia" w:ascii="宋体" w:hAnsi="宋体" w:cs="宋体"/>
                <w:szCs w:val="21"/>
                <w:highlight w:val="none"/>
              </w:rPr>
              <w:t>00万像素摄像头，水平视场角≥95°（提供具有CMA或CNAS资质认定的检测机构出具的检测报告扫描件）。</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具备自动待机功能，具备在无操作或无信号输入状态下，自动进入待机状态，可自主选择待机时间。</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智慧黑板内置≥4路麦克风，支持</w:t>
            </w:r>
            <w:r>
              <w:rPr>
                <w:rFonts w:hint="eastAsia" w:ascii="宋体" w:hAnsi="宋体" w:cs="宋体"/>
                <w:color w:val="auto"/>
                <w:szCs w:val="21"/>
                <w:highlight w:val="none"/>
              </w:rPr>
              <w:t>≥12m拾音</w:t>
            </w:r>
            <w:r>
              <w:rPr>
                <w:rFonts w:hint="eastAsia" w:ascii="宋体" w:hAnsi="宋体" w:cs="宋体"/>
                <w:szCs w:val="21"/>
                <w:highlight w:val="none"/>
              </w:rPr>
              <w:t>。支持显示区域任意位置书写，且不影响老师在手握粉笔同时可通过手指进行快捷操作；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为保证操作便捷性一键完成双系统的节能息屏以及开关机操作。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安卓系统下支持对系统硬盘，系统内存、触控框、PC模块、网络信息、光感系统、NFC、摄像头等功能进行检测。</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节能模式：具有光感感应器，能感应并自动调节屏幕亮度来达到在不同光照环境下的最佳显示效果。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lang w:bidi="ar"/>
              </w:rPr>
            </w:pPr>
            <w:r>
              <w:rPr>
                <w:rFonts w:hint="eastAsia" w:ascii="宋体" w:hAnsi="宋体" w:eastAsia="宋体" w:cs="宋体"/>
                <w:sz w:val="21"/>
                <w:szCs w:val="21"/>
                <w:lang w:eastAsia="zh-CN"/>
              </w:rPr>
              <w:t>★</w:t>
            </w:r>
            <w:r>
              <w:rPr>
                <w:rFonts w:hint="eastAsia" w:ascii="宋体" w:hAnsi="宋体" w:cs="宋体"/>
                <w:szCs w:val="21"/>
                <w:highlight w:val="none"/>
              </w:rPr>
              <w:t>智慧黑板安卓系统可对开机锁、锁屏、恢复出厂设置、一键还原插拔式电脑等功能进行权限设置，权限管理方式</w:t>
            </w:r>
            <w:r>
              <w:rPr>
                <w:rFonts w:hint="eastAsia" w:ascii="宋体" w:hAnsi="宋体" w:cs="宋体"/>
                <w:szCs w:val="21"/>
                <w:highlight w:val="none"/>
                <w:lang w:eastAsia="zh-CN"/>
              </w:rPr>
              <w:t>三种以上</w:t>
            </w:r>
            <w:r>
              <w:rPr>
                <w:rFonts w:hint="eastAsia" w:ascii="宋体" w:hAnsi="宋体" w:cs="宋体"/>
                <w:color w:val="FF0000"/>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lang w:bidi="ar"/>
              </w:rPr>
            </w:pPr>
            <w:r>
              <w:rPr>
                <w:rFonts w:hint="eastAsia" w:ascii="宋体" w:hAnsi="宋体" w:cs="宋体"/>
                <w:szCs w:val="21"/>
                <w:highlight w:val="none"/>
                <w:lang w:bidi="ar"/>
              </w:rPr>
              <w:t>智慧黑板搭载NFC模块，支持绑定校园卡</w:t>
            </w:r>
            <w:r>
              <w:rPr>
                <w:rFonts w:hint="eastAsia" w:ascii="宋体" w:hAnsi="宋体" w:cs="宋体"/>
                <w:szCs w:val="21"/>
                <w:highlight w:val="none"/>
                <w:lang w:eastAsia="zh-Hans" w:bidi="ar"/>
              </w:rPr>
              <w:t>，方便后期对接智慧校园系统。</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、OPS参数：</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一体机采用模块化电脑，标准 80 针接口，外部无任何连线，支持快速拆卸</w:t>
            </w:r>
            <w:r>
              <w:rPr>
                <w:rFonts w:hint="eastAsia" w:ascii="宋体" w:hAnsi="宋体" w:cs="宋体"/>
                <w:szCs w:val="21"/>
                <w:highlight w:val="none"/>
                <w:lang w:val="en-US" w:eastAsia="zh-CN"/>
              </w:rPr>
              <w:t>.</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CPU: CPU采用不低于Intel第8代酷睿I7处理器;内存：≥ 16G;固态硬盘：≥256G;  内置WIFI模块。</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智慧黑板整机含OPS 的 MTBF≥1</w:t>
            </w:r>
            <w:r>
              <w:rPr>
                <w:rFonts w:hint="eastAsia" w:ascii="宋体" w:hAnsi="宋体" w:cs="宋体"/>
                <w:szCs w:val="21"/>
                <w:highlight w:val="none"/>
                <w:lang w:val="en-US" w:eastAsia="zh-CN"/>
              </w:rPr>
              <w:t>0</w:t>
            </w:r>
            <w:r>
              <w:rPr>
                <w:rFonts w:hint="eastAsia" w:ascii="宋体" w:hAnsi="宋体" w:cs="宋体"/>
                <w:szCs w:val="21"/>
                <w:highlight w:val="none"/>
              </w:rPr>
              <w:t>0000小时（提供具有CMA或CNAS资质认定的检测机构出具的检测报告扫描件）。</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cs="宋体"/>
                <w:szCs w:val="21"/>
                <w:highlight w:val="none"/>
              </w:rPr>
              <w:t>独立非外扩展接口：HDMI OUT≥1、RJ45≥1、USB3.0≥2、VGA out≥1、</w:t>
            </w:r>
            <w:r>
              <w:rPr>
                <w:rFonts w:hint="eastAsia" w:ascii="宋体" w:hAnsi="宋体" w:cs="宋体"/>
                <w:color w:val="auto"/>
                <w:szCs w:val="21"/>
                <w:highlight w:val="none"/>
              </w:rPr>
              <w:t>USB2.0≥</w:t>
            </w:r>
            <w:r>
              <w:rPr>
                <w:rFonts w:hint="eastAsia" w:ascii="宋体" w:hAnsi="宋体" w:cs="宋体"/>
                <w:color w:val="auto"/>
                <w:szCs w:val="21"/>
                <w:highlight w:val="none"/>
                <w:lang w:val="en-US" w:eastAsia="zh-CN"/>
              </w:rPr>
              <w:t>2</w:t>
            </w:r>
            <w:r>
              <w:rPr>
                <w:rFonts w:hint="eastAsia" w:ascii="宋体" w:hAnsi="宋体" w:cs="宋体"/>
                <w:szCs w:val="21"/>
                <w:highlight w:val="none"/>
              </w:rPr>
              <w:t>。</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cs="宋体"/>
                <w:color w:val="auto"/>
                <w:szCs w:val="21"/>
                <w:highlight w:val="none"/>
              </w:rPr>
              <w:t>支持OPS一键还原</w:t>
            </w:r>
            <w:r>
              <w:rPr>
                <w:rFonts w:hint="eastAsia" w:ascii="宋体" w:hAnsi="宋体" w:cs="宋体"/>
                <w:szCs w:val="21"/>
                <w:highlight w:val="none"/>
              </w:rPr>
              <w:t>：通过整机系统设置菜单进行一键还原OPS电脑系统操作。进行系统还原设置时，软件会弹出确认提示窗口，避免误操作。自带无线 AP 模块，支持一键自建热点（覆盖5G、2.4G双频模式），可同时实现连接 WiFi 上网，开启热点共享。</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、触摸屏参数：</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显示区域表面采用全贴合电容触控技术，全通道支持≥20点触控互动，多点书写技术，</w:t>
            </w:r>
            <w:r>
              <w:rPr>
                <w:rFonts w:hint="eastAsia" w:ascii="宋体" w:hAnsi="宋体" w:cs="宋体"/>
                <w:color w:val="auto"/>
                <w:szCs w:val="21"/>
                <w:highlight w:val="none"/>
              </w:rPr>
              <w:t>触摸精度≤2mm</w:t>
            </w:r>
            <w:r>
              <w:rPr>
                <w:rFonts w:hint="eastAsia" w:ascii="宋体" w:hAnsi="宋体" w:cs="宋体"/>
                <w:szCs w:val="21"/>
                <w:highlight w:val="none"/>
              </w:rPr>
              <w:t>（提供具有CMA</w:t>
            </w:r>
            <w:r>
              <w:rPr>
                <w:rFonts w:hint="eastAsia" w:ascii="宋体" w:hAnsi="宋体" w:cs="宋体"/>
                <w:szCs w:val="21"/>
                <w:highlight w:val="none"/>
                <w:lang w:eastAsia="zh-CN"/>
              </w:rPr>
              <w:t>或</w:t>
            </w:r>
            <w:r>
              <w:rPr>
                <w:rFonts w:hint="eastAsia" w:ascii="宋体" w:hAnsi="宋体" w:cs="宋体"/>
                <w:szCs w:val="21"/>
                <w:highlight w:val="none"/>
              </w:rPr>
              <w:t>CNAS认证的检测机构出具的检测报告）。</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lang w:bidi="ar"/>
              </w:rPr>
              <w:t>智慧黑板抗干扰能力强，教室实施环境无法接地的情况下电容触控不受影响，书写无跳点、断线等问题，在≥400K lux照度环境正常工作。</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可通过智能黑板桌面的电子黑板系统快捷菜单切换信号源通道，可便捷隐藏，此系统无需借助Windows系统软件即可正常教学。</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cs="宋体"/>
                <w:szCs w:val="21"/>
                <w:highlight w:val="none"/>
              </w:rPr>
              <w:t>为适应不同身高操作人员对智慧黑板实际操作的需求，不采用任何物理升降结构,快捷实现液晶屏显示窗口下移，并可进行触控操作。支持在任意通道下将画面冻结并双击画面任一部分进行放大，放大后的屏幕画面可进行任意拖拽等操作。</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、液晶屏技术参数：</w:t>
            </w:r>
          </w:p>
          <w:p>
            <w:pPr>
              <w:widowControl w:val="0"/>
              <w:numPr>
                <w:ilvl w:val="0"/>
                <w:numId w:val="8"/>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液晶显示屏幕采用A级液晶屏（提供液晶面板制造商出具的证明文件或提供具有CMA认证的检测机构出具的检测报告）。</w:t>
            </w:r>
          </w:p>
          <w:p>
            <w:pPr>
              <w:widowControl w:val="0"/>
              <w:numPr>
                <w:ilvl w:val="0"/>
                <w:numId w:val="8"/>
              </w:numPr>
              <w:snapToGrid w:val="0"/>
              <w:spacing w:before="156" w:beforeLines="50" w:line="360" w:lineRule="auto"/>
              <w:jc w:val="left"/>
              <w:textAlignment w:val="auto"/>
              <w:rPr>
                <w:rFonts w:ascii="宋体" w:hAnsi="宋体" w:cs="宋体"/>
                <w:color w:val="1C1B10"/>
                <w:szCs w:val="21"/>
                <w:highlight w:val="none"/>
              </w:rPr>
            </w:pPr>
            <w:r>
              <w:rPr>
                <w:rFonts w:hint="eastAsia" w:ascii="宋体" w:hAnsi="宋体" w:eastAsia="宋体" w:cs="宋体"/>
                <w:sz w:val="21"/>
                <w:szCs w:val="21"/>
                <w:lang w:eastAsia="zh-CN"/>
              </w:rPr>
              <w:t>★</w:t>
            </w:r>
            <w:r>
              <w:rPr>
                <w:rFonts w:hint="eastAsia" w:ascii="宋体" w:hAnsi="宋体" w:cs="宋体"/>
                <w:color w:val="1C1B10"/>
                <w:szCs w:val="21"/>
                <w:highlight w:val="none"/>
              </w:rPr>
              <w:t>液晶屏与触摸屏采用全贴合技术，LED液晶显示屏幕≥86英寸，支持HID免驱技术。</w:t>
            </w:r>
            <w:r>
              <w:rPr>
                <w:rFonts w:hint="eastAsia" w:ascii="宋体" w:hAnsi="宋体" w:cs="宋体"/>
                <w:color w:val="1C1B10"/>
                <w:szCs w:val="21"/>
                <w:highlight w:val="none"/>
                <w:lang w:bidi="ar"/>
              </w:rPr>
              <w:t>采用硬件低蓝光护眼技术</w:t>
            </w:r>
            <w:r>
              <w:rPr>
                <w:rFonts w:hint="eastAsia" w:ascii="宋体" w:hAnsi="宋体" w:cs="宋体"/>
                <w:color w:val="1C1B10"/>
                <w:szCs w:val="21"/>
                <w:highlight w:val="none"/>
                <w:lang w:eastAsia="zh-Hans" w:bidi="ar"/>
              </w:rPr>
              <w:t>，</w:t>
            </w:r>
            <w:r>
              <w:rPr>
                <w:rFonts w:hint="eastAsia" w:ascii="宋体" w:hAnsi="宋体" w:cs="宋体"/>
                <w:color w:val="1C1B10"/>
                <w:szCs w:val="21"/>
                <w:highlight w:val="none"/>
                <w:lang w:bidi="ar"/>
              </w:rPr>
              <w:t>液晶屏背光采用低蓝光护眼LED灯；支持手动开启或关闭低蓝光护眼模式，开启后黑板降低蓝光辐</w:t>
            </w:r>
            <w:r>
              <w:rPr>
                <w:rFonts w:hint="eastAsia" w:ascii="宋体" w:hAnsi="宋体" w:cs="宋体"/>
                <w:color w:val="1C1B10"/>
                <w:szCs w:val="21"/>
                <w:highlight w:val="none"/>
              </w:rPr>
              <w:t>射，呵护师生视力， 蓝光加权辐射亮度数值≤0.50。</w:t>
            </w:r>
          </w:p>
          <w:p>
            <w:pPr>
              <w:widowControl w:val="0"/>
              <w:numPr>
                <w:ilvl w:val="0"/>
                <w:numId w:val="8"/>
              </w:numPr>
              <w:snapToGrid w:val="0"/>
              <w:spacing w:before="156" w:beforeLines="50" w:line="360" w:lineRule="auto"/>
              <w:jc w:val="left"/>
              <w:textAlignment w:val="auto"/>
              <w:rPr>
                <w:rFonts w:ascii="宋体" w:hAnsi="宋体" w:cs="宋体"/>
                <w:color w:val="1C1B10"/>
                <w:szCs w:val="21"/>
                <w:highlight w:val="none"/>
              </w:rPr>
            </w:pPr>
            <w:r>
              <w:rPr>
                <w:rFonts w:hint="eastAsia" w:ascii="宋体" w:hAnsi="宋体" w:eastAsia="宋体" w:cs="宋体"/>
                <w:sz w:val="21"/>
                <w:szCs w:val="21"/>
                <w:lang w:eastAsia="zh-CN"/>
              </w:rPr>
              <w:t>★</w:t>
            </w:r>
            <w:r>
              <w:rPr>
                <w:rFonts w:hint="eastAsia" w:ascii="宋体" w:hAnsi="宋体" w:cs="宋体"/>
                <w:color w:val="1C1B10"/>
                <w:szCs w:val="21"/>
                <w:highlight w:val="none"/>
              </w:rPr>
              <w:t>支持4K显示，图像分辨率≥3840*2160；亮度≥450cd/㎡；对比度≥4000:1；灰度等级256级，响应时间≤8ms；可视角度≥水平178°</w:t>
            </w:r>
            <w:r>
              <w:rPr>
                <w:rFonts w:hint="eastAsia" w:ascii="宋体" w:hAnsi="宋体" w:cs="宋体"/>
                <w:szCs w:val="21"/>
                <w:highlight w:val="none"/>
              </w:rPr>
              <w:t>（提供具有CMA认证的检测机构出具的检测报告扫描件）</w:t>
            </w:r>
            <w:r>
              <w:rPr>
                <w:rFonts w:hint="eastAsia" w:ascii="宋体" w:hAnsi="宋体" w:cs="宋体"/>
                <w:color w:val="1C1B10"/>
                <w:szCs w:val="21"/>
                <w:highlight w:val="none"/>
              </w:rPr>
              <w:t>。</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、软件要求，上课工具及便捷功能</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智慧黑板具有双系统windows和Android，系统之间可以切换使用。</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OPS安装正版的win10系统，安装正版office软件（</w:t>
            </w:r>
            <w:r>
              <w:rPr>
                <w:rFonts w:hint="eastAsia" w:ascii="宋体" w:hAnsi="宋体" w:cs="宋体"/>
                <w:color w:val="auto"/>
                <w:szCs w:val="21"/>
                <w:highlight w:val="none"/>
                <w:lang w:eastAsia="zh-CN"/>
              </w:rPr>
              <w:t>供货时提供正版软件</w:t>
            </w:r>
            <w:r>
              <w:rPr>
                <w:rFonts w:hint="eastAsia" w:ascii="宋体" w:hAnsi="宋体" w:cs="宋体"/>
                <w:color w:val="auto"/>
                <w:szCs w:val="21"/>
                <w:highlight w:val="none"/>
              </w:rPr>
              <w:t>证明材料）。</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安卓系统下，可一键进行硬件自检并优化， 包括对触控单元、OPS 模块、光感系统、 网络等模块进行检测。</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rPr>
              <w:t>支持对 U盘读取到的课件文件进行自动归类：文档分类、笔记分类、图片分类、音频分类，并可对文件进行搜索、复制、剪切、重命名、删除等。</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lang w:bidi="ar"/>
              </w:rPr>
            </w:pPr>
            <w:r>
              <w:rPr>
                <w:rFonts w:hint="eastAsia" w:ascii="宋体" w:hAnsi="宋体" w:cs="宋体"/>
                <w:color w:val="auto"/>
                <w:szCs w:val="21"/>
                <w:highlight w:val="none"/>
              </w:rPr>
              <w:t>支持在任意通道下调取小工具。</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rPr>
              <w:t>为方便走动式教学，</w:t>
            </w:r>
            <w:r>
              <w:rPr>
                <w:rFonts w:hint="eastAsia" w:ascii="宋体" w:hAnsi="宋体" w:cs="宋体"/>
                <w:color w:val="auto"/>
                <w:szCs w:val="21"/>
                <w:highlight w:val="none"/>
                <w:lang w:bidi="ar"/>
              </w:rPr>
              <w:t>支持在任意信号源通道任意屏幕位置多指调取或物理按键调取软控菜单，菜单含：返回安卓、信号源切换、锁屏、息屏、待机、半屏显示、电脑的开和关、音量加减、设置、返回上一步等；支持在任意通道下通过两指快速调出工具菜单，菜单至少包含：批注、白板、截图、无线显示、蓝牙音乐、计时器等</w:t>
            </w:r>
            <w:r>
              <w:rPr>
                <w:rFonts w:hint="eastAsia" w:ascii="宋体" w:hAnsi="宋体" w:cs="宋体"/>
                <w:color w:val="auto"/>
                <w:szCs w:val="21"/>
                <w:highlight w:val="none"/>
                <w:lang w:eastAsia="zh-CN" w:bidi="ar"/>
              </w:rPr>
              <w:t>类似功能</w:t>
            </w:r>
            <w:r>
              <w:rPr>
                <w:rFonts w:hint="eastAsia" w:ascii="宋体" w:hAnsi="宋体" w:cs="宋体"/>
                <w:color w:val="auto"/>
                <w:szCs w:val="21"/>
                <w:highlight w:val="none"/>
                <w:lang w:bidi="ar"/>
              </w:rPr>
              <w:t>。菜单无操作自动隐藏，无需手动关闭；</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lang w:eastAsia="zh-Hans" w:bidi="ar"/>
              </w:rPr>
              <w:t>安卓系统</w:t>
            </w:r>
            <w:r>
              <w:rPr>
                <w:rFonts w:hint="eastAsia" w:ascii="宋体" w:hAnsi="宋体" w:cs="宋体"/>
                <w:color w:val="auto"/>
                <w:szCs w:val="21"/>
                <w:highlight w:val="none"/>
                <w:lang w:bidi="ar"/>
              </w:rPr>
              <w:t>白板支持智能图表绘制。</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lang w:bidi="ar"/>
              </w:rPr>
              <w:t>支持在任意通道下从屏幕一侧快速拖出书写白板；可根据需求选择书写白板的展开面积的大小；支持书写、擦除、截图功能，支持可自定义开启或关闭。无OPS状态下，智慧黑板系统可满足正常教学，图片格式至少支持：JPEG、BMP、PNG；图像格式至少支持：PAL</w:t>
            </w:r>
            <w:r>
              <w:rPr>
                <w:rFonts w:hint="eastAsia" w:ascii="宋体" w:hAnsi="宋体" w:cs="宋体"/>
                <w:szCs w:val="21"/>
                <w:highlight w:val="none"/>
                <w:lang w:bidi="ar"/>
              </w:rPr>
              <w:t>/SECAM/NTSC；视频格式至少支持：MPEG1、MPEG2、MPEG4、H.264、H.265、AVS、VP9、FLV、RMVB、AVI、FLV；音频模式至少支持：WMA、MP3、M4A、WAV；支持PPT、word、PDF、Excel等格式文档。</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szCs w:val="21"/>
                <w:highlight w:val="none"/>
              </w:rPr>
              <w:t>上课工具及便捷功能：</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笔工具：至少有软笔、铅笔、荧光笔、激光笔、排刷笔、纹理笔、钢笔、印章等，可设置颜色、粗细效果。</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安卓下支持智能图表绘制，通过识别矩形图形后手绘增加表格行列，表格中书写区域可根据书写内容自适应大小，表格内容与表格边界可同时选中并一并拖动；形成表格对象后可以直接点击按钮添加行或者列。并且智能图标支持删减表格中的行或列。</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板擦功能：具有普通擦除、圈选擦除、手势擦除、清屏等擦除方式，</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教学工具软件齐全。</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教师可以上传学案、教案、课件等到本地平台上，作为备课资源，随时查看使用，并支持上传PPT、DOC、XLS、PDF、TXT等格式。 </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支持手机投屏， 可播放移动设备上的所有教学文件，包括ppt、word、pdf、图片、音频、视频等，并可通过移动设备端控制播放，包括全屏、快进、快退、停止等。</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提供三角形、正方形、圆形、椭圆、多边形、平行线、箭头线、虚线等图形绘图工具。</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安卓白板支持手绘的多种图形可自动识别并转化为标准图形：圆圈、方形、三角形、箭头、梯形、平行四边；支持对图形大小进行调整；</w:t>
            </w:r>
          </w:p>
          <w:p>
            <w:pPr>
              <w:tabs>
                <w:tab w:val="left" w:pos="312"/>
              </w:tabs>
              <w:snapToGrid w:val="0"/>
              <w:spacing w:line="360" w:lineRule="auto"/>
              <w:rPr>
                <w:rFonts w:ascii="宋体" w:hAnsi="宋体" w:cs="宋体"/>
                <w:szCs w:val="21"/>
                <w:highlight w:val="none"/>
              </w:rPr>
            </w:pPr>
            <w:r>
              <w:rPr>
                <w:rFonts w:hint="eastAsia" w:ascii="宋体" w:hAnsi="宋体" w:cs="宋体"/>
                <w:kern w:val="2"/>
                <w:szCs w:val="21"/>
                <w:highlight w:val="none"/>
              </w:rPr>
              <w:t>四</w:t>
            </w:r>
            <w:r>
              <w:rPr>
                <w:rFonts w:hint="eastAsia" w:ascii="宋体" w:hAnsi="宋体" w:cs="宋体"/>
                <w:szCs w:val="21"/>
                <w:highlight w:val="none"/>
              </w:rPr>
              <w:t>、智能教学无线遥控器：</w:t>
            </w:r>
          </w:p>
          <w:p>
            <w:pPr>
              <w:tabs>
                <w:tab w:val="left" w:pos="312"/>
              </w:tabs>
              <w:snapToGrid w:val="0"/>
              <w:spacing w:line="360" w:lineRule="auto"/>
              <w:ind w:left="420" w:leftChars="200"/>
              <w:rPr>
                <w:rFonts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.智能教学无线遥控器采用2.4G无线控制技术，无线发射功率及灵敏度传输≥10 米；</w:t>
            </w:r>
          </w:p>
          <w:p>
            <w:pPr>
              <w:tabs>
                <w:tab w:val="left" w:pos="312"/>
              </w:tabs>
              <w:snapToGrid w:val="0"/>
              <w:spacing w:line="360" w:lineRule="auto"/>
              <w:ind w:left="420" w:leftChars="200"/>
              <w:rPr>
                <w:rFonts w:ascii="宋体" w:hAnsi="宋体" w:cs="宋体"/>
                <w:szCs w:val="21"/>
                <w:highlight w:val="none"/>
              </w:rPr>
            </w:pPr>
            <w:r>
              <w:rPr>
                <w:rFonts w:hint="eastAsia" w:ascii="宋体" w:hAnsi="宋体" w:cs="宋体"/>
                <w:szCs w:val="21"/>
                <w:highlight w:val="none"/>
              </w:rPr>
              <w:t>2.遥控器接收器要求采用USB即插即用型，方便连接配对使用。</w:t>
            </w:r>
          </w:p>
          <w:p>
            <w:pPr>
              <w:tabs>
                <w:tab w:val="left" w:pos="312"/>
              </w:tabs>
              <w:snapToGrid w:val="0"/>
              <w:spacing w:line="360" w:lineRule="auto"/>
              <w:ind w:left="420" w:leftChars="200"/>
              <w:rPr>
                <w:rFonts w:ascii="宋体" w:hAnsi="宋体" w:cs="宋体"/>
                <w:szCs w:val="21"/>
                <w:highlight w:val="none"/>
              </w:rPr>
            </w:pPr>
            <w:r>
              <w:rPr>
                <w:rFonts w:hint="eastAsia" w:ascii="宋体" w:hAnsi="宋体" w:cs="宋体"/>
                <w:szCs w:val="21"/>
                <w:highlight w:val="none"/>
              </w:rPr>
              <w:t>3.智能教学无线遥控器</w:t>
            </w:r>
            <w:r>
              <w:rPr>
                <w:rFonts w:hint="eastAsia" w:ascii="宋体" w:hAnsi="宋体" w:cs="宋体"/>
                <w:szCs w:val="21"/>
                <w:highlight w:val="none"/>
                <w:lang w:eastAsia="zh-Hans"/>
              </w:rPr>
              <w:t>具备</w:t>
            </w:r>
            <w:r>
              <w:rPr>
                <w:rFonts w:hint="eastAsia" w:ascii="宋体" w:hAnsi="宋体" w:cs="宋体"/>
                <w:szCs w:val="21"/>
                <w:highlight w:val="none"/>
              </w:rPr>
              <w:t>空鼠功能</w:t>
            </w:r>
            <w:r>
              <w:rPr>
                <w:rFonts w:hint="eastAsia" w:ascii="宋体" w:hAnsi="宋体" w:cs="宋体"/>
                <w:szCs w:val="21"/>
                <w:highlight w:val="none"/>
                <w:lang w:eastAsia="zh-Hans"/>
              </w:rPr>
              <w:t>、</w:t>
            </w:r>
            <w:r>
              <w:rPr>
                <w:rFonts w:hint="eastAsia" w:ascii="宋体" w:hAnsi="宋体" w:cs="宋体"/>
                <w:szCs w:val="21"/>
                <w:highlight w:val="none"/>
              </w:rPr>
              <w:t>数字小键盘功能</w:t>
            </w:r>
            <w:r>
              <w:rPr>
                <w:rFonts w:hint="eastAsia" w:ascii="宋体" w:hAnsi="宋体" w:cs="宋体"/>
                <w:szCs w:val="21"/>
                <w:highlight w:val="none"/>
                <w:lang w:eastAsia="zh-Hans"/>
              </w:rPr>
              <w:t>、</w:t>
            </w:r>
            <w:r>
              <w:rPr>
                <w:rFonts w:hint="eastAsia" w:ascii="宋体" w:hAnsi="宋体" w:cs="宋体"/>
                <w:szCs w:val="21"/>
                <w:highlight w:val="none"/>
              </w:rPr>
              <w:t>激光教鞭功能</w:t>
            </w:r>
            <w:r>
              <w:rPr>
                <w:rFonts w:hint="eastAsia" w:ascii="宋体" w:hAnsi="宋体" w:cs="宋体"/>
                <w:szCs w:val="21"/>
                <w:highlight w:val="none"/>
                <w:lang w:eastAsia="zh-Hans"/>
              </w:rPr>
              <w:t>、</w:t>
            </w:r>
            <w:r>
              <w:rPr>
                <w:rFonts w:hint="eastAsia" w:ascii="宋体" w:hAnsi="宋体" w:cs="宋体"/>
                <w:szCs w:val="21"/>
                <w:highlight w:val="none"/>
              </w:rPr>
              <w:t>音视频远程控制功能</w:t>
            </w:r>
            <w:r>
              <w:rPr>
                <w:rFonts w:hint="eastAsia" w:ascii="宋体" w:hAnsi="宋体" w:cs="宋体"/>
                <w:szCs w:val="21"/>
                <w:highlight w:val="none"/>
                <w:lang w:eastAsia="zh-Hans"/>
              </w:rPr>
              <w:t>、</w:t>
            </w:r>
            <w:r>
              <w:rPr>
                <w:rFonts w:hint="eastAsia" w:ascii="宋体" w:hAnsi="宋体" w:cs="宋体"/>
                <w:szCs w:val="21"/>
                <w:highlight w:val="none"/>
              </w:rPr>
              <w:t>浏览器控制</w:t>
            </w:r>
            <w:r>
              <w:rPr>
                <w:rFonts w:hint="eastAsia" w:ascii="宋体" w:hAnsi="宋体" w:cs="宋体"/>
                <w:szCs w:val="21"/>
                <w:highlight w:val="none"/>
                <w:lang w:eastAsia="zh-Hans"/>
              </w:rPr>
              <w:t>等</w:t>
            </w:r>
            <w:r>
              <w:rPr>
                <w:rFonts w:hint="eastAsia" w:ascii="宋体" w:hAnsi="宋体" w:cs="宋体"/>
                <w:szCs w:val="21"/>
                <w:highlight w:val="none"/>
              </w:rPr>
              <w:t>功能。支持启动/关闭虚拟键盘键；支持一键返回教学机桌面；支持一键切换当前窗口；支持删除及退格等常用键盘功能操作；</w:t>
            </w:r>
          </w:p>
        </w:tc>
        <w:tc>
          <w:tcPr>
            <w:tcW w:w="788" w:type="dxa"/>
            <w:vAlign w:val="center"/>
          </w:tcPr>
          <w:p>
            <w:pPr>
              <w:jc w:val="center"/>
              <w:rPr>
                <w:rFonts w:ascii="宋体" w:hAnsi="宋体" w:cs="宋体"/>
                <w:szCs w:val="21"/>
              </w:rPr>
            </w:pPr>
            <w:r>
              <w:rPr>
                <w:rFonts w:hint="eastAsia" w:ascii="宋体" w:hAnsi="宋体" w:cs="宋体"/>
                <w:szCs w:val="21"/>
              </w:rPr>
              <w:t>135套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62" w:type="dxa"/>
            <w:vAlign w:val="center"/>
          </w:tcPr>
          <w:p>
            <w:pPr>
              <w:jc w:val="center"/>
              <w:rPr>
                <w:rFonts w:ascii="宋体" w:hAnsi="宋体" w:cs="宋体"/>
                <w:szCs w:val="21"/>
              </w:rPr>
            </w:pPr>
            <w:r>
              <w:rPr>
                <w:rFonts w:hint="eastAsia" w:ascii="宋体" w:hAnsi="宋体" w:cs="宋体"/>
                <w:color w:val="auto"/>
                <w:szCs w:val="21"/>
              </w:rPr>
              <w:t>2</w:t>
            </w:r>
          </w:p>
        </w:tc>
        <w:tc>
          <w:tcPr>
            <w:tcW w:w="1113" w:type="dxa"/>
            <w:vAlign w:val="center"/>
          </w:tcPr>
          <w:p>
            <w:pPr>
              <w:jc w:val="center"/>
              <w:rPr>
                <w:rFonts w:ascii="宋体" w:hAnsi="宋体" w:cs="宋体"/>
                <w:szCs w:val="21"/>
                <w:highlight w:val="none"/>
              </w:rPr>
            </w:pPr>
            <w:r>
              <w:rPr>
                <w:rFonts w:hint="eastAsia" w:ascii="宋体" w:hAnsi="宋体" w:cs="宋体"/>
                <w:color w:val="auto"/>
                <w:szCs w:val="21"/>
                <w:highlight w:val="none"/>
              </w:rPr>
              <w:t>交换机</w:t>
            </w:r>
          </w:p>
        </w:tc>
        <w:tc>
          <w:tcPr>
            <w:tcW w:w="7087" w:type="dxa"/>
          </w:tcPr>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交换容量≥336Gbps，包转发率≥18Mpps；</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≥8 个千兆电口，≥4 个千兆 SFP；一个Console接口；</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支持 MAC 地址≥16K，支持 4K VLAN；</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支持 IPv4、IPv6 静态路由，提供官网链接或产品彩页截图等有效证明材料；</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color w:val="auto"/>
                <w:szCs w:val="21"/>
                <w:highlight w:val="none"/>
              </w:rPr>
              <w:t>要求业务端口防雷能力≥10KV，提供官网链接或产品彩页截图等有效证明材料；</w:t>
            </w:r>
          </w:p>
          <w:p>
            <w:pPr>
              <w:widowControl w:val="0"/>
              <w:numPr>
                <w:ilvl w:val="0"/>
                <w:numId w:val="11"/>
              </w:numPr>
              <w:spacing w:line="360" w:lineRule="auto"/>
              <w:textAlignment w:val="auto"/>
              <w:rPr>
                <w:highlight w:val="none"/>
              </w:rPr>
            </w:pPr>
            <w:r>
              <w:rPr>
                <w:rFonts w:hint="eastAsia" w:ascii="宋体" w:hAnsi="宋体" w:cs="宋体"/>
                <w:szCs w:val="21"/>
                <w:highlight w:val="none"/>
              </w:rPr>
              <w:t>支持 802.3az 能效以太网 EEE；</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支持WEB网管，支持流量监管 ，支持入端口流量限速，支持端口队列调度，支持拥塞避免，支持出端口流量整形支持高级IPv4/v6ACL；</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内置AC电源；</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提供工信部入网证及检测报告。</w:t>
            </w:r>
          </w:p>
        </w:tc>
        <w:tc>
          <w:tcPr>
            <w:tcW w:w="788" w:type="dxa"/>
            <w:vAlign w:val="center"/>
          </w:tcPr>
          <w:p>
            <w:pPr>
              <w:jc w:val="center"/>
              <w:rPr>
                <w:rFonts w:ascii="宋体" w:hAnsi="宋体" w:cs="宋体"/>
                <w:szCs w:val="21"/>
              </w:rPr>
            </w:pPr>
            <w:r>
              <w:rPr>
                <w:rFonts w:hint="eastAsia" w:ascii="宋体" w:hAnsi="宋体" w:cs="宋体"/>
                <w:color w:val="auto"/>
                <w:szCs w:val="21"/>
              </w:rPr>
              <w:t>135台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szCs w:val="21"/>
              </w:rPr>
              <w:t>3</w:t>
            </w:r>
          </w:p>
        </w:tc>
        <w:tc>
          <w:tcPr>
            <w:tcW w:w="1113" w:type="dxa"/>
            <w:vAlign w:val="center"/>
          </w:tcPr>
          <w:p>
            <w:pPr>
              <w:jc w:val="center"/>
              <w:rPr>
                <w:rFonts w:hint="eastAsia" w:ascii="宋体" w:hAnsi="宋体" w:eastAsia="宋体" w:cs="宋体"/>
                <w:szCs w:val="21"/>
                <w:lang w:eastAsia="zh-CN"/>
              </w:rPr>
            </w:pPr>
            <w:r>
              <w:rPr>
                <w:rFonts w:hint="eastAsia" w:ascii="宋体" w:hAnsi="宋体" w:cs="宋体"/>
                <w:szCs w:val="21"/>
              </w:rPr>
              <w:t>原教室一体机安装、拆卸</w:t>
            </w:r>
            <w:r>
              <w:rPr>
                <w:rFonts w:hint="eastAsia" w:ascii="宋体" w:hAnsi="宋体" w:cs="宋体"/>
                <w:szCs w:val="21"/>
                <w:lang w:eastAsia="zh-CN"/>
              </w:rPr>
              <w:t>、维修及其与新装智慧黑板日常维护服务</w:t>
            </w:r>
          </w:p>
        </w:tc>
        <w:tc>
          <w:tcPr>
            <w:tcW w:w="7087" w:type="dxa"/>
            <w:vAlign w:val="center"/>
          </w:tcPr>
          <w:p>
            <w:pPr>
              <w:jc w:val="left"/>
              <w:rPr>
                <w:color w:val="auto"/>
              </w:rPr>
            </w:pPr>
            <w:r>
              <w:rPr>
                <w:rFonts w:hint="eastAsia"/>
              </w:rPr>
              <w:t>1、原教室一体机拆卸、搬运、维修、维护、安装及完成本项目（包括购买</w:t>
            </w:r>
            <w:r>
              <w:rPr>
                <w:rFonts w:hint="eastAsia"/>
                <w:color w:val="auto"/>
              </w:rPr>
              <w:t>硬件）所需的一切辅材。</w:t>
            </w:r>
          </w:p>
          <w:p>
            <w:pPr>
              <w:jc w:val="left"/>
              <w:rPr>
                <w:color w:val="auto"/>
              </w:rPr>
            </w:pPr>
            <w:r>
              <w:rPr>
                <w:rFonts w:hint="eastAsia"/>
                <w:color w:val="auto"/>
              </w:rPr>
              <w:t>2、经维护</w:t>
            </w:r>
            <w:r>
              <w:rPr>
                <w:rFonts w:hint="eastAsia"/>
                <w:color w:val="auto"/>
                <w:lang w:eastAsia="zh-CN"/>
              </w:rPr>
              <w:t>、</w:t>
            </w:r>
            <w:r>
              <w:rPr>
                <w:rFonts w:hint="eastAsia"/>
                <w:color w:val="auto"/>
              </w:rPr>
              <w:t>维修</w:t>
            </w:r>
            <w:r>
              <w:rPr>
                <w:rFonts w:hint="eastAsia" w:ascii="宋体" w:hAnsi="宋体" w:cs="宋体"/>
                <w:color w:val="auto"/>
                <w:szCs w:val="21"/>
              </w:rPr>
              <w:t>原教室一体机</w:t>
            </w:r>
            <w:r>
              <w:rPr>
                <w:rFonts w:hint="eastAsia"/>
                <w:color w:val="auto"/>
              </w:rPr>
              <w:t>能正常使用达到</w:t>
            </w:r>
            <w:r>
              <w:rPr>
                <w:rFonts w:hint="eastAsia"/>
                <w:color w:val="auto"/>
                <w:lang w:val="en-US" w:eastAsia="zh-CN"/>
              </w:rPr>
              <w:t>100台</w:t>
            </w:r>
            <w:r>
              <w:rPr>
                <w:rFonts w:hint="eastAsia"/>
                <w:color w:val="auto"/>
              </w:rPr>
              <w:t>以上，并将其安装到学校指定的位置，建立维修安装记录表。</w:t>
            </w:r>
          </w:p>
          <w:p>
            <w:pPr>
              <w:jc w:val="left"/>
              <w:rPr>
                <w:color w:val="auto"/>
              </w:rPr>
            </w:pPr>
            <w:r>
              <w:rPr>
                <w:rFonts w:hint="eastAsia"/>
                <w:color w:val="auto"/>
              </w:rPr>
              <w:t>3、</w:t>
            </w:r>
            <w:r>
              <w:rPr>
                <w:rFonts w:hint="eastAsia" w:ascii="宋体" w:hAnsi="宋体" w:cs="宋体"/>
                <w:color w:val="auto"/>
                <w:szCs w:val="21"/>
              </w:rPr>
              <w:t>原教室一体机</w:t>
            </w:r>
            <w:r>
              <w:rPr>
                <w:rFonts w:hint="eastAsia"/>
                <w:color w:val="auto"/>
              </w:rPr>
              <w:t>经维护</w:t>
            </w:r>
            <w:r>
              <w:rPr>
                <w:rFonts w:hint="eastAsia"/>
                <w:color w:val="auto"/>
                <w:lang w:eastAsia="zh-CN"/>
              </w:rPr>
              <w:t>、</w:t>
            </w:r>
            <w:r>
              <w:rPr>
                <w:rFonts w:hint="eastAsia"/>
                <w:color w:val="auto"/>
              </w:rPr>
              <w:t>维修</w:t>
            </w:r>
            <w:r>
              <w:rPr>
                <w:rFonts w:hint="eastAsia"/>
                <w:color w:val="auto"/>
                <w:lang w:eastAsia="zh-CN"/>
              </w:rPr>
              <w:t>后</w:t>
            </w:r>
            <w:r>
              <w:rPr>
                <w:rFonts w:hint="eastAsia" w:ascii="宋体" w:hAnsi="宋体" w:cs="宋体"/>
                <w:color w:val="auto"/>
                <w:szCs w:val="21"/>
                <w:lang w:eastAsia="zh-CN"/>
              </w:rPr>
              <w:t>重新</w:t>
            </w:r>
            <w:r>
              <w:rPr>
                <w:rFonts w:hint="eastAsia"/>
                <w:color w:val="auto"/>
              </w:rPr>
              <w:t>安装操作系统、办公软件、杀毒软件</w:t>
            </w:r>
            <w:r>
              <w:rPr>
                <w:rFonts w:hint="eastAsia"/>
                <w:color w:val="auto"/>
                <w:lang w:eastAsia="zh-CN"/>
              </w:rPr>
              <w:t>等</w:t>
            </w:r>
            <w:r>
              <w:rPr>
                <w:rFonts w:hint="eastAsia"/>
                <w:color w:val="auto"/>
              </w:rPr>
              <w:t>，协助使用者安装专业软件、及网络设置。</w:t>
            </w:r>
          </w:p>
          <w:p>
            <w:pPr>
              <w:pStyle w:val="5"/>
              <w:rPr>
                <w:rFonts w:ascii="宋体" w:hAnsi="宋体" w:cs="宋体"/>
                <w:color w:val="auto"/>
                <w:szCs w:val="21"/>
              </w:rPr>
            </w:pPr>
            <w:r>
              <w:rPr>
                <w:rFonts w:hint="eastAsia" w:ascii="宋体" w:hAnsi="宋体" w:cs="宋体"/>
                <w:color w:val="auto"/>
                <w:kern w:val="2"/>
                <w:szCs w:val="21"/>
                <w:highlight w:val="none"/>
              </w:rPr>
              <w:t>4、</w:t>
            </w:r>
            <w:r>
              <w:rPr>
                <w:rFonts w:hint="eastAsia" w:ascii="宋体" w:hAnsi="宋体" w:cs="宋体"/>
                <w:color w:val="auto"/>
                <w:kern w:val="2"/>
                <w:szCs w:val="21"/>
                <w:highlight w:val="none"/>
                <w:lang w:eastAsia="zh-CN"/>
              </w:rPr>
              <w:t>中标单位提供日常维护服务期</w:t>
            </w:r>
            <w:r>
              <w:rPr>
                <w:rFonts w:hint="eastAsia" w:ascii="宋体" w:hAnsi="宋体" w:cs="宋体"/>
                <w:color w:val="auto"/>
                <w:kern w:val="2"/>
                <w:szCs w:val="21"/>
                <w:highlight w:val="none"/>
                <w:lang w:val="en-US" w:eastAsia="zh-CN"/>
              </w:rPr>
              <w:t>5年</w:t>
            </w:r>
            <w:r>
              <w:rPr>
                <w:rFonts w:hint="eastAsia" w:ascii="宋体" w:hAnsi="宋体" w:cs="宋体"/>
                <w:color w:val="auto"/>
                <w:kern w:val="2"/>
                <w:szCs w:val="21"/>
                <w:highlight w:val="none"/>
                <w:lang w:eastAsia="zh-CN"/>
              </w:rPr>
              <w:t>，必</w:t>
            </w:r>
            <w:r>
              <w:rPr>
                <w:rFonts w:hint="eastAsia" w:ascii="宋体" w:hAnsi="宋体" w:cs="宋体"/>
                <w:color w:val="auto"/>
                <w:kern w:val="2"/>
                <w:szCs w:val="21"/>
                <w:lang w:eastAsia="zh-CN"/>
              </w:rPr>
              <w:t>须有一名有资质技术员常驻学校，保证一体机和智慧黑板正常使用。每年对服务质量进行一次评估。</w:t>
            </w:r>
          </w:p>
          <w:p>
            <w:pPr>
              <w:pStyle w:val="5"/>
              <w:rPr>
                <w:rFonts w:ascii="宋体" w:hAnsi="宋体" w:cs="宋体"/>
                <w:szCs w:val="21"/>
              </w:rPr>
            </w:pPr>
            <w:r>
              <w:rPr>
                <w:rFonts w:hint="eastAsia" w:ascii="宋体" w:hAnsi="宋体" w:cs="宋体"/>
                <w:kern w:val="2"/>
                <w:szCs w:val="21"/>
              </w:rPr>
              <w:t>5、原教室白色书写板拆卸后搬运到学校指定位置,不</w:t>
            </w:r>
            <w:r>
              <w:rPr>
                <w:rFonts w:hint="eastAsia" w:ascii="宋体" w:hAnsi="宋体" w:cs="宋体"/>
                <w:kern w:val="2"/>
                <w:szCs w:val="21"/>
                <w:lang w:eastAsia="zh-CN"/>
              </w:rPr>
              <w:t>再</w:t>
            </w:r>
            <w:r>
              <w:rPr>
                <w:rFonts w:hint="eastAsia" w:ascii="宋体" w:hAnsi="宋体" w:cs="宋体"/>
                <w:kern w:val="2"/>
                <w:szCs w:val="21"/>
              </w:rPr>
              <w:t>安装，总务科接收。</w:t>
            </w:r>
          </w:p>
        </w:tc>
        <w:tc>
          <w:tcPr>
            <w:tcW w:w="788" w:type="dxa"/>
            <w:vAlign w:val="center"/>
          </w:tcPr>
          <w:p>
            <w:pPr>
              <w:jc w:val="center"/>
              <w:rPr>
                <w:rFonts w:ascii="宋体" w:hAnsi="宋体" w:cs="宋体"/>
                <w:szCs w:val="21"/>
              </w:rPr>
            </w:pPr>
            <w:r>
              <w:rPr>
                <w:rFonts w:hint="eastAsia" w:ascii="宋体" w:hAnsi="宋体" w:cs="宋体"/>
                <w:szCs w:val="21"/>
              </w:rPr>
              <w:t>130套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szCs w:val="21"/>
              </w:rPr>
              <w:t>4</w:t>
            </w:r>
          </w:p>
        </w:tc>
        <w:tc>
          <w:tcPr>
            <w:tcW w:w="1113" w:type="dxa"/>
            <w:vAlign w:val="center"/>
          </w:tcPr>
          <w:p>
            <w:pPr>
              <w:jc w:val="center"/>
              <w:rPr>
                <w:rFonts w:ascii="宋体" w:hAnsi="宋体" w:cs="宋体"/>
                <w:szCs w:val="21"/>
              </w:rPr>
            </w:pPr>
            <w:r>
              <w:rPr>
                <w:rFonts w:hint="eastAsia" w:ascii="宋体" w:hAnsi="宋体" w:cs="宋体"/>
                <w:color w:val="auto"/>
                <w:szCs w:val="21"/>
              </w:rPr>
              <w:t>智慧黑板集控平台</w:t>
            </w:r>
          </w:p>
        </w:tc>
        <w:tc>
          <w:tcPr>
            <w:tcW w:w="7087" w:type="dxa"/>
          </w:tcPr>
          <w:p>
            <w:pPr>
              <w:snapToGrid w:val="0"/>
              <w:spacing w:before="156" w:beforeLines="50" w:line="360" w:lineRule="auto"/>
              <w:rPr>
                <w:rFonts w:ascii="宋体" w:hAnsi="宋体" w:cs="宋体"/>
                <w:szCs w:val="21"/>
              </w:rPr>
            </w:pPr>
            <w:r>
              <w:rPr>
                <w:rFonts w:hint="eastAsia" w:ascii="宋体" w:hAnsi="宋体" w:cs="宋体"/>
                <w:szCs w:val="21"/>
              </w:rPr>
              <w:t>1.</w:t>
            </w:r>
            <w:r>
              <w:rPr>
                <w:rFonts w:hint="eastAsia" w:ascii="宋体" w:hAnsi="宋体" w:eastAsia="宋体" w:cs="宋体"/>
                <w:sz w:val="21"/>
                <w:szCs w:val="21"/>
                <w:lang w:eastAsia="zh-CN"/>
              </w:rPr>
              <w:t>★</w:t>
            </w:r>
            <w:r>
              <w:rPr>
                <w:rFonts w:hint="eastAsia" w:ascii="宋体" w:hAnsi="宋体" w:cs="宋体"/>
                <w:szCs w:val="21"/>
              </w:rPr>
              <w:t>采用Intel Xeon 系列处理器，主频:≥2.1GHz，≥8核；1个处理器；ECC DDR4 2933MHz RDIMM内存插槽，内存配置容量：≥32GB，内存插槽数≥24个，支持内存镜像、内存备用、故障内存离线指示；热插拔2.5英寸SAS/SATA硬盘，本次配置≥2块600G SAS 10k 硬盘，配置RAID5；支持 2*M.2 SATA SSD，支持硬RAID1；配置12Gb RAID阵列卡，支持RAID0,1,5，10；可支持PCI-E I/O插槽数：≥10个；配置≥2个GE电口，≥2个10GE光口；配置≥2个冗余热拔插电源模块，电源功率≥550W；满配热拔插冗余风扇,支持N+1冗余；集成系统管理处理器支持：自动服务器重启、风扇监视和控制、电源监控、温度监控、启动/关闭、按序重启、本地固件更新、错误日志，可通过可视化工具提供系统未来状况的可视显示。具有图形管理界面及其他高级管理功能；配置独立的远程管理控制端口，支持远程监控图形界面, 可实现与操作系统无关的远程对服务器的完全控制，包括远程的开机、关机、重启、虚拟软驱、虚拟光驱等操作；投标产品具备对硬件故障进行数据收集、记录、诊断、告警、日志导出等功能。告警事件在WEB界面，通过部件健康树集中清晰的展示每个部件的故障信息。支持接入终端≥500台。</w:t>
            </w:r>
          </w:p>
          <w:p>
            <w:pPr>
              <w:snapToGrid w:val="0"/>
              <w:spacing w:before="156" w:beforeLines="50" w:line="360" w:lineRule="auto"/>
              <w:rPr>
                <w:rFonts w:ascii="宋体" w:hAnsi="宋体" w:cs="宋体"/>
                <w:szCs w:val="21"/>
              </w:rPr>
            </w:pPr>
            <w:r>
              <w:rPr>
                <w:rFonts w:hint="eastAsia" w:ascii="宋体" w:hAnsi="宋体" w:cs="宋体"/>
                <w:szCs w:val="21"/>
              </w:rPr>
              <w:t>2.</w:t>
            </w:r>
            <w:r>
              <w:rPr>
                <w:rFonts w:hint="eastAsia" w:ascii="宋体" w:hAnsi="宋体" w:eastAsia="宋体" w:cs="宋体"/>
                <w:sz w:val="21"/>
                <w:szCs w:val="21"/>
                <w:lang w:eastAsia="zh-CN"/>
              </w:rPr>
              <w:t>★</w:t>
            </w:r>
            <w:r>
              <w:rPr>
                <w:rFonts w:hint="eastAsia" w:ascii="宋体" w:hAnsi="宋体" w:cs="宋体"/>
                <w:szCs w:val="21"/>
              </w:rPr>
              <w:t>后台控制端采用B/S架构设计，可在Windows、Linux、Android、IOS等多种不同的操作系统上通过网页浏览器登陆进行操作，</w:t>
            </w:r>
            <w:r>
              <w:rPr>
                <w:rFonts w:hint="eastAsia" w:ascii="宋体" w:hAnsi="宋体" w:cs="宋体"/>
                <w:color w:val="auto"/>
                <w:szCs w:val="21"/>
              </w:rPr>
              <w:t>可通过校园网对一体机终端设备进行远程控制。客户端可实现一键清理垃圾功能和一键加速</w:t>
            </w:r>
            <w:r>
              <w:rPr>
                <w:rFonts w:hint="eastAsia" w:ascii="宋体" w:hAnsi="宋体" w:cs="宋体"/>
                <w:szCs w:val="21"/>
              </w:rPr>
              <w:t>功能，同时可查看设备基本信息，如：CPU、显卡、内存、硬盘等信息，方便授课老师管理设备。</w:t>
            </w:r>
          </w:p>
          <w:p>
            <w:pPr>
              <w:snapToGrid w:val="0"/>
              <w:spacing w:before="156" w:beforeLines="50" w:line="360" w:lineRule="auto"/>
              <w:rPr>
                <w:rFonts w:ascii="宋体" w:hAnsi="宋体" w:cs="宋体"/>
                <w:szCs w:val="21"/>
              </w:rPr>
            </w:pPr>
            <w:r>
              <w:rPr>
                <w:rFonts w:hint="eastAsia" w:ascii="宋体" w:hAnsi="宋体" w:cs="宋体"/>
                <w:szCs w:val="21"/>
              </w:rPr>
              <w:t>3.</w:t>
            </w:r>
            <w:r>
              <w:rPr>
                <w:rFonts w:hint="eastAsia" w:ascii="宋体" w:hAnsi="宋体" w:eastAsia="宋体" w:cs="宋体"/>
                <w:sz w:val="21"/>
                <w:szCs w:val="21"/>
                <w:lang w:eastAsia="zh-CN"/>
              </w:rPr>
              <w:t>★</w:t>
            </w:r>
            <w:r>
              <w:rPr>
                <w:rFonts w:hint="eastAsia" w:ascii="宋体" w:hAnsi="宋体" w:cs="宋体"/>
                <w:szCs w:val="21"/>
              </w:rPr>
              <w:t>管理平台实时监控已连接的交互智能设备状态，支持≥</w:t>
            </w:r>
            <w:r>
              <w:rPr>
                <w:rFonts w:hint="eastAsia" w:ascii="宋体" w:hAnsi="宋体" w:cs="宋体"/>
                <w:color w:val="auto"/>
                <w:szCs w:val="21"/>
              </w:rPr>
              <w:t>9台设备</w:t>
            </w:r>
            <w:r>
              <w:rPr>
                <w:rFonts w:hint="eastAsia" w:ascii="宋体" w:hAnsi="宋体" w:cs="宋体"/>
                <w:szCs w:val="21"/>
              </w:rPr>
              <w:t>的略缩预览以及单设备全屏查看；可远程监控交互智能设备开关机状态、CPU温度、CPU使用率、硬盘空间、硬盘使用状况、内存容量、内存使用率、受控端系统版本、设备ID等设备数据。</w:t>
            </w:r>
          </w:p>
          <w:p>
            <w:pPr>
              <w:snapToGrid w:val="0"/>
              <w:spacing w:before="156" w:beforeLines="50" w:line="360" w:lineRule="auto"/>
              <w:rPr>
                <w:rFonts w:ascii="宋体" w:hAnsi="宋体" w:cs="宋体"/>
                <w:szCs w:val="21"/>
              </w:rPr>
            </w:pPr>
            <w:r>
              <w:rPr>
                <w:rFonts w:hint="eastAsia" w:ascii="宋体" w:hAnsi="宋体" w:cs="宋体"/>
                <w:szCs w:val="21"/>
              </w:rPr>
              <w:t>4.</w:t>
            </w:r>
            <w:r>
              <w:rPr>
                <w:rFonts w:hint="eastAsia" w:ascii="宋体" w:hAnsi="宋体" w:eastAsia="宋体" w:cs="宋体"/>
                <w:sz w:val="21"/>
                <w:szCs w:val="21"/>
                <w:lang w:eastAsia="zh-CN"/>
              </w:rPr>
              <w:t>★</w:t>
            </w:r>
            <w:r>
              <w:rPr>
                <w:rFonts w:hint="eastAsia" w:ascii="宋体" w:hAnsi="宋体" w:cs="宋体"/>
                <w:szCs w:val="21"/>
              </w:rPr>
              <w:t>设备远程控制：管理平台可控制连接跨网段的交互智能设备整机，可对接入设备进行即时关机/重启、休眠/唤醒、锁屏设置、调节音量、信号源切换、磁盘清理、截图、图像模式设置、声音模式设置、USB控制、文件下发、打铃设置，同时支持设定执行周期以及具体时间。</w:t>
            </w:r>
          </w:p>
          <w:p>
            <w:pPr>
              <w:snapToGrid w:val="0"/>
              <w:spacing w:before="156" w:beforeLines="50" w:line="360" w:lineRule="auto"/>
              <w:rPr>
                <w:rFonts w:ascii="宋体" w:hAnsi="宋体" w:cs="宋体"/>
                <w:szCs w:val="21"/>
              </w:rPr>
            </w:pPr>
            <w:r>
              <w:rPr>
                <w:rFonts w:hint="eastAsia" w:ascii="宋体" w:hAnsi="宋体" w:cs="宋体"/>
                <w:szCs w:val="21"/>
              </w:rPr>
              <w:t>5.</w:t>
            </w:r>
            <w:r>
              <w:rPr>
                <w:rFonts w:hint="eastAsia" w:ascii="宋体" w:hAnsi="宋体" w:eastAsia="宋体" w:cs="宋体"/>
                <w:sz w:val="21"/>
                <w:szCs w:val="21"/>
                <w:lang w:eastAsia="zh-CN"/>
              </w:rPr>
              <w:t>★</w:t>
            </w:r>
            <w:r>
              <w:rPr>
                <w:rFonts w:hint="eastAsia" w:ascii="宋体" w:hAnsi="宋体" w:cs="宋体"/>
                <w:szCs w:val="21"/>
              </w:rPr>
              <w:t>支持创建下级机构，可以分配可容许接入的最大智能终端点数，最大点数不超过上级机构点数；以及能分配每级机构可以使用的硬盘容量空间。支持一键搜索局域网内所有智能终端，受控端接收到IP地址后，会自动跟服务器连接。</w:t>
            </w:r>
          </w:p>
          <w:p>
            <w:pPr>
              <w:snapToGrid w:val="0"/>
              <w:spacing w:before="156" w:beforeLines="50" w:line="360" w:lineRule="auto"/>
              <w:rPr>
                <w:rFonts w:ascii="宋体" w:hAnsi="宋体" w:cs="宋体"/>
                <w:szCs w:val="21"/>
              </w:rPr>
            </w:pPr>
            <w:r>
              <w:rPr>
                <w:rFonts w:hint="eastAsia" w:ascii="宋体" w:hAnsi="宋体" w:cs="宋体"/>
                <w:szCs w:val="21"/>
              </w:rPr>
              <w:t>6.</w:t>
            </w:r>
            <w:r>
              <w:rPr>
                <w:rFonts w:hint="eastAsia" w:ascii="宋体" w:hAnsi="宋体" w:eastAsia="宋体" w:cs="宋体"/>
                <w:sz w:val="21"/>
                <w:szCs w:val="21"/>
                <w:lang w:eastAsia="zh-CN"/>
              </w:rPr>
              <w:t>★</w:t>
            </w:r>
            <w:r>
              <w:rPr>
                <w:rFonts w:hint="eastAsia" w:ascii="宋体" w:hAnsi="宋体" w:cs="宋体"/>
                <w:szCs w:val="21"/>
              </w:rPr>
              <w:t>支持对下发节目的安全管理，发布计划需要先审核，审核成功才可进行发布，审核不成功反馈理由，可以重新编辑再次提交审核；并支持对发布状态和节目单下发进度进行查看；</w:t>
            </w:r>
          </w:p>
          <w:p>
            <w:pPr>
              <w:snapToGrid w:val="0"/>
              <w:spacing w:before="156" w:beforeLines="50" w:line="360" w:lineRule="auto"/>
              <w:rPr>
                <w:rFonts w:ascii="宋体" w:hAnsi="宋体" w:cs="宋体"/>
                <w:szCs w:val="21"/>
              </w:rPr>
            </w:pPr>
            <w:r>
              <w:rPr>
                <w:rFonts w:hint="eastAsia" w:ascii="宋体" w:hAnsi="宋体" w:cs="宋体"/>
                <w:szCs w:val="21"/>
              </w:rPr>
              <w:t>7.文本消息广播：支持文本消息的定时推送，以及常驻消息显示，如下午三点定时发送消息，倒计时等功能</w:t>
            </w:r>
            <w:r>
              <w:rPr>
                <w:rFonts w:hint="eastAsia" w:ascii="宋体" w:hAnsi="宋体" w:cs="宋体"/>
                <w:szCs w:val="21"/>
                <w:lang w:eastAsia="zh-CN"/>
              </w:rPr>
              <w:t>显示</w:t>
            </w:r>
            <w:r>
              <w:rPr>
                <w:rFonts w:hint="eastAsia" w:ascii="宋体" w:hAnsi="宋体" w:cs="宋体"/>
                <w:szCs w:val="21"/>
              </w:rPr>
              <w:t>。</w:t>
            </w:r>
          </w:p>
          <w:p>
            <w:pPr>
              <w:snapToGrid w:val="0"/>
              <w:spacing w:before="156" w:beforeLines="50" w:line="360" w:lineRule="auto"/>
              <w:rPr>
                <w:rFonts w:ascii="宋体" w:hAnsi="宋体" w:cs="宋体"/>
                <w:szCs w:val="21"/>
              </w:rPr>
            </w:pPr>
            <w:r>
              <w:rPr>
                <w:rFonts w:hint="eastAsia" w:ascii="宋体" w:hAnsi="宋体" w:cs="宋体"/>
                <w:szCs w:val="21"/>
              </w:rPr>
              <w:t>8.信息发布功能：支持编辑包含音频、视频、文本等格式的文件到发布模板，从而直接选择自定义的模板下发到选定的设备，可实现是否直接打开，并可定时操作。</w:t>
            </w:r>
          </w:p>
          <w:p>
            <w:pPr>
              <w:snapToGrid w:val="0"/>
              <w:spacing w:before="156" w:beforeLines="50" w:line="360" w:lineRule="auto"/>
              <w:rPr>
                <w:rFonts w:ascii="宋体" w:hAnsi="宋体" w:cs="宋体"/>
                <w:szCs w:val="21"/>
              </w:rPr>
            </w:pPr>
            <w:r>
              <w:rPr>
                <w:rFonts w:hint="eastAsia" w:ascii="宋体" w:hAnsi="宋体" w:cs="宋体"/>
                <w:szCs w:val="21"/>
              </w:rPr>
              <w:t>9.</w:t>
            </w:r>
            <w:r>
              <w:rPr>
                <w:rFonts w:hint="eastAsia" w:ascii="宋体" w:hAnsi="宋体" w:eastAsia="宋体" w:cs="宋体"/>
                <w:sz w:val="21"/>
                <w:szCs w:val="21"/>
                <w:lang w:eastAsia="zh-CN"/>
              </w:rPr>
              <w:t>★</w:t>
            </w:r>
            <w:r>
              <w:rPr>
                <w:rFonts w:hint="eastAsia" w:ascii="宋体" w:hAnsi="宋体" w:cs="宋体"/>
                <w:szCs w:val="21"/>
              </w:rPr>
              <w:t>管理平台可远程对运行状态下的交互智能设备批量进行本地系统启动盘的冻结、解冻保护。被冻结后本地系统启动盘的数据及系统更改等均会自动恢复至冻结前状态。</w:t>
            </w:r>
          </w:p>
          <w:p>
            <w:pPr>
              <w:snapToGrid w:val="0"/>
              <w:spacing w:before="156" w:beforeLines="50" w:line="360" w:lineRule="auto"/>
              <w:rPr>
                <w:rFonts w:ascii="宋体" w:hAnsi="宋体" w:cs="宋体"/>
                <w:szCs w:val="21"/>
              </w:rPr>
            </w:pPr>
            <w:r>
              <w:rPr>
                <w:rFonts w:hint="eastAsia" w:ascii="宋体" w:hAnsi="宋体" w:cs="宋体"/>
                <w:szCs w:val="21"/>
              </w:rPr>
              <w:t>10.管理平台可开启或关闭指定交互智能设备的任意磁盘分区数据还原保护。</w:t>
            </w:r>
          </w:p>
          <w:p>
            <w:pPr>
              <w:snapToGrid w:val="0"/>
              <w:spacing w:before="156" w:beforeLines="50" w:line="360" w:lineRule="auto"/>
              <w:rPr>
                <w:rFonts w:ascii="宋体" w:hAnsi="宋体" w:cs="宋体"/>
                <w:szCs w:val="21"/>
              </w:rPr>
            </w:pPr>
            <w:r>
              <w:rPr>
                <w:rFonts w:hint="eastAsia" w:ascii="宋体" w:hAnsi="宋体" w:cs="宋体"/>
                <w:szCs w:val="21"/>
              </w:rPr>
              <w:t>11.</w:t>
            </w:r>
            <w:r>
              <w:rPr>
                <w:rFonts w:hint="eastAsia" w:ascii="宋体" w:hAnsi="宋体" w:eastAsia="宋体" w:cs="宋体"/>
                <w:sz w:val="21"/>
                <w:szCs w:val="21"/>
                <w:lang w:eastAsia="zh-CN"/>
              </w:rPr>
              <w:t>★</w:t>
            </w:r>
            <w:r>
              <w:rPr>
                <w:rFonts w:hint="eastAsia" w:ascii="宋体" w:hAnsi="宋体" w:cs="宋体"/>
                <w:szCs w:val="21"/>
              </w:rPr>
              <w:t>提供教学专用广告屏蔽工具。对全部软件应用弹窗进行无差别拦截；支持自定义应用广告弹窗过滤屏蔽，可屏蔽拦截指定应用的弹窗。</w:t>
            </w:r>
          </w:p>
          <w:p>
            <w:pPr>
              <w:snapToGrid w:val="0"/>
              <w:spacing w:before="156" w:beforeLines="50" w:line="360" w:lineRule="auto"/>
              <w:rPr>
                <w:rFonts w:ascii="宋体" w:hAnsi="宋体" w:cs="宋体"/>
                <w:szCs w:val="21"/>
              </w:rPr>
            </w:pPr>
            <w:r>
              <w:rPr>
                <w:rFonts w:hint="eastAsia" w:ascii="宋体" w:hAnsi="宋体" w:cs="宋体"/>
                <w:szCs w:val="21"/>
              </w:rPr>
              <w:t>12.管理平台可远程对选定的交互智能设备推送动态文字滚动公告，可对公告文字的颜色、粗体以及播放次数、推送时间进行设置。</w:t>
            </w:r>
          </w:p>
          <w:p>
            <w:pPr>
              <w:snapToGrid w:val="0"/>
              <w:spacing w:before="156" w:beforeLines="50" w:line="360" w:lineRule="auto"/>
              <w:rPr>
                <w:rFonts w:ascii="宋体" w:hAnsi="宋体" w:cs="宋体"/>
                <w:szCs w:val="21"/>
              </w:rPr>
            </w:pPr>
            <w:r>
              <w:rPr>
                <w:rFonts w:hint="eastAsia" w:ascii="宋体" w:hAnsi="宋体" w:cs="宋体"/>
                <w:szCs w:val="21"/>
              </w:rPr>
              <w:t>13.管理平台可对智慧黑板执行锁屏操作，支持开机锁屏、离开锁屏、超时未使用锁屏等管理方式。</w:t>
            </w:r>
          </w:p>
          <w:p>
            <w:pPr>
              <w:snapToGrid w:val="0"/>
              <w:spacing w:before="156" w:beforeLines="50" w:line="360" w:lineRule="auto"/>
              <w:rPr>
                <w:rFonts w:ascii="宋体" w:hAnsi="宋体" w:cs="宋体"/>
                <w:szCs w:val="21"/>
              </w:rPr>
            </w:pPr>
            <w:r>
              <w:rPr>
                <w:rFonts w:hint="eastAsia" w:ascii="宋体" w:hAnsi="宋体" w:cs="宋体"/>
                <w:szCs w:val="21"/>
              </w:rPr>
              <w:t>14.管理平台可推送安装教学软件。</w:t>
            </w:r>
          </w:p>
          <w:p>
            <w:pPr>
              <w:snapToGrid w:val="0"/>
              <w:spacing w:before="156" w:beforeLines="50" w:line="360" w:lineRule="auto"/>
              <w:rPr>
                <w:rFonts w:ascii="宋体" w:hAnsi="宋体" w:cs="宋体"/>
                <w:szCs w:val="21"/>
              </w:rPr>
            </w:pPr>
            <w:r>
              <w:rPr>
                <w:rFonts w:hint="eastAsia" w:ascii="宋体" w:hAnsi="宋体" w:cs="宋体"/>
                <w:szCs w:val="21"/>
              </w:rPr>
              <w:t>15.远程桌面：管理者可远程对受控端单台设备进行桌面内容的操作；可远程对受控端多台设备实现界面监控，多台设备界面同时显示。</w:t>
            </w:r>
          </w:p>
          <w:p>
            <w:pPr>
              <w:snapToGrid w:val="0"/>
              <w:spacing w:before="156" w:beforeLines="50" w:line="360" w:lineRule="auto"/>
              <w:rPr>
                <w:rFonts w:ascii="宋体" w:hAnsi="宋体" w:cs="宋体"/>
                <w:szCs w:val="21"/>
              </w:rPr>
            </w:pPr>
            <w:r>
              <w:rPr>
                <w:rFonts w:hint="eastAsia" w:ascii="宋体" w:hAnsi="宋体" w:cs="宋体"/>
                <w:szCs w:val="21"/>
              </w:rPr>
              <w:t>16.管理平台支持远程巡课功能，可实时查看在线的智慧黑板，实时画面。</w:t>
            </w:r>
          </w:p>
          <w:p>
            <w:pPr>
              <w:snapToGrid w:val="0"/>
              <w:spacing w:before="156" w:beforeLines="50" w:line="360" w:lineRule="auto"/>
              <w:rPr>
                <w:rFonts w:ascii="宋体" w:hAnsi="宋体" w:cs="宋体"/>
                <w:szCs w:val="21"/>
              </w:rPr>
            </w:pPr>
            <w:r>
              <w:rPr>
                <w:rFonts w:hint="eastAsia" w:ascii="宋体" w:hAnsi="宋体" w:cs="宋体"/>
                <w:szCs w:val="21"/>
              </w:rPr>
              <w:t>17.提供素材按日统计分析功能，并能够将统计以Excel报表形式导出；对终端按日统计出每天的开机时长，并能够将统计以图像形式展示和Excel报表形式导出； 统计终端的软件使用排行的信息，形成报表分析。</w:t>
            </w:r>
          </w:p>
        </w:tc>
        <w:tc>
          <w:tcPr>
            <w:tcW w:w="788" w:type="dxa"/>
            <w:vAlign w:val="center"/>
          </w:tcPr>
          <w:p>
            <w:pPr>
              <w:jc w:val="center"/>
              <w:rPr>
                <w:rFonts w:ascii="宋体" w:hAnsi="宋体" w:cs="宋体"/>
                <w:szCs w:val="21"/>
              </w:rPr>
            </w:pPr>
            <w:r>
              <w:rPr>
                <w:rFonts w:hint="eastAsia" w:ascii="宋体" w:hAnsi="宋体" w:cs="宋体"/>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color w:val="auto"/>
                <w:szCs w:val="21"/>
              </w:rPr>
              <w:t>5</w:t>
            </w:r>
          </w:p>
        </w:tc>
        <w:tc>
          <w:tcPr>
            <w:tcW w:w="1113" w:type="dxa"/>
            <w:vAlign w:val="center"/>
          </w:tcPr>
          <w:p>
            <w:pPr>
              <w:jc w:val="center"/>
              <w:rPr>
                <w:rFonts w:ascii="宋体" w:hAnsi="宋体" w:cs="宋体"/>
                <w:szCs w:val="21"/>
              </w:rPr>
            </w:pPr>
            <w:r>
              <w:rPr>
                <w:rFonts w:hint="eastAsia" w:ascii="宋体" w:hAnsi="宋体" w:cs="宋体"/>
                <w:color w:val="auto"/>
                <w:szCs w:val="21"/>
              </w:rPr>
              <w:t>系统集成</w:t>
            </w:r>
          </w:p>
        </w:tc>
        <w:tc>
          <w:tcPr>
            <w:tcW w:w="7087" w:type="dxa"/>
            <w:vAlign w:val="center"/>
          </w:tcPr>
          <w:p>
            <w:pPr>
              <w:rPr>
                <w:rFonts w:ascii="宋体" w:hAnsi="宋体" w:cs="宋体"/>
                <w:szCs w:val="21"/>
              </w:rPr>
            </w:pPr>
            <w:r>
              <w:rPr>
                <w:rFonts w:hint="eastAsia" w:ascii="宋体" w:hAnsi="宋体" w:cs="宋体"/>
                <w:color w:val="auto"/>
                <w:szCs w:val="21"/>
              </w:rPr>
              <w:t>包括：</w:t>
            </w:r>
            <w:r>
              <w:rPr>
                <w:rFonts w:hint="eastAsia" w:ascii="宋体" w:hAnsi="宋体" w:cs="宋体"/>
                <w:szCs w:val="21"/>
              </w:rPr>
              <w:t>本项目所有设备的安装及运输费用；完成项目所需电源线、音视频线材、网线布线、插座及安装辅材耗材等。系统及设备的安装调试服务；智慧黑板使用培训服务（不少于四次的</w:t>
            </w:r>
            <w:r>
              <w:rPr>
                <w:rFonts w:hint="eastAsia" w:ascii="宋体" w:hAnsi="宋体" w:cs="宋体"/>
                <w:szCs w:val="21"/>
                <w:highlight w:val="none"/>
              </w:rPr>
              <w:t>现场工程师培训），提供完整的培训教材（电子版）</w:t>
            </w:r>
            <w:r>
              <w:rPr>
                <w:rFonts w:hint="eastAsia" w:ascii="宋体" w:hAnsi="宋体" w:cs="宋体"/>
                <w:color w:val="auto"/>
                <w:szCs w:val="21"/>
                <w:highlight w:val="none"/>
              </w:rPr>
              <w:t>。根据需要安装应用软件和专业软件。承诺</w:t>
            </w:r>
            <w:r>
              <w:rPr>
                <w:rFonts w:hint="eastAsia"/>
                <w:highlight w:val="none"/>
              </w:rPr>
              <w:t>所投</w:t>
            </w:r>
            <w:r>
              <w:rPr>
                <w:rFonts w:hint="eastAsia"/>
                <w:highlight w:val="none"/>
                <w:lang w:eastAsia="zh-CN"/>
              </w:rPr>
              <w:t>产品</w:t>
            </w:r>
            <w:r>
              <w:rPr>
                <w:rFonts w:hint="eastAsia"/>
                <w:highlight w:val="none"/>
              </w:rPr>
              <w:t>厂家</w:t>
            </w:r>
            <w:r>
              <w:rPr>
                <w:rFonts w:hint="eastAsia"/>
                <w:highlight w:val="none"/>
                <w:lang w:eastAsia="zh-CN"/>
              </w:rPr>
              <w:t>质保期和</w:t>
            </w:r>
            <w:r>
              <w:rPr>
                <w:rFonts w:hint="eastAsia" w:ascii="宋体" w:hAnsi="宋体" w:cs="宋体"/>
                <w:szCs w:val="21"/>
                <w:highlight w:val="none"/>
              </w:rPr>
              <w:t>免费保修期限3年及以上服务，并提</w:t>
            </w:r>
            <w:r>
              <w:rPr>
                <w:rFonts w:hint="eastAsia" w:ascii="宋体" w:hAnsi="宋体" w:cs="宋体"/>
                <w:szCs w:val="21"/>
              </w:rPr>
              <w:t>供售后服务承诺函,能够快速响应并上门解决问题，质保期内的每学期一次定期维护（系统维护和板面清洁）。</w:t>
            </w:r>
          </w:p>
        </w:tc>
        <w:tc>
          <w:tcPr>
            <w:tcW w:w="788" w:type="dxa"/>
            <w:vAlign w:val="center"/>
          </w:tcPr>
          <w:p>
            <w:pPr>
              <w:jc w:val="center"/>
              <w:rPr>
                <w:rFonts w:ascii="宋体" w:hAnsi="宋体" w:cs="宋体"/>
                <w:szCs w:val="21"/>
              </w:rPr>
            </w:pPr>
            <w:r>
              <w:rPr>
                <w:rFonts w:hint="eastAsia" w:ascii="宋体" w:hAnsi="宋体" w:cs="宋体"/>
                <w:color w:val="auto"/>
                <w:szCs w:val="21"/>
              </w:rPr>
              <w:t>135套</w:t>
            </w:r>
          </w:p>
        </w:tc>
      </w:tr>
    </w:tbl>
    <w:p>
      <w:pPr>
        <w:pStyle w:val="17"/>
        <w:spacing w:after="0" w:line="360" w:lineRule="auto"/>
        <w:rPr>
          <w:rFonts w:asciiTheme="minorEastAsia" w:hAnsiTheme="minorEastAsia" w:cstheme="minorEastAsia"/>
          <w:sz w:val="21"/>
          <w:szCs w:val="22"/>
        </w:rPr>
      </w:pPr>
      <w:r>
        <w:rPr>
          <w:rFonts w:hint="eastAsia" w:asciiTheme="minorEastAsia" w:hAnsiTheme="minorEastAsia" w:cstheme="minorEastAsia"/>
          <w:sz w:val="21"/>
          <w:szCs w:val="22"/>
        </w:rPr>
        <w:t>备注：</w:t>
      </w:r>
    </w:p>
    <w:p>
      <w:pPr>
        <w:pStyle w:val="17"/>
        <w:spacing w:after="0" w:line="360" w:lineRule="auto"/>
        <w:ind w:firstLine="422" w:firstLineChars="200"/>
        <w:rPr>
          <w:rFonts w:asciiTheme="minorEastAsia" w:hAnsiTheme="minorEastAsia" w:cstheme="minorEastAsia"/>
          <w:b/>
          <w:bCs/>
          <w:sz w:val="21"/>
          <w:szCs w:val="22"/>
        </w:rPr>
      </w:pPr>
      <w:r>
        <w:rPr>
          <w:rFonts w:hint="eastAsia" w:asciiTheme="minorEastAsia" w:hAnsiTheme="minorEastAsia" w:cstheme="minorEastAsia"/>
          <w:b/>
          <w:bCs/>
          <w:color w:val="000000" w:themeColor="text1"/>
          <w:sz w:val="21"/>
          <w:szCs w:val="21"/>
          <w14:textFill>
            <w14:solidFill>
              <w14:schemeClr w14:val="tx1"/>
            </w14:solidFill>
          </w14:textFill>
        </w:rPr>
        <w:t>1.本项目核心产品为：</w:t>
      </w:r>
      <w:r>
        <w:rPr>
          <w:rFonts w:hint="eastAsia" w:asciiTheme="minorEastAsia" w:hAnsiTheme="minorEastAsia" w:cstheme="minorEastAsia"/>
          <w:b/>
          <w:bCs/>
          <w:color w:val="000000" w:themeColor="text1"/>
          <w:sz w:val="21"/>
          <w:szCs w:val="21"/>
          <w:lang w:eastAsia="zh-CN"/>
          <w14:textFill>
            <w14:solidFill>
              <w14:schemeClr w14:val="tx1"/>
            </w14:solidFill>
          </w14:textFill>
        </w:rPr>
        <w:t>智慧黑板</w:t>
      </w:r>
      <w:r>
        <w:rPr>
          <w:rFonts w:hint="eastAsia" w:asciiTheme="minorEastAsia" w:hAnsiTheme="minorEastAsia" w:cstheme="minorEastAsia"/>
          <w:b/>
          <w:bCs/>
          <w:color w:val="000000" w:themeColor="text1"/>
          <w:sz w:val="21"/>
          <w:szCs w:val="21"/>
          <w14:textFill>
            <w14:solidFill>
              <w14:schemeClr w14:val="tx1"/>
            </w14:solidFill>
          </w14:textFill>
        </w:rPr>
        <w:t>。</w:t>
      </w:r>
      <w:r>
        <w:rPr>
          <w:rFonts w:hint="eastAsia" w:asciiTheme="minorEastAsia" w:hAnsiTheme="minorEastAsia" w:cstheme="minorEastAsia"/>
          <w:b/>
          <w:bCs/>
          <w:sz w:val="21"/>
          <w:szCs w:val="22"/>
        </w:rPr>
        <w:t>核心产品同一品牌只能由一家</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参加。如果有多家</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提供同一品牌产品投标的，作为一个</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计算。</w:t>
      </w:r>
    </w:p>
    <w:p>
      <w:pPr>
        <w:pStyle w:val="17"/>
        <w:spacing w:after="0" w:line="360" w:lineRule="auto"/>
        <w:ind w:firstLine="422" w:firstLineChars="200"/>
        <w:rPr>
          <w:b/>
          <w:bCs/>
          <w:sz w:val="21"/>
          <w:szCs w:val="28"/>
        </w:rPr>
      </w:pPr>
      <w:r>
        <w:rPr>
          <w:rFonts w:hint="eastAsia" w:asciiTheme="minorEastAsia" w:hAnsiTheme="minorEastAsia" w:cstheme="minorEastAsia"/>
          <w:b/>
          <w:bCs/>
          <w:sz w:val="21"/>
          <w:szCs w:val="22"/>
        </w:rPr>
        <w:t>2.本项目评标方法是综合评分法，</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应将相关证明材料附入符合性响应文件中，否则将承担无法获得相应分值的后果。</w:t>
      </w:r>
    </w:p>
    <w:p>
      <w:pPr>
        <w:pStyle w:val="21"/>
        <w:spacing w:after="0" w:line="440" w:lineRule="exact"/>
        <w:ind w:left="0" w:leftChars="0"/>
        <w:rPr>
          <w:rFonts w:hint="eastAsia" w:asciiTheme="minorEastAsia" w:hAnsiTheme="minorEastAsia" w:eastAsiaTheme="minorEastAsia" w:cstheme="minorEastAsia"/>
          <w:b/>
          <w:bCs/>
          <w:szCs w:val="21"/>
          <w:highlight w:val="yellow"/>
          <w:lang w:eastAsia="zh-CN"/>
        </w:rPr>
      </w:pPr>
      <w:r>
        <w:rPr>
          <w:rFonts w:hint="eastAsia" w:asciiTheme="minorEastAsia" w:hAnsiTheme="minorEastAsia" w:cstheme="minorEastAsia"/>
          <w:b/>
          <w:bCs/>
          <w:szCs w:val="22"/>
        </w:rPr>
        <w:t>3.本项目对应的中小企业划分标准所属行业：</w:t>
      </w:r>
      <w:r>
        <w:rPr>
          <w:rFonts w:hint="eastAsia" w:asciiTheme="minorEastAsia" w:hAnsiTheme="minorEastAsia" w:cstheme="minorEastAsia"/>
          <w:b/>
          <w:bCs/>
          <w:szCs w:val="22"/>
          <w:lang w:eastAsia="zh-CN"/>
        </w:rPr>
        <w:t>采购标的硬件对应的中小企业划分标准所属行业为：</w:t>
      </w:r>
      <w:r>
        <w:rPr>
          <w:rFonts w:hint="eastAsia" w:asciiTheme="minorEastAsia" w:hAnsiTheme="minorEastAsia" w:cstheme="minorEastAsia"/>
          <w:b/>
          <w:bCs/>
          <w:szCs w:val="22"/>
        </w:rPr>
        <w:t>工业</w:t>
      </w:r>
      <w:r>
        <w:rPr>
          <w:rFonts w:hint="eastAsia" w:asciiTheme="minorEastAsia" w:hAnsiTheme="minorEastAsia" w:cstheme="minorEastAsia"/>
          <w:b/>
          <w:bCs/>
          <w:szCs w:val="22"/>
          <w:lang w:eastAsia="zh-CN"/>
        </w:rPr>
        <w:t>；采购标的软件对应的中小企业划分标准所属行业为：软件和信息技术服务业。</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2.5安全</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投标</w:t>
      </w:r>
      <w:r>
        <w:rPr>
          <w:rFonts w:hint="eastAsia" w:asciiTheme="minorEastAsia" w:hAnsiTheme="minorEastAsia" w:cstheme="minorEastAsia"/>
          <w:szCs w:val="21"/>
          <w:lang w:eastAsia="zh-CN"/>
        </w:rPr>
        <w:t>产品</w:t>
      </w:r>
      <w:r>
        <w:rPr>
          <w:rFonts w:hint="eastAsia" w:asciiTheme="minorEastAsia" w:hAnsiTheme="minorEastAsia" w:cstheme="minorEastAsia"/>
          <w:szCs w:val="21"/>
        </w:rPr>
        <w:t>应符合国家、行业的各项安全标准，投标人对投标</w:t>
      </w:r>
      <w:r>
        <w:rPr>
          <w:rFonts w:hint="eastAsia" w:asciiTheme="minorEastAsia" w:hAnsiTheme="minorEastAsia" w:cstheme="minorEastAsia"/>
          <w:szCs w:val="21"/>
          <w:lang w:eastAsia="zh-CN"/>
        </w:rPr>
        <w:t>产品</w:t>
      </w:r>
      <w:r>
        <w:rPr>
          <w:rFonts w:hint="eastAsia" w:asciiTheme="minorEastAsia" w:hAnsiTheme="minorEastAsia" w:cstheme="minorEastAsia"/>
          <w:szCs w:val="21"/>
        </w:rPr>
        <w:t>的安全性承担全部责任。提供不符合保障人身、财产安全的国家标准、行业标准的服务，将依法承担民事及相应刑事责任。合同履行中的安全责任由中标人承担全部责任。</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2.6投标文件对“技术要求”的响应</w:t>
      </w:r>
    </w:p>
    <w:p>
      <w:pPr>
        <w:snapToGrid w:val="0"/>
        <w:spacing w:line="440" w:lineRule="exact"/>
        <w:ind w:firstLine="420" w:firstLineChars="200"/>
        <w:jc w:val="left"/>
        <w:rPr>
          <w:rFonts w:ascii="宋体" w:hAnsi="宋体" w:eastAsia="宋体" w:cs="宋体"/>
          <w:szCs w:val="21"/>
        </w:rPr>
      </w:pPr>
      <w:r>
        <w:rPr>
          <w:rFonts w:hint="eastAsia" w:ascii="宋体" w:hAnsi="宋体" w:cs="宋体"/>
          <w:bCs/>
          <w:szCs w:val="21"/>
        </w:rPr>
        <w:t>“技术要求”为采购需求的基础性要求，投标产品应当明确，投标技术参数应最终指向具体明确的产品。投标文件技术参数抄袭招标文件“技术要求”，投标产品不明确的、或与投标产品不一致的，评标委员会有权按照实质性判断原则评定其为无效投标。</w:t>
      </w:r>
    </w:p>
    <w:p>
      <w:pPr>
        <w:snapToGrid w:val="0"/>
        <w:spacing w:line="440" w:lineRule="exact"/>
        <w:ind w:firstLine="442" w:firstLineChars="200"/>
        <w:jc w:val="left"/>
        <w:rPr>
          <w:rFonts w:ascii="宋体" w:hAnsi="宋体" w:cs="宋体"/>
          <w:b/>
          <w:sz w:val="22"/>
          <w:szCs w:val="22"/>
        </w:rPr>
      </w:pPr>
      <w:r>
        <w:rPr>
          <w:rFonts w:hint="eastAsia" w:ascii="宋体" w:hAnsi="宋体" w:cs="宋体"/>
          <w:b/>
          <w:sz w:val="22"/>
          <w:szCs w:val="22"/>
        </w:rPr>
        <w:t>2.7技术偏离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 xml:space="preserve">.1 “基本技术要求”列示的参数为基本要求，“基本技术要求”列示的设备、配件的品牌、型号参数为推荐产品；投标人可提供与其价格相近且质量性能相等或优于的其他产品，投标人应提供相关证明材料（如权威评测资料、及印刷品产品说明书或印刷品图册等）以供评标委员会评议。 </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2.7.2“</w:t>
      </w:r>
      <w:r>
        <w:rPr>
          <w:rFonts w:hint="eastAsia" w:ascii="宋体" w:hAnsi="宋体" w:eastAsia="宋体" w:cs="宋体"/>
          <w:b/>
          <w:bCs/>
          <w:szCs w:val="21"/>
        </w:rPr>
        <w:t>技术要求”中</w:t>
      </w:r>
      <w:r>
        <w:rPr>
          <w:rFonts w:hint="eastAsia" w:ascii="宋体" w:hAnsi="宋体" w:eastAsia="宋体" w:cs="宋体"/>
          <w:b/>
          <w:bCs/>
          <w:color w:val="000000" w:themeColor="text1"/>
          <w:szCs w:val="21"/>
          <w14:textFill>
            <w14:solidFill>
              <w14:schemeClr w14:val="tx1"/>
            </w14:solidFill>
          </w14:textFill>
        </w:rPr>
        <w:t>，带“</w:t>
      </w:r>
      <w:r>
        <w:rPr>
          <w:rFonts w:hint="eastAsia" w:ascii="宋体" w:hAnsi="宋体" w:eastAsia="宋体" w:cs="宋体"/>
          <w:b/>
          <w:bCs/>
          <w:szCs w:val="21"/>
        </w:rPr>
        <w:t>★”的为重要性的技术参数指标、未标注符号的为一般性的技术参数指标，</w:t>
      </w:r>
      <w:r>
        <w:rPr>
          <w:rFonts w:hint="eastAsia" w:ascii="宋体" w:hAnsi="宋体" w:eastAsia="宋体" w:cs="宋体"/>
          <w:szCs w:val="21"/>
        </w:rPr>
        <w:t>如有“负偏离”的，评标委员会将按照第四章评分因素--技术项要求进行扣分。</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3除招标文件“技术要求”有明确说明外，投标人所投标的各项设备均应为该设备的标准配置、不应改变或调换厂家的出厂标准配置；如确因市场因素无法按上述规格产品进行投标，应提供优于“技术要求”的同类产品进行投标，投标人应提供印刷品产品说明书或印刷品图册等予以佐证（电子档）。</w:t>
      </w:r>
    </w:p>
    <w:p>
      <w:pPr>
        <w:snapToGrid w:val="0"/>
        <w:spacing w:line="440" w:lineRule="exact"/>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.4投标文件对技术偏差的描述要求：见第三章投标人须知3.7.3项。</w:t>
      </w:r>
    </w:p>
    <w:p>
      <w:pPr>
        <w:adjustRightInd w:val="0"/>
        <w:snapToGrid w:val="0"/>
        <w:spacing w:line="440" w:lineRule="exact"/>
        <w:ind w:firstLine="474" w:firstLineChars="225"/>
        <w:jc w:val="left"/>
        <w:rPr>
          <w:rFonts w:asciiTheme="minorEastAsia" w:hAnsiTheme="minorEastAsia" w:cstheme="minorEastAsia"/>
          <w:szCs w:val="21"/>
        </w:rPr>
      </w:pPr>
      <w:r>
        <w:rPr>
          <w:rFonts w:hint="eastAsia" w:asciiTheme="minorEastAsia" w:hAnsiTheme="minorEastAsia" w:cstheme="minorEastAsia"/>
          <w:b/>
          <w:bCs/>
          <w:szCs w:val="21"/>
        </w:rPr>
        <w:t>2.8 售后服务的基本条款（采购标的需满足的服务标准、期限、效率等要求）</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2.8.1货物的保修除按国家有关规定、各产品生产厂家规定及项目特殊要求处理外，还应满足下述条款：</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（1）招标文件中未明确列明保修条款的设备，均需提供至少三年的免费保修（质保期从产品验收通过之</w:t>
      </w:r>
      <w:r>
        <w:rPr>
          <w:rFonts w:hint="eastAsia" w:ascii="宋体" w:hAnsi="宋体" w:eastAsia="宋体" w:cs="宋体"/>
          <w:szCs w:val="21"/>
          <w:highlight w:val="none"/>
        </w:rPr>
        <w:t>日起开始计算）；国家规定或产品生产厂家规定大于三年的，按国家规定与厂家规定最有利于采购人原则执行；招标文件已明确列明</w:t>
      </w:r>
      <w:r>
        <w:rPr>
          <w:rFonts w:hint="eastAsia" w:ascii="宋体" w:hAnsi="宋体" w:eastAsia="宋体" w:cs="宋体"/>
          <w:szCs w:val="21"/>
          <w:highlight w:val="none"/>
          <w:lang w:eastAsia="zh-CN"/>
        </w:rPr>
        <w:t>或投标单位承诺</w:t>
      </w:r>
      <w:r>
        <w:rPr>
          <w:rFonts w:hint="eastAsia" w:ascii="宋体" w:hAnsi="宋体" w:eastAsia="宋体" w:cs="宋体"/>
          <w:szCs w:val="21"/>
          <w:highlight w:val="none"/>
        </w:rPr>
        <w:t>大于三年免费保修的，按该条款及其响应执行，并终身</w:t>
      </w:r>
      <w:r>
        <w:rPr>
          <w:rFonts w:hint="eastAsia" w:ascii="宋体" w:hAnsi="宋体" w:eastAsia="宋体" w:cs="宋体"/>
          <w:szCs w:val="21"/>
          <w:highlight w:val="none"/>
          <w:lang w:eastAsia="zh-CN"/>
        </w:rPr>
        <w:t>维护，质保期内的每学期一次定期维护（系统维护和板面清洁）；</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（2）保修期内货物发生故障系货物出现质量问题，必须无偿更换；</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（3）货物超过保修期发生故障，采购人可自由选择维修单位，如委托给中标人，中标人不得借故推诿，应尽快组织维修，并以市场最低价格提供配件；</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4）如货物发生故障，接到通知后需尽快做出响应，应派出维保人员在2小时内到达现场处理，一般故障4小时内予以恢复，重大故障24小时内予以恢复；若无法排除故障，须于48小时内提供备用设备，不得影响系统正常使用。</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2.8.2 在中标人未按照合同规定的地点交货、验收之前，如发生不可抗力因素导致货物毁坏或灭失，由中标人承担责任。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w:t>
      </w:r>
      <w:r>
        <w:rPr>
          <w:rFonts w:hint="eastAsia" w:ascii="宋体" w:hAnsi="宋体" w:eastAsia="宋体" w:cs="宋体"/>
          <w:szCs w:val="21"/>
          <w:lang w:val="en-US" w:eastAsia="zh-CN"/>
        </w:rPr>
        <w:t>.</w:t>
      </w:r>
      <w:r>
        <w:rPr>
          <w:rFonts w:hint="eastAsia" w:ascii="宋体" w:hAnsi="宋体" w:eastAsia="宋体" w:cs="宋体"/>
          <w:szCs w:val="21"/>
        </w:rPr>
        <w:t>3投标人需提供详尽的售后服务承诺；如由产品生产厂家提供相关售后服务的，投标人负有连带售后服务责任。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2.8.4 质保期内的维保要求详见“2.4标段（包）内容（具体范围、数量），具体技术要求”。</w:t>
      </w:r>
    </w:p>
    <w:p>
      <w:pPr>
        <w:adjustRightInd w:val="0"/>
        <w:snapToGrid w:val="0"/>
        <w:spacing w:line="440" w:lineRule="exact"/>
        <w:ind w:firstLine="474" w:firstLineChars="225"/>
        <w:jc w:val="left"/>
        <w:rPr>
          <w:rFonts w:asciiTheme="minorEastAsia" w:hAnsiTheme="minorEastAsia" w:cstheme="minorEastAsia"/>
          <w:b/>
          <w:bCs/>
          <w:szCs w:val="21"/>
        </w:rPr>
      </w:pPr>
      <w:r>
        <w:rPr>
          <w:rFonts w:hint="eastAsia" w:asciiTheme="minorEastAsia" w:hAnsiTheme="minorEastAsia" w:cstheme="minorEastAsia"/>
          <w:b/>
          <w:bCs/>
          <w:szCs w:val="21"/>
        </w:rPr>
        <w:t>2.9采购标的的验收标准</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lang w:val="en-US" w:eastAsia="zh-CN"/>
        </w:rPr>
        <w:t>2.9.1</w:t>
      </w:r>
      <w:r>
        <w:rPr>
          <w:rFonts w:hint="eastAsia" w:ascii="宋体" w:hAnsi="宋体" w:eastAsia="宋体" w:cs="宋体"/>
          <w:szCs w:val="21"/>
          <w:lang w:val="zh-CN"/>
        </w:rPr>
        <w:t>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highlight w:val="none"/>
          <w:lang w:val="zh-CN"/>
        </w:rPr>
        <w:t>所供货物全部安装调试结束、具备正常使用及验收条件时，由甲方成立的验收工作组负责验收。2023年</w:t>
      </w:r>
      <w:r>
        <w:rPr>
          <w:rFonts w:hint="eastAsia" w:ascii="宋体" w:hAnsi="宋体" w:eastAsia="宋体" w:cs="宋体"/>
          <w:szCs w:val="21"/>
          <w:highlight w:val="none"/>
          <w:lang w:val="en-US" w:eastAsia="zh-CN"/>
        </w:rPr>
        <w:t>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行第一次验收，验收合格后按政府采购法有关规定执行；第一次验收不合格，整改后需在第一次验收后10个工作日进行第二次验收，验收合格按政府采购法有关规定执行；第二次验收不合格，本合同自动终止，中标方</w:t>
      </w:r>
      <w:r>
        <w:rPr>
          <w:rFonts w:hint="eastAsia" w:ascii="宋体" w:hAnsi="宋体" w:eastAsia="宋体" w:cs="宋体"/>
          <w:szCs w:val="21"/>
          <w:highlight w:val="none"/>
          <w:lang w:val="en-US" w:eastAsia="zh-CN"/>
        </w:rPr>
        <w:t>2023年02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28日</w:t>
      </w:r>
      <w:r>
        <w:rPr>
          <w:rFonts w:hint="eastAsia" w:ascii="宋体" w:hAnsi="宋体" w:eastAsia="宋体" w:cs="宋体"/>
          <w:szCs w:val="21"/>
          <w:highlight w:val="none"/>
          <w:lang w:val="zh-CN"/>
        </w:rPr>
        <w:t>前拆除</w:t>
      </w:r>
      <w:r>
        <w:rPr>
          <w:rFonts w:hint="eastAsia" w:ascii="宋体" w:hAnsi="宋体" w:eastAsia="宋体" w:cs="宋体"/>
          <w:szCs w:val="21"/>
          <w:lang w:val="zh-CN"/>
        </w:rPr>
        <w:t>所有设备，并将原设备设施恢复原貌，由此造成的一切损失由中标方承担，给采购人造成损失的，应当予以赔偿。</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2.9.2</w:t>
      </w:r>
      <w:r>
        <w:rPr>
          <w:rFonts w:hint="eastAsia" w:ascii="宋体" w:hAnsi="宋体" w:eastAsia="宋体" w:cs="宋体"/>
          <w:b w:val="0"/>
          <w:bCs w:val="0"/>
          <w:kern w:val="2"/>
          <w:sz w:val="21"/>
          <w:szCs w:val="21"/>
          <w:lang w:val="zh-CN" w:eastAsia="zh-CN" w:bidi="ar-SA"/>
        </w:rPr>
        <w:t>验收工作组：合同履约验收工作由甲方成立的验收工作组专门负责。政府采购合同金额50万元以下的（含50万元）的项目，验收工作组应不少于三人，中标金额10万元以下项目的验收工作组成员应由甲方代表、评审专家组成，甲方代表必须含甲方纪检人员。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2.9.3</w:t>
      </w:r>
      <w:r>
        <w:rPr>
          <w:rFonts w:hint="eastAsia" w:ascii="宋体" w:hAnsi="宋体" w:eastAsia="宋体" w:cs="宋体"/>
          <w:b w:val="0"/>
          <w:bCs w:val="0"/>
          <w:kern w:val="2"/>
          <w:sz w:val="21"/>
          <w:szCs w:val="21"/>
          <w:lang w:val="zh-CN" w:eastAsia="zh-CN" w:bidi="ar-SA"/>
        </w:rPr>
        <w:t>验收报告：验收后，由甲方及专家等出具检测验收报告，国家规定强制性检测的招标项目应附国家认可的专业检测机构出具的验收报告。</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2.9.4</w:t>
      </w:r>
      <w:r>
        <w:rPr>
          <w:rFonts w:hint="eastAsia" w:ascii="宋体" w:hAnsi="宋体" w:eastAsia="宋体" w:cs="宋体"/>
          <w:b w:val="0"/>
          <w:bCs w:val="0"/>
          <w:kern w:val="2"/>
          <w:sz w:val="21"/>
          <w:szCs w:val="21"/>
          <w:lang w:val="zh-CN" w:eastAsia="zh-CN" w:bidi="ar-SA"/>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numPr>
          <w:ilvl w:val="0"/>
          <w:numId w:val="0"/>
        </w:numPr>
        <w:snapToGrid w:val="0"/>
        <w:spacing w:line="360" w:lineRule="auto"/>
        <w:ind w:firstLine="420" w:firstLineChars="200"/>
        <w:jc w:val="left"/>
        <w:rPr>
          <w:rFonts w:hint="eastAsia"/>
          <w:lang w:val="zh-CN"/>
        </w:rPr>
      </w:pPr>
      <w:r>
        <w:rPr>
          <w:rFonts w:hint="eastAsia" w:ascii="宋体" w:hAnsi="宋体" w:eastAsia="宋体" w:cs="宋体"/>
          <w:b w:val="0"/>
          <w:bCs w:val="0"/>
          <w:kern w:val="2"/>
          <w:sz w:val="21"/>
          <w:szCs w:val="21"/>
          <w:lang w:val="zh-CN" w:eastAsia="zh-CN" w:bidi="ar-SA"/>
        </w:rPr>
        <w:t>注：验收时需要进行破坏性试验的，乙方应进行充分的配合并提供备品备件。</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2.10采购标的的其他技术、服务等要求</w:t>
      </w:r>
    </w:p>
    <w:p>
      <w:pPr>
        <w:adjustRightInd w:val="0"/>
        <w:snapToGrid w:val="0"/>
        <w:spacing w:line="440" w:lineRule="exact"/>
        <w:ind w:firstLine="892" w:firstLineChars="425"/>
        <w:jc w:val="left"/>
        <w:rPr>
          <w:rFonts w:asciiTheme="minorEastAsia" w:hAnsiTheme="minorEastAsia" w:cstheme="minorEastAsia"/>
          <w:szCs w:val="21"/>
        </w:rPr>
      </w:pPr>
      <w:r>
        <w:rPr>
          <w:rFonts w:hint="eastAsia" w:asciiTheme="minorEastAsia" w:hAnsiTheme="minorEastAsia" w:cstheme="minorEastAsia"/>
          <w:szCs w:val="21"/>
        </w:rPr>
        <w:t>无</w:t>
      </w:r>
    </w:p>
    <w:p>
      <w:pPr>
        <w:snapToGrid w:val="0"/>
        <w:spacing w:line="440" w:lineRule="exact"/>
        <w:ind w:firstLine="482" w:firstLineChars="200"/>
        <w:jc w:val="left"/>
        <w:outlineLvl w:val="1"/>
        <w:rPr>
          <w:rFonts w:asciiTheme="minorEastAsia" w:hAnsiTheme="minorEastAsia" w:cstheme="minorEastAsia"/>
          <w:b/>
          <w:sz w:val="24"/>
          <w:szCs w:val="22"/>
        </w:rPr>
      </w:pPr>
      <w:bookmarkStart w:id="21" w:name="_Toc10159"/>
      <w:r>
        <w:rPr>
          <w:rFonts w:hint="eastAsia" w:asciiTheme="minorEastAsia" w:hAnsiTheme="minorEastAsia" w:cstheme="minorEastAsia"/>
          <w:b/>
          <w:sz w:val="24"/>
          <w:szCs w:val="22"/>
        </w:rPr>
        <w:t>3. 项目其他要求</w:t>
      </w:r>
      <w:bookmarkEnd w:id="21"/>
    </w:p>
    <w:p>
      <w:pPr>
        <w:adjustRightInd w:val="0"/>
        <w:snapToGrid w:val="0"/>
        <w:spacing w:line="440" w:lineRule="exact"/>
        <w:ind w:firstLine="892" w:firstLineChars="425"/>
        <w:jc w:val="left"/>
        <w:rPr>
          <w:rFonts w:asciiTheme="minorEastAsia" w:hAnsiTheme="minorEastAsia" w:cstheme="minorEastAsia"/>
          <w:b/>
          <w:bCs/>
          <w:sz w:val="24"/>
        </w:rPr>
      </w:pPr>
      <w:r>
        <w:rPr>
          <w:rFonts w:hint="eastAsia" w:asciiTheme="minorEastAsia" w:hAnsiTheme="minorEastAsia" w:cstheme="minorEastAsia"/>
          <w:szCs w:val="21"/>
        </w:rPr>
        <w:t>无</w:t>
      </w:r>
    </w:p>
    <w:p>
      <w:pPr>
        <w:pStyle w:val="21"/>
        <w:spacing w:after="0" w:line="440" w:lineRule="exact"/>
        <w:ind w:left="0" w:leftChars="0" w:firstLine="0" w:firstLineChars="0"/>
        <w:rPr>
          <w:rFonts w:asciiTheme="minorEastAsia" w:hAnsiTheme="minorEastAsia" w:cstheme="minorEastAsia"/>
          <w:b/>
          <w:bCs/>
          <w:sz w:val="24"/>
        </w:rPr>
      </w:pPr>
    </w:p>
    <w:p>
      <w:pPr>
        <w:pStyle w:val="3"/>
        <w:pageBreakBefore/>
        <w:widowControl/>
        <w:numPr>
          <w:ilvl w:val="0"/>
          <w:numId w:val="12"/>
        </w:numPr>
        <w:spacing w:before="0" w:after="0"/>
        <w:jc w:val="center"/>
        <w:rPr>
          <w:rFonts w:asciiTheme="minorEastAsia" w:hAnsiTheme="minorEastAsia" w:eastAsiaTheme="minorEastAsia" w:cstheme="minorEastAsia"/>
          <w:sz w:val="32"/>
          <w:szCs w:val="32"/>
        </w:rPr>
      </w:pPr>
      <w:bookmarkStart w:id="22" w:name="_Toc46320047"/>
      <w:r>
        <w:rPr>
          <w:rFonts w:hint="eastAsia" w:asciiTheme="minorEastAsia" w:hAnsiTheme="minorEastAsia" w:eastAsiaTheme="minorEastAsia" w:cstheme="minorEastAsia"/>
          <w:sz w:val="32"/>
          <w:szCs w:val="32"/>
        </w:rPr>
        <w:t xml:space="preserve">   </w:t>
      </w:r>
      <w:bookmarkStart w:id="23" w:name="_Toc2007"/>
      <w:r>
        <w:rPr>
          <w:rFonts w:hint="eastAsia" w:asciiTheme="minorEastAsia" w:hAnsiTheme="minorEastAsia" w:eastAsiaTheme="minorEastAsia" w:cstheme="minorEastAsia"/>
          <w:sz w:val="32"/>
          <w:szCs w:val="32"/>
          <w:lang w:eastAsia="zh-CN"/>
        </w:rPr>
        <w:t>投标人</w:t>
      </w:r>
      <w:r>
        <w:rPr>
          <w:rFonts w:hint="eastAsia" w:asciiTheme="minorEastAsia" w:hAnsiTheme="minorEastAsia" w:eastAsiaTheme="minorEastAsia" w:cstheme="minorEastAsia"/>
          <w:sz w:val="32"/>
          <w:szCs w:val="32"/>
        </w:rPr>
        <w:t>须知</w:t>
      </w:r>
      <w:bookmarkEnd w:id="22"/>
      <w:bookmarkEnd w:id="23"/>
    </w:p>
    <w:tbl>
      <w:tblPr>
        <w:tblStyle w:val="22"/>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908"/>
        <w:gridCol w:w="1697"/>
        <w:gridCol w:w="6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05" w:type="dxa"/>
          </w:tcPr>
          <w:p>
            <w:pPr>
              <w:autoSpaceDE w:val="0"/>
              <w:autoSpaceDN w:val="0"/>
              <w:adjustRightIn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章节</w:t>
            </w:r>
          </w:p>
        </w:tc>
        <w:tc>
          <w:tcPr>
            <w:tcW w:w="908" w:type="dxa"/>
            <w:vAlign w:val="center"/>
          </w:tcPr>
          <w:p>
            <w:pPr>
              <w:autoSpaceDE w:val="0"/>
              <w:autoSpaceDN w:val="0"/>
              <w:adjustRightIn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条款号</w:t>
            </w:r>
          </w:p>
        </w:tc>
        <w:tc>
          <w:tcPr>
            <w:tcW w:w="1697" w:type="dxa"/>
            <w:vAlign w:val="center"/>
          </w:tcPr>
          <w:p>
            <w:pPr>
              <w:autoSpaceDE w:val="0"/>
              <w:autoSpaceDN w:val="0"/>
              <w:adjustRightIn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条款名称</w:t>
            </w:r>
          </w:p>
        </w:tc>
        <w:tc>
          <w:tcPr>
            <w:tcW w:w="6689" w:type="dxa"/>
            <w:vAlign w:val="center"/>
          </w:tcPr>
          <w:p>
            <w:pPr>
              <w:autoSpaceDE w:val="0"/>
              <w:autoSpaceDN w:val="0"/>
              <w:adjustRightIn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restart"/>
            <w:vAlign w:val="center"/>
          </w:tcPr>
          <w:p>
            <w:pPr>
              <w:autoSpaceDE w:val="0"/>
              <w:autoSpaceDN w:val="0"/>
              <w:adjustRightInd w:val="0"/>
              <w:snapToGrid w:val="0"/>
              <w:rPr>
                <w:rFonts w:asciiTheme="minorEastAsia" w:hAnsiTheme="minorEastAsia" w:cstheme="minorEastAsia"/>
                <w:b/>
                <w:bCs/>
                <w:szCs w:val="21"/>
              </w:rPr>
            </w:pPr>
            <w:r>
              <w:rPr>
                <w:rFonts w:hint="eastAsia" w:asciiTheme="minorEastAsia" w:hAnsiTheme="minorEastAsia" w:cstheme="minorEastAsia"/>
                <w:b/>
                <w:bCs/>
                <w:szCs w:val="21"/>
              </w:rPr>
              <w:t>第一章</w:t>
            </w: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1.1</w:t>
            </w:r>
          </w:p>
        </w:tc>
        <w:tc>
          <w:tcPr>
            <w:tcW w:w="1697" w:type="dxa"/>
            <w:vAlign w:val="center"/>
          </w:tcPr>
          <w:p>
            <w:pPr>
              <w:autoSpaceDE w:val="0"/>
              <w:autoSpaceDN w:val="0"/>
              <w:adjustRightInd w:val="0"/>
              <w:snapToGrid w:val="0"/>
              <w:jc w:val="center"/>
              <w:rPr>
                <w:rFonts w:asciiTheme="minorEastAsia" w:hAnsiTheme="minorEastAsia" w:cstheme="minorEastAsia"/>
                <w:szCs w:val="21"/>
                <w:lang w:val="zh-CN"/>
              </w:rPr>
            </w:pPr>
            <w:r>
              <w:rPr>
                <w:rFonts w:hint="eastAsia" w:asciiTheme="minorEastAsia" w:hAnsiTheme="minorEastAsia" w:cstheme="minorEastAsia"/>
                <w:b/>
                <w:bCs/>
                <w:szCs w:val="21"/>
              </w:rPr>
              <w:t>项目名称</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continue"/>
            <w:vAlign w:val="center"/>
          </w:tcPr>
          <w:p>
            <w:pPr>
              <w:autoSpaceDE w:val="0"/>
              <w:autoSpaceDN w:val="0"/>
              <w:adjustRightInd w:val="0"/>
              <w:snapToGrid w:val="0"/>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采购编号</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continue"/>
            <w:vAlign w:val="center"/>
          </w:tcPr>
          <w:p>
            <w:pPr>
              <w:autoSpaceDE w:val="0"/>
              <w:autoSpaceDN w:val="0"/>
              <w:adjustRightInd w:val="0"/>
              <w:snapToGrid w:val="0"/>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采购方式</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w:t>
            </w:r>
            <w:r>
              <w:rPr>
                <w:rFonts w:hint="eastAsia" w:asciiTheme="minorEastAsia" w:hAnsiTheme="minorEastAsia" w:cstheme="minorEastAsia"/>
                <w:b/>
                <w:bCs/>
                <w:szCs w:val="21"/>
              </w:rPr>
              <w:t>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采购预算</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r>
              <w:rPr>
                <w:rFonts w:hint="eastAsia" w:asciiTheme="minorEastAsia" w:hAnsiTheme="minorEastAsia" w:cstheme="minorEastAsia"/>
                <w:b/>
                <w:szCs w:val="21"/>
                <w:lang w:val="zh-CN"/>
              </w:rPr>
              <w:t>注：投标人的投标报价未超过该项目最高限价</w:t>
            </w:r>
            <w:r>
              <w:rPr>
                <w:rFonts w:hint="eastAsia" w:asciiTheme="minorEastAsia" w:hAnsiTheme="minorEastAsia" w:cstheme="minorEastAsia"/>
                <w:b/>
                <w:szCs w:val="21"/>
                <w:highlight w:val="none"/>
                <w:lang w:val="zh-CN"/>
              </w:rPr>
              <w:t>的不足</w:t>
            </w:r>
            <w:r>
              <w:rPr>
                <w:rFonts w:hint="eastAsia" w:asciiTheme="minorEastAsia" w:hAnsiTheme="minorEastAsia" w:cstheme="minorEastAsia"/>
                <w:b/>
                <w:szCs w:val="21"/>
                <w:lang w:val="zh-CN"/>
              </w:rPr>
              <w:t>三家时，该项目废标。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投标人的资格要求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采购人</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采购代理机构</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restart"/>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第二章</w:t>
            </w: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标段（包）划分</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交付期</w:t>
            </w:r>
          </w:p>
        </w:tc>
        <w:tc>
          <w:tcPr>
            <w:tcW w:w="6689" w:type="dxa"/>
            <w:vAlign w:val="center"/>
          </w:tcPr>
          <w:p>
            <w:pPr>
              <w:autoSpaceDE w:val="0"/>
              <w:autoSpaceDN w:val="0"/>
              <w:adjustRightInd w:val="0"/>
              <w:snapToGrid w:val="0"/>
              <w:spacing w:before="143" w:beforeLines="50"/>
              <w:rPr>
                <w:rFonts w:asciiTheme="minorEastAsia" w:hAnsiTheme="minorEastAsia" w:cstheme="minorEastAsia"/>
                <w:bCs/>
                <w:szCs w:val="21"/>
                <w:lang w:val="zh-CN"/>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交付地点</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1.3</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投标报价</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标段内容（范围）及具体采购要求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hint="eastAsia" w:asciiTheme="minorEastAsia" w:hAnsiTheme="minorEastAsia" w:eastAsiaTheme="minorEastAsia" w:cstheme="minorEastAsia"/>
                <w:b/>
                <w:bCs/>
                <w:szCs w:val="21"/>
                <w:lang w:val="en-US" w:eastAsia="zh-CN"/>
              </w:rPr>
            </w:pPr>
            <w:r>
              <w:rPr>
                <w:rFonts w:hint="eastAsia" w:asciiTheme="minorEastAsia" w:hAnsiTheme="minorEastAsia" w:cstheme="minorEastAsia"/>
                <w:b/>
                <w:bCs/>
                <w:szCs w:val="21"/>
                <w:lang w:val="zh-CN"/>
              </w:rPr>
              <w:t>2.</w:t>
            </w:r>
            <w:r>
              <w:rPr>
                <w:rFonts w:hint="eastAsia" w:asciiTheme="minorEastAsia" w:hAnsiTheme="minorEastAsia" w:cstheme="minorEastAsia"/>
                <w:b/>
                <w:bCs/>
                <w:szCs w:val="21"/>
                <w:lang w:val="en-US" w:eastAsia="zh-CN"/>
              </w:rPr>
              <w:t>5</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技术偏离</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第三章</w:t>
            </w: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联合体</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1.10</w:t>
            </w:r>
          </w:p>
        </w:tc>
        <w:tc>
          <w:tcPr>
            <w:tcW w:w="1697" w:type="dxa"/>
            <w:vAlign w:val="center"/>
          </w:tcPr>
          <w:p>
            <w:pPr>
              <w:autoSpaceDE w:val="0"/>
              <w:autoSpaceDN w:val="0"/>
              <w:adjustRightInd w:val="0"/>
              <w:snapToGrid w:val="0"/>
              <w:jc w:val="center"/>
              <w:rPr>
                <w:rFonts w:asciiTheme="minorEastAsia" w:hAnsiTheme="minorEastAsia" w:cstheme="minorEastAsia"/>
                <w:b/>
                <w:bCs/>
                <w:color w:val="000000" w:themeColor="text1"/>
                <w:szCs w:val="21"/>
                <w:lang w:val="zh-CN"/>
                <w14:textFill>
                  <w14:solidFill>
                    <w14:schemeClr w14:val="tx1"/>
                  </w14:solidFill>
                </w14:textFill>
              </w:rPr>
            </w:pPr>
            <w:r>
              <w:rPr>
                <w:rFonts w:hint="eastAsia" w:asciiTheme="minorEastAsia" w:hAnsiTheme="minorEastAsia" w:cstheme="minorEastAsia"/>
                <w:b/>
                <w:bCs/>
                <w:color w:val="000000" w:themeColor="text1"/>
                <w:szCs w:val="21"/>
                <w:lang w:val="zh-CN"/>
                <w14:textFill>
                  <w14:solidFill>
                    <w14:schemeClr w14:val="tx1"/>
                  </w14:solidFill>
                </w14:textFill>
              </w:rPr>
              <w:t>踏勘现场</w:t>
            </w:r>
          </w:p>
        </w:tc>
        <w:tc>
          <w:tcPr>
            <w:tcW w:w="6689" w:type="dxa"/>
            <w:vAlign w:val="center"/>
          </w:tcPr>
          <w:p>
            <w:pPr>
              <w:autoSpaceDE w:val="0"/>
              <w:autoSpaceDN w:val="0"/>
              <w:adjustRightInd w:val="0"/>
              <w:snapToGrid w:val="0"/>
              <w:spacing w:before="143" w:beforeLines="50"/>
              <w:rPr>
                <w:rFonts w:asciiTheme="minorEastAsia" w:hAnsiTheme="minorEastAsia" w:cstheme="minorEastAsia"/>
                <w:color w:val="000000" w:themeColor="text1"/>
                <w:szCs w:val="21"/>
                <w:lang w:val="zh-CN"/>
                <w14:textFill>
                  <w14:solidFill>
                    <w14:schemeClr w14:val="tx1"/>
                  </w14:solidFill>
                </w14:textFill>
              </w:rPr>
            </w:pPr>
            <w:r>
              <w:rPr>
                <w:rFonts w:hint="eastAsia" w:asciiTheme="minorEastAsia" w:hAnsiTheme="minorEastAsia" w:cstheme="minorEastAsia"/>
                <w:color w:val="000000" w:themeColor="text1"/>
                <w:szCs w:val="21"/>
                <w:lang w:val="zh-CN"/>
                <w14:textFill>
                  <w14:solidFill>
                    <w14:schemeClr w14:val="tx1"/>
                  </w14:solidFill>
                </w14:textFill>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1.11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开标前答疑会</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1.12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分包</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2.1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构成招标文件的其他材料</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2.2.1</w:t>
            </w:r>
          </w:p>
        </w:tc>
        <w:tc>
          <w:tcPr>
            <w:tcW w:w="1697" w:type="dxa"/>
            <w:vAlign w:val="center"/>
          </w:tcPr>
          <w:p>
            <w:pPr>
              <w:autoSpaceDE w:val="0"/>
              <w:autoSpaceDN w:val="0"/>
              <w:adjustRightInd w:val="0"/>
              <w:snapToGrid w:val="0"/>
              <w:ind w:right="-178" w:rightChars="-85"/>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投标人提出问题的截止时间</w:t>
            </w:r>
          </w:p>
        </w:tc>
        <w:tc>
          <w:tcPr>
            <w:tcW w:w="6689" w:type="dxa"/>
            <w:vAlign w:val="center"/>
          </w:tcPr>
          <w:p>
            <w:pPr>
              <w:autoSpaceDE w:val="0"/>
              <w:autoSpaceDN w:val="0"/>
              <w:adjustRightInd w:val="0"/>
              <w:snapToGrid w:val="0"/>
              <w:spacing w:before="143" w:beforeLines="50"/>
              <w:rPr>
                <w:rFonts w:asciiTheme="minorEastAsia" w:hAnsiTheme="minorEastAsia" w:cstheme="minorEastAsia"/>
                <w:b/>
                <w:szCs w:val="21"/>
              </w:rPr>
            </w:pPr>
            <w:r>
              <w:rPr>
                <w:rFonts w:hint="eastAsia" w:asciiTheme="minorEastAsia" w:hAnsiTheme="minorEastAsia" w:cstheme="minorEastAsia"/>
                <w:szCs w:val="21"/>
                <w:lang w:val="zh-CN"/>
              </w:rPr>
              <w:t>公告期结束或获取招标文件7个工作日内。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2.3</w:t>
            </w:r>
          </w:p>
        </w:tc>
        <w:tc>
          <w:tcPr>
            <w:tcW w:w="1697" w:type="dxa"/>
            <w:vAlign w:val="center"/>
          </w:tcPr>
          <w:p>
            <w:pPr>
              <w:autoSpaceDE w:val="0"/>
              <w:autoSpaceDN w:val="0"/>
              <w:adjustRightInd w:val="0"/>
              <w:snapToGrid w:val="0"/>
              <w:ind w:left="-126" w:leftChars="-60" w:right="-36" w:rightChars="-17"/>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招标文件的澄清、修改、补充</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2.4</w:t>
            </w:r>
          </w:p>
        </w:tc>
        <w:tc>
          <w:tcPr>
            <w:tcW w:w="1697" w:type="dxa"/>
            <w:vAlign w:val="center"/>
          </w:tcPr>
          <w:p>
            <w:pPr>
              <w:autoSpaceDE w:val="0"/>
              <w:autoSpaceDN w:val="0"/>
              <w:adjustRightInd w:val="0"/>
              <w:snapToGrid w:val="0"/>
              <w:ind w:right="-178" w:rightChars="-85"/>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招标文件澄清修改补充时间</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投标截止时间</w:t>
            </w:r>
            <w:r>
              <w:rPr>
                <w:rFonts w:hint="eastAsia" w:asciiTheme="minorEastAsia" w:hAnsiTheme="minorEastAsia" w:cstheme="minorEastAsia"/>
                <w:szCs w:val="21"/>
              </w:rPr>
              <w:t>15</w:t>
            </w:r>
            <w:r>
              <w:rPr>
                <w:rFonts w:hint="eastAsia" w:asciiTheme="minorEastAsia" w:hAnsiTheme="minorEastAsia" w:cstheme="minorEastAsia"/>
                <w:szCs w:val="21"/>
                <w:lang w:val="zh-CN"/>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lang w:val="zh-CN"/>
              </w:rPr>
              <w:t>3.2</w:t>
            </w:r>
            <w:r>
              <w:rPr>
                <w:rFonts w:hint="eastAsia" w:asciiTheme="minorEastAsia" w:hAnsiTheme="minorEastAsia" w:cstheme="minorEastAsia"/>
                <w:b/>
                <w:bCs/>
                <w:szCs w:val="21"/>
              </w:rPr>
              <w:t>.3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构成投标文件的其他材料</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第三章</w:t>
            </w: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3.4.1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投标有效期</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从开标之日起，投标有效期为90日历天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3.5</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投标承诺函</w:t>
            </w:r>
          </w:p>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（替代投标</w:t>
            </w:r>
          </w:p>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保证金）</w:t>
            </w:r>
          </w:p>
          <w:p>
            <w:pPr>
              <w:autoSpaceDE w:val="0"/>
              <w:autoSpaceDN w:val="0"/>
              <w:adjustRightInd w:val="0"/>
              <w:snapToGrid w:val="0"/>
              <w:jc w:val="center"/>
              <w:rPr>
                <w:rFonts w:asciiTheme="minorEastAsia" w:hAnsiTheme="minorEastAsia" w:cstheme="minorEastAsia"/>
                <w:b/>
                <w:bCs/>
                <w:szCs w:val="21"/>
                <w:lang w:val="zh-CN"/>
              </w:rPr>
            </w:pPr>
          </w:p>
        </w:tc>
        <w:tc>
          <w:tcPr>
            <w:tcW w:w="6689" w:type="dxa"/>
            <w:vAlign w:val="center"/>
          </w:tcPr>
          <w:p>
            <w:pPr>
              <w:autoSpaceDE w:val="0"/>
              <w:autoSpaceDN w:val="0"/>
              <w:adjustRightInd w:val="0"/>
              <w:snapToGri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以投标承诺函形式替代投标保证金。</w:t>
            </w:r>
          </w:p>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b/>
                <w:bCs/>
                <w:szCs w:val="21"/>
                <w:lang w:val="zh-CN"/>
              </w:rPr>
              <w:t>投标人应按附件格式进行投标承诺、违背承诺的责任追究。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3.7.3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偏差描述</w:t>
            </w:r>
          </w:p>
        </w:tc>
        <w:tc>
          <w:tcPr>
            <w:tcW w:w="6689" w:type="dxa"/>
            <w:vAlign w:val="center"/>
          </w:tcPr>
          <w:p>
            <w:pPr>
              <w:snapToGrid w:val="0"/>
              <w:spacing w:before="143" w:beforeLines="50"/>
              <w:rPr>
                <w:rFonts w:asciiTheme="minorEastAsia" w:hAnsiTheme="minorEastAsia" w:cstheme="minorEastAsia"/>
                <w:b/>
                <w:szCs w:val="21"/>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3.7.4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签字或盖章要求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4.2.4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是否退还投标文件</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6.1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评标委员会的组建</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第三章</w:t>
            </w: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7.1</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是否授权评标委员会确定中标人</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b/>
                <w:bCs/>
                <w:szCs w:val="21"/>
              </w:rPr>
              <w:t>是。评标委员会按照综合得分由高到低的顺序提出3名中标候选人，并确定排名第一的中标候选人为中标人。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7.2</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中标结果公告</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本次公开招标的中标结果将在中标人确定之日起1个工作日内，在招标公告所述媒介公告1个工作日。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7.3</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质疑、投诉</w:t>
            </w:r>
          </w:p>
        </w:tc>
        <w:tc>
          <w:tcPr>
            <w:tcW w:w="6689" w:type="dxa"/>
            <w:vAlign w:val="center"/>
          </w:tcPr>
          <w:p>
            <w:pPr>
              <w:rPr>
                <w:rFonts w:asciiTheme="minorEastAsia" w:hAnsiTheme="minorEastAsia" w:cstheme="minorEastAsia"/>
                <w:szCs w:val="21"/>
              </w:rPr>
            </w:pPr>
            <w:r>
              <w:rPr>
                <w:rFonts w:hint="eastAsia" w:asciiTheme="minorEastAsia" w:hAnsiTheme="minorEastAsia" w:cstheme="minorEastAsia"/>
                <w:szCs w:val="21"/>
              </w:rPr>
              <w:t>参与本次采购活动的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如有异议，可在各环节法定质疑期内向采购代理机构一次性提出针对该采购程序环节的书面质疑函，书面原件送达至招标文件列示的采购代理机构联系人处；依据法规规定，质疑函应当有明确的请求和必要的证明材料，应当包括下列内容：1、</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的姓名或者名称、地址、邮编、联系人及联系电话；2、质疑项目的名称、编号；3、具体、明确的质疑事项和与质疑事项相关的请求；4、事实依据；5、必要的法律依据；6、提出质</w:t>
            </w:r>
            <w:r>
              <w:rPr>
                <w:rFonts w:hint="eastAsia" w:asciiTheme="minorEastAsia" w:hAnsiTheme="minorEastAsia" w:cstheme="minorEastAsia"/>
                <w:bCs/>
                <w:szCs w:val="21"/>
              </w:rPr>
              <w:t>疑的日期。</w:t>
            </w:r>
            <w:r>
              <w:rPr>
                <w:rFonts w:hint="eastAsia" w:asciiTheme="minorEastAsia" w:hAnsiTheme="minorEastAsia" w:cstheme="minorEastAsia"/>
                <w:bCs/>
                <w:szCs w:val="21"/>
                <w:lang w:eastAsia="zh-CN"/>
              </w:rPr>
              <w:t>投标人</w:t>
            </w:r>
            <w:r>
              <w:rPr>
                <w:rFonts w:hint="eastAsia" w:asciiTheme="minorEastAsia" w:hAnsiTheme="minorEastAsia" w:cstheme="minorEastAsia"/>
                <w:bCs/>
                <w:szCs w:val="21"/>
              </w:rPr>
              <w:t>为自然人的，应当由本人签字；</w:t>
            </w:r>
            <w:r>
              <w:rPr>
                <w:rFonts w:hint="eastAsia" w:asciiTheme="minorEastAsia" w:hAnsiTheme="minorEastAsia" w:cstheme="minorEastAsia"/>
                <w:bCs/>
                <w:szCs w:val="21"/>
                <w:lang w:eastAsia="zh-CN"/>
              </w:rPr>
              <w:t>投标人</w:t>
            </w:r>
            <w:r>
              <w:rPr>
                <w:rFonts w:hint="eastAsia" w:asciiTheme="minorEastAsia" w:hAnsiTheme="minorEastAsia" w:cstheme="minorEastAsia"/>
                <w:bCs/>
                <w:szCs w:val="21"/>
              </w:rPr>
              <w:t>为法人或者其他组织的，应当由法定代表人、主要负责人，或者其授权代表签字或者盖章，并加盖公章。</w:t>
            </w:r>
            <w:r>
              <w:rPr>
                <w:rFonts w:hint="eastAsia" w:asciiTheme="minorEastAsia" w:hAnsiTheme="minorEastAsia" w:cstheme="minorEastAsia"/>
                <w:szCs w:val="21"/>
              </w:rPr>
              <w:t>如对采购代理机构的答复仍有异议的，可向同级财政局政府采购监督管理办公室提出书面投诉。（具体程序按照《政府采购质疑和投诉办法》执行）。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7.4</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中标通知书</w:t>
            </w:r>
          </w:p>
        </w:tc>
        <w:tc>
          <w:tcPr>
            <w:tcW w:w="6689" w:type="dxa"/>
            <w:vAlign w:val="center"/>
          </w:tcPr>
          <w:p>
            <w:pPr>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采购代理机构在中标人确定后</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个工作日内，向中标人发出中标通知书。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8.5</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履约保证金</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不需缴纳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验收</w:t>
            </w:r>
          </w:p>
        </w:tc>
        <w:tc>
          <w:tcPr>
            <w:tcW w:w="6689" w:type="dxa"/>
            <w:vAlign w:val="center"/>
          </w:tcPr>
          <w:p>
            <w:pPr>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5" w:type="dxa"/>
            <w:vMerge w:val="continue"/>
          </w:tcPr>
          <w:p>
            <w:pPr>
              <w:autoSpaceDE w:val="0"/>
              <w:autoSpaceDN w:val="0"/>
              <w:adjustRightInd w:val="0"/>
              <w:spacing w:line="360" w:lineRule="auto"/>
              <w:rPr>
                <w:rFonts w:asciiTheme="minorEastAsia" w:hAnsiTheme="minorEastAsia" w:cstheme="minorEastAsia"/>
                <w:b/>
                <w:bCs/>
                <w:szCs w:val="21"/>
                <w:highlight w:val="none"/>
              </w:rPr>
            </w:pPr>
          </w:p>
        </w:tc>
        <w:tc>
          <w:tcPr>
            <w:tcW w:w="908" w:type="dxa"/>
            <w:vAlign w:val="center"/>
          </w:tcPr>
          <w:p>
            <w:pPr>
              <w:autoSpaceDE w:val="0"/>
              <w:autoSpaceDN w:val="0"/>
              <w:adjustRightInd w:val="0"/>
              <w:spacing w:line="360" w:lineRule="auto"/>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9</w:t>
            </w:r>
          </w:p>
        </w:tc>
        <w:tc>
          <w:tcPr>
            <w:tcW w:w="1697" w:type="dxa"/>
            <w:vAlign w:val="center"/>
          </w:tcPr>
          <w:p>
            <w:pPr>
              <w:autoSpaceDE w:val="0"/>
              <w:autoSpaceDN w:val="0"/>
              <w:adjustRightInd w:val="0"/>
              <w:snapToGrid w:val="0"/>
              <w:jc w:val="center"/>
              <w:rPr>
                <w:rFonts w:asciiTheme="minorEastAsia" w:hAnsiTheme="minorEastAsia" w:cstheme="minorEastAsia"/>
                <w:b/>
                <w:bCs/>
                <w:szCs w:val="21"/>
                <w:highlight w:val="none"/>
                <w:lang w:val="zh-CN"/>
              </w:rPr>
            </w:pPr>
            <w:r>
              <w:rPr>
                <w:rFonts w:hint="eastAsia" w:asciiTheme="minorEastAsia" w:hAnsiTheme="minorEastAsia" w:cstheme="minorEastAsia"/>
                <w:b/>
                <w:bCs/>
                <w:szCs w:val="21"/>
                <w:highlight w:val="none"/>
                <w:lang w:val="zh-CN"/>
              </w:rPr>
              <w:t>付款</w:t>
            </w:r>
          </w:p>
        </w:tc>
        <w:tc>
          <w:tcPr>
            <w:tcW w:w="6689" w:type="dxa"/>
            <w:vAlign w:val="center"/>
          </w:tcPr>
          <w:p>
            <w:pPr>
              <w:pStyle w:val="9"/>
              <w:keepNext w:val="0"/>
              <w:keepLines w:val="0"/>
              <w:pageBreakBefore w:val="0"/>
              <w:widowControl w:val="0"/>
              <w:kinsoku/>
              <w:wordWrap/>
              <w:overflowPunct/>
              <w:topLinePunct w:val="0"/>
              <w:autoSpaceDE/>
              <w:autoSpaceDN/>
              <w:bidi w:val="0"/>
              <w:adjustRightInd/>
              <w:snapToGrid/>
              <w:ind w:left="4" w:leftChars="2" w:firstLine="420" w:firstLineChars="200"/>
              <w:textAlignment w:val="auto"/>
              <w:rPr>
                <w:rFonts w:hint="eastAsia"/>
                <w:highlight w:val="none"/>
                <w:lang w:val="zh-CN"/>
              </w:rPr>
            </w:pPr>
            <w:r>
              <w:rPr>
                <w:rFonts w:hint="eastAsia"/>
                <w:highlight w:val="none"/>
                <w:lang w:val="zh-CN"/>
              </w:rPr>
              <w:t>为优化政府采购营商环境，根据安财购﹝2019﹞8号文件落实政府采购预付款的规定，采购人可在政府采购合同履约前向成交供应商预付5%的合同资金，成交供应商应向采购人提交预付款保函，未提供保函的，视同其放弃项目预付款的支付。</w:t>
            </w:r>
          </w:p>
          <w:p>
            <w:pPr>
              <w:pStyle w:val="9"/>
              <w:keepNext w:val="0"/>
              <w:keepLines w:val="0"/>
              <w:pageBreakBefore w:val="0"/>
              <w:widowControl w:val="0"/>
              <w:kinsoku/>
              <w:wordWrap/>
              <w:overflowPunct/>
              <w:topLinePunct w:val="0"/>
              <w:autoSpaceDE/>
              <w:autoSpaceDN/>
              <w:bidi w:val="0"/>
              <w:adjustRightInd/>
              <w:snapToGrid/>
              <w:ind w:left="4" w:leftChars="2" w:firstLine="420" w:firstLineChars="200"/>
              <w:textAlignment w:val="auto"/>
              <w:rPr>
                <w:highlight w:val="none"/>
                <w:lang w:val="zh-CN"/>
              </w:rPr>
            </w:pPr>
            <w:r>
              <w:rPr>
                <w:rFonts w:hint="eastAsia"/>
                <w:highlight w:val="none"/>
                <w:lang w:val="zh-CN"/>
              </w:rPr>
              <w:t>项目验收完成后，经采购人确认验收合格，首先一次性支付至中标价的90%。中标单位日常维护服务期5年的费用（中标价的10%）分五次付清，每年服务到期后，经验收合格后支付服务费的20%。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505" w:type="dxa"/>
          </w:tcPr>
          <w:p>
            <w:pPr>
              <w:autoSpaceDE w:val="0"/>
              <w:autoSpaceDN w:val="0"/>
              <w:adjustRightInd w:val="0"/>
              <w:snapToGrid w:val="0"/>
              <w:rPr>
                <w:rFonts w:asciiTheme="minorEastAsia" w:hAnsiTheme="minorEastAsia" w:cstheme="minorEastAsia"/>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10</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代理服务费</w:t>
            </w:r>
          </w:p>
        </w:tc>
        <w:tc>
          <w:tcPr>
            <w:tcW w:w="6689" w:type="dxa"/>
            <w:vAlign w:val="center"/>
          </w:tcPr>
          <w:p>
            <w:pPr>
              <w:autoSpaceDE w:val="0"/>
              <w:autoSpaceDN w:val="0"/>
              <w:adjustRightInd w:val="0"/>
              <w:snapToGrid w:val="0"/>
              <w:rPr>
                <w:rFonts w:asciiTheme="minorEastAsia" w:hAnsiTheme="minorEastAsia" w:cstheme="minorEastAsia"/>
                <w:szCs w:val="21"/>
                <w:lang w:val="zh-CN"/>
              </w:rPr>
            </w:pPr>
            <w:r>
              <w:rPr>
                <w:rFonts w:hint="eastAsia" w:asciiTheme="minorEastAsia" w:hAnsiTheme="minorEastAsia" w:cstheme="minorEastAsia"/>
                <w:szCs w:val="21"/>
                <w:lang w:val="zh-CN"/>
              </w:rPr>
              <w:t>招标代理费：招标代理服务费由中标（成交）投标人支付。招标代理服务费的收取，参照原国家计委《招标代理服务收费管理暂行办法》（计价格【2002】1980号）、《国家发展和改革委员会办公厅关于招标代理服务费有关问题的通知》（发改办价格【2003】857号）及发改价格【2011】534号的规定以合同签订为准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799" w:type="dxa"/>
            <w:gridSpan w:val="4"/>
          </w:tcPr>
          <w:p>
            <w:pPr>
              <w:autoSpaceDE w:val="0"/>
              <w:autoSpaceDN w:val="0"/>
              <w:adjustRightInd w:val="0"/>
              <w:snapToGrid w:val="0"/>
              <w:jc w:val="left"/>
              <w:rPr>
                <w:rFonts w:hint="eastAsia" w:asciiTheme="minorEastAsia" w:hAnsiTheme="minorEastAsia" w:cstheme="minorEastAsia"/>
                <w:szCs w:val="21"/>
                <w:highlight w:val="none"/>
                <w:lang w:val="zh-CN"/>
              </w:rPr>
            </w:pPr>
            <w:r>
              <w:rPr>
                <w:rFonts w:hint="eastAsia" w:asciiTheme="minorEastAsia" w:hAnsiTheme="minorEastAsia" w:cstheme="minorEastAsia"/>
                <w:szCs w:val="21"/>
                <w:highlight w:val="none"/>
                <w:lang w:val="zh-CN"/>
              </w:rPr>
              <w:t>注：中标后对中标单位所提供的投标资料原件进行核实。若发现资料不实，取消中标资格，产生的一切后果由投标人自负。</w:t>
            </w:r>
          </w:p>
        </w:tc>
      </w:tr>
    </w:tbl>
    <w:p>
      <w:pPr>
        <w:autoSpaceDE w:val="0"/>
        <w:autoSpaceDN w:val="0"/>
        <w:adjustRightInd w:val="0"/>
        <w:snapToGrid w:val="0"/>
        <w:spacing w:before="143" w:beforeLines="50" w:line="300" w:lineRule="auto"/>
        <w:outlineLvl w:val="1"/>
        <w:rPr>
          <w:rFonts w:asciiTheme="minorEastAsia" w:hAnsiTheme="minorEastAsia" w:cstheme="minorEastAsia"/>
          <w:sz w:val="24"/>
          <w:lang w:val="zh-CN"/>
        </w:rPr>
      </w:pPr>
      <w:bookmarkStart w:id="24" w:name="_Toc8395968"/>
      <w:bookmarkStart w:id="25" w:name="_Toc32183"/>
      <w:r>
        <w:rPr>
          <w:rFonts w:hint="eastAsia" w:asciiTheme="minorEastAsia" w:hAnsiTheme="minorEastAsia" w:cstheme="minorEastAsia"/>
          <w:b/>
          <w:bCs/>
          <w:sz w:val="24"/>
          <w:lang w:val="zh-CN"/>
        </w:rPr>
        <w:t>1</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总则</w:t>
      </w:r>
      <w:bookmarkEnd w:id="24"/>
      <w:bookmarkEnd w:id="25"/>
    </w:p>
    <w:p>
      <w:pPr>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bCs/>
          <w:szCs w:val="21"/>
          <w:lang w:val="zh-CN"/>
        </w:rPr>
        <w:t>1.1</w:t>
      </w:r>
      <w:r>
        <w:rPr>
          <w:rFonts w:hint="eastAsia" w:asciiTheme="minorEastAsia" w:hAnsiTheme="minorEastAsia" w:cstheme="minorEastAsia"/>
          <w:szCs w:val="21"/>
          <w:lang w:val="zh-CN"/>
        </w:rPr>
        <w:t>根据《中华</w:t>
      </w:r>
      <w:r>
        <w:rPr>
          <w:rFonts w:hint="eastAsia" w:asciiTheme="minorEastAsia" w:hAnsiTheme="minorEastAsia" w:cstheme="minorEastAsia"/>
          <w:szCs w:val="21"/>
        </w:rPr>
        <w:t>人民共和国政府采购法》、《中华人民共和国政府采购法实施条例》、《政府采购货物和服务招标投标管理办法》及相关政府采购法律法规等制定本文件。</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1.2招标文件的法律适用及法律效力</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1.2.1本招标文件所述内容，仅适用于本次项目采购。</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1.2.2 招标文件的修改性文件、补充文件、澄清文件或说明具有同等法律效力。</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1.2.3 本招标文件适用于并执行《政府采购法》和其它相关的法律、法规。</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1.2.4 本招标文件的解释权属采购人及代理机构。</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1.3 合格的投标人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1.3.1 凡符合招标文件规定，承认本招标文件所有内容的投标人为合格的投标人。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1.3.2 单位负责人为同一人或者存在直接控股、管理关系的不同投标人，不得参加同一合同项下的政府采购活动。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1.3.3 为招标项目提供整体设计、规范编制或者项目管理、监理、检测等服务的投标人，不得再参加该招标项目的其他采购活动。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1.3.4 投标人应遵守国家法律、法规和招标文件的规定。不得违背国家利益、社会公众利益。</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1.4　联合体</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投标人须知前附表规定接受联合体投标的，应遵守以下规定：</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（1）两个以上投标人可以组成一个投标联合体，以一个投标人的身份投标，但必须确定其中一个单位为投标的全权代表参加投标活动，并承担投标及履约中应承担的全部责任和义务。</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（2）以联合体形式参加投标的，将对所有的联合体成员进行信用记录查询，联合体成员存在不良信用记录的，视同联合体存在不良信用记录，为无效投标。</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以联合体形式参加投标的，应符投标人须知前附表的要求，联合体各方均应当符合政府采购法第二十二条第一款规定的条件，联合体各方均应当具备承担招标项目（标段）的相应能力、具备规定的相应资格条件。全权代表一方的条件应符合投标资格要求。</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（4）联合体中有同类资质的投标人按照联合体分工承担相同工作的，应当按照资质等级较低的投标人确定资质等级。</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（5）联合体各方之间应当签订联合投标协议，明确约定联合体各方承担的工作和相应的责任，并将联合投标协议连同投标文件一并提交采购代理机构。</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（6）联合体各方签订联合投标协议后，不得再以自己名义单独在同一项目中投标，也不得组成新的联合体参加同一项目投标。</w:t>
      </w:r>
    </w:p>
    <w:p>
      <w:pPr>
        <w:spacing w:line="360" w:lineRule="auto"/>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（7）联合体中标的，联合体各方应当共同与采购人签订合同，就中标项目（标段）向采购人承担连带责任。</w:t>
      </w:r>
    </w:p>
    <w:p>
      <w:pPr>
        <w:pStyle w:val="20"/>
        <w:spacing w:after="0" w:line="360" w:lineRule="auto"/>
        <w:ind w:firstLine="210"/>
        <w:rPr>
          <w:color w:val="auto"/>
          <w:lang w:val="zh-CN"/>
        </w:rPr>
      </w:pPr>
      <w:r>
        <w:rPr>
          <w:rFonts w:hint="eastAsia"/>
          <w:color w:val="auto"/>
          <w:lang w:val="zh-CN"/>
        </w:rPr>
        <w:t>（8）预留中小企业份额项目中，组成联合体的中小企业与联合体内其他企业不得存在直接控股、管理关系。</w:t>
      </w:r>
    </w:p>
    <w:p>
      <w:pPr>
        <w:spacing w:line="360" w:lineRule="auto"/>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1.5  知识产权</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1.5.1 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响应的知识产权，则在投标报价中必须包括合法获取该知识产权的一切相关费用。如因此导致采购人损失的，投标人须承担全部赔偿责任。</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1.5.2 投标人如欲在项目实施过程中采用自有知识成果，须在投标文件中声明，并提供相关知识产权证明文件。使用该知识成果后，投标人须提供开发接口和开发手册等技术文档。</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1.6</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费用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无论投标过程中的做法和结果如何，无论何种原因的招标失败废标，投标人应自行承担所有与准备和参加投标有关的全部费用（类比商业采购中的客户洽谈费用），采购代理机构在任何情况下均无义务和责任承担投标人的任何费用。</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1.7 保密</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1.7.1 参与公开招标活动的各方应对招标文件和投标文件中的商业和技术等秘密保密，投标人应在投标文件中对需保密事项予以书面声明，否则视为非保密事项。</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1.7.2 依据政府采购中标结果及合同公告规定，中标（合同）标的名称、规格型号、单价及中标（合同）金额等内容不得作为商业秘密。</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1.8 语言文字</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除专用术语外，与公开招标有关的语言均使用中文。必要时专用术语应附有中文注释。如果投标文件或与投标有关的其它文件、信件及来往函电以其它语言书写，投标人应将其译成中文，并对中文译稿的真实、准确、完整承担责任。</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1.9</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计量单位</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所有计量均采用中华人民共和国法定计量单位。</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1.10</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踏勘现场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1.10.1 投标人踏勘现场发生的费用自理，投标人自行负责在踏勘现场中所发生的人员伤亡和财产损失。</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1.10.2 投标人须知前附表规定组织踏勘现场的，采购人及代理机构按投标人须知前附表规定的时间、地点组织投标人踏勘项目现场。或者在招标文件提供期限截止后以书面形式通知所有获取招标文件的潜在投标人。采购人及代理机构在踏勘现场中介绍的交验安装条件和相关的周边环境情况，供投标人在编制投标文件时参考，采购人及代理机构不对投标人据此作出的判断和决策负责。</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1.10.3 不组织踏勘现场的，招标文件不单独提供交验地自然环境、气候条件、交验安装条件等情况说明，投标人被视为熟悉前述与履行合同有关的一切情况，投标人可自行踏勘现场并自行了解相关情况。</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1.11开标前答疑会</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不召开</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1.12分包</w:t>
      </w:r>
    </w:p>
    <w:p>
      <w:pPr>
        <w:autoSpaceDE w:val="0"/>
        <w:autoSpaceDN w:val="0"/>
        <w:adjustRightInd w:val="0"/>
        <w:snapToGrid w:val="0"/>
        <w:spacing w:line="440" w:lineRule="exact"/>
        <w:ind w:firstLine="420" w:firstLineChars="200"/>
        <w:rPr>
          <w:rFonts w:asciiTheme="minorEastAsia" w:hAnsiTheme="minorEastAsia" w:cstheme="minorEastAsia"/>
          <w:sz w:val="24"/>
          <w:lang w:val="zh-CN"/>
        </w:rPr>
      </w:pPr>
      <w:r>
        <w:rPr>
          <w:rFonts w:hint="eastAsia" w:asciiTheme="minorEastAsia" w:hAnsiTheme="minorEastAsia" w:cstheme="minorEastAsia"/>
          <w:szCs w:val="21"/>
          <w:lang w:val="zh-CN"/>
        </w:rPr>
        <w:t>投标人拟中标后将中标项目（标段）的部分非主体、非关键性工作进行分包的，应符合投标人须知前附表规定的分包内容、分包金额和接受分包的第三人资质要求等限制性条件。投标人应当在投标文件中载明分包承担主体，分包承担主体应当具备相应资质条件且不得再次分包。</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1.13 偏离</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招标文件允许投标文件偏离招标文件某些要求的，偏离应当符合招标文件规定的偏离范围和幅度。</w:t>
      </w:r>
    </w:p>
    <w:p>
      <w:pPr>
        <w:autoSpaceDE w:val="0"/>
        <w:autoSpaceDN w:val="0"/>
        <w:adjustRightInd w:val="0"/>
        <w:snapToGrid w:val="0"/>
        <w:spacing w:before="143" w:beforeLines="50" w:line="300" w:lineRule="auto"/>
        <w:outlineLvl w:val="1"/>
        <w:rPr>
          <w:rFonts w:asciiTheme="minorEastAsia" w:hAnsiTheme="minorEastAsia" w:cstheme="minorEastAsia"/>
          <w:b/>
          <w:bCs/>
          <w:sz w:val="24"/>
          <w:lang w:val="zh-CN"/>
        </w:rPr>
      </w:pPr>
      <w:bookmarkStart w:id="26" w:name="_Toc30655"/>
      <w:r>
        <w:rPr>
          <w:rFonts w:hint="eastAsia" w:asciiTheme="minorEastAsia" w:hAnsiTheme="minorEastAsia" w:cstheme="minorEastAsia"/>
          <w:b/>
          <w:bCs/>
          <w:sz w:val="24"/>
          <w:lang w:val="zh-CN"/>
        </w:rPr>
        <w:t>2</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招标文件</w:t>
      </w:r>
      <w:bookmarkEnd w:id="26"/>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2.1 招标文件的组成：</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2.1.1 招标文件用以阐明招标项目的内容、程序和合同主要条款。招标文件由下述部分组成：</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（1）招标公告</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（2）采购人需求</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（3）投标人须知</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（4）评标办法（综合评分法）</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（5）合同</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（6）投标文件格式</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2.1.2 根据本章第1.11款、第2.2款和第2.3款、对招标文件的澄清、修改、补充构成招标文件的组成部分，并取代招标文件中被澄清、修改处，对所有投标人均有约束力。</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2.1.3 当招标文件、招标文件的澄清、修改、补充等在同一内容的表述上不一致时，以最后发出（发布）的文件为准。</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2.1.4 投标人与任何人的口头协议不影响《招标文件》的任何条款和内容。</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2.1.5投标人应仔细阅读和检查招标文件的全部内容是否齐全，如发现缺页或附件不全等遗漏，应及时向采购代理机构提出并索取补齐，否则责任及风险自负。</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2.2 招标文件的澄清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2.2.1 合规获取招标文件的所有潜在投标人对招标文件如有需澄清的疑问，应在投标人须知前附表规定的时间内，按投标人须知前附表规定通知到采购代理机构。在规定的时间内未提出疑问的，将视为对招标文件的完全认可。</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2.2.2 采购代理机构对潜在投标人在规定的时间内提出的疑问，将按投标人须知前附表规予以答复。</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2.2.3 招标文件中如有不符合国家有关强制性规定、不符合国家标准及行业标准的，投标人应在投标阶段或中标实施阶段予以纠正或尽提醒义务。如作为有经验的投标人（中标人）应当知道而未尽提醒义务的，执行指令而造成的损失及风险由投标人（中标人）承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2.2.4采购代理机构可视情况在投标截止前答疑。</w:t>
      </w:r>
    </w:p>
    <w:p>
      <w:pPr>
        <w:spacing w:line="440" w:lineRule="exact"/>
        <w:ind w:firstLine="422" w:firstLineChars="200"/>
        <w:rPr>
          <w:rFonts w:asciiTheme="minorEastAsia" w:hAnsiTheme="minorEastAsia" w:cstheme="minorEastAsia"/>
          <w:lang w:val="zh-CN"/>
        </w:rPr>
      </w:pPr>
      <w:r>
        <w:rPr>
          <w:rFonts w:hint="eastAsia" w:asciiTheme="minorEastAsia" w:hAnsiTheme="minorEastAsia" w:cstheme="minorEastAsia"/>
          <w:b/>
          <w:bCs/>
          <w:szCs w:val="21"/>
          <w:lang w:val="zh-CN"/>
        </w:rPr>
        <w:t>2.3 招标文件的澄清、修改、补充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采购人、代理机构在投标截止时间前有权澄清修改、补充已发售的招标文件。</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2.4 招标文件的澄清、修改、补充的通知，及相应时间变更</w:t>
      </w:r>
    </w:p>
    <w:p>
      <w:pPr>
        <w:autoSpaceDE w:val="0"/>
        <w:autoSpaceDN w:val="0"/>
        <w:adjustRightInd w:val="0"/>
        <w:snapToGrid w:val="0"/>
        <w:spacing w:line="440" w:lineRule="exact"/>
        <w:ind w:firstLine="420" w:firstLineChars="200"/>
        <w:rPr>
          <w:rFonts w:asciiTheme="minorEastAsia" w:hAnsiTheme="minorEastAsia" w:cstheme="minorEastAsia"/>
          <w:b/>
          <w:bCs/>
          <w:szCs w:val="21"/>
          <w:lang w:val="zh-CN"/>
        </w:rPr>
      </w:pPr>
      <w:r>
        <w:rPr>
          <w:rFonts w:hint="eastAsia" w:asciiTheme="minorEastAsia" w:hAnsiTheme="minorEastAsia" w:cstheme="minorEastAsia"/>
          <w:szCs w:val="21"/>
          <w:lang w:val="zh-CN"/>
        </w:rPr>
        <w:t>2.4.1 招标文件在投标截止时间前的所有澄清、修改（包括时间变更等）、补充事项，均在“招标公告”所述媒体予以公告。</w:t>
      </w:r>
      <w:r>
        <w:rPr>
          <w:rFonts w:hint="eastAsia" w:asciiTheme="minorEastAsia" w:hAnsiTheme="minorEastAsia" w:cstheme="minorEastAsia"/>
          <w:b/>
          <w:bCs/>
          <w:szCs w:val="21"/>
          <w:lang w:val="zh-CN"/>
        </w:rPr>
        <w:t>澄清或修改公告一经在法定网站以公告形式发布，依法视为书面通知，不再另行通知。</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基于网上电子交易的特点—-无权限获知或通知潜在投标人，潜在投标人应随时关注“招标公告”所述媒体相关项目信息（为免各部门网站出现维护等情况，潜在投标人应对“招标公告”所述媒体逐一查阅），如有遗漏，后果自负。</w:t>
      </w:r>
    </w:p>
    <w:p>
      <w:pPr>
        <w:autoSpaceDE w:val="0"/>
        <w:autoSpaceDN w:val="0"/>
        <w:adjustRightInd w:val="0"/>
        <w:snapToGrid w:val="0"/>
        <w:spacing w:line="440" w:lineRule="exact"/>
        <w:ind w:firstLine="420" w:firstLineChars="200"/>
        <w:rPr>
          <w:rFonts w:asciiTheme="minorEastAsia" w:hAnsiTheme="minorEastAsia" w:cstheme="minorEastAsia"/>
          <w:b/>
          <w:szCs w:val="21"/>
          <w:lang w:val="zh-CN"/>
        </w:rPr>
      </w:pPr>
      <w:r>
        <w:rPr>
          <w:rFonts w:hint="eastAsia" w:asciiTheme="minorEastAsia" w:hAnsiTheme="minorEastAsia" w:cstheme="minorEastAsia"/>
          <w:szCs w:val="21"/>
          <w:lang w:val="zh-CN"/>
        </w:rPr>
        <w:t>2.4.2</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招标文件的澄清、修改、补充书构成招标文件的组成部分，并取代招标文件中被澄清、修改处，对所有投标人均有约束力。</w:t>
      </w:r>
    </w:p>
    <w:p>
      <w:pPr>
        <w:autoSpaceDE w:val="0"/>
        <w:autoSpaceDN w:val="0"/>
        <w:adjustRightInd w:val="0"/>
        <w:snapToGrid w:val="0"/>
        <w:spacing w:line="440" w:lineRule="exact"/>
        <w:ind w:firstLine="420" w:firstLineChars="200"/>
        <w:rPr>
          <w:rFonts w:asciiTheme="minorEastAsia" w:hAnsiTheme="minorEastAsia" w:cstheme="minorEastAsia"/>
          <w:sz w:val="24"/>
          <w:szCs w:val="20"/>
        </w:rPr>
      </w:pPr>
      <w:r>
        <w:rPr>
          <w:rFonts w:hint="eastAsia" w:asciiTheme="minorEastAsia" w:hAnsiTheme="minorEastAsia" w:cstheme="minorEastAsia"/>
          <w:szCs w:val="21"/>
          <w:lang w:val="zh-CN"/>
        </w:rPr>
        <w:t>2.4.3 如果投标截止时间前的澄清修改补充发出的时间不满足投标人须知前附表规定时间，并且澄清修改补充内容影响投标文件编制的，代理机构可视采购具体情况延长投标截止时间和开标时间，并将在“招标公告”所述媒体予以公告</w:t>
      </w:r>
      <w:r>
        <w:rPr>
          <w:rFonts w:hint="eastAsia" w:asciiTheme="minorEastAsia" w:hAnsiTheme="minorEastAsia" w:cstheme="minorEastAsia"/>
          <w:sz w:val="24"/>
          <w:lang w:val="zh-CN"/>
        </w:rPr>
        <w:t>。</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27" w:name="_Toc23197"/>
      <w:r>
        <w:rPr>
          <w:rFonts w:hint="eastAsia" w:asciiTheme="minorEastAsia" w:hAnsiTheme="minorEastAsia" w:cstheme="minorEastAsia"/>
          <w:b/>
          <w:bCs/>
          <w:sz w:val="24"/>
          <w:lang w:val="zh-CN"/>
        </w:rPr>
        <w:t>3</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投标文件</w:t>
      </w:r>
      <w:bookmarkEnd w:id="27"/>
    </w:p>
    <w:p>
      <w:pPr>
        <w:autoSpaceDE w:val="0"/>
        <w:autoSpaceDN w:val="0"/>
        <w:adjustRightInd w:val="0"/>
        <w:snapToGrid w:val="0"/>
        <w:spacing w:line="440" w:lineRule="exact"/>
        <w:ind w:firstLine="422" w:firstLineChars="200"/>
        <w:rPr>
          <w:rFonts w:asciiTheme="minorEastAsia" w:hAnsiTheme="minorEastAsia" w:cstheme="minorEastAsia"/>
          <w:b/>
          <w:sz w:val="24"/>
          <w:lang w:val="zh-CN"/>
        </w:rPr>
      </w:pPr>
      <w:r>
        <w:rPr>
          <w:rFonts w:hint="eastAsia" w:asciiTheme="minorEastAsia" w:hAnsiTheme="minorEastAsia" w:cstheme="minorEastAsia"/>
          <w:b/>
          <w:bCs/>
          <w:szCs w:val="21"/>
          <w:lang w:val="zh-CN"/>
        </w:rPr>
        <w:t>3.1　</w:t>
      </w:r>
      <w:r>
        <w:rPr>
          <w:rFonts w:hint="eastAsia" w:asciiTheme="minorEastAsia" w:hAnsiTheme="minorEastAsia" w:cstheme="minorEastAsia"/>
          <w:szCs w:val="21"/>
          <w:lang w:val="zh-CN"/>
        </w:rPr>
        <w:t>投标人应仔细阅读招标文件的所有内容，按招标文件的要求提供投标文件，并保证所提供全部资料的真实性。投标文件应对招标文件实质性要求作出实质性响应。评标委员会对投标文件的有效性、完整性和响应程度进行审查，不满足实质性要求的</w:t>
      </w:r>
      <w:r>
        <w:rPr>
          <w:rFonts w:hint="eastAsia" w:asciiTheme="minorEastAsia" w:hAnsiTheme="minorEastAsia" w:cstheme="minorEastAsia"/>
          <w:b/>
          <w:bCs/>
          <w:szCs w:val="21"/>
          <w:lang w:val="zh-CN"/>
        </w:rPr>
        <w:t>为无效投标。</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3.2 投标文件的组成</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zh-CN"/>
        </w:rPr>
        <w:t>3.2.1 投标文件组成如有缺项，评标委员会按照实质性判断原则（实质性要求和实质性响应两因素）、有权视情况将其作无效投标处理，投标人自负此项风险；投标文件组成内容未对招标文件实质性要求作出实质性响应，评标委员会按照实质性判断原则、视情况将其作无效投标处理，投标人自负此项风险。</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3.2.2投标文件应包括下列内容：</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符合性响应文件</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（1）投标书</w:t>
      </w:r>
    </w:p>
    <w:p>
      <w:pPr>
        <w:tabs>
          <w:tab w:val="left" w:pos="220"/>
          <w:tab w:val="left" w:pos="640"/>
        </w:tabs>
        <w:spacing w:line="351" w:lineRule="atLeast"/>
        <w:ind w:left="419"/>
        <w:jc w:val="left"/>
        <w:rPr>
          <w:rFonts w:ascii="宋体" w:hAnsi="宋体" w:eastAsia="宋体" w:cs="宋体"/>
          <w:bCs/>
          <w:szCs w:val="21"/>
        </w:rPr>
      </w:pPr>
      <w:r>
        <w:rPr>
          <w:rFonts w:hint="eastAsia" w:ascii="宋体" w:hAnsi="宋体" w:eastAsia="宋体" w:cs="宋体"/>
          <w:bCs/>
          <w:szCs w:val="21"/>
        </w:rPr>
        <w:t>（2）开标一览表</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（3）分项报价</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（4）投标产品清单及具体技术参数</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（5）技术偏差表</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（6）其他偏差表（除技术偏差外）</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（7）售后服务计划</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（8）反商业贿赂承诺书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（9）履约承诺书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（10）招投标诚信承诺书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（11）采购人需求的其他材料</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（12）</w:t>
      </w:r>
      <w:r>
        <w:rPr>
          <w:rFonts w:hint="eastAsia" w:ascii="宋体" w:hAnsi="宋体" w:eastAsia="宋体" w:cs="宋体"/>
          <w:bCs/>
          <w:szCs w:val="21"/>
          <w:lang w:eastAsia="zh-CN"/>
        </w:rPr>
        <w:t>投标人</w:t>
      </w:r>
      <w:r>
        <w:rPr>
          <w:rFonts w:hint="eastAsia" w:ascii="宋体" w:hAnsi="宋体" w:eastAsia="宋体" w:cs="宋体"/>
          <w:bCs/>
          <w:szCs w:val="21"/>
        </w:rPr>
        <w:t>须知所需的其他材料</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（13）评审办法所需的其他材料</w:t>
      </w:r>
    </w:p>
    <w:p>
      <w:pPr>
        <w:tabs>
          <w:tab w:val="left" w:pos="220"/>
          <w:tab w:val="left" w:pos="640"/>
        </w:tabs>
        <w:spacing w:line="351" w:lineRule="atLeast"/>
        <w:ind w:left="419"/>
        <w:rPr>
          <w:rFonts w:asciiTheme="minorEastAsia" w:hAnsiTheme="minorEastAsia" w:cstheme="minorEastAsia"/>
          <w:bCs/>
          <w:szCs w:val="21"/>
        </w:rPr>
      </w:pPr>
      <w:r>
        <w:rPr>
          <w:rFonts w:hint="eastAsia" w:ascii="宋体" w:hAnsi="宋体" w:eastAsia="宋体" w:cs="宋体"/>
          <w:bCs/>
          <w:szCs w:val="21"/>
        </w:rPr>
        <w:t>（14）</w:t>
      </w:r>
      <w:r>
        <w:rPr>
          <w:rFonts w:hint="eastAsia" w:ascii="宋体" w:hAnsi="宋体" w:eastAsia="宋体" w:cs="宋体"/>
          <w:bCs/>
          <w:szCs w:val="21"/>
          <w:lang w:val="zh-CN"/>
        </w:rPr>
        <w:t>投标人认为有必要提交的其</w:t>
      </w:r>
      <w:r>
        <w:rPr>
          <w:rFonts w:hint="eastAsia" w:asciiTheme="minorEastAsia" w:hAnsiTheme="minorEastAsia" w:cstheme="minorEastAsia"/>
          <w:bCs/>
          <w:szCs w:val="21"/>
          <w:lang w:val="zh-CN"/>
        </w:rPr>
        <w:t>它材料</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资格性证明文件</w:t>
      </w:r>
    </w:p>
    <w:p>
      <w:pPr>
        <w:tabs>
          <w:tab w:val="left" w:pos="220"/>
          <w:tab w:val="left" w:pos="640"/>
        </w:tabs>
        <w:spacing w:line="351" w:lineRule="atLeast"/>
        <w:ind w:left="419"/>
        <w:rPr>
          <w:rFonts w:ascii="宋体" w:hAnsi="宋体" w:eastAsia="宋体" w:cs="宋体"/>
          <w:bCs/>
          <w:szCs w:val="21"/>
          <w:lang w:val="zh-CN"/>
        </w:rPr>
      </w:pPr>
      <w:r>
        <w:rPr>
          <w:rFonts w:hint="eastAsia" w:ascii="宋体" w:hAnsi="宋体" w:eastAsia="宋体" w:cs="宋体"/>
          <w:bCs/>
          <w:szCs w:val="21"/>
        </w:rPr>
        <w:t>（15）</w:t>
      </w:r>
      <w:r>
        <w:rPr>
          <w:rFonts w:hint="eastAsia" w:ascii="宋体" w:hAnsi="宋体" w:eastAsia="宋体" w:cs="宋体"/>
          <w:bCs/>
          <w:szCs w:val="21"/>
          <w:lang w:val="zh-CN"/>
        </w:rPr>
        <w:t>关于资格的声明函</w:t>
      </w:r>
    </w:p>
    <w:p>
      <w:pPr>
        <w:tabs>
          <w:tab w:val="left" w:pos="220"/>
          <w:tab w:val="left" w:pos="640"/>
        </w:tabs>
        <w:spacing w:line="351" w:lineRule="atLeast"/>
        <w:ind w:left="419"/>
        <w:rPr>
          <w:rFonts w:ascii="宋体" w:hAnsi="宋体" w:eastAsia="宋体" w:cs="宋体"/>
          <w:bCs/>
          <w:szCs w:val="21"/>
          <w:lang w:val="zh-CN"/>
        </w:rPr>
      </w:pPr>
      <w:r>
        <w:rPr>
          <w:rFonts w:hint="eastAsia" w:ascii="宋体" w:hAnsi="宋体" w:eastAsia="宋体" w:cs="宋体"/>
          <w:bCs/>
          <w:szCs w:val="21"/>
        </w:rPr>
        <w:t>（16）</w:t>
      </w:r>
      <w:r>
        <w:rPr>
          <w:rFonts w:hint="eastAsia" w:ascii="宋体" w:hAnsi="宋体" w:eastAsia="宋体" w:cs="宋体"/>
          <w:bCs/>
          <w:szCs w:val="21"/>
          <w:lang w:val="zh-CN"/>
        </w:rPr>
        <w:t>资格要求相关证明材料（文件）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3.2.3</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按照本章第4.3款、第四章第3.3款规定，对投标文件的补充、修改、澄清、说明或者更正构成投标文件的组成部分，并取代投标文件中被澄清、修改处。</w:t>
      </w:r>
    </w:p>
    <w:p>
      <w:pPr>
        <w:autoSpaceDE w:val="0"/>
        <w:autoSpaceDN w:val="0"/>
        <w:adjustRightInd w:val="0"/>
        <w:snapToGrid w:val="0"/>
        <w:spacing w:line="440" w:lineRule="exact"/>
        <w:ind w:firstLine="422" w:firstLineChars="200"/>
        <w:rPr>
          <w:rFonts w:asciiTheme="minorEastAsia" w:hAnsiTheme="minorEastAsia" w:cstheme="minorEastAsia"/>
          <w:szCs w:val="21"/>
          <w:lang w:val="zh-CN"/>
        </w:rPr>
      </w:pPr>
      <w:r>
        <w:rPr>
          <w:rFonts w:hint="eastAsia" w:asciiTheme="minorEastAsia" w:hAnsiTheme="minorEastAsia" w:cstheme="minorEastAsia"/>
          <w:b/>
          <w:bCs/>
          <w:szCs w:val="21"/>
          <w:lang w:val="zh-CN"/>
        </w:rPr>
        <w:t>3.3 投标报价</w:t>
      </w:r>
      <w:r>
        <w:rPr>
          <w:rFonts w:hint="eastAsia" w:asciiTheme="minorEastAsia" w:hAnsiTheme="minorEastAsia" w:cstheme="minorEastAsia"/>
          <w:szCs w:val="21"/>
          <w:lang w:val="zh-CN"/>
        </w:rPr>
        <w:t>（价格构成）：见第二章1.3款。</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3.4 投标有效期</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3.4.1</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有效期见投标人须知前附表。投标有效期从提交投标文件的截止之日起算。投标文件中承诺的投标有效期应当不少于招标文件中载明的投标有效期。投标文件在投标有效期内保持不变（包括价格等投标文件各项条款）。</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3.4.2</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在投标有效期内，投标人撤销或修改其投标文件的，应承担招标文件和法律规定的责任。</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lang w:val="zh-CN"/>
        </w:rPr>
        <w:t>3.5</w:t>
      </w:r>
      <w:r>
        <w:rPr>
          <w:rFonts w:hint="eastAsia" w:asciiTheme="minorEastAsia" w:hAnsiTheme="minorEastAsia" w:cstheme="minorEastAsia"/>
          <w:b/>
          <w:bCs/>
          <w:szCs w:val="21"/>
        </w:rPr>
        <w:t xml:space="preserve">  3.5 投标承诺函（替代投标保证金）：</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3.5.1 按照豫财购〔2019〕4 号文件规定，本项目以投标承诺函的形式替代投标保证金，投标人应按附件格式进行投标承诺，违背承诺的将承担相应的法律责任及违约责任。</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3.5.2 未提供投标承诺函的为无效投标。</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3.5.3 投标人的投标承诺函包含投标人承诺的事项及违背承诺的责任追究措施。</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 承诺事项：</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3.5.4.1投标人应遵循公开、公平、公正和诚实信用的原则自愿参加项目的投标；</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3.5.4.2投标人在政府采购活动中应提供真实、准确、有效、合法的材料，不提供虚假材料；</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3.5.4.3投标人按照招标文件规定，在提交投标文件截止时间后，在招标文件规定的投标有效期限内不应撤回投标文件；</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3.5.4.4不应与其他投标人、采购人或采购代理机构串通或恶意串通。</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3.5.4.5中标后除不可抗拒力或招标文件认可的情形外，投标人应及时领取中标通知书，在成交通知书规定时间、地点与采购人签订合同；</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3.5.4.6投标人应遵守法律法规及招标文件规定的其他情况；</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3.5.4.7投标人应按招标文件规定及时缴纳中标服务费。</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 违背承诺的责任追究措施</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投标人如违背上述承诺事项，应无条件接受以下责任追究：</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3.5.5.1 法定责任：按照政府采购相关法规，处以罚款，列入不良行为记录名单，</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在一至三年内禁止参加政府采购活动，有违法所得的，并处没收违法所得，情节严重的，由工商行政管理机关（市场监督机关）吊销营业执照；构成犯罪的，依法追究刑事责任。给采购人及他人造成损失的，应承担相应的赔偿责任。</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 违约责任：</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3.5.5.2.1 已中标的，中标（成交）无效；</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3.5.5.2.2 支付采购人违约标的预算金额 2%的违约金；</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3.5.5.2.3 中标后未缴中标服务费的，作为违约及违背诚实信用原则，在履行承诺前，代理机构将视该单位为失信企业、不予办理其后相关业务。</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lang w:val="zh-CN"/>
        </w:rPr>
        <w:t>3.6 投标资格文件：</w:t>
      </w:r>
      <w:r>
        <w:rPr>
          <w:rFonts w:hint="eastAsia" w:asciiTheme="minorEastAsia" w:hAnsiTheme="minorEastAsia" w:cstheme="minorEastAsia"/>
          <w:szCs w:val="21"/>
          <w:lang w:val="zh-CN"/>
        </w:rPr>
        <w:t>要求见招标公告</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3.7</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投标文件的编制</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zh-CN"/>
        </w:rPr>
        <w:t>3.7.1</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投标文件应按第六章“投标文件格式”进行编写，如有必要，可以增加附页，作为投标文件的组成部分。招标文件中未列明格式的，由投标人按一般通用格式自行设计编写。</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投标文件编制后，需导入招标公告所述 “安阳市政府采购投标文件编制系统”，经电子签名并加密后、在投标文件提交截止时间前，上传至招标公告所述网上电子交易系统。</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3.7.2 “投标文件格式”仅为对投标文件部分内容的格式化规范，并非投标文件所应具备的全部内容。投标人应按本章“3.2投标文件的组成”列示内容编制投标文件。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3.7.3</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投标文件应当对招标文件有关标段内容（范围）、采购需求（技术要求、服务期等）、投标有效期等实质性内容作出响应。在满足招标文件实质性要求的基础上，可以提出比招标文件要求更有利于采购人的承诺。</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投标文件的所有条款与招标文件要求有任何不同之处，应按《偏差表》格式逐一填列。投标文件与招标文件所有要求存在偏差而未填列的，评标委员会有权按照实质性判断原则（实质性要求和实质性响应两因素）评定其为</w:t>
      </w:r>
      <w:r>
        <w:rPr>
          <w:rFonts w:hint="eastAsia" w:asciiTheme="minorEastAsia" w:hAnsiTheme="minorEastAsia" w:cstheme="minorEastAsia"/>
          <w:b/>
          <w:bCs/>
          <w:szCs w:val="21"/>
          <w:lang w:val="zh-CN"/>
        </w:rPr>
        <w:t>无效投标。</w:t>
      </w:r>
      <w:r>
        <w:rPr>
          <w:rFonts w:hint="eastAsia" w:asciiTheme="minorEastAsia" w:hAnsiTheme="minorEastAsia" w:cstheme="minorEastAsia"/>
          <w:szCs w:val="21"/>
          <w:lang w:val="zh-CN"/>
        </w:rPr>
        <w:t>投标人应认真编制投标文件并自负此项风险。</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3.7.4</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投标文件应按招标文件相关要求（含格式上标注的要求）、使用投标人企业数字证书进行电子签章和投标人法定代表人数字证书进行电子签名、并加密，没有使用投标人企业数字证书和投标人法定代表人数字证书进行电子签名并加密的投标文件，属于未按照招标文件要求进行签署。</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根据《中华人民共和国电子签名法》规定，可靠的电子签名与手写签名或者盖章具有同等的法律效力。本次采购活动中，投标人使用有效的企业数字证书对投标文件进行电子签章与加盖投标人公章具有同等法律效力；投标人法定代表人使用有效的个人数字证书对投标文件进行签名与法人签章具有同等法律效力。</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3.7.5</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投标人可对本招标文件中所列的所有标段进行分别投标，也可选择其中一个标段或几个标段投标，但不得将招标文件规定的同一标段的内容拆开投标，否则将按</w:t>
      </w:r>
      <w:r>
        <w:rPr>
          <w:rFonts w:hint="eastAsia" w:asciiTheme="minorEastAsia" w:hAnsiTheme="minorEastAsia" w:cstheme="minorEastAsia"/>
          <w:b/>
          <w:bCs/>
          <w:szCs w:val="21"/>
          <w:lang w:val="zh-CN"/>
        </w:rPr>
        <w:t>无效投标</w:t>
      </w:r>
      <w:r>
        <w:rPr>
          <w:rFonts w:hint="eastAsia" w:asciiTheme="minorEastAsia" w:hAnsiTheme="minorEastAsia" w:cstheme="minorEastAsia"/>
          <w:szCs w:val="21"/>
          <w:lang w:val="zh-CN"/>
        </w:rPr>
        <w:t>处理。</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3.7.6 投标文件因字迹或表述不清所引起的后果由投标人自行负责。</w:t>
      </w:r>
    </w:p>
    <w:p>
      <w:pPr>
        <w:autoSpaceDE w:val="0"/>
        <w:autoSpaceDN w:val="0"/>
        <w:adjustRightInd w:val="0"/>
        <w:snapToGrid w:val="0"/>
        <w:spacing w:line="440" w:lineRule="exact"/>
        <w:ind w:firstLine="420" w:firstLineChars="200"/>
        <w:rPr>
          <w:rFonts w:asciiTheme="minorEastAsia" w:hAnsiTheme="minorEastAsia" w:cstheme="minorEastAsia"/>
          <w:b/>
          <w:bCs/>
          <w:szCs w:val="21"/>
          <w:lang w:val="zh-CN"/>
        </w:rPr>
      </w:pPr>
      <w:r>
        <w:rPr>
          <w:rFonts w:hint="eastAsia" w:asciiTheme="minorEastAsia" w:hAnsiTheme="minorEastAsia" w:cstheme="minorEastAsia"/>
          <w:szCs w:val="21"/>
          <w:lang w:val="zh-CN"/>
        </w:rPr>
        <w:t>3.7.7 未按上述要求提供的投标文件将视为</w:t>
      </w:r>
      <w:r>
        <w:rPr>
          <w:rFonts w:hint="eastAsia" w:asciiTheme="minorEastAsia" w:hAnsiTheme="minorEastAsia" w:cstheme="minorEastAsia"/>
          <w:b/>
          <w:bCs/>
          <w:szCs w:val="21"/>
          <w:lang w:val="zh-CN"/>
        </w:rPr>
        <w:t>无效投标。</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28" w:name="_Toc21325"/>
      <w:r>
        <w:rPr>
          <w:rFonts w:hint="eastAsia" w:asciiTheme="minorEastAsia" w:hAnsiTheme="minorEastAsia" w:cstheme="minorEastAsia"/>
          <w:b/>
          <w:bCs/>
          <w:sz w:val="24"/>
          <w:lang w:val="zh-CN"/>
        </w:rPr>
        <w:t>4</w:t>
      </w:r>
      <w:r>
        <w:rPr>
          <w:rFonts w:hint="eastAsia" w:asciiTheme="minorEastAsia" w:hAnsiTheme="minorEastAsia" w:cstheme="minorEastAsia"/>
          <w:b/>
          <w:bCs/>
          <w:sz w:val="24"/>
        </w:rPr>
        <w:t xml:space="preserve">. </w:t>
      </w:r>
      <w:r>
        <w:rPr>
          <w:rFonts w:hint="eastAsia" w:asciiTheme="minorEastAsia" w:hAnsiTheme="minorEastAsia" w:cstheme="minorEastAsia"/>
          <w:b/>
          <w:bCs/>
          <w:sz w:val="24"/>
          <w:lang w:val="zh-CN"/>
        </w:rPr>
        <w:t>投标</w:t>
      </w:r>
      <w:bookmarkEnd w:id="28"/>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4.1 投标文件的密封和标记：</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bookmarkStart w:id="29" w:name="OLE_LINK2"/>
      <w:r>
        <w:rPr>
          <w:rFonts w:hint="eastAsia" w:asciiTheme="minorEastAsia" w:hAnsiTheme="minorEastAsia" w:cstheme="minorEastAsia"/>
          <w:b/>
          <w:bCs/>
          <w:szCs w:val="21"/>
          <w:lang w:val="zh-CN"/>
        </w:rPr>
        <w:t>4.1.1 投标文件应当按网上电子交易系统要求进行加密和标记，在投标文件提交截止时间前，将加密的投标文件上传至招标公告所述网上电子交易系统。</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bookmarkStart w:id="30" w:name="OLE_LINK1"/>
      <w:r>
        <w:rPr>
          <w:rFonts w:hint="eastAsia" w:asciiTheme="minorEastAsia" w:hAnsiTheme="minorEastAsia" w:cstheme="minorEastAsia"/>
          <w:b/>
          <w:bCs/>
          <w:szCs w:val="21"/>
          <w:lang w:val="zh-CN"/>
        </w:rPr>
        <w:t>4.1.2 投标文件没有按照上述要求进行加密和标记的、网上电子交易系统将据系统设定拒收其投标文件，投标人应自负该项风险，采购代理机构对可能产生的误投或提前启封概不负责。</w:t>
      </w:r>
      <w:bookmarkEnd w:id="30"/>
    </w:p>
    <w:bookmarkEnd w:id="29"/>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 投标文件的递交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4.2.1 投标人须在投标文件提交截止时间前，将加密的投标文件上传至招标公告所述网上电子交易系统（在网上电子交易系统，凭企业数字证书登录投标用户入口的“政府采购”系统上传）。投标人应在上传时认真检查上传投标文件是否完整、正确。</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4.2.2 据网上电子交易系统设定，投标文件提交截止时间后，系统将自动锁定已经提交的电子投标文件，拒绝再次提交。投标人将无法通过网上电子交易系统进行上传，采购代理机构将无法接受并拒绝接受投标截止时间以后提交的投标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4.2.3 由于不可抗拒的原因，代理机构对投标文件的遗失和损坏不负任何责任。</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4.2.4 除投标人须知前附表另有规定外，投标人所递交的投标文件不予退还。</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4.2.5 基于网上电子交易的系统要求及特点，只接受基于符合网上电子交易系统要求的投标，其他如纸制、送达、电报、电话、电子邮件等形式的投标概不接受。</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4.3 投标文件的修改与撤回：</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4.3.1 投标人于提交投标文件截止时间前如对投标文件进行补充、修改，可以上传新的投标文件进行覆盖。投标人如撤回投标文件，应及时书面通知采购代理机构进行办理。</w:t>
      </w:r>
    </w:p>
    <w:p>
      <w:pPr>
        <w:autoSpaceDE w:val="0"/>
        <w:autoSpaceDN w:val="0"/>
        <w:adjustRightInd w:val="0"/>
        <w:snapToGrid w:val="0"/>
        <w:spacing w:line="440" w:lineRule="exact"/>
        <w:ind w:firstLine="422" w:firstLineChars="200"/>
        <w:rPr>
          <w:rFonts w:asciiTheme="minorEastAsia" w:hAnsiTheme="minorEastAsia" w:cstheme="minorEastAsia"/>
          <w:sz w:val="24"/>
          <w:szCs w:val="20"/>
        </w:rPr>
      </w:pPr>
      <w:r>
        <w:rPr>
          <w:rFonts w:hint="eastAsia" w:asciiTheme="minorEastAsia" w:hAnsiTheme="minorEastAsia" w:cstheme="minorEastAsia"/>
          <w:b/>
          <w:bCs/>
          <w:szCs w:val="21"/>
          <w:lang w:val="zh-CN"/>
        </w:rPr>
        <w:t>4.3.2 投标人在投标文件提交截止时间后不得自行修改或撤回其投标。</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31" w:name="_Toc8395972"/>
      <w:bookmarkStart w:id="32" w:name="_Toc2256"/>
      <w:r>
        <w:rPr>
          <w:rFonts w:hint="eastAsia" w:asciiTheme="minorEastAsia" w:hAnsiTheme="minorEastAsia" w:cstheme="minorEastAsia"/>
          <w:b/>
          <w:bCs/>
          <w:sz w:val="24"/>
          <w:lang w:val="zh-CN"/>
        </w:rPr>
        <w:t>5</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开标</w:t>
      </w:r>
      <w:bookmarkEnd w:id="31"/>
      <w:bookmarkEnd w:id="32"/>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 开标时间和地点</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5.1.1 采购人和采购代理机构按招标公告规定的时间和地点于网上（招标公告所述网上电子交易系统）公开开标。</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5.1.2 投标人需在开标前打开招标公告所述网上电子交易系统，凭企业数字证书登录投标用户入口 的“政府采购”系统，并进入本项目相匹配的网上开标室。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 开标程序</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5.2.1 本项目为网上电子交易方式，投标文件的开启方式为远程解密，为保证开标工作顺利进行，投标人需在开标阶段、在管理员下达解密指令后的指定时限内，完成对本单位的加密投标文件的远程解密。如投标人因自身原因、在指定时限内没有解密成功的，其投标将不能被接受，投标人自行承担相应后果。解密完成后，投标人的报价将在系统界面上显示。</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鉴于网上电子交易方式的特点，管理员将根据系统情况下达解密指令。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5.2.2 投标人对开标过程和开标记录有疑义，以及认为采购人、采购代理机构相关工作人员有需要回避的情形的，应在系统中提出询问或者回避申请，否则，视为对开标无异议。</w:t>
      </w:r>
    </w:p>
    <w:p>
      <w:pPr>
        <w:autoSpaceDE w:val="0"/>
        <w:autoSpaceDN w:val="0"/>
        <w:adjustRightInd w:val="0"/>
        <w:snapToGrid w:val="0"/>
        <w:spacing w:line="440" w:lineRule="exact"/>
        <w:ind w:firstLine="422" w:firstLineChars="200"/>
        <w:rPr>
          <w:rFonts w:asciiTheme="minorEastAsia" w:hAnsiTheme="minorEastAsia" w:cstheme="minorEastAsia"/>
          <w:sz w:val="24"/>
          <w:szCs w:val="20"/>
        </w:rPr>
      </w:pPr>
      <w:r>
        <w:rPr>
          <w:rFonts w:hint="eastAsia" w:asciiTheme="minorEastAsia" w:hAnsiTheme="minorEastAsia" w:cstheme="minorEastAsia"/>
          <w:b/>
          <w:bCs/>
          <w:szCs w:val="21"/>
          <w:lang w:val="zh-CN"/>
        </w:rPr>
        <w:t>5.2.3 投标人不足3家的，将不予开标。</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rPr>
        <w:t>5.2.4</w:t>
      </w:r>
      <w:r>
        <w:rPr>
          <w:rFonts w:hint="eastAsia" w:asciiTheme="minorEastAsia" w:hAnsiTheme="minorEastAsia" w:cstheme="minorEastAsia"/>
          <w:b/>
          <w:bCs/>
          <w:szCs w:val="21"/>
          <w:lang w:eastAsia="zh-CN"/>
        </w:rPr>
        <w:t>投标人</w:t>
      </w:r>
      <w:r>
        <w:rPr>
          <w:rFonts w:hint="eastAsia" w:asciiTheme="minorEastAsia" w:hAnsiTheme="minorEastAsia" w:cstheme="minorEastAsia"/>
          <w:b/>
          <w:bCs/>
          <w:szCs w:val="21"/>
        </w:rPr>
        <w:t>未参加开标的，视同认可开标结果。</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33" w:name="_Toc68700218"/>
      <w:bookmarkStart w:id="34" w:name="_Toc57385993"/>
      <w:bookmarkStart w:id="35" w:name="_Toc16194"/>
      <w:r>
        <w:rPr>
          <w:rFonts w:hint="eastAsia" w:asciiTheme="minorEastAsia" w:hAnsiTheme="minorEastAsia" w:cstheme="minorEastAsia"/>
          <w:b/>
          <w:bCs/>
          <w:sz w:val="24"/>
          <w:lang w:val="zh-CN"/>
        </w:rPr>
        <w:t xml:space="preserve">6 </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资格性审查</w:t>
      </w:r>
      <w:bookmarkEnd w:id="33"/>
      <w:bookmarkEnd w:id="34"/>
      <w:bookmarkEnd w:id="35"/>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asciiTheme="minorEastAsia" w:hAnsiTheme="minorEastAsia" w:cstheme="minorEastAsia"/>
          <w:b/>
          <w:bCs/>
          <w:szCs w:val="21"/>
          <w:lang w:val="zh-CN"/>
        </w:rPr>
        <w:t>6.1 资格性审查环节</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公开招标采购项目开标结束后，采购人或者采购代理机构将依法对投标人的资格进行审查。</w:t>
      </w:r>
    </w:p>
    <w:p>
      <w:pPr>
        <w:autoSpaceDE w:val="0"/>
        <w:autoSpaceDN w:val="0"/>
        <w:adjustRightInd w:val="0"/>
        <w:snapToGrid w:val="0"/>
        <w:spacing w:line="440" w:lineRule="exact"/>
        <w:ind w:firstLine="420"/>
        <w:rPr>
          <w:rFonts w:asciiTheme="minorEastAsia" w:hAnsiTheme="minorEastAsia" w:cstheme="minorEastAsia"/>
          <w:b/>
          <w:bCs/>
          <w:szCs w:val="21"/>
          <w:lang w:val="zh-CN"/>
        </w:rPr>
      </w:pPr>
      <w:r>
        <w:rPr>
          <w:rFonts w:hint="eastAsia" w:asciiTheme="minorEastAsia" w:hAnsiTheme="minorEastAsia" w:cstheme="minorEastAsia"/>
          <w:b/>
          <w:bCs/>
          <w:szCs w:val="21"/>
          <w:lang w:val="zh-CN"/>
        </w:rPr>
        <w:t>6.2 资格性审查内容</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1</w:t>
      </w:r>
      <w:r>
        <w:rPr>
          <w:rFonts w:hint="eastAsia" w:cs="楷体_GB2312" w:asciiTheme="minorEastAsia" w:hAnsiTheme="minorEastAsia"/>
          <w:szCs w:val="21"/>
          <w:lang w:val="zh-CN"/>
        </w:rPr>
        <w:t>）按照第一章“招标公告”第</w:t>
      </w:r>
      <w:r>
        <w:rPr>
          <w:rFonts w:cs="楷体_GB2312" w:asciiTheme="minorEastAsia" w:hAnsiTheme="minorEastAsia"/>
          <w:szCs w:val="21"/>
          <w:lang w:val="zh-CN"/>
        </w:rPr>
        <w:t>2</w:t>
      </w:r>
      <w:r>
        <w:rPr>
          <w:rFonts w:hint="eastAsia" w:cs="楷体_GB2312" w:asciiTheme="minorEastAsia" w:hAnsiTheme="minorEastAsia"/>
          <w:szCs w:val="21"/>
          <w:lang w:val="zh-CN"/>
        </w:rPr>
        <w:t>条各项资格要求规定，审查投标人是否符合第一章“招标公告”第</w:t>
      </w:r>
      <w:r>
        <w:rPr>
          <w:rFonts w:cs="楷体_GB2312" w:asciiTheme="minorEastAsia" w:hAnsiTheme="minorEastAsia"/>
          <w:szCs w:val="21"/>
          <w:lang w:val="zh-CN"/>
        </w:rPr>
        <w:t>2</w:t>
      </w:r>
      <w:r>
        <w:rPr>
          <w:rFonts w:hint="eastAsia" w:cs="楷体_GB2312" w:asciiTheme="minorEastAsia" w:hAnsiTheme="minorEastAsia"/>
          <w:szCs w:val="21"/>
          <w:lang w:val="zh-CN"/>
        </w:rPr>
        <w:t>条各项资格要求及所需证件材料、证明材料要求，不符合的、投标无效。</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2</w:t>
      </w:r>
      <w:r>
        <w:rPr>
          <w:rFonts w:hint="eastAsia" w:cs="楷体_GB2312" w:asciiTheme="minorEastAsia" w:hAnsiTheme="minorEastAsia"/>
          <w:szCs w:val="21"/>
          <w:lang w:val="zh-CN"/>
        </w:rPr>
        <w:t>）投标</w:t>
      </w:r>
      <w:r>
        <w:rPr>
          <w:rFonts w:hint="eastAsia" w:cs="楷体_GB2312" w:asciiTheme="minorEastAsia" w:hAnsiTheme="minorEastAsia"/>
          <w:szCs w:val="21"/>
        </w:rPr>
        <w:t>承诺函（替代投标</w:t>
      </w:r>
      <w:r>
        <w:rPr>
          <w:rFonts w:hint="eastAsia" w:cs="楷体_GB2312" w:asciiTheme="minorEastAsia" w:hAnsiTheme="minorEastAsia"/>
          <w:szCs w:val="21"/>
          <w:lang w:val="zh-CN"/>
        </w:rPr>
        <w:t>保证金</w:t>
      </w:r>
      <w:r>
        <w:rPr>
          <w:rFonts w:hint="eastAsia" w:cs="楷体_GB2312" w:asciiTheme="minorEastAsia" w:hAnsiTheme="minorEastAsia"/>
          <w:szCs w:val="21"/>
        </w:rPr>
        <w:t>）</w:t>
      </w:r>
      <w:r>
        <w:rPr>
          <w:rFonts w:hint="eastAsia" w:cs="楷体_GB2312" w:asciiTheme="minorEastAsia" w:hAnsiTheme="minorEastAsia"/>
          <w:szCs w:val="21"/>
          <w:lang w:val="zh-CN"/>
        </w:rPr>
        <w:t>。按照招标文件第三章“投标人须知”</w:t>
      </w:r>
      <w:r>
        <w:rPr>
          <w:rFonts w:cs="楷体_GB2312" w:asciiTheme="minorEastAsia" w:hAnsiTheme="minorEastAsia"/>
          <w:szCs w:val="21"/>
          <w:lang w:val="zh-CN"/>
        </w:rPr>
        <w:t>3.5</w:t>
      </w:r>
      <w:r>
        <w:rPr>
          <w:rFonts w:hint="eastAsia" w:cs="楷体_GB2312" w:asciiTheme="minorEastAsia" w:hAnsiTheme="minorEastAsia"/>
          <w:szCs w:val="21"/>
          <w:lang w:val="zh-CN"/>
        </w:rPr>
        <w:t>款规定审查，不符合的、投标无效。</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3</w:t>
      </w:r>
      <w:r>
        <w:rPr>
          <w:rFonts w:hint="eastAsia" w:cs="楷体_GB2312" w:asciiTheme="minorEastAsia" w:hAnsiTheme="minorEastAsia"/>
          <w:szCs w:val="21"/>
          <w:lang w:val="zh-CN"/>
        </w:rPr>
        <w:t>）招标公告、资格预审公告或者投标邀请书中载明接受联合体投标的，按照招标文件第三章“投标人须知”</w:t>
      </w:r>
      <w:r>
        <w:rPr>
          <w:rFonts w:cs="楷体_GB2312" w:asciiTheme="minorEastAsia" w:hAnsiTheme="minorEastAsia"/>
          <w:szCs w:val="21"/>
          <w:lang w:val="zh-CN"/>
        </w:rPr>
        <w:t>1.4</w:t>
      </w:r>
      <w:r>
        <w:rPr>
          <w:rFonts w:hint="eastAsia" w:cs="楷体_GB2312" w:asciiTheme="minorEastAsia" w:hAnsiTheme="minorEastAsia"/>
          <w:szCs w:val="21"/>
          <w:lang w:val="zh-CN"/>
        </w:rPr>
        <w:t>款规定进行审查，不符合的、投标无效。</w:t>
      </w:r>
    </w:p>
    <w:p>
      <w:pPr>
        <w:autoSpaceDE w:val="0"/>
        <w:autoSpaceDN w:val="0"/>
        <w:adjustRightInd w:val="0"/>
        <w:snapToGrid w:val="0"/>
        <w:spacing w:line="440" w:lineRule="exact"/>
        <w:ind w:firstLine="420"/>
        <w:rPr>
          <w:rFonts w:asciiTheme="minorEastAsia" w:hAnsiTheme="minorEastAsia" w:cstheme="minorEastAsia"/>
          <w:b/>
          <w:bCs/>
          <w:szCs w:val="21"/>
          <w:lang w:val="zh-CN"/>
        </w:rPr>
      </w:pPr>
      <w:r>
        <w:rPr>
          <w:rFonts w:hint="eastAsia" w:asciiTheme="minorEastAsia" w:hAnsiTheme="minorEastAsia" w:cstheme="minorEastAsia"/>
          <w:b/>
          <w:bCs/>
          <w:szCs w:val="21"/>
          <w:lang w:val="zh-CN"/>
        </w:rPr>
        <w:t>6.3 资格性审查结果</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cs="楷体_GB2312" w:asciiTheme="minorEastAsia" w:hAnsiTheme="minorEastAsia"/>
          <w:szCs w:val="21"/>
          <w:lang w:val="zh-CN"/>
        </w:rPr>
        <w:t xml:space="preserve">6.3.1 </w:t>
      </w:r>
      <w:r>
        <w:rPr>
          <w:rFonts w:hint="eastAsia" w:cs="楷体_GB2312" w:asciiTheme="minorEastAsia" w:hAnsiTheme="minorEastAsia"/>
          <w:szCs w:val="21"/>
          <w:lang w:val="zh-CN"/>
        </w:rPr>
        <w:t>对未通过资格审查的投标人，将告知其未通过的原因。</w:t>
      </w:r>
    </w:p>
    <w:p>
      <w:pPr>
        <w:autoSpaceDE w:val="0"/>
        <w:autoSpaceDN w:val="0"/>
        <w:adjustRightInd w:val="0"/>
        <w:snapToGrid w:val="0"/>
        <w:spacing w:line="440" w:lineRule="exact"/>
        <w:ind w:firstLine="420"/>
        <w:rPr>
          <w:rFonts w:cs="楷体_GB2312" w:asciiTheme="minorEastAsia" w:hAnsiTheme="minorEastAsia"/>
          <w:sz w:val="24"/>
          <w:lang w:val="zh-CN"/>
        </w:rPr>
      </w:pPr>
      <w:r>
        <w:rPr>
          <w:rFonts w:cs="楷体_GB2312" w:asciiTheme="minorEastAsia" w:hAnsiTheme="minorEastAsia"/>
          <w:szCs w:val="21"/>
          <w:lang w:val="zh-CN"/>
        </w:rPr>
        <w:t>6.3.2</w:t>
      </w:r>
      <w:r>
        <w:rPr>
          <w:rFonts w:hint="eastAsia" w:cs="楷体_GB2312" w:asciiTheme="minorEastAsia" w:hAnsiTheme="minorEastAsia"/>
          <w:szCs w:val="21"/>
          <w:lang w:val="zh-CN"/>
        </w:rPr>
        <w:t xml:space="preserve"> 资格性审查合格投标人不足3家的，将不再评标。</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6" w:name="_Toc13804"/>
      <w:r>
        <w:rPr>
          <w:rFonts w:hint="eastAsia" w:asciiTheme="minorEastAsia" w:hAnsiTheme="minorEastAsia" w:cstheme="minorEastAsia"/>
          <w:b/>
          <w:bCs/>
          <w:sz w:val="24"/>
        </w:rPr>
        <w:t>7.</w:t>
      </w:r>
      <w:r>
        <w:rPr>
          <w:rFonts w:hint="eastAsia" w:asciiTheme="minorEastAsia" w:hAnsiTheme="minorEastAsia" w:cstheme="minorEastAsia"/>
          <w:b/>
          <w:bCs/>
          <w:sz w:val="24"/>
          <w:lang w:val="zh-CN"/>
        </w:rPr>
        <w:t xml:space="preserve"> 评审</w:t>
      </w:r>
      <w:bookmarkEnd w:id="36"/>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rPr>
        <w:t>7</w:t>
      </w:r>
      <w:r>
        <w:rPr>
          <w:rFonts w:hint="eastAsia" w:asciiTheme="minorEastAsia" w:hAnsiTheme="minorEastAsia" w:cstheme="minorEastAsia"/>
          <w:b/>
          <w:bCs/>
          <w:szCs w:val="21"/>
          <w:lang w:val="zh-CN"/>
        </w:rPr>
        <w:t>.1 评标委员会</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lang w:val="zh-CN"/>
        </w:rPr>
        <w:t>评标工作由依法组建的评标委员会负责。评标委员会由采购人代表和评审专家共</w:t>
      </w:r>
      <w:r>
        <w:rPr>
          <w:rFonts w:hint="eastAsia" w:asciiTheme="minorEastAsia" w:hAnsiTheme="minorEastAsia" w:cstheme="minorEastAsia"/>
          <w:szCs w:val="21"/>
        </w:rPr>
        <w:t>5</w:t>
      </w:r>
      <w:r>
        <w:rPr>
          <w:rFonts w:hint="eastAsia" w:asciiTheme="minorEastAsia" w:hAnsiTheme="minorEastAsia" w:cstheme="minorEastAsia"/>
          <w:szCs w:val="21"/>
          <w:lang w:val="zh-CN"/>
        </w:rPr>
        <w:t>人以上单数组成，其中评审专家人数不少于评标委员会成员总数的2/3，评审专家是在监督部门监督下从政府采购专家库中随机抽取产生。</w:t>
      </w:r>
      <w:r>
        <w:rPr>
          <w:rFonts w:hint="eastAsia" w:asciiTheme="minorEastAsia" w:hAnsiTheme="minorEastAsia" w:cstheme="minorEastAsia"/>
          <w:szCs w:val="21"/>
        </w:rPr>
        <w:t xml:space="preserve">        </w:t>
      </w:r>
    </w:p>
    <w:p>
      <w:pPr>
        <w:pStyle w:val="5"/>
        <w:spacing w:after="0" w:line="440" w:lineRule="exact"/>
        <w:ind w:firstLine="422" w:firstLineChars="200"/>
        <w:rPr>
          <w:rFonts w:asciiTheme="minorEastAsia" w:hAnsiTheme="minorEastAsia" w:eastAsiaTheme="minorEastAsia" w:cstheme="minorEastAsia"/>
        </w:rPr>
      </w:pPr>
      <w:r>
        <w:rPr>
          <w:rFonts w:hint="eastAsia" w:asciiTheme="minorEastAsia" w:hAnsiTheme="minorEastAsia" w:eastAsiaTheme="minorEastAsia" w:cstheme="minorEastAsia"/>
          <w:b/>
          <w:bCs/>
          <w:szCs w:val="21"/>
        </w:rPr>
        <w:t>7.2评审原则</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.2.1 坚持公开、公平、公正地对待所有投标人。</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.2.2 按照同一评审程序及方法审查所有投标人的投标文件。</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.2.3 反对不正当竞争。</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7</w:t>
      </w:r>
      <w:r>
        <w:rPr>
          <w:rFonts w:hint="eastAsia" w:asciiTheme="minorEastAsia" w:hAnsiTheme="minorEastAsia" w:eastAsiaTheme="minorEastAsia" w:cstheme="minorEastAsia"/>
          <w:b/>
          <w:bCs/>
          <w:szCs w:val="21"/>
          <w:lang w:val="zh-CN"/>
        </w:rPr>
        <w:t>.3 评审</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.3.1评审工作在评标委员会内独立进行。评标委员会按照第四章“评标办法”规定的方法、评审因素、标准和程序对投标文件进行评审。第四章“评标办法”没有规定的方法、评审因素和标准，不作为评审依据。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7.3.2 评标中因评标委员会成员缺席、回避或者健康等特殊原因导致评标委员会组成不符政府采购法规规定的，无法及时补足评标委员会成员的，采购代理机构将停止评标活动，封存所有投标文件和开标、评标资料，依法重新组建评标委员会进行评标。原评标委员会所作出的评标意见无效。</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7</w:t>
      </w:r>
      <w:r>
        <w:rPr>
          <w:rFonts w:hint="eastAsia" w:asciiTheme="minorEastAsia" w:hAnsiTheme="minorEastAsia" w:cstheme="minorEastAsia"/>
          <w:szCs w:val="21"/>
          <w:lang w:val="zh-CN"/>
        </w:rPr>
        <w:t>.3.</w:t>
      </w:r>
      <w:r>
        <w:rPr>
          <w:rFonts w:hint="eastAsia" w:asciiTheme="minorEastAsia" w:hAnsiTheme="minorEastAsia" w:cstheme="minorEastAsia"/>
          <w:szCs w:val="21"/>
        </w:rPr>
        <w:t xml:space="preserve">3 </w:t>
      </w:r>
      <w:r>
        <w:rPr>
          <w:rFonts w:hint="eastAsia" w:asciiTheme="minorEastAsia" w:hAnsiTheme="minorEastAsia" w:cstheme="minorEastAsia"/>
          <w:szCs w:val="21"/>
          <w:lang w:val="zh-CN"/>
        </w:rPr>
        <w:t>在开标、评审期间，投标人不得向评标委员会成员询问情况，不得进行旨在影响评审结果的活动。</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7" w:name="_Toc8395975"/>
      <w:bookmarkStart w:id="38" w:name="_Toc26399"/>
      <w:r>
        <w:rPr>
          <w:rFonts w:hint="eastAsia" w:asciiTheme="minorEastAsia" w:hAnsiTheme="minorEastAsia" w:cstheme="minorEastAsia"/>
          <w:b/>
          <w:bCs/>
          <w:sz w:val="24"/>
        </w:rPr>
        <w:t>8.</w:t>
      </w:r>
      <w:r>
        <w:rPr>
          <w:rFonts w:hint="eastAsia" w:asciiTheme="minorEastAsia" w:hAnsiTheme="minorEastAsia" w:cstheme="minorEastAsia"/>
          <w:b/>
          <w:bCs/>
          <w:sz w:val="24"/>
          <w:lang w:val="zh-CN"/>
        </w:rPr>
        <w:t xml:space="preserve"> 授予合同</w:t>
      </w:r>
      <w:bookmarkEnd w:id="37"/>
      <w:bookmarkEnd w:id="38"/>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.1 确定中标人方式</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除投标人须知前附表规定授权评标委员会直接确定中标人外，采购人应当自收到评标报告之日起</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在评标报告推荐的中标候选人中按顺序确定中标人。若排名第一的中标候选人放弃中标，或者因不可抗力不能履行合同，或者被查实存在影响中标结果的违法行为等情形、不符合中标条件的，采购人可以按照评标委员会提出的中标候选人名单排序依次确定其他中标候选人为中标人，也可以重新采购。</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.2 中标结果公告</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采购代理机构在中标人确定后</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个工作日内，在招标公告所述媒体公告中标结果。同时向中标人发出中标通知书。中标结果公告期限为1个工作日。</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.3 质疑、投诉：</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.3.1见投标人须知前附表</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.3.2 依据政府采购法规规定，招标公告、资格预审公告的公告期限为5个工作日，中标公告期限为1个工作日，投标人应在法定期限内提出质疑，逾期提交或未按照要求提交的质疑函将不予受理。</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8.3.3 询问或者质疑事项可能影响中标结果的，采购人应当暂停签订合同，已经签订合同的，应当中止履行合同。</w:t>
      </w:r>
    </w:p>
    <w:p>
      <w:pPr>
        <w:pStyle w:val="5"/>
        <w:spacing w:after="0" w:line="440" w:lineRule="exact"/>
        <w:ind w:firstLine="422"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.4 中标通知：</w:t>
      </w:r>
      <w:r>
        <w:rPr>
          <w:rFonts w:hint="eastAsia" w:asciiTheme="minorEastAsia" w:hAnsiTheme="minorEastAsia" w:eastAsiaTheme="minorEastAsia" w:cstheme="minorEastAsia"/>
          <w:szCs w:val="21"/>
          <w:lang w:val="zh-CN"/>
        </w:rPr>
        <w:t>见投标人须知前附表。</w:t>
      </w:r>
    </w:p>
    <w:p>
      <w:pPr>
        <w:pStyle w:val="17"/>
        <w:spacing w:after="0" w:line="440" w:lineRule="exact"/>
        <w:ind w:firstLine="422" w:firstLineChars="200"/>
        <w:rPr>
          <w:rFonts w:asciiTheme="minorEastAsia" w:hAnsiTheme="minorEastAsia" w:cstheme="minorEastAsia"/>
          <w:b/>
          <w:bCs/>
          <w:sz w:val="21"/>
          <w:szCs w:val="21"/>
          <w:lang w:val="zh-CN"/>
        </w:rPr>
      </w:pPr>
      <w:r>
        <w:rPr>
          <w:rFonts w:hint="eastAsia" w:asciiTheme="minorEastAsia" w:hAnsiTheme="minorEastAsia" w:cstheme="minorEastAsia"/>
          <w:b/>
          <w:bCs/>
          <w:sz w:val="21"/>
          <w:szCs w:val="21"/>
          <w:lang w:val="zh-CN"/>
        </w:rPr>
        <w:t>8.5 履约保证金</w:t>
      </w:r>
    </w:p>
    <w:p>
      <w:pPr>
        <w:pStyle w:val="17"/>
        <w:spacing w:after="0" w:line="440" w:lineRule="exact"/>
        <w:ind w:firstLine="420" w:firstLineChars="200"/>
        <w:rPr>
          <w:rFonts w:asciiTheme="minorEastAsia" w:hAnsiTheme="minorEastAsia" w:cstheme="minorEastAsia"/>
          <w:sz w:val="21"/>
          <w:szCs w:val="21"/>
          <w:lang w:val="zh-CN"/>
        </w:rPr>
      </w:pPr>
      <w:r>
        <w:rPr>
          <w:rFonts w:hint="eastAsia" w:asciiTheme="minorEastAsia" w:hAnsiTheme="minorEastAsia" w:cstheme="minorEastAsia"/>
          <w:sz w:val="21"/>
          <w:szCs w:val="21"/>
          <w:lang w:val="zh-CN"/>
        </w:rPr>
        <w:t>8.5.1 在签订合同时，中标人应按投标人须知前附表规定向采购人提交履约保证金。</w:t>
      </w:r>
    </w:p>
    <w:p>
      <w:pPr>
        <w:pStyle w:val="17"/>
        <w:spacing w:after="0" w:line="440" w:lineRule="exact"/>
        <w:ind w:firstLine="420" w:firstLineChars="200"/>
        <w:rPr>
          <w:rFonts w:asciiTheme="minorEastAsia" w:hAnsiTheme="minorEastAsia" w:cstheme="minorEastAsia"/>
          <w:sz w:val="21"/>
          <w:szCs w:val="21"/>
          <w:lang w:val="zh-CN"/>
        </w:rPr>
      </w:pPr>
      <w:r>
        <w:rPr>
          <w:rFonts w:hint="eastAsia" w:asciiTheme="minorEastAsia" w:hAnsiTheme="minorEastAsia" w:cstheme="minorEastAsia"/>
          <w:sz w:val="21"/>
          <w:szCs w:val="21"/>
          <w:lang w:val="zh-CN"/>
        </w:rPr>
        <w:t>8.5.2 中标人不能按本章第8.5.1项要求提交履约保证金的，视为放弃中标资格，依据招标文件“第三章 3.5.5 违背承诺的责任追究措施”，投标人承担相应法律责任及违约责任。给采购人及采购代理机构造成的损失，中标人应当予以赔偿。</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w:t>
      </w:r>
      <w:r>
        <w:rPr>
          <w:rFonts w:hint="eastAsia" w:asciiTheme="minorEastAsia" w:hAnsiTheme="minorEastAsia" w:eastAsiaTheme="minorEastAsia" w:cstheme="minorEastAsia"/>
          <w:b/>
          <w:bCs/>
          <w:szCs w:val="21"/>
        </w:rPr>
        <w:t>6</w:t>
      </w:r>
      <w:r>
        <w:rPr>
          <w:rFonts w:hint="eastAsia" w:asciiTheme="minorEastAsia" w:hAnsiTheme="minorEastAsia" w:eastAsiaTheme="minorEastAsia" w:cstheme="minorEastAsia"/>
          <w:b/>
          <w:bCs/>
          <w:szCs w:val="21"/>
          <w:lang w:val="zh-CN"/>
        </w:rPr>
        <w:t xml:space="preserve"> 签订合同</w:t>
      </w:r>
    </w:p>
    <w:p>
      <w:pPr>
        <w:autoSpaceDE w:val="0"/>
        <w:autoSpaceDN w:val="0"/>
        <w:adjustRightInd w:val="0"/>
        <w:snapToGrid w:val="0"/>
        <w:spacing w:line="440" w:lineRule="exact"/>
        <w:ind w:firstLine="420" w:firstLineChars="200"/>
        <w:jc w:val="left"/>
        <w:rPr>
          <w:rFonts w:asciiTheme="minorEastAsia" w:hAnsiTheme="minorEastAsia" w:cstheme="minorEastAsia"/>
          <w:b/>
          <w:bCs/>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.1 中标人应在《中标通知书》发出之日起</w:t>
      </w:r>
      <w:r>
        <w:rPr>
          <w:rFonts w:hint="eastAsia" w:asciiTheme="minorEastAsia" w:hAnsiTheme="minorEastAsia" w:cstheme="minorEastAsia"/>
          <w:szCs w:val="21"/>
          <w:lang w:val="en-US" w:eastAsia="zh-CN"/>
        </w:rPr>
        <w:t>2</w:t>
      </w:r>
      <w:r>
        <w:rPr>
          <w:rFonts w:hint="eastAsia" w:asciiTheme="minorEastAsia" w:hAnsiTheme="minorEastAsia" w:cstheme="minorEastAsia"/>
          <w:szCs w:val="21"/>
          <w:lang w:val="zh-CN"/>
        </w:rPr>
        <w:t>个工作日内，按照招标文件确定的合同文本以及中标标的、技术和服务等事项签订合同。</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.2 如中标人不按时签订合同、拒签合同的，取消其中标资格。</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.3合同生效：中标人与采购人签订的合同，双方签字后盖章生效，并在</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个工作日内报同级政府采购监管部门备案。</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.4 《中标通知书》、招标文件及其修改补充澄清、中标人的投标文件及及其修改补充澄清等，均为签订合同的依据。所定合同不得对招标文件和中标人的投标文件作实质性修改，采购人和中标人不得私下订立背离合同实质性内容的协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8.6.5 评审会后，中标人、采购人之间擅自私下谈判、变更中标标的、价格及招投标文件实质性内容的，有关部门将按《中华人民共和国政府采购法》及相关法规的规定处理。</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8.6.6采购人与中标人签订《政府采购合同》后，合同履行中产生的纠纷、争议，由采购人与中标人按合同条款及《中华人民共和国民法典》处理。</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w:t>
      </w:r>
      <w:r>
        <w:rPr>
          <w:rFonts w:hint="eastAsia" w:asciiTheme="minorEastAsia" w:hAnsiTheme="minorEastAsia" w:eastAsiaTheme="minorEastAsia" w:cstheme="minorEastAsia"/>
          <w:b/>
          <w:bCs/>
          <w:szCs w:val="21"/>
        </w:rPr>
        <w:t>7</w:t>
      </w:r>
      <w:r>
        <w:rPr>
          <w:rFonts w:hint="eastAsia" w:asciiTheme="minorEastAsia" w:hAnsiTheme="minorEastAsia" w:eastAsiaTheme="minorEastAsia" w:cstheme="minorEastAsia"/>
          <w:b/>
          <w:bCs/>
          <w:szCs w:val="21"/>
          <w:lang w:val="zh-CN"/>
        </w:rPr>
        <w:t xml:space="preserve"> 合同补充变更</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8.7.1政府采购合同履行中，采购人需追加或减少与合同标的相同的货物和服务的（即追加或减少原合同标的数量），在不改变合同条款（包括原合同单价）的前提下，双方可以协商签订补充合同，但所有补充合同总金额不得超过原合同采购金额的10%，不得调增原合同单价，不得超出项目采购预算金额，超过原合同采购金额的10%，应重新组织采购活动。</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8.7.2采购人需追加或减少的货物和服务金额达到50万元以上（含50万元）、且超过中标价3%的，采购人应当自确定变更之日起5个工作日内将变更情况及事由报送同级监察机关。</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招标项目在中标后经有关行政机关批准变更的，批准的行政机关应当自批准之日起3个工作日内将批准文件抄送同级监察机关备案。</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9" w:name="_Toc8395976"/>
      <w:bookmarkStart w:id="40" w:name="_Toc10845"/>
      <w:r>
        <w:rPr>
          <w:rFonts w:hint="eastAsia" w:asciiTheme="minorEastAsia" w:hAnsiTheme="minorEastAsia" w:cstheme="minorEastAsia"/>
          <w:b/>
          <w:bCs/>
          <w:sz w:val="24"/>
        </w:rPr>
        <w:t>9.</w:t>
      </w:r>
      <w:r>
        <w:rPr>
          <w:rFonts w:hint="eastAsia" w:asciiTheme="minorEastAsia" w:hAnsiTheme="minorEastAsia" w:cstheme="minorEastAsia"/>
          <w:b/>
          <w:bCs/>
          <w:sz w:val="24"/>
          <w:lang w:val="zh-CN"/>
        </w:rPr>
        <w:t>验收</w:t>
      </w:r>
      <w:bookmarkEnd w:id="39"/>
      <w:bookmarkEnd w:id="40"/>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lang w:val="en-US" w:eastAsia="zh-CN"/>
        </w:rPr>
        <w:t>9.1</w:t>
      </w:r>
      <w:r>
        <w:rPr>
          <w:rFonts w:hint="eastAsia" w:ascii="宋体" w:hAnsi="宋体" w:eastAsia="宋体" w:cs="宋体"/>
          <w:szCs w:val="21"/>
          <w:lang w:val="zh-CN"/>
        </w:rPr>
        <w:t>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highlight w:val="none"/>
          <w:lang w:val="zh-CN"/>
        </w:rPr>
        <w:t>所供货物全部安装调试结束、具备正常使用及验收条件时，由甲方成立的验收工作组负责验收。2023年</w:t>
      </w:r>
      <w:r>
        <w:rPr>
          <w:rFonts w:hint="eastAsia" w:ascii="宋体" w:hAnsi="宋体" w:eastAsia="宋体" w:cs="宋体"/>
          <w:szCs w:val="21"/>
          <w:highlight w:val="none"/>
          <w:lang w:val="en-US" w:eastAsia="zh-CN"/>
        </w:rPr>
        <w:t>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行第一次验收，验收合格后按政府采购法有关规定执行；第一次验收不合格，整改后需在第一次验收后10个工作日进行第二次验收，验收合格按政府采购法有关规定执行；第二次验收不合格，本合同自动终止，中标方</w:t>
      </w:r>
      <w:r>
        <w:rPr>
          <w:rFonts w:hint="eastAsia" w:ascii="宋体" w:hAnsi="宋体" w:eastAsia="宋体" w:cs="宋体"/>
          <w:szCs w:val="21"/>
          <w:highlight w:val="none"/>
          <w:lang w:val="en-US" w:eastAsia="zh-CN"/>
        </w:rPr>
        <w:t>2023年02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28日</w:t>
      </w:r>
      <w:r>
        <w:rPr>
          <w:rFonts w:hint="eastAsia" w:ascii="宋体" w:hAnsi="宋体" w:eastAsia="宋体" w:cs="宋体"/>
          <w:szCs w:val="21"/>
          <w:highlight w:val="none"/>
          <w:lang w:val="zh-CN"/>
        </w:rPr>
        <w:t>前拆除</w:t>
      </w:r>
      <w:r>
        <w:rPr>
          <w:rFonts w:hint="eastAsia" w:ascii="宋体" w:hAnsi="宋体" w:eastAsia="宋体" w:cs="宋体"/>
          <w:szCs w:val="21"/>
          <w:lang w:val="zh-CN"/>
        </w:rPr>
        <w:t>所有设备，并将原设备设施恢复原貌，由此造成的一切损失由中标方承担，给采购人造成损失的，应当予以赔偿。</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9.2</w:t>
      </w:r>
      <w:r>
        <w:rPr>
          <w:rFonts w:hint="eastAsia" w:ascii="宋体" w:hAnsi="宋体" w:eastAsia="宋体" w:cs="宋体"/>
          <w:b w:val="0"/>
          <w:bCs w:val="0"/>
          <w:kern w:val="2"/>
          <w:sz w:val="21"/>
          <w:szCs w:val="21"/>
          <w:lang w:val="zh-CN" w:eastAsia="zh-CN" w:bidi="ar-SA"/>
        </w:rPr>
        <w:t>验收工作组：合同履约验收工作由甲方成立的验收工作组专门负责。政府采购合同金额50万元以下的（含50万元）的项目，验收工作组应不少于三人，中标金额10万元以下项目的验收工作组成员应由甲方代表、评审专家组成，甲方代表必须含甲方纪检人员。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9.3</w:t>
      </w:r>
      <w:r>
        <w:rPr>
          <w:rFonts w:hint="eastAsia" w:ascii="宋体" w:hAnsi="宋体" w:eastAsia="宋体" w:cs="宋体"/>
          <w:b w:val="0"/>
          <w:bCs w:val="0"/>
          <w:kern w:val="2"/>
          <w:sz w:val="21"/>
          <w:szCs w:val="21"/>
          <w:lang w:val="zh-CN" w:eastAsia="zh-CN" w:bidi="ar-SA"/>
        </w:rPr>
        <w:t>验收报告：验收后，由甲方及专家等出具检测验收报告，国家规定强制性检测的招标项目应附国家认可的专业检测机构出具的验收报告。</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9.4</w:t>
      </w:r>
      <w:r>
        <w:rPr>
          <w:rFonts w:hint="eastAsia" w:ascii="宋体" w:hAnsi="宋体" w:eastAsia="宋体" w:cs="宋体"/>
          <w:b w:val="0"/>
          <w:bCs w:val="0"/>
          <w:kern w:val="2"/>
          <w:sz w:val="21"/>
          <w:szCs w:val="21"/>
          <w:lang w:val="zh-CN" w:eastAsia="zh-CN" w:bidi="ar-SA"/>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9</w:t>
      </w:r>
      <w:r>
        <w:rPr>
          <w:rFonts w:hint="eastAsia" w:asciiTheme="minorEastAsia" w:hAnsiTheme="minorEastAsia" w:cstheme="minorEastAsia"/>
          <w:szCs w:val="21"/>
          <w:lang w:val="zh-CN"/>
        </w:rPr>
        <w:t>.5 验收时需要进行破坏性试验的，投标人应进行充分的配合并提供备品备件。</w:t>
      </w:r>
    </w:p>
    <w:p>
      <w:pPr>
        <w:pStyle w:val="20"/>
        <w:ind w:firstLine="420" w:firstLineChars="200"/>
        <w:rPr>
          <w:rFonts w:asciiTheme="minorEastAsia" w:hAnsiTheme="minorEastAsia" w:eastAsiaTheme="minorEastAsia" w:cstheme="minorEastAsia"/>
          <w:color w:val="auto"/>
          <w:kern w:val="2"/>
          <w:szCs w:val="21"/>
        </w:rPr>
      </w:pPr>
      <w:r>
        <w:rPr>
          <w:rFonts w:hint="eastAsia" w:asciiTheme="minorEastAsia" w:hAnsiTheme="minorEastAsia" w:eastAsiaTheme="minorEastAsia" w:cstheme="minorEastAsia"/>
          <w:color w:val="auto"/>
          <w:kern w:val="2"/>
          <w:szCs w:val="21"/>
        </w:rPr>
        <w:t>9.6</w:t>
      </w:r>
      <w:r>
        <w:rPr>
          <w:rFonts w:asciiTheme="minorEastAsia" w:hAnsiTheme="minorEastAsia" w:eastAsiaTheme="minorEastAsia" w:cstheme="minorEastAsia"/>
          <w:color w:val="auto"/>
          <w:kern w:val="2"/>
          <w:szCs w:val="21"/>
        </w:rPr>
        <w:t>采购人要在政府采购项目验收完成后 1 个工作日内登陆安阳政府采购网进行验收公告。</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41" w:name="_Toc22733"/>
      <w:bookmarkStart w:id="42" w:name="_Toc8395977"/>
      <w:r>
        <w:rPr>
          <w:rFonts w:hint="eastAsia" w:asciiTheme="minorEastAsia" w:hAnsiTheme="minorEastAsia" w:cstheme="minorEastAsia"/>
          <w:b/>
          <w:bCs/>
          <w:sz w:val="24"/>
        </w:rPr>
        <w:t>10.</w:t>
      </w:r>
      <w:r>
        <w:rPr>
          <w:rFonts w:hint="eastAsia" w:asciiTheme="minorEastAsia" w:hAnsiTheme="minorEastAsia" w:cstheme="minorEastAsia"/>
          <w:b/>
          <w:bCs/>
          <w:sz w:val="24"/>
          <w:lang w:val="zh-CN"/>
        </w:rPr>
        <w:t>付款</w:t>
      </w:r>
      <w:bookmarkEnd w:id="41"/>
      <w:bookmarkEnd w:id="42"/>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见投标人须知前附表</w:t>
      </w:r>
      <w:bookmarkStart w:id="43" w:name="_Toc8395978"/>
      <w:r>
        <w:rPr>
          <w:rFonts w:hint="eastAsia" w:asciiTheme="minorEastAsia" w:hAnsiTheme="minorEastAsia" w:cstheme="minorEastAsia"/>
          <w:szCs w:val="21"/>
          <w:lang w:val="zh-CN"/>
        </w:rPr>
        <w:t>。</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44" w:name="_Toc12018"/>
      <w:r>
        <w:rPr>
          <w:rFonts w:hint="eastAsia" w:asciiTheme="minorEastAsia" w:hAnsiTheme="minorEastAsia" w:cstheme="minorEastAsia"/>
          <w:b/>
          <w:bCs/>
          <w:sz w:val="24"/>
        </w:rPr>
        <w:t>11.</w:t>
      </w:r>
      <w:r>
        <w:rPr>
          <w:rFonts w:hint="eastAsia" w:asciiTheme="minorEastAsia" w:hAnsiTheme="minorEastAsia" w:cstheme="minorEastAsia"/>
          <w:b/>
          <w:bCs/>
          <w:sz w:val="24"/>
          <w:lang w:val="zh-CN"/>
        </w:rPr>
        <w:t>其他</w:t>
      </w:r>
      <w:bookmarkEnd w:id="43"/>
      <w:bookmarkEnd w:id="44"/>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.1中标服务费等：见投标人须知前附表。</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.2 投标人资格条件中包含非法人单位的，招标文件中法定代表人一词相应包含表示证照标示的负责人；投标人资格条件中包含自然人的，招标文件中法定代表人一词相应包含表示自然人，自然人应由其本人签署投标文件、参加投标，不应再授权他人。</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.3 招标文件第一章至第四章各章中，用序号标示条、款、项、目，例如：1为第1 条，1.1为第1条第1款（简称1.1款），1.1.1为第1条第1款第1项（简称1.1.1项）。“条”包含款、项、目；“款”包含项、目；“项”包含目。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lang w:val="zh-CN"/>
        </w:rPr>
        <w:t>1</w:t>
      </w:r>
      <w:r>
        <w:rPr>
          <w:rFonts w:hint="eastAsia" w:asciiTheme="minorEastAsia" w:hAnsiTheme="minorEastAsia" w:cstheme="minorEastAsia"/>
          <w:szCs w:val="21"/>
        </w:rPr>
        <w:t>1</w:t>
      </w:r>
      <w:r>
        <w:rPr>
          <w:rFonts w:hint="eastAsia" w:asciiTheme="minorEastAsia" w:hAnsiTheme="minorEastAsia" w:cstheme="minorEastAsia"/>
          <w:szCs w:val="21"/>
          <w:lang w:val="zh-CN"/>
        </w:rPr>
        <w:t>.</w:t>
      </w:r>
      <w:r>
        <w:rPr>
          <w:rFonts w:hint="eastAsia" w:asciiTheme="minorEastAsia" w:hAnsiTheme="minorEastAsia" w:cstheme="minorEastAsia"/>
          <w:szCs w:val="21"/>
        </w:rPr>
        <w:t>4</w:t>
      </w:r>
      <w:r>
        <w:rPr>
          <w:rFonts w:hint="eastAsia" w:asciiTheme="minorEastAsia" w:hAnsiTheme="minorEastAsia" w:cstheme="minorEastAsia"/>
          <w:szCs w:val="21"/>
          <w:lang w:val="zh-CN"/>
        </w:rPr>
        <w:t xml:space="preserve"> 同义解释。招标文件中：“采购人”同义“采购单位”，“中标投标人”同义“中标单位”“中标人”。</w:t>
      </w:r>
    </w:p>
    <w:p>
      <w:pPr>
        <w:pStyle w:val="5"/>
        <w:spacing w:after="0" w:line="440" w:lineRule="exact"/>
        <w:rPr>
          <w:rFonts w:asciiTheme="minorEastAsia" w:hAnsiTheme="minorEastAsia" w:eastAsiaTheme="minorEastAsia" w:cstheme="minorEastAsia"/>
          <w:spacing w:val="8"/>
          <w:sz w:val="32"/>
          <w:szCs w:val="32"/>
        </w:rPr>
      </w:pPr>
      <w:r>
        <w:rPr>
          <w:rFonts w:hint="eastAsia" w:asciiTheme="minorEastAsia" w:hAnsiTheme="minorEastAsia" w:eastAsiaTheme="minorEastAsia" w:cstheme="minorEastAsia"/>
          <w:b/>
          <w:bCs/>
          <w:sz w:val="24"/>
          <w:szCs w:val="24"/>
        </w:rPr>
        <w:t>12.河南省政府采购合同融资政策告知函</w:t>
      </w:r>
    </w:p>
    <w:p>
      <w:pPr>
        <w:pStyle w:val="5"/>
        <w:spacing w:after="0" w:line="440" w:lineRule="exact"/>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各投标人：</w:t>
      </w:r>
    </w:p>
    <w:p>
      <w:pPr>
        <w:pStyle w:val="5"/>
        <w:spacing w:after="0" w:line="440" w:lineRule="exact"/>
        <w:ind w:firstLine="420"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欢迎贵公司参与河南省政府采购活动！</w:t>
      </w:r>
    </w:p>
    <w:p>
      <w:pPr>
        <w:pStyle w:val="5"/>
        <w:spacing w:after="0" w:line="440" w:lineRule="exact"/>
        <w:ind w:firstLine="420"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 号），按照双方自愿的原则提供便捷、优惠的贷款服务。贷款渠道和提供贷款的金融机构，可在河南省政府采购网“河南省政府采购合同融资平台”查询联系。</w:t>
      </w:r>
    </w:p>
    <w:p>
      <w:pPr>
        <w:pStyle w:val="5"/>
        <w:spacing w:after="0" w:line="440" w:lineRule="exact"/>
        <w:rPr>
          <w:rFonts w:asciiTheme="minorEastAsia" w:hAnsiTheme="minorEastAsia" w:eastAsiaTheme="minorEastAsia" w:cstheme="minorEastAsia"/>
          <w:spacing w:val="8"/>
          <w:sz w:val="32"/>
          <w:szCs w:val="32"/>
        </w:rPr>
      </w:pPr>
    </w:p>
    <w:p>
      <w:pPr>
        <w:pStyle w:val="5"/>
        <w:rPr>
          <w:rFonts w:asciiTheme="minorEastAsia" w:hAnsiTheme="minorEastAsia" w:eastAsiaTheme="minorEastAsia" w:cstheme="minorEastAsia"/>
          <w:spacing w:val="8"/>
          <w:sz w:val="32"/>
          <w:szCs w:val="32"/>
        </w:rPr>
      </w:pPr>
    </w:p>
    <w:p>
      <w:pPr>
        <w:pStyle w:val="17"/>
        <w:rPr>
          <w:rFonts w:asciiTheme="minorEastAsia" w:hAnsiTheme="minorEastAsia" w:cstheme="minorEastAsia"/>
          <w:spacing w:val="8"/>
          <w:sz w:val="32"/>
          <w:szCs w:val="32"/>
        </w:rPr>
      </w:pPr>
    </w:p>
    <w:p>
      <w:pPr>
        <w:pStyle w:val="5"/>
      </w:pPr>
    </w:p>
    <w:p>
      <w:pPr>
        <w:keepNext/>
        <w:keepLines/>
        <w:spacing w:line="440" w:lineRule="exact"/>
        <w:jc w:val="center"/>
        <w:outlineLvl w:val="0"/>
        <w:rPr>
          <w:rFonts w:asciiTheme="minorEastAsia" w:hAnsiTheme="minorEastAsia" w:cstheme="minorEastAsia"/>
          <w:b/>
          <w:bCs/>
          <w:kern w:val="44"/>
          <w:sz w:val="32"/>
          <w:szCs w:val="32"/>
        </w:rPr>
      </w:pPr>
      <w:bookmarkStart w:id="45" w:name="_Toc427683957"/>
      <w:bookmarkStart w:id="46" w:name="_Toc27226"/>
      <w:bookmarkStart w:id="47" w:name="_Toc427683914"/>
      <w:bookmarkStart w:id="48" w:name="_Toc8395979"/>
      <w:bookmarkStart w:id="49" w:name="_Toc46320048"/>
      <w:r>
        <w:rPr>
          <w:rFonts w:hint="eastAsia" w:asciiTheme="minorEastAsia" w:hAnsiTheme="minorEastAsia" w:cstheme="minorEastAsia"/>
          <w:b/>
          <w:bCs/>
          <w:kern w:val="44"/>
          <w:sz w:val="32"/>
          <w:szCs w:val="32"/>
          <w:lang w:val="zh-CN"/>
        </w:rPr>
        <w:t>第四章  评标办法（综合评分法）</w:t>
      </w:r>
      <w:bookmarkEnd w:id="45"/>
      <w:bookmarkEnd w:id="46"/>
      <w:bookmarkEnd w:id="47"/>
      <w:bookmarkEnd w:id="48"/>
    </w:p>
    <w:p>
      <w:pPr>
        <w:spacing w:line="500" w:lineRule="exact"/>
        <w:ind w:firstLine="420"/>
        <w:jc w:val="center"/>
        <w:outlineLvl w:val="1"/>
        <w:rPr>
          <w:rFonts w:asciiTheme="minorEastAsia" w:hAnsiTheme="minorEastAsia" w:cstheme="minorEastAsia"/>
          <w:b/>
          <w:szCs w:val="21"/>
          <w:lang w:val="zh-CN"/>
        </w:rPr>
      </w:pPr>
      <w:bookmarkStart w:id="50" w:name="_Toc6154"/>
      <w:bookmarkStart w:id="51" w:name="_Toc8395980"/>
      <w:r>
        <w:rPr>
          <w:rFonts w:hint="eastAsia" w:asciiTheme="minorEastAsia" w:hAnsiTheme="minorEastAsia" w:cstheme="minorEastAsia"/>
          <w:b/>
          <w:szCs w:val="21"/>
        </w:rPr>
        <w:t>评标办法前附表</w:t>
      </w:r>
      <w:bookmarkEnd w:id="50"/>
      <w:bookmarkEnd w:id="51"/>
    </w:p>
    <w:tbl>
      <w:tblPr>
        <w:tblStyle w:val="22"/>
        <w:tblW w:w="9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695"/>
        <w:gridCol w:w="1137"/>
        <w:gridCol w:w="2068"/>
        <w:gridCol w:w="5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89" w:type="dxa"/>
            <w:gridSpan w:val="2"/>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条款号</w:t>
            </w:r>
          </w:p>
        </w:tc>
        <w:tc>
          <w:tcPr>
            <w:tcW w:w="3205" w:type="dxa"/>
            <w:gridSpan w:val="2"/>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评标因素</w:t>
            </w:r>
          </w:p>
        </w:tc>
        <w:tc>
          <w:tcPr>
            <w:tcW w:w="5205" w:type="dxa"/>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94" w:type="dxa"/>
            <w:vMerge w:val="restart"/>
            <w:vAlign w:val="center"/>
          </w:tcPr>
          <w:p>
            <w:pPr>
              <w:autoSpaceDE w:val="0"/>
              <w:autoSpaceDN w:val="0"/>
              <w:adjustRightInd w:val="0"/>
              <w:spacing w:line="440" w:lineRule="exact"/>
              <w:rPr>
                <w:rFonts w:asciiTheme="minorEastAsia" w:hAnsiTheme="minorEastAsia" w:cstheme="minorEastAsia"/>
                <w:b/>
                <w:bCs/>
                <w:szCs w:val="21"/>
              </w:rPr>
            </w:pPr>
            <w:r>
              <w:rPr>
                <w:rFonts w:hint="eastAsia" w:asciiTheme="minorEastAsia" w:hAnsiTheme="minorEastAsia" w:cstheme="minorEastAsia"/>
                <w:b/>
                <w:bCs/>
                <w:szCs w:val="21"/>
                <w:lang w:val="zh-CN"/>
              </w:rPr>
              <w:t>2.1</w:t>
            </w:r>
          </w:p>
        </w:tc>
        <w:tc>
          <w:tcPr>
            <w:tcW w:w="695" w:type="dxa"/>
            <w:vMerge w:val="restart"/>
            <w:vAlign w:val="center"/>
          </w:tcPr>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符</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合</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性</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审</w:t>
            </w:r>
          </w:p>
          <w:p>
            <w:pPr>
              <w:autoSpaceDE w:val="0"/>
              <w:autoSpaceDN w:val="0"/>
              <w:adjustRightInd w:val="0"/>
              <w:spacing w:line="440" w:lineRule="exact"/>
              <w:rPr>
                <w:rFonts w:asciiTheme="minorEastAsia" w:hAnsiTheme="minorEastAsia" w:cstheme="minorEastAsia"/>
                <w:bCs/>
                <w:szCs w:val="21"/>
                <w:lang w:val="zh-CN"/>
              </w:rPr>
            </w:pPr>
            <w:r>
              <w:rPr>
                <w:rFonts w:hint="eastAsia" w:asciiTheme="minorEastAsia" w:hAnsiTheme="minorEastAsia" w:cstheme="minorEastAsia"/>
                <w:szCs w:val="21"/>
              </w:rPr>
              <w:t>查</w:t>
            </w:r>
          </w:p>
        </w:tc>
        <w:tc>
          <w:tcPr>
            <w:tcW w:w="1137" w:type="dxa"/>
            <w:vMerge w:val="restart"/>
            <w:vAlign w:val="center"/>
          </w:tcPr>
          <w:p>
            <w:pPr>
              <w:autoSpaceDE w:val="0"/>
              <w:autoSpaceDN w:val="0"/>
              <w:adjustRightInd w:val="0"/>
              <w:spacing w:line="440" w:lineRule="exact"/>
              <w:jc w:val="center"/>
              <w:rPr>
                <w:rFonts w:asciiTheme="minorEastAsia" w:hAnsiTheme="minorEastAsia" w:cstheme="minorEastAsia"/>
                <w:bCs/>
                <w:szCs w:val="21"/>
                <w:lang w:val="zh-CN"/>
              </w:rPr>
            </w:pPr>
            <w:r>
              <w:rPr>
                <w:rFonts w:hint="eastAsia" w:asciiTheme="minorEastAsia" w:hAnsiTheme="minorEastAsia" w:cstheme="minorEastAsia"/>
                <w:szCs w:val="21"/>
              </w:rPr>
              <w:t>有效性</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投标人名称</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与营业执照证等证照及签章一致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jc w:val="center"/>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签字或盖章</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完整性</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投标文件组成</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restart"/>
            <w:vAlign w:val="center"/>
          </w:tcPr>
          <w:p>
            <w:pPr>
              <w:autoSpaceDE w:val="0"/>
              <w:autoSpaceDN w:val="0"/>
              <w:adjustRightIn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响应</w:t>
            </w:r>
          </w:p>
          <w:p>
            <w:pPr>
              <w:autoSpaceDE w:val="0"/>
              <w:autoSpaceDN w:val="0"/>
              <w:adjustRightInd w:val="0"/>
              <w:spacing w:line="440" w:lineRule="exact"/>
              <w:jc w:val="center"/>
              <w:rPr>
                <w:rFonts w:asciiTheme="minorEastAsia" w:hAnsiTheme="minorEastAsia" w:cstheme="minorEastAsia"/>
                <w:bCs/>
                <w:szCs w:val="21"/>
                <w:lang w:val="zh-CN"/>
              </w:rPr>
            </w:pPr>
            <w:r>
              <w:rPr>
                <w:rFonts w:hint="eastAsia" w:asciiTheme="minorEastAsia" w:hAnsiTheme="minorEastAsia" w:cstheme="minorEastAsia"/>
                <w:szCs w:val="21"/>
              </w:rPr>
              <w:t>程度</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投标报价</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符合第二章“采购人需求”1.3款规定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投标内容</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符合第二章“采购人需求”第2条规定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合同履行期限</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符合第二章“采购人需求”1.2款规定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技术要求</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符合第二章“采购人需求”第2条规定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投标有效期</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须知”3.4款规定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投标文件格式</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符合第六章“投标文件格式”规定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偏差描述</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付款</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须知”第 9 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招标文件总体响应</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须知”1.3项规定</w:t>
            </w:r>
          </w:p>
        </w:tc>
      </w:tr>
    </w:tbl>
    <w:p>
      <w:pPr>
        <w:spacing w:line="500" w:lineRule="exact"/>
        <w:jc w:val="left"/>
        <w:rPr>
          <w:rFonts w:asciiTheme="minorEastAsia" w:hAnsiTheme="minorEastAsia" w:cstheme="minorEastAsia"/>
          <w:b/>
          <w:sz w:val="24"/>
        </w:rPr>
      </w:pPr>
      <w:r>
        <w:rPr>
          <w:rFonts w:hint="eastAsia" w:asciiTheme="minorEastAsia" w:hAnsiTheme="minorEastAsia" w:cstheme="minorEastAsia"/>
          <w:b/>
          <w:sz w:val="24"/>
        </w:rPr>
        <w:t>评标办法前附表-----分值构成与评分标准</w:t>
      </w:r>
    </w:p>
    <w:tbl>
      <w:tblPr>
        <w:tblStyle w:val="22"/>
        <w:tblW w:w="0" w:type="auto"/>
        <w:tblInd w:w="11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51"/>
        <w:gridCol w:w="1084"/>
        <w:gridCol w:w="1499"/>
        <w:gridCol w:w="614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51" w:type="dxa"/>
            <w:tcBorders>
              <w:tl2br w:val="nil"/>
              <w:tr2bl w:val="nil"/>
            </w:tcBorders>
            <w:shd w:val="clear" w:color="auto" w:fill="auto"/>
            <w:noWrap/>
            <w:vAlign w:val="center"/>
          </w:tcPr>
          <w:p>
            <w:pPr>
              <w:widowControl/>
              <w:jc w:val="center"/>
              <w:rPr>
                <w:rFonts w:ascii="宋体" w:hAnsi="宋体" w:eastAsia="宋体" w:cs="宋体"/>
                <w:b/>
                <w:bCs/>
                <w:kern w:val="0"/>
                <w:szCs w:val="21"/>
              </w:rPr>
            </w:pPr>
            <w:bookmarkStart w:id="52" w:name="_Toc8395981"/>
            <w:r>
              <w:rPr>
                <w:rFonts w:hint="eastAsia" w:ascii="宋体" w:hAnsi="宋体" w:eastAsia="宋体" w:cs="宋体"/>
                <w:b/>
                <w:bCs/>
                <w:kern w:val="0"/>
                <w:szCs w:val="21"/>
              </w:rPr>
              <w:t>条款号</w:t>
            </w:r>
            <w:r>
              <w:rPr>
                <w:rFonts w:ascii="Calibri" w:hAnsi="Calibri" w:eastAsia="宋体" w:cs="Calibri"/>
                <w:b/>
                <w:bCs/>
                <w:kern w:val="0"/>
                <w:szCs w:val="21"/>
              </w:rPr>
              <w:t xml:space="preserve">  </w:t>
            </w:r>
          </w:p>
        </w:tc>
        <w:tc>
          <w:tcPr>
            <w:tcW w:w="108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条款内容</w:t>
            </w: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编列内容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restart"/>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2.2.1</w:t>
            </w:r>
          </w:p>
        </w:tc>
        <w:tc>
          <w:tcPr>
            <w:tcW w:w="1084" w:type="dxa"/>
            <w:vMerge w:val="restart"/>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分值构成</w:t>
            </w:r>
          </w:p>
          <w:p>
            <w:pPr>
              <w:widowControl/>
              <w:jc w:val="center"/>
              <w:rPr>
                <w:rFonts w:ascii="宋体" w:hAnsi="宋体" w:eastAsia="宋体" w:cs="宋体"/>
                <w:kern w:val="0"/>
                <w:szCs w:val="21"/>
              </w:rPr>
            </w:pPr>
            <w:r>
              <w:rPr>
                <w:rFonts w:hint="eastAsia" w:ascii="宋体" w:hAnsi="宋体" w:eastAsia="宋体" w:cs="宋体"/>
                <w:kern w:val="0"/>
                <w:szCs w:val="21"/>
              </w:rPr>
              <w:t>（总分100分）</w:t>
            </w: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价格部分：</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技术部分</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商务部分</w:t>
            </w:r>
            <w:r>
              <w:rPr>
                <w:rFonts w:hint="eastAsia" w:ascii="宋体" w:hAnsi="宋体" w:eastAsia="宋体" w:cs="宋体"/>
                <w:kern w:val="0"/>
                <w:szCs w:val="21"/>
              </w:rPr>
              <w:t>：</w:t>
            </w:r>
            <w:r>
              <w:rPr>
                <w:rFonts w:hint="eastAsia" w:ascii="宋体" w:hAnsi="宋体" w:eastAsia="宋体" w:cs="宋体"/>
                <w:kern w:val="0"/>
                <w:szCs w:val="21"/>
                <w:lang w:val="en-US" w:eastAsia="zh-CN"/>
              </w:rPr>
              <w:t>15</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售后服务</w:t>
            </w:r>
            <w:r>
              <w:rPr>
                <w:rFonts w:hint="eastAsia" w:ascii="宋体" w:hAnsi="宋体" w:eastAsia="宋体" w:cs="宋体"/>
                <w:kern w:val="0"/>
                <w:szCs w:val="21"/>
              </w:rPr>
              <w:t>：</w:t>
            </w:r>
            <w:r>
              <w:rPr>
                <w:rFonts w:hint="eastAsia" w:ascii="宋体" w:hAnsi="宋体" w:eastAsia="宋体" w:cs="宋体"/>
                <w:kern w:val="0"/>
                <w:szCs w:val="21"/>
                <w:lang w:val="en-US" w:eastAsia="zh-CN"/>
              </w:rPr>
              <w:t>5</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51"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序号</w:t>
            </w:r>
          </w:p>
        </w:tc>
        <w:tc>
          <w:tcPr>
            <w:tcW w:w="108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评分因素</w:t>
            </w:r>
          </w:p>
        </w:tc>
        <w:tc>
          <w:tcPr>
            <w:tcW w:w="1499"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分值</w:t>
            </w:r>
          </w:p>
        </w:tc>
        <w:tc>
          <w:tcPr>
            <w:tcW w:w="614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评分标准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trPr>
        <w:tc>
          <w:tcPr>
            <w:tcW w:w="951" w:type="dxa"/>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2.2.1.1</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价格部分</w:t>
            </w:r>
          </w:p>
          <w:p>
            <w:pPr>
              <w:widowControl/>
              <w:jc w:val="center"/>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投标报价</w:t>
            </w:r>
          </w:p>
          <w:p>
            <w:pPr>
              <w:widowControl/>
              <w:jc w:val="center"/>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6144" w:type="dxa"/>
            <w:tcBorders>
              <w:tl2br w:val="nil"/>
              <w:tr2bl w:val="nil"/>
            </w:tcBorders>
            <w:shd w:val="clear" w:color="auto" w:fill="auto"/>
            <w:vAlign w:val="center"/>
          </w:tcPr>
          <w:p>
            <w:pPr>
              <w:widowControl/>
              <w:jc w:val="left"/>
              <w:rPr>
                <w:rFonts w:hint="default" w:ascii="宋体" w:hAnsi="宋体" w:eastAsia="宋体" w:cs="宋体"/>
                <w:kern w:val="0"/>
                <w:szCs w:val="21"/>
                <w:lang w:val="en-US" w:eastAsia="zh-CN"/>
              </w:rPr>
            </w:pPr>
            <w:r>
              <w:rPr>
                <w:rFonts w:hint="eastAsia" w:ascii="宋体" w:hAnsi="宋体" w:eastAsia="宋体" w:cs="宋体"/>
                <w:kern w:val="0"/>
                <w:szCs w:val="21"/>
              </w:rPr>
              <w:t>满足招标文件要求且最终报价最低的投标报价为评标基准价，其价格分为满分</w:t>
            </w:r>
            <w:r>
              <w:rPr>
                <w:rFonts w:hint="eastAsia" w:ascii="宋体" w:hAnsi="宋体" w:eastAsia="宋体" w:cs="宋体"/>
                <w:kern w:val="0"/>
                <w:szCs w:val="21"/>
                <w:lang w:val="en-US" w:eastAsia="zh-CN"/>
              </w:rPr>
              <w:t>40</w:t>
            </w:r>
            <w:r>
              <w:rPr>
                <w:rFonts w:hint="eastAsia" w:ascii="宋体" w:hAnsi="宋体" w:eastAsia="宋体" w:cs="宋体"/>
                <w:kern w:val="0"/>
                <w:szCs w:val="21"/>
              </w:rPr>
              <w:t>分。其他投标人的价格分统一按照下列公式计算：投标报价得分=（评标基准价/投标报价）×</w:t>
            </w:r>
            <w:r>
              <w:rPr>
                <w:rFonts w:hint="eastAsia" w:ascii="宋体" w:hAnsi="宋体" w:eastAsia="宋体" w:cs="宋体"/>
                <w:kern w:val="0"/>
                <w:szCs w:val="21"/>
                <w:lang w:val="en-US" w:eastAsia="zh-CN"/>
              </w:rPr>
              <w:t>40</w:t>
            </w:r>
          </w:p>
          <w:p>
            <w:pPr>
              <w:widowControl/>
              <w:jc w:val="left"/>
              <w:rPr>
                <w:rFonts w:ascii="宋体" w:hAnsi="宋体" w:eastAsia="宋体" w:cs="宋体"/>
                <w:kern w:val="0"/>
                <w:szCs w:val="21"/>
              </w:rPr>
            </w:pPr>
            <w:r>
              <w:rPr>
                <w:rFonts w:hint="eastAsia" w:ascii="宋体" w:hAnsi="宋体" w:eastAsia="宋体" w:cs="宋体"/>
                <w:kern w:val="0"/>
                <w:szCs w:val="21"/>
              </w:rPr>
              <w:t>注：1.对小型和微型企业产品的价格给予10%的扣除，用扣除后的价格参与评审；</w:t>
            </w:r>
          </w:p>
          <w:p>
            <w:pPr>
              <w:widowControl/>
              <w:jc w:val="left"/>
              <w:rPr>
                <w:rFonts w:ascii="宋体" w:hAnsi="宋体" w:eastAsia="宋体" w:cs="宋体"/>
                <w:kern w:val="0"/>
                <w:szCs w:val="21"/>
              </w:rPr>
            </w:pPr>
            <w:r>
              <w:rPr>
                <w:rFonts w:hint="eastAsia" w:ascii="宋体" w:hAnsi="宋体" w:eastAsia="宋体" w:cs="宋体"/>
                <w:kern w:val="0"/>
                <w:szCs w:val="21"/>
              </w:rPr>
              <w:t>2.评标委员会认为投标人的报价明显低于其他通过符合性审查投标人的报价，使得其投标报价低于合理成本价的，应当要求其在评标现场合理的时间内提供书面说明，必要时提交相关证明材料；投标人不能证明其报价合理性的，评标委员会应当将其作为</w:t>
            </w:r>
            <w:r>
              <w:rPr>
                <w:rFonts w:hint="eastAsia" w:ascii="宋体" w:hAnsi="宋体" w:eastAsia="宋体" w:cs="宋体"/>
                <w:b/>
                <w:bCs/>
                <w:kern w:val="0"/>
                <w:szCs w:val="21"/>
              </w:rPr>
              <w:t>无效投标处理</w:t>
            </w:r>
            <w:r>
              <w:rPr>
                <w:rFonts w:hint="eastAsia" w:ascii="宋体" w:hAnsi="宋体" w:eastAsia="宋体" w:cs="宋体"/>
                <w:kern w:val="0"/>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8" w:hRule="atLeast"/>
        </w:trPr>
        <w:tc>
          <w:tcPr>
            <w:tcW w:w="951" w:type="dxa"/>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2.2.1.2</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技术部分</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产品技术参数</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6144" w:type="dxa"/>
            <w:tcBorders>
              <w:bottom w:val="single" w:color="auto" w:sz="4" w:space="0"/>
              <w:tl2br w:val="nil"/>
              <w:tr2bl w:val="nil"/>
            </w:tcBorders>
            <w:shd w:val="clear" w:color="auto" w:fill="auto"/>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1、完全满足招标文件要求的得</w:t>
            </w:r>
            <w:r>
              <w:rPr>
                <w:rFonts w:hint="eastAsia" w:ascii="宋体" w:hAnsi="宋体" w:eastAsia="宋体" w:cs="宋体"/>
                <w:kern w:val="0"/>
                <w:szCs w:val="21"/>
                <w:lang w:eastAsia="zh-CN"/>
              </w:rPr>
              <w:t>满分</w:t>
            </w:r>
            <w:r>
              <w:rPr>
                <w:rFonts w:hint="eastAsia" w:ascii="宋体" w:hAnsi="宋体" w:eastAsia="宋体" w:cs="宋体"/>
                <w:kern w:val="0"/>
                <w:szCs w:val="21"/>
              </w:rPr>
              <w:t>40分。</w:t>
            </w:r>
          </w:p>
          <w:p>
            <w:pPr>
              <w:widowControl/>
              <w:jc w:val="left"/>
              <w:rPr>
                <w:rFonts w:hint="eastAsia" w:ascii="宋体" w:hAnsi="宋体" w:eastAsia="宋体" w:cs="宋体"/>
                <w:kern w:val="0"/>
                <w:szCs w:val="21"/>
              </w:rPr>
            </w:pPr>
            <w:r>
              <w:rPr>
                <w:rFonts w:hint="eastAsia" w:ascii="宋体" w:hAnsi="宋体" w:eastAsia="宋体" w:cs="宋体"/>
                <w:kern w:val="0"/>
                <w:szCs w:val="21"/>
              </w:rPr>
              <w:t>2、投标</w:t>
            </w:r>
            <w:r>
              <w:rPr>
                <w:rFonts w:hint="eastAsia" w:ascii="宋体" w:hAnsi="宋体" w:eastAsia="宋体" w:cs="宋体"/>
                <w:kern w:val="0"/>
                <w:szCs w:val="21"/>
                <w:lang w:eastAsia="zh-CN"/>
              </w:rPr>
              <w:t>人</w:t>
            </w:r>
            <w:r>
              <w:rPr>
                <w:rFonts w:hint="eastAsia" w:ascii="宋体" w:hAnsi="宋体" w:eastAsia="宋体" w:cs="宋体"/>
                <w:kern w:val="0"/>
                <w:szCs w:val="21"/>
              </w:rPr>
              <w:t>的</w:t>
            </w:r>
            <w:r>
              <w:rPr>
                <w:rFonts w:hint="eastAsia" w:ascii="宋体" w:hAnsi="宋体" w:eastAsia="宋体" w:cs="宋体"/>
                <w:kern w:val="0"/>
                <w:szCs w:val="21"/>
                <w:lang w:eastAsia="zh-CN"/>
              </w:rPr>
              <w:t>技术指标</w:t>
            </w:r>
            <w:r>
              <w:rPr>
                <w:rFonts w:hint="eastAsia" w:ascii="宋体" w:hAnsi="宋体" w:eastAsia="宋体" w:cs="宋体"/>
                <w:kern w:val="0"/>
                <w:szCs w:val="21"/>
              </w:rPr>
              <w:t>或功能每有一条非星号(★)技术指标或功能不满足扣</w:t>
            </w:r>
            <w:r>
              <w:rPr>
                <w:rFonts w:hint="eastAsia" w:ascii="宋体" w:hAnsi="宋体" w:eastAsia="宋体" w:cs="宋体"/>
                <w:kern w:val="0"/>
                <w:szCs w:val="21"/>
                <w:lang w:val="en-US" w:eastAsia="zh-CN"/>
              </w:rPr>
              <w:t>1</w:t>
            </w:r>
            <w:r>
              <w:rPr>
                <w:rFonts w:hint="eastAsia" w:ascii="宋体" w:hAnsi="宋体" w:eastAsia="宋体" w:cs="宋体"/>
                <w:kern w:val="0"/>
                <w:szCs w:val="21"/>
              </w:rPr>
              <w:t>分，扣完为止。</w:t>
            </w:r>
          </w:p>
          <w:p>
            <w:pPr>
              <w:widowControl/>
              <w:jc w:val="left"/>
              <w:rPr>
                <w:rFonts w:ascii="宋体" w:hAnsi="宋体" w:eastAsia="宋体" w:cs="宋体"/>
                <w:kern w:val="0"/>
                <w:szCs w:val="21"/>
              </w:rPr>
            </w:pPr>
            <w:r>
              <w:rPr>
                <w:rFonts w:hint="eastAsia" w:ascii="宋体" w:hAnsi="宋体" w:eastAsia="宋体" w:cs="宋体"/>
                <w:kern w:val="0"/>
                <w:szCs w:val="21"/>
              </w:rPr>
              <w:t>3、投标的技术指标或功能每有一条带星号(★)技术指标或功能不满足扣3分，扣完为止。</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49" w:hRule="atLeast"/>
        </w:trPr>
        <w:tc>
          <w:tcPr>
            <w:tcW w:w="951" w:type="dxa"/>
            <w:vMerge w:val="restart"/>
            <w:tcBorders>
              <w:tl2br w:val="nil"/>
              <w:tr2bl w:val="nil"/>
            </w:tcBorders>
            <w:vAlign w:val="center"/>
          </w:tcPr>
          <w:p>
            <w:pPr>
              <w:widowControl/>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2.2.1.3</w:t>
            </w:r>
          </w:p>
        </w:tc>
        <w:tc>
          <w:tcPr>
            <w:tcW w:w="1084" w:type="dxa"/>
            <w:vMerge w:val="restart"/>
            <w:tcBorders>
              <w:tl2br w:val="nil"/>
              <w:tr2bl w:val="nil"/>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lang w:eastAsia="zh-CN"/>
              </w:rPr>
              <w:t>商务部分</w:t>
            </w:r>
            <w:r>
              <w:rPr>
                <w:rFonts w:hint="eastAsia" w:ascii="宋体" w:hAnsi="宋体" w:eastAsia="宋体" w:cs="宋体"/>
                <w:kern w:val="0"/>
                <w:szCs w:val="21"/>
              </w:rPr>
              <w:t>（</w:t>
            </w:r>
            <w:r>
              <w:rPr>
                <w:rFonts w:hint="eastAsia" w:ascii="宋体" w:hAnsi="宋体" w:eastAsia="宋体" w:cs="宋体"/>
                <w:kern w:val="0"/>
                <w:szCs w:val="21"/>
                <w:lang w:val="en-US" w:eastAsia="zh-CN"/>
              </w:rPr>
              <w:t>15</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hint="eastAsia" w:ascii="宋体" w:hAnsi="宋体" w:eastAsia="宋体" w:cs="宋体"/>
              </w:rPr>
            </w:pPr>
            <w:r>
              <w:rPr>
                <w:rFonts w:hint="eastAsia" w:ascii="宋体" w:hAnsi="宋体" w:eastAsia="宋体" w:cs="宋体"/>
              </w:rPr>
              <w:t>政府采购</w:t>
            </w:r>
          </w:p>
          <w:p>
            <w:pPr>
              <w:widowControl/>
              <w:jc w:val="center"/>
              <w:rPr>
                <w:rFonts w:ascii="宋体" w:hAnsi="宋体" w:eastAsia="宋体" w:cs="宋体"/>
              </w:rPr>
            </w:pPr>
            <w:r>
              <w:rPr>
                <w:rFonts w:hint="eastAsia" w:ascii="宋体" w:hAnsi="宋体" w:eastAsia="宋体" w:cs="宋体"/>
              </w:rPr>
              <w:t>节能/ 环保认证（2 分）</w:t>
            </w:r>
          </w:p>
        </w:tc>
        <w:tc>
          <w:tcPr>
            <w:tcW w:w="6144" w:type="dxa"/>
            <w:tcBorders>
              <w:tl2br w:val="nil"/>
              <w:tr2bl w:val="nil"/>
            </w:tcBorders>
            <w:shd w:val="clear" w:color="auto" w:fill="auto"/>
            <w:vAlign w:val="center"/>
          </w:tcPr>
          <w:p>
            <w:pPr>
              <w:widowControl/>
              <w:jc w:val="both"/>
              <w:rPr>
                <w:rFonts w:hint="eastAsia"/>
              </w:rPr>
            </w:pPr>
            <w:r>
              <w:rPr>
                <w:rFonts w:hint="eastAsia"/>
              </w:rPr>
              <w:t xml:space="preserve">1、投标货物中核心产品属于节能产品的（属强制采购的产品除外）得1分。 </w:t>
            </w:r>
          </w:p>
          <w:p>
            <w:pPr>
              <w:widowControl/>
              <w:jc w:val="left"/>
              <w:rPr>
                <w:rFonts w:hint="eastAsia" w:ascii="宋体" w:hAnsi="宋体" w:eastAsia="宋体" w:cs="宋体"/>
                <w:kern w:val="0"/>
                <w:szCs w:val="21"/>
              </w:rPr>
            </w:pPr>
            <w:r>
              <w:rPr>
                <w:rFonts w:hint="eastAsia" w:ascii="宋体" w:hAnsi="宋体" w:eastAsia="宋体" w:cs="宋体"/>
                <w:kern w:val="0"/>
                <w:szCs w:val="21"/>
              </w:rPr>
              <w:t>2、投标货物中核心产品为环境标志产品的得1分。</w:t>
            </w:r>
          </w:p>
          <w:p>
            <w:pPr>
              <w:widowControl/>
              <w:jc w:val="left"/>
              <w:rPr>
                <w:rFonts w:hint="eastAsia" w:eastAsia="黑体"/>
                <w:lang w:val="en-US" w:eastAsia="zh-CN"/>
              </w:rPr>
            </w:pPr>
            <w:r>
              <w:rPr>
                <w:rFonts w:hint="eastAsia" w:ascii="宋体" w:hAnsi="宋体" w:eastAsia="宋体" w:cs="宋体"/>
                <w:kern w:val="0"/>
                <w:szCs w:val="21"/>
                <w:lang w:val="en-US" w:eastAsia="zh-CN"/>
              </w:rPr>
              <w:t>注：投标文件中提供证明材料。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trPr>
        <w:tc>
          <w:tcPr>
            <w:tcW w:w="951" w:type="dxa"/>
            <w:vMerge w:val="continue"/>
            <w:tcBorders>
              <w:tl2br w:val="nil"/>
              <w:tr2bl w:val="nil"/>
            </w:tcBorders>
            <w:vAlign w:val="center"/>
          </w:tcPr>
          <w:p>
            <w:pPr>
              <w:widowControl/>
              <w:jc w:val="left"/>
              <w:rPr>
                <w:rFonts w:ascii="宋体" w:hAnsi="宋体" w:eastAsia="宋体" w:cs="宋体"/>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1499" w:type="dxa"/>
            <w:tcBorders>
              <w:tl2br w:val="nil"/>
              <w:tr2bl w:val="nil"/>
            </w:tcBorders>
            <w:shd w:val="clear" w:color="auto" w:fill="auto"/>
            <w:vAlign w:val="center"/>
          </w:tcPr>
          <w:p>
            <w:pPr>
              <w:widowControl/>
              <w:jc w:val="center"/>
              <w:rPr>
                <w:rFonts w:hint="eastAsia" w:ascii="宋体" w:hAnsi="宋体" w:eastAsia="宋体" w:cs="宋体"/>
                <w:highlight w:val="none"/>
              </w:rPr>
            </w:pPr>
            <w:r>
              <w:rPr>
                <w:rFonts w:hint="eastAsia" w:ascii="宋体" w:hAnsi="宋体" w:eastAsia="宋体" w:cs="宋体"/>
                <w:highlight w:val="none"/>
              </w:rPr>
              <w:t>投标产品</w:t>
            </w:r>
          </w:p>
          <w:p>
            <w:pPr>
              <w:widowControl/>
              <w:jc w:val="center"/>
              <w:rPr>
                <w:rFonts w:hint="eastAsia" w:ascii="宋体" w:hAnsi="宋体" w:eastAsia="宋体" w:cs="宋体"/>
                <w:highlight w:val="none"/>
              </w:rPr>
            </w:pPr>
            <w:r>
              <w:rPr>
                <w:rFonts w:hint="eastAsia" w:ascii="宋体" w:hAnsi="宋体" w:eastAsia="宋体" w:cs="宋体"/>
                <w:highlight w:val="none"/>
              </w:rPr>
              <w:t>厂家资质</w:t>
            </w:r>
          </w:p>
          <w:p>
            <w:pPr>
              <w:widowControl/>
              <w:jc w:val="center"/>
              <w:rPr>
                <w:rFonts w:ascii="宋体" w:hAnsi="宋体" w:eastAsia="宋体" w:cs="宋体"/>
              </w:rPr>
            </w:pPr>
            <w:r>
              <w:rPr>
                <w:rFonts w:hint="eastAsia" w:ascii="宋体" w:hAnsi="宋体" w:eastAsia="宋体" w:cs="宋体"/>
                <w:highlight w:val="none"/>
              </w:rPr>
              <w:t>（8分）</w:t>
            </w:r>
          </w:p>
        </w:tc>
        <w:tc>
          <w:tcPr>
            <w:tcW w:w="6144" w:type="dxa"/>
            <w:tcBorders>
              <w:tl2br w:val="nil"/>
              <w:tr2bl w:val="nil"/>
            </w:tcBorders>
            <w:shd w:val="clear" w:color="auto" w:fill="auto"/>
            <w:vAlign w:val="center"/>
          </w:tcPr>
          <w:p>
            <w:pPr>
              <w:widowControl/>
              <w:jc w:val="both"/>
              <w:rPr>
                <w:rFonts w:hint="eastAsia" w:ascii="宋体" w:hAnsi="宋体" w:eastAsia="宋体" w:cs="宋体"/>
                <w:highlight w:val="none"/>
              </w:rPr>
            </w:pPr>
            <w:r>
              <w:rPr>
                <w:rFonts w:hint="eastAsia" w:ascii="宋体" w:hAnsi="宋体" w:eastAsia="宋体" w:cs="宋体"/>
                <w:highlight w:val="none"/>
              </w:rPr>
              <w:t>1、提供所投智慧黑板产品生产企业出具：“质量管理体系、环境管理体系、职业健康安全管理体系”的证书复印件及国家认证认可监督管理委员会官方截图得3分,“质量管理体系、环境管理体系、职业健康安全管理体系”三体系认证缺</w:t>
            </w:r>
            <w:r>
              <w:rPr>
                <w:rFonts w:hint="eastAsia" w:ascii="宋体" w:hAnsi="宋体" w:eastAsia="宋体" w:cs="宋体"/>
                <w:highlight w:val="none"/>
                <w:lang w:eastAsia="zh-CN"/>
              </w:rPr>
              <w:t>一</w:t>
            </w:r>
            <w:r>
              <w:rPr>
                <w:rFonts w:hint="eastAsia" w:ascii="宋体" w:hAnsi="宋体" w:eastAsia="宋体" w:cs="宋体"/>
                <w:highlight w:val="none"/>
              </w:rPr>
              <w:t>项不得分。</w:t>
            </w:r>
          </w:p>
          <w:p>
            <w:pPr>
              <w:widowControl/>
              <w:jc w:val="both"/>
              <w:rPr>
                <w:rFonts w:hint="eastAsia" w:ascii="宋体" w:hAnsi="宋体" w:eastAsia="宋体" w:cs="宋体"/>
                <w:highlight w:val="none"/>
              </w:rPr>
            </w:pPr>
            <w:r>
              <w:rPr>
                <w:rFonts w:hint="eastAsia" w:ascii="宋体" w:hAnsi="宋体" w:eastAsia="宋体" w:cs="宋体"/>
                <w:highlight w:val="none"/>
              </w:rPr>
              <w:t>2、所投产品生产厂家取得售后服务评价体系服务能力达到十星级及以上标准得3分，售后服务评价体系服务能力达到五星级及以上标准得1分（提供加盖生产商公章扫描件）。五星级以下或不能提供加盖生产商公章扫描件不得分。</w:t>
            </w:r>
          </w:p>
          <w:p>
            <w:pPr>
              <w:widowControl/>
              <w:jc w:val="both"/>
              <w:rPr>
                <w:rFonts w:ascii="宋体" w:hAnsi="宋体" w:eastAsia="宋体" w:cs="宋体"/>
                <w:highlight w:val="none"/>
              </w:rPr>
            </w:pPr>
            <w:r>
              <w:rPr>
                <w:rFonts w:hint="eastAsia" w:ascii="宋体" w:hAnsi="宋体" w:eastAsia="宋体" w:cs="宋体"/>
                <w:highlight w:val="none"/>
              </w:rPr>
              <w:t>3、提供所投智慧黑板产品由IECQ出具的有害物质过程管理体系证书及国家认证认可监督管理委员会官方截图得2分。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80" w:hRule="atLeast"/>
        </w:trPr>
        <w:tc>
          <w:tcPr>
            <w:tcW w:w="951" w:type="dxa"/>
            <w:vMerge w:val="continue"/>
            <w:tcBorders>
              <w:tl2br w:val="nil"/>
              <w:tr2bl w:val="nil"/>
            </w:tcBorders>
            <w:vAlign w:val="center"/>
          </w:tcPr>
          <w:p>
            <w:pPr>
              <w:widowControl/>
              <w:jc w:val="left"/>
              <w:rPr>
                <w:rFonts w:ascii="宋体" w:hAnsi="宋体" w:eastAsia="宋体" w:cs="宋体"/>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1499" w:type="dxa"/>
            <w:tcBorders>
              <w:tl2br w:val="nil"/>
              <w:tr2bl w:val="nil"/>
            </w:tcBorders>
            <w:shd w:val="clear" w:color="auto" w:fill="auto"/>
            <w:vAlign w:val="center"/>
          </w:tcPr>
          <w:p>
            <w:pPr>
              <w:widowControl/>
              <w:jc w:val="center"/>
              <w:rPr>
                <w:rFonts w:hint="eastAsia" w:ascii="宋体" w:hAnsi="宋体" w:eastAsia="宋体" w:cs="宋体"/>
              </w:rPr>
            </w:pPr>
            <w:r>
              <w:rPr>
                <w:rFonts w:hint="eastAsia" w:ascii="宋体" w:hAnsi="宋体" w:eastAsia="宋体" w:cs="宋体"/>
              </w:rPr>
              <w:t>质保期</w:t>
            </w:r>
          </w:p>
          <w:p>
            <w:pPr>
              <w:widowControl/>
              <w:jc w:val="center"/>
              <w:rPr>
                <w:rFonts w:ascii="宋体" w:hAnsi="宋体" w:eastAsia="宋体" w:cs="宋体"/>
              </w:rPr>
            </w:pPr>
            <w:r>
              <w:rPr>
                <w:rFonts w:hint="eastAsia" w:ascii="宋体" w:hAnsi="宋体" w:eastAsia="宋体" w:cs="宋体"/>
              </w:rPr>
              <w:t>（5分）</w:t>
            </w:r>
          </w:p>
        </w:tc>
        <w:tc>
          <w:tcPr>
            <w:tcW w:w="6144" w:type="dxa"/>
            <w:tcBorders>
              <w:tl2br w:val="nil"/>
              <w:tr2bl w:val="nil"/>
            </w:tcBorders>
            <w:shd w:val="clear" w:color="auto" w:fill="auto"/>
            <w:vAlign w:val="center"/>
          </w:tcPr>
          <w:p>
            <w:pPr>
              <w:widowControl/>
              <w:jc w:val="both"/>
              <w:rPr>
                <w:rFonts w:ascii="宋体" w:hAnsi="宋体" w:eastAsia="宋体" w:cs="宋体"/>
              </w:rPr>
            </w:pPr>
            <w:r>
              <w:rPr>
                <w:rFonts w:hint="eastAsia"/>
              </w:rPr>
              <w:t>承诺所投</w:t>
            </w:r>
            <w:r>
              <w:rPr>
                <w:rFonts w:hint="eastAsia"/>
                <w:lang w:eastAsia="zh-CN"/>
              </w:rPr>
              <w:t>产品</w:t>
            </w:r>
            <w:r>
              <w:rPr>
                <w:rFonts w:hint="eastAsia"/>
              </w:rPr>
              <w:t>厂家</w:t>
            </w:r>
            <w:r>
              <w:rPr>
                <w:rFonts w:hint="eastAsia"/>
                <w:lang w:eastAsia="zh-CN"/>
              </w:rPr>
              <w:t>质保期和</w:t>
            </w:r>
            <w:r>
              <w:rPr>
                <w:rFonts w:hint="eastAsia"/>
              </w:rPr>
              <w:t>免费保修期限3年，并提供承诺函的得</w:t>
            </w:r>
            <w:r>
              <w:rPr>
                <w:rFonts w:hint="eastAsia"/>
                <w:lang w:val="en-US" w:eastAsia="zh-CN"/>
              </w:rPr>
              <w:t>2</w:t>
            </w:r>
            <w:r>
              <w:rPr>
                <w:rFonts w:hint="eastAsia"/>
              </w:rPr>
              <w:t>分，承诺所投</w:t>
            </w:r>
            <w:r>
              <w:rPr>
                <w:rFonts w:hint="eastAsia"/>
                <w:lang w:eastAsia="zh-CN"/>
              </w:rPr>
              <w:t>产品</w:t>
            </w:r>
            <w:r>
              <w:rPr>
                <w:rFonts w:hint="eastAsia"/>
              </w:rPr>
              <w:t>厂家</w:t>
            </w:r>
            <w:r>
              <w:rPr>
                <w:rFonts w:hint="eastAsia"/>
                <w:lang w:eastAsia="zh-CN"/>
              </w:rPr>
              <w:t>质保期和</w:t>
            </w:r>
            <w:r>
              <w:rPr>
                <w:rFonts w:hint="eastAsia"/>
              </w:rPr>
              <w:t>免费保修期限</w:t>
            </w:r>
            <w:r>
              <w:rPr>
                <w:rFonts w:hint="eastAsia"/>
                <w:lang w:val="en-US" w:eastAsia="zh-CN"/>
              </w:rPr>
              <w:t>4</w:t>
            </w:r>
            <w:r>
              <w:rPr>
                <w:rFonts w:hint="eastAsia"/>
              </w:rPr>
              <w:t>年，并提供承诺函的得</w:t>
            </w:r>
            <w:r>
              <w:rPr>
                <w:rFonts w:hint="eastAsia"/>
                <w:lang w:val="en-US" w:eastAsia="zh-CN"/>
              </w:rPr>
              <w:t>3</w:t>
            </w:r>
            <w:r>
              <w:rPr>
                <w:rFonts w:hint="eastAsia"/>
              </w:rPr>
              <w:t>分，承诺所投</w:t>
            </w:r>
            <w:r>
              <w:rPr>
                <w:rFonts w:hint="eastAsia"/>
                <w:lang w:eastAsia="zh-CN"/>
              </w:rPr>
              <w:t>产品</w:t>
            </w:r>
            <w:r>
              <w:rPr>
                <w:rFonts w:hint="eastAsia"/>
              </w:rPr>
              <w:t>厂家</w:t>
            </w:r>
            <w:r>
              <w:rPr>
                <w:rFonts w:hint="eastAsia"/>
                <w:lang w:eastAsia="zh-CN"/>
              </w:rPr>
              <w:t>质保期与</w:t>
            </w:r>
            <w:r>
              <w:rPr>
                <w:rFonts w:hint="eastAsia"/>
              </w:rPr>
              <w:t>免费保修期限</w:t>
            </w:r>
            <w:r>
              <w:rPr>
                <w:rFonts w:hint="eastAsia"/>
                <w:lang w:val="en-US" w:eastAsia="zh-CN"/>
              </w:rPr>
              <w:t>5</w:t>
            </w:r>
            <w:r>
              <w:rPr>
                <w:rFonts w:hint="eastAsia"/>
              </w:rPr>
              <w:t>年及以上，并提供承诺函的得</w:t>
            </w:r>
            <w:r>
              <w:rPr>
                <w:rFonts w:hint="eastAsia"/>
                <w:lang w:val="en-US" w:eastAsia="zh-CN"/>
              </w:rPr>
              <w:t>5</w:t>
            </w:r>
            <w:r>
              <w:rPr>
                <w:rFonts w:hint="eastAsia"/>
              </w:rPr>
              <w:t>分，低于三年及不提供承诺函的不得分。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91" w:hRule="atLeast"/>
        </w:trPr>
        <w:tc>
          <w:tcPr>
            <w:tcW w:w="951" w:type="dxa"/>
            <w:tcBorders>
              <w:tl2br w:val="nil"/>
              <w:tr2bl w:val="nil"/>
            </w:tcBorders>
            <w:shd w:val="clear" w:color="auto" w:fill="auto"/>
            <w:vAlign w:val="center"/>
          </w:tcPr>
          <w:p>
            <w:pPr>
              <w:widowControl/>
              <w:jc w:val="center"/>
              <w:rPr>
                <w:rFonts w:hint="eastAsia" w:ascii="宋体" w:hAnsi="宋体" w:eastAsia="宋体" w:cs="宋体"/>
                <w:kern w:val="0"/>
                <w:szCs w:val="21"/>
                <w:lang w:eastAsia="zh-CN"/>
              </w:rPr>
            </w:pPr>
            <w:r>
              <w:rPr>
                <w:rFonts w:hint="eastAsia" w:ascii="宋体" w:hAnsi="宋体" w:eastAsia="宋体" w:cs="宋体"/>
                <w:kern w:val="0"/>
                <w:szCs w:val="21"/>
              </w:rPr>
              <w:t>2.2.1.</w:t>
            </w:r>
            <w:r>
              <w:rPr>
                <w:rFonts w:hint="eastAsia" w:ascii="宋体" w:hAnsi="宋体" w:eastAsia="宋体" w:cs="宋体"/>
                <w:kern w:val="0"/>
                <w:szCs w:val="21"/>
                <w:lang w:eastAsia="zh-CN"/>
              </w:rPr>
              <w:t>4</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default" w:ascii="宋体" w:hAnsi="宋体" w:eastAsia="宋体" w:cs="宋体"/>
                <w:kern w:val="0"/>
                <w:szCs w:val="21"/>
              </w:rPr>
              <w:t>售后服务</w:t>
            </w:r>
            <w:r>
              <w:rPr>
                <w:rFonts w:hint="eastAsia" w:ascii="宋体" w:hAnsi="宋体" w:eastAsia="宋体" w:cs="宋体"/>
                <w:kern w:val="0"/>
                <w:szCs w:val="21"/>
              </w:rPr>
              <w:t>（</w:t>
            </w:r>
            <w:r>
              <w:rPr>
                <w:rFonts w:hint="default" w:ascii="宋体" w:hAnsi="宋体" w:eastAsia="宋体" w:cs="宋体"/>
                <w:kern w:val="0"/>
                <w:szCs w:val="21"/>
              </w:rPr>
              <w:t>5</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hint="eastAsia"/>
              </w:rPr>
            </w:pPr>
            <w:r>
              <w:rPr>
                <w:rFonts w:hint="eastAsia"/>
              </w:rPr>
              <w:t>免费售后服务详细方案</w:t>
            </w:r>
          </w:p>
          <w:p>
            <w:pPr>
              <w:widowControl/>
              <w:jc w:val="center"/>
            </w:pPr>
            <w:r>
              <w:rPr>
                <w:rFonts w:hint="eastAsia"/>
              </w:rPr>
              <w:t>（5分）</w:t>
            </w:r>
          </w:p>
        </w:tc>
        <w:tc>
          <w:tcPr>
            <w:tcW w:w="6144" w:type="dxa"/>
            <w:tcBorders>
              <w:tl2br w:val="nil"/>
              <w:tr2bl w:val="nil"/>
            </w:tcBorders>
            <w:shd w:val="clear" w:color="auto" w:fill="auto"/>
          </w:tcPr>
          <w:p>
            <w:pPr>
              <w:widowControl/>
              <w:jc w:val="left"/>
              <w:rPr>
                <w:rFonts w:hint="eastAsia"/>
              </w:rPr>
            </w:pPr>
            <w:r>
              <w:rPr>
                <w:rFonts w:hint="eastAsia"/>
              </w:rPr>
              <w:t>（1）供应商投标文件中售后服务方案有详细培训计划、服务范围、服务响应时间、服务应急处理方案、服务人员的技术水平、售后服务质量保障措施等得4分，方案中少一项扣1分。</w:t>
            </w:r>
          </w:p>
          <w:p>
            <w:pPr>
              <w:widowControl/>
              <w:jc w:val="left"/>
            </w:pPr>
            <w:r>
              <w:rPr>
                <w:rFonts w:hint="eastAsia"/>
              </w:rPr>
              <w:t>（2）提供项目实施所在地售后服务网点及人员，得1分，否则不得分。（提供佐证材料。）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678" w:type="dxa"/>
            <w:gridSpan w:val="4"/>
            <w:tcBorders>
              <w:tl2br w:val="nil"/>
              <w:tr2bl w:val="nil"/>
            </w:tcBorders>
            <w:shd w:val="clear" w:color="auto" w:fill="auto"/>
            <w:noWrap/>
            <w:vAlign w:val="center"/>
          </w:tcPr>
          <w:p>
            <w:pPr>
              <w:pStyle w:val="20"/>
              <w:ind w:firstLine="0" w:firstLineChars="0"/>
              <w:rPr>
                <w:color w:val="auto"/>
              </w:rPr>
            </w:pPr>
            <w:r>
              <w:rPr>
                <w:rFonts w:hint="eastAsia"/>
                <w:color w:val="auto"/>
              </w:rPr>
              <w:t>注：1..以上打分细则中所需要的证明资料，需附于投标文件中，未提供的相关项不得分。</w:t>
            </w:r>
          </w:p>
          <w:p>
            <w:pPr>
              <w:widowControl/>
              <w:ind w:firstLine="420" w:firstLineChars="200"/>
              <w:rPr>
                <w:rFonts w:ascii="宋体" w:hAnsi="宋体" w:eastAsia="宋体" w:cs="宋体"/>
                <w:kern w:val="0"/>
                <w:szCs w:val="21"/>
              </w:rPr>
            </w:pPr>
            <w:r>
              <w:rPr>
                <w:rFonts w:hint="eastAsia"/>
              </w:rPr>
              <w:t>2.评标委员会的所有算术平均值，作为该投标人的最终得分。</w:t>
            </w:r>
          </w:p>
        </w:tc>
      </w:tr>
    </w:tbl>
    <w:p>
      <w:pPr>
        <w:keepNext w:val="0"/>
        <w:keepLines w:val="0"/>
        <w:pageBreakBefore w:val="0"/>
        <w:widowControl w:val="0"/>
        <w:kinsoku/>
        <w:wordWrap/>
        <w:overflowPunct/>
        <w:topLinePunct w:val="0"/>
        <w:autoSpaceDE w:val="0"/>
        <w:autoSpaceDN w:val="0"/>
        <w:bidi w:val="0"/>
        <w:adjustRightInd w:val="0"/>
        <w:snapToGrid w:val="0"/>
        <w:spacing w:line="380" w:lineRule="exact"/>
        <w:jc w:val="left"/>
        <w:outlineLvl w:val="1"/>
        <w:rPr>
          <w:rFonts w:asciiTheme="minorEastAsia" w:hAnsiTheme="minorEastAsia" w:cstheme="minorEastAsia"/>
          <w:b/>
          <w:bCs/>
          <w:sz w:val="24"/>
          <w:lang w:val="zh-CN"/>
        </w:rPr>
      </w:pPr>
      <w:bookmarkStart w:id="53" w:name="_Toc25329"/>
      <w:r>
        <w:rPr>
          <w:rFonts w:hint="eastAsia" w:asciiTheme="minorEastAsia" w:hAnsiTheme="minorEastAsia" w:cstheme="minorEastAsia"/>
          <w:b/>
          <w:bCs/>
          <w:sz w:val="24"/>
          <w:lang w:val="zh-CN"/>
        </w:rPr>
        <w:t>1. 评标方法</w:t>
      </w:r>
      <w:bookmarkEnd w:id="52"/>
      <w:bookmarkEnd w:id="53"/>
    </w:p>
    <w:p>
      <w:pPr>
        <w:keepNext w:val="0"/>
        <w:keepLines w:val="0"/>
        <w:pageBreakBefore w:val="0"/>
        <w:widowControl w:val="0"/>
        <w:kinsoku/>
        <w:wordWrap/>
        <w:overflowPunct/>
        <w:topLinePunct w:val="0"/>
        <w:bidi w:val="0"/>
        <w:adjustRightInd w:val="0"/>
        <w:snapToGrid w:val="0"/>
        <w:spacing w:line="380" w:lineRule="exact"/>
        <w:ind w:firstLine="420" w:firstLineChars="200"/>
        <w:jc w:val="left"/>
        <w:textAlignment w:val="top"/>
        <w:rPr>
          <w:rFonts w:asciiTheme="minorEastAsia" w:hAnsiTheme="minorEastAsia" w:cstheme="minorEastAsia"/>
          <w:szCs w:val="21"/>
        </w:rPr>
      </w:pPr>
      <w:r>
        <w:rPr>
          <w:rFonts w:hint="eastAsia" w:asciiTheme="minorEastAsia" w:hAnsiTheme="minorEastAsia" w:cstheme="minorEastAsia"/>
          <w:szCs w:val="21"/>
        </w:rPr>
        <w:t>本次招标项目的评标方法采用《政府采购货物和服务招标投标管理办法》中的“综合评分法”。投标文件满足招标文件全部实质性要求的，评标委员会按照“评标办法前附表”列示的各项评审因素进行评价、打分，投标人的各项评审因素得分的汇总分值即为投标人该项目（标段）的评审得分，评审得分最高的投标人为该项目（标段）的中标候选人。如有两个投标人评审得分相同、并列第一的，以投标报价得分高者为该项目（标段）的中标候选人。</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54" w:name="_Toc427683958"/>
      <w:bookmarkStart w:id="55" w:name="_Toc8395982"/>
      <w:bookmarkStart w:id="56" w:name="_Toc27470"/>
      <w:bookmarkStart w:id="57" w:name="_Toc427683915"/>
      <w:r>
        <w:rPr>
          <w:rFonts w:hint="eastAsia" w:asciiTheme="minorEastAsia" w:hAnsiTheme="minorEastAsia" w:cstheme="minorEastAsia"/>
          <w:b/>
          <w:bCs/>
          <w:sz w:val="24"/>
          <w:lang w:val="zh-CN"/>
        </w:rPr>
        <w:t>2. 评标标准</w:t>
      </w:r>
      <w:bookmarkEnd w:id="54"/>
      <w:bookmarkEnd w:id="55"/>
      <w:bookmarkEnd w:id="56"/>
      <w:bookmarkEnd w:id="57"/>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2.1 初步评审标准：</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2.1符合性审查标准：见评标办法前附表</w:t>
      </w:r>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2.2 详细评审标准</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2.2.1 分值构成：见评标办法前附表</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2.2.2 评分标准：见评标办法前附表</w:t>
      </w:r>
    </w:p>
    <w:p>
      <w:pPr>
        <w:autoSpaceDE w:val="0"/>
        <w:autoSpaceDN w:val="0"/>
        <w:adjustRightInd w:val="0"/>
        <w:snapToGrid w:val="0"/>
        <w:spacing w:line="360" w:lineRule="auto"/>
        <w:outlineLvl w:val="1"/>
        <w:rPr>
          <w:rFonts w:asciiTheme="minorEastAsia" w:hAnsiTheme="minorEastAsia" w:cstheme="minorEastAsia"/>
          <w:b/>
          <w:bCs/>
          <w:sz w:val="24"/>
          <w:lang w:val="zh-CN"/>
        </w:rPr>
      </w:pPr>
      <w:bookmarkStart w:id="58" w:name="_Toc427683916"/>
      <w:bookmarkStart w:id="59" w:name="_Toc8395983"/>
      <w:bookmarkStart w:id="60" w:name="_Toc10287"/>
      <w:bookmarkStart w:id="61" w:name="_Toc427683959"/>
      <w:r>
        <w:rPr>
          <w:rFonts w:hint="eastAsia" w:asciiTheme="minorEastAsia" w:hAnsiTheme="minorEastAsia" w:cstheme="minorEastAsia"/>
          <w:b/>
          <w:bCs/>
          <w:sz w:val="24"/>
          <w:lang w:val="zh-CN"/>
        </w:rPr>
        <w:t>3. 评标程序</w:t>
      </w:r>
      <w:bookmarkEnd w:id="58"/>
      <w:bookmarkEnd w:id="59"/>
      <w:bookmarkEnd w:id="60"/>
      <w:bookmarkEnd w:id="61"/>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评标委员会按标段进行评审</w:t>
      </w:r>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3.1 审阅招标文件</w:t>
      </w:r>
    </w:p>
    <w:p>
      <w:pPr>
        <w:adjustRightInd w:val="0"/>
        <w:snapToGrid w:val="0"/>
        <w:spacing w:line="360" w:lineRule="auto"/>
        <w:ind w:firstLine="420" w:firstLineChars="200"/>
        <w:textAlignment w:val="top"/>
        <w:rPr>
          <w:rFonts w:asciiTheme="minorEastAsia" w:hAnsiTheme="minorEastAsia" w:cstheme="minorEastAsia"/>
          <w:szCs w:val="21"/>
        </w:rPr>
      </w:pPr>
      <w:bookmarkStart w:id="62" w:name="_Toc427683917"/>
      <w:bookmarkStart w:id="63" w:name="_Toc427683960"/>
      <w:r>
        <w:rPr>
          <w:rFonts w:hint="eastAsia" w:asciiTheme="minorEastAsia" w:hAnsiTheme="minorEastAsia" w:cstheme="minorEastAsia"/>
          <w:szCs w:val="21"/>
        </w:rPr>
        <w:t>3.1.1评标委员会发现招标文件存在歧义、重大缺陷导致评标工作无法进行，或者招标文件内容违反国家有关强制性规定的，应当停止评标工作，与采购人或者采购代理机构沟通并作书面记录。采购人或者采购代理机构确认后，将修改招标文件，重新组织采购活动。</w:t>
      </w:r>
    </w:p>
    <w:bookmarkEnd w:id="62"/>
    <w:bookmarkEnd w:id="63"/>
    <w:p>
      <w:pPr>
        <w:adjustRightInd w:val="0"/>
        <w:snapToGrid w:val="0"/>
        <w:spacing w:line="360" w:lineRule="auto"/>
        <w:ind w:firstLine="420" w:firstLineChars="200"/>
        <w:textAlignment w:val="top"/>
        <w:rPr>
          <w:rFonts w:asciiTheme="minorEastAsia" w:hAnsiTheme="minorEastAsia" w:cstheme="minorEastAsia"/>
          <w:b/>
          <w:bCs/>
          <w:szCs w:val="21"/>
        </w:rPr>
      </w:pPr>
      <w:bookmarkStart w:id="64" w:name="_Toc427683918"/>
      <w:bookmarkStart w:id="65" w:name="_Toc427683961"/>
      <w:r>
        <w:rPr>
          <w:rFonts w:hint="eastAsia" w:asciiTheme="minorEastAsia" w:hAnsiTheme="minorEastAsia" w:cstheme="minorEastAsia"/>
          <w:szCs w:val="21"/>
        </w:rPr>
        <w:t>3.1.2  评标委员会要求解释招标文件的，书面提出需解释的相关招标文件的具体内容后、由采购代理机构或者采购人进行书面解释。</w:t>
      </w:r>
      <w:bookmarkEnd w:id="64"/>
      <w:bookmarkEnd w:id="65"/>
    </w:p>
    <w:p>
      <w:pPr>
        <w:adjustRightInd w:val="0"/>
        <w:snapToGrid w:val="0"/>
        <w:spacing w:line="440" w:lineRule="exact"/>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3.2 初步评审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3.2.1 评标委员会对符合资格的投标人的投标文件进行符合性审查，以确定其是否满足招标文件的实质性要求。</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评标委员会依据本章第2.1款规定的标准对投标文件进行符合性评审。有一项不符合评审标准的，作无效投标处理。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3.2.2 投标人有以下情形之一的，其投标作无效投标处理：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（1）投标人不符合国家或者招标文件规定的资格条件；</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（2）投标人没有按照招标文件要求提供投标承诺函；</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（3）投标联合体不符合招标文件规定；</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（4）投标文件的签字盖章不符合招标文件规定；</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（5）投标报价超过招标文件中规定的最高限价的；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（6）同一投标人提交两个以上不同的投标文件或者投标报价，投标文件的每种报价有两个报价或其他选择性报价的。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（7）投标文件没有对招标文件的实质性要求和条件作出实质性响应，或不符合招标文件的实质性要求和条件；</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（8）投标文件附有招标项目不能接受的条件或不符合国家强制性规定的；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（9）单位负责人为同一人或者存在控股、管理关系的不同单位，参加同一项目（标段）投标的；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（10）为招标项目提供整体设计、规范编制或者项目管理、监理、检测等服务的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，不得再参加该招标项目的其他采购活动；</w:t>
      </w:r>
    </w:p>
    <w:p>
      <w:pPr>
        <w:pStyle w:val="20"/>
        <w:ind w:firstLine="420" w:firstLineChars="200"/>
        <w:rPr>
          <w:color w:val="auto"/>
        </w:rPr>
      </w:pPr>
      <w:r>
        <w:rPr>
          <w:rFonts w:hint="eastAsia" w:asciiTheme="minorEastAsia" w:hAnsiTheme="minorEastAsia" w:cstheme="minorEastAsia"/>
          <w:color w:val="auto"/>
          <w:szCs w:val="21"/>
        </w:rPr>
        <w:t>（11）</w:t>
      </w:r>
      <w:r>
        <w:rPr>
          <w:rFonts w:hint="eastAsia"/>
          <w:color w:val="auto"/>
        </w:rPr>
        <w:t>组成联合体或者接受分包的小微企业与联合体内其他企业、分包企业之间存在直接控股、管理关系的；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（12）提供虚假材料谋取中标的；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（13）不确认本章3.4.1项对投标报价的算术修正的；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（15）投标人有串通投标、行贿等违法行为。其中，有下列情形之一的，视为投标人相互串通投标：</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◆不同投标人的投标文件由同一单位或者个人编制；</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◆不同投标人委托同一单位或者个人办理投标事宜；</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◆不同投标人的投标文件载明的项目管理成员为同一人；</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◆不同投标人的投标文件异常一致或者投标报价呈规律性差异；</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◆不同投标人的投标文件相互混装；</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3.2.3未实质性响应招标文件的投标文件按无效处理，评标委员会应当告知有关</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3.2.4 评标委员会负责审查确定每一投标项目是否对招标文件的实质性要求作出了实质性的响应，而没有重大偏离和保留。实质性响应的投标是指投标符合招标文件的所有条款、条件和规定且没有重大偏离和保留（重大偏离和保留是指影响到招标文件和投标人的义务的规定，而纠正这些偏离将影响到其他提交实质性响应投标人的公平竞争地位）。</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3.2.5 评标委员会判断投标文件的响应性仅基于投标文件本身而不靠外部证据。</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3.2.6 评标委员会拒绝被确定为非实质性响应的投标人，投标人不得通过修正或撤销不符之处而使其投标成为实质性响应的投标。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3.2.7 允许投标人修改投标中不构成重大偏离的、微小的、非正规、不一致或不规则的地方。</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3.3 投标文件的澄清</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投标文件的澄清在招标公告所述网上电子交易系统进行。</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3.3.1 评审期间，投标人法定代表人须时刻关注电子开标室并保持通讯畅通。如因通讯不畅导致投标人无法及时澄清而被认定为无效响应等后果的，由投标人自行承担。</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3.3.2　为有助于对投标文件进行审查、评估和比较，评标委员会有权个别的向投标人提出质疑，请投标人澄清其投标内容。</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3.3.3　评标委员会可以要求投标人对投标文件中含义不明确、同类问题表述不一致或者有明显文字和计算错误的内容等作出必要的澄清、说明或者更正。投标人的澄清、说明或者更正不得超出投标文件的范围或者改变投标文件的实质性内容。</w:t>
      </w:r>
    </w:p>
    <w:p>
      <w:pPr>
        <w:autoSpaceDE w:val="0"/>
        <w:autoSpaceDN w:val="0"/>
        <w:adjustRightInd w:val="0"/>
        <w:snapToGrid w:val="0"/>
        <w:spacing w:line="440" w:lineRule="exact"/>
        <w:ind w:firstLine="495" w:firstLineChars="236"/>
        <w:rPr>
          <w:rFonts w:asciiTheme="minorEastAsia" w:hAnsiTheme="minorEastAsia" w:cstheme="minorEastAsia"/>
          <w:b/>
          <w:szCs w:val="21"/>
        </w:rPr>
      </w:pPr>
      <w:r>
        <w:rPr>
          <w:rFonts w:hint="eastAsia" w:asciiTheme="minorEastAsia" w:hAnsiTheme="minorEastAsia" w:cstheme="minorEastAsia"/>
          <w:szCs w:val="21"/>
        </w:rPr>
        <w:t>3.3.4　</w:t>
      </w:r>
      <w:r>
        <w:rPr>
          <w:rFonts w:hint="eastAsia" w:asciiTheme="minorEastAsia" w:hAnsiTheme="minorEastAsia" w:cstheme="minorEastAsia"/>
          <w:b/>
          <w:szCs w:val="21"/>
        </w:rPr>
        <w:t>投标人的澄清、说明或者更正应当采用书面形式，应加盖投标人电子签章或其法定代表人电子签名，并将澄清等内容作为附件上传至系统中。</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3.3.5　投标人的澄清文件是投标文件的组成部分，并取代投标文件中被澄清的部分。</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3.3.6　澄清文件应按评标委员会规定的时间提交。</w:t>
      </w:r>
    </w:p>
    <w:p>
      <w:pPr>
        <w:tabs>
          <w:tab w:val="left" w:pos="7799"/>
        </w:tabs>
        <w:autoSpaceDE w:val="0"/>
        <w:autoSpaceDN w:val="0"/>
        <w:adjustRightInd w:val="0"/>
        <w:snapToGrid w:val="0"/>
        <w:spacing w:line="440" w:lineRule="exact"/>
        <w:ind w:firstLine="498" w:firstLineChars="236"/>
        <w:rPr>
          <w:rFonts w:asciiTheme="minorEastAsia" w:hAnsiTheme="minorEastAsia" w:cstheme="minorEastAsia"/>
          <w:b/>
          <w:sz w:val="24"/>
        </w:rPr>
      </w:pPr>
      <w:r>
        <w:rPr>
          <w:rFonts w:hint="eastAsia" w:asciiTheme="minorEastAsia" w:hAnsiTheme="minorEastAsia" w:cstheme="minorEastAsia"/>
          <w:b/>
          <w:szCs w:val="21"/>
        </w:rPr>
        <w:t>3.4 详细评审</w:t>
      </w:r>
    </w:p>
    <w:p>
      <w:pPr>
        <w:autoSpaceDE w:val="0"/>
        <w:autoSpaceDN w:val="0"/>
        <w:adjustRightInd w:val="0"/>
        <w:snapToGrid w:val="0"/>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szCs w:val="21"/>
        </w:rPr>
        <w:t xml:space="preserve">3.4.1  </w:t>
      </w:r>
      <w:r>
        <w:rPr>
          <w:rFonts w:hint="eastAsia" w:asciiTheme="minorEastAsia" w:hAnsiTheme="minorEastAsia" w:cstheme="minorEastAsia"/>
          <w:szCs w:val="21"/>
        </w:rPr>
        <w:t>投标文件报价出现前后不一致的，按照下列规定修正：</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（1）“安阳市公共资源交易中心电子交易平台”系统中开标一览表（报价表）内容与投标文件中相应内容不一致的，以开标一览表（报价表）为准；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（2）大写金额和小写金额不一致的，以大写金额为准；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（3）单价金额小数点或者百分比有明显错位的，以开标一览表的总价为准，并修改单价；</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（4）总价金额与按单价汇总金额不一致的，以单价金额计算结果为准。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同时出现两种以上不一致的，按照前款规定的顺序修正。修正后的报价按照本章3.3.4项规定经投标人确认后产生约束力，投标人不确认的，其投标无效。</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3.4.2 按本章第4条规定执行促进中小企业发展扶持政策，用扣除后的价格参与评审。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3.4.3 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多家投标人提供的核心产品品牌相同的，按前项规定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3.4.4 按本章第4 条规定执行促进中小企业发展扶持政策，用扣除后的价格参与评审。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3.4.5 评标委员会按本章第2.2 款规定的量化因素和分值进行打分，并计算出综合评标得分。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3.4.6 评分计算保留2位小数，第三位小数四舍五入。</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3.4.7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3.4.8在评标过程中，凡遇到《招标文件》中无界定或界定不清，前后不一致，使评委成员意见有分歧且又难于协商一致的问题，均由评委予以表决。为规避无序竞争，评标结束后，无论中标人或其他投标人，因提供虚假材料等判定中标（投标）无效、取消中标资格的情况，均将不改变评标委员会已作出的评审打分排序。</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3.4.9 除了算术修正和落实政府采购政策需进行的价格扣除外，评标委员会不对投标人的投标价格进行任何调整。</w:t>
      </w:r>
    </w:p>
    <w:p>
      <w:pPr>
        <w:autoSpaceDE w:val="0"/>
        <w:autoSpaceDN w:val="0"/>
        <w:adjustRightInd w:val="0"/>
        <w:snapToGrid w:val="0"/>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szCs w:val="21"/>
        </w:rPr>
        <w:t>3.5 复核</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3.5.1  评标委员会对</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的价格分等客观评分项的评分应当一致，对其他需要借助专业知识评判的主观评分项，应当严格按照评分细则公正评分，不得超出评分标准范围，对畸高、畸低的重大差异评分书面说明理由。</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3.5.2 评标委员会要对评分汇总情况进行复核，特别是对排名第一的、报价最低的、投标或相应文件被认定为无效的情形进行重点复核。评标结果汇总完成后评标报告签署前，经评标委员会复核存在分值汇总计算错误的、分项评分超出评分标准范围的、评标委员会成员对客观评审因素评分不一致的、经评标委员会认定评分畸高、畸低的，有前述情形之一的，评标委员会应当当场修改评标结果，并在评标报告中记载。</w:t>
      </w:r>
    </w:p>
    <w:p>
      <w:pPr>
        <w:autoSpaceDE w:val="0"/>
        <w:autoSpaceDN w:val="0"/>
        <w:adjustRightInd w:val="0"/>
        <w:snapToGrid w:val="0"/>
        <w:spacing w:line="440" w:lineRule="exact"/>
        <w:ind w:firstLine="422" w:firstLineChars="200"/>
        <w:rPr>
          <w:rFonts w:asciiTheme="minorEastAsia" w:hAnsiTheme="minorEastAsia" w:cstheme="minorEastAsia"/>
          <w:b/>
          <w:szCs w:val="21"/>
        </w:rPr>
      </w:pPr>
      <w:r>
        <w:rPr>
          <w:rFonts w:hint="eastAsia" w:asciiTheme="minorEastAsia" w:hAnsiTheme="minorEastAsia" w:cstheme="minorEastAsia"/>
          <w:b/>
          <w:szCs w:val="21"/>
        </w:rPr>
        <w:t>3.6 评审结果</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3.6.1 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3.6.2 评标委员会按照评审得分由高到低的顺序提出3名中标候选人，并编写书面评标报告。</w:t>
      </w:r>
    </w:p>
    <w:p>
      <w:pPr>
        <w:autoSpaceDE w:val="0"/>
        <w:autoSpaceDN w:val="0"/>
        <w:adjustRightInd w:val="0"/>
        <w:snapToGrid w:val="0"/>
        <w:spacing w:line="440" w:lineRule="exact"/>
        <w:ind w:firstLine="420" w:firstLineChars="200"/>
        <w:rPr>
          <w:rFonts w:asciiTheme="minorEastAsia" w:hAnsiTheme="minorEastAsia" w:cstheme="minorEastAsia"/>
          <w:b/>
          <w:bCs/>
          <w:szCs w:val="21"/>
        </w:rPr>
      </w:pPr>
      <w:r>
        <w:rPr>
          <w:rFonts w:hint="eastAsia" w:asciiTheme="minorEastAsia" w:hAnsiTheme="minorEastAsia" w:cstheme="minorEastAsia"/>
          <w:szCs w:val="21"/>
        </w:rPr>
        <w:t>3.6.3 确定中标人：</w:t>
      </w:r>
      <w:r>
        <w:rPr>
          <w:rFonts w:hint="eastAsia" w:asciiTheme="minorEastAsia" w:hAnsiTheme="minorEastAsia" w:cstheme="minorEastAsia"/>
          <w:b/>
          <w:bCs/>
          <w:szCs w:val="21"/>
        </w:rPr>
        <w:t>按第三章“</w:t>
      </w:r>
      <w:r>
        <w:rPr>
          <w:rFonts w:hint="eastAsia" w:asciiTheme="minorEastAsia" w:hAnsiTheme="minorEastAsia" w:cstheme="minorEastAsia"/>
          <w:b/>
          <w:bCs/>
          <w:szCs w:val="21"/>
          <w:lang w:eastAsia="zh-CN"/>
        </w:rPr>
        <w:t>投标人</w:t>
      </w:r>
      <w:r>
        <w:rPr>
          <w:rFonts w:hint="eastAsia" w:asciiTheme="minorEastAsia" w:hAnsiTheme="minorEastAsia" w:cstheme="minorEastAsia"/>
          <w:b/>
          <w:bCs/>
          <w:szCs w:val="21"/>
        </w:rPr>
        <w:t>须知前”7.1款规定及本章第1条规定。</w:t>
      </w:r>
    </w:p>
    <w:p>
      <w:pPr>
        <w:autoSpaceDE w:val="0"/>
        <w:autoSpaceDN w:val="0"/>
        <w:adjustRightInd w:val="0"/>
        <w:snapToGrid w:val="0"/>
        <w:spacing w:line="440" w:lineRule="exact"/>
        <w:ind w:firstLine="422" w:firstLineChars="200"/>
        <w:rPr>
          <w:rFonts w:asciiTheme="minorEastAsia" w:hAnsiTheme="minorEastAsia" w:cstheme="minorEastAsia"/>
          <w:b/>
          <w:szCs w:val="21"/>
        </w:rPr>
      </w:pPr>
      <w:r>
        <w:rPr>
          <w:rFonts w:hint="eastAsia" w:asciiTheme="minorEastAsia" w:hAnsiTheme="minorEastAsia" w:cstheme="minorEastAsia"/>
          <w:b/>
          <w:szCs w:val="21"/>
        </w:rPr>
        <w:t>3.7 废标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3.7.1 出现下列情形之一的，应予废标：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（1）符合专业条件的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或者对招标文件作实质响应的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不足三家的；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（2）出现影响采购公正的违法、违规行为的；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（3）未超过</w:t>
      </w:r>
      <w:r>
        <w:rPr>
          <w:rFonts w:hint="eastAsia" w:asciiTheme="minorEastAsia" w:hAnsiTheme="minorEastAsia" w:cstheme="minorEastAsia"/>
          <w:szCs w:val="21"/>
          <w:highlight w:val="none"/>
          <w:lang w:eastAsia="zh-CN"/>
        </w:rPr>
        <w:t>该项目总项目最高限价</w:t>
      </w:r>
      <w:r>
        <w:rPr>
          <w:rFonts w:hint="eastAsia" w:asciiTheme="minorEastAsia" w:hAnsiTheme="minorEastAsia" w:cstheme="minorEastAsia"/>
          <w:szCs w:val="21"/>
        </w:rPr>
        <w:t>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不足3家的；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（4）因重大变故，采购任务取消的。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3.7.2 评标委员会要在废标时，出具招标文件是否存在不合理条款的论证意见，要协助采购人、采购代理机构、财政部门答复质疑或处理投诉事项。</w:t>
      </w:r>
      <w:bookmarkStart w:id="66" w:name="_Toc8395984"/>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 政府采购促进中小企业发展扶持政策</w:t>
      </w:r>
      <w:bookmarkEnd w:id="66"/>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4.1 本次政府招标项目的中小企业应按附件格式提供《中小企业声明函》；</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 小微企业价格扣除扶持政策：</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4.2.1 本次政府采购项目对小型和微型企业产品的价格给予10%的扣除，用扣除后的价格参与评审。</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4.2.2在政府采购活动中，</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提供的货物、工程或者服务符合下列情形的， 享受《政府采购促进中小企业发展管理办法》规定的中小企业扶持政策：</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（一）在货物采购项目中，货物由中小企业制造，即货物由中小企业生产且使用该中小企业商号或者注册商标；</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（二）在工程采购项目中，工程由中小企业承建，即工程施工单位为中小企业；</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（三）在服务采购项目中，服务由中小企业承接，即提供服务的人员为中小企业依照《中华人民共和国劳动合同法》订立劳动合同的从业人员。</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在货物采购项目中，</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提供的货物既有中小企业制造货物，也有大型企业制造货物的，不享受中小企业扶持政策。</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以联合体形式参加政府采购活动，联合体各方均为中小企业的，联合体视同中小企业。其中，联合体各方均为小微企业的，联合体视同小微企业。</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en-US" w:eastAsia="zh-CN"/>
        </w:rPr>
        <w:t>4.2.3</w:t>
      </w:r>
      <w:r>
        <w:rPr>
          <w:rFonts w:hint="eastAsia" w:asciiTheme="minorEastAsia" w:hAnsiTheme="minorEastAsia" w:cstheme="minorEastAsia"/>
          <w:szCs w:val="21"/>
        </w:rPr>
        <w:t>符合中小企业划分标准的个体工商户，在政府采购活动中视同中小企业。</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w:t>
      </w:r>
      <w:r>
        <w:rPr>
          <w:rFonts w:hint="eastAsia" w:asciiTheme="minorEastAsia" w:hAnsiTheme="minorEastAsia" w:cstheme="minorEastAsia"/>
          <w:szCs w:val="21"/>
          <w:lang w:val="en-US" w:eastAsia="zh-CN"/>
        </w:rPr>
        <w:t>4</w:t>
      </w:r>
      <w:r>
        <w:rPr>
          <w:rFonts w:hint="eastAsia" w:asciiTheme="minorEastAsia" w:hAnsiTheme="minorEastAsia" w:cstheme="minorEastAsia"/>
          <w:szCs w:val="21"/>
        </w:rPr>
        <w:t xml:space="preserve"> 如招标文件接受大中型企业与小微企业组成联合体或者允许大中型企业向一家或者多家小微企业分包时，联合协议或分包意向协议约定小微型企业的合同份额占到合同总金额30%以上的，给予联合体或大中型企业4%的价格扣除，用扣除后的价格参加评审。组成联合体或者接受分包合同的中小企业与联合体内其他企业、分包企业之间不得存在直接控股、管理关系。</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w:t>
      </w:r>
      <w:r>
        <w:rPr>
          <w:rFonts w:hint="eastAsia" w:asciiTheme="minorEastAsia" w:hAnsiTheme="minorEastAsia" w:cstheme="minorEastAsia"/>
          <w:szCs w:val="21"/>
          <w:lang w:val="en-US" w:eastAsia="zh-CN"/>
        </w:rPr>
        <w:t>5</w:t>
      </w:r>
      <w:r>
        <w:rPr>
          <w:rFonts w:hint="eastAsia" w:asciiTheme="minorEastAsia" w:hAnsiTheme="minorEastAsia" w:cstheme="minorEastAsia"/>
          <w:szCs w:val="21"/>
        </w:rPr>
        <w:t xml:space="preserve"> 价格扣除比例或者价格分加分比例对小型企业和微型企业同等对待，不作区分。</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4.3 监狱企业、符合法定条件的残疾人福利性单位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符合法定条件的残疾人福利性单位提供财库〔2017〕141 号规定的《残疾人福利性单位声明函》，残疾人福利性单位属于小型、微型企业的，不重复享受政策。</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4.3.1 享受政府采购支持政策的残疾人福利性单位应当同时满足以下条件：</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（1）安置的残疾人占本单位在职职工人数的比例不低于 25%（含 25%），并且安置的残疾人人数不少于 10 人（含 10 人）；</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（2）依法与安置的每位残疾人签订了一年以上（含一年）的劳动合同或服务协议；</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（3）为安置的每位残疾人按月足额缴纳了基本养老保险、基本医疗保险、失业保险、工伤保险和生育保险等社会保险费；</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（4）通过银行等金融机构向安置的每位残疾人，按月支付了不低于单位所在区县适用的经省级人民政府批准的月最低工资标准的工资；</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5）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4.4 评标委员会对投标人申报的小型和微型企业产品的价格扣除事项进行评审。鉴于小微企业价格扣除政策与合同执行价格无关，为避免投标人申报价格扣除事项的随意性，故特别规定：</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（1）评标委员会对投标人申报的小型和微型企业产品的价格扣除事项的评审结论，分为合格与不合格。</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2）经评审，申报的小微价格扣除事项缺失中小企业声明函、联合协议或分包意向协议不符合中小企业价格扣除规定、未按招标文件确定的价格扣除比例填列等任一不符合政策要求及不准确的事项，评标委员会小组均将评审为不合格，该投标人申报的价格扣除事项不予接受、为0；评标委员会小组应当告知相关投标人。提供虚假材料的为无效投标、并承担相应的法律责任。</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（3）评审合格的，接受其申报的小型和微型企业产品的价格扣除，用扣除后的价格参与评审。</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（4）评审不合格的，不接受其小微企业价格扣除，其开标一览表价格扣除视为0，但将不作为无效投标。</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（5）在电子交易系统，投标人填选后，扣除后的价格将由电子交易系统自动生成。</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注：小微企业价格扣除，仅作为价格评审的依据，并不影响合同执行价格，合同执行价格为中标人的投标报价。</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4.5 根据财政部、工业和信息化部有关负责人就印发《政府采购促进中小企业发展管理办法》答记者问，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4.6中标、成交</w:t>
      </w:r>
      <w:r>
        <w:rPr>
          <w:rFonts w:hint="eastAsia" w:asciiTheme="minorEastAsia" w:hAnsiTheme="minorEastAsia" w:cstheme="minorEastAsia"/>
          <w:lang w:eastAsia="zh-CN"/>
        </w:rPr>
        <w:t>投标人</w:t>
      </w:r>
      <w:r>
        <w:rPr>
          <w:rFonts w:hint="eastAsia" w:asciiTheme="minorEastAsia" w:hAnsiTheme="minorEastAsia" w:cstheme="minorEastAsia"/>
        </w:rPr>
        <w:t>享受本办法规定的中小企业扶持政策的，中标、成交</w:t>
      </w:r>
      <w:r>
        <w:rPr>
          <w:rFonts w:hint="eastAsia" w:asciiTheme="minorEastAsia" w:hAnsiTheme="minorEastAsia" w:cstheme="minorEastAsia"/>
          <w:lang w:eastAsia="zh-CN"/>
        </w:rPr>
        <w:t>投标人</w:t>
      </w:r>
      <w:r>
        <w:rPr>
          <w:rFonts w:hint="eastAsia" w:asciiTheme="minorEastAsia" w:hAnsiTheme="minorEastAsia" w:cstheme="minorEastAsia"/>
        </w:rPr>
        <w:t>的《中小企业声明函》将随中标、成交结果公开。</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4.7依法享受扶持政策获得政府采购合同的，小微企业不得将合同分包给大中型企业，中型企业不得将合同分包给大型企业。</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4.8政府采购监督检查、投诉处理及政府采购行政处罚中对中小企业的认定，由货物制造商或者工程、服务</w:t>
      </w:r>
      <w:r>
        <w:rPr>
          <w:rFonts w:hint="eastAsia" w:asciiTheme="minorEastAsia" w:hAnsiTheme="minorEastAsia" w:cstheme="minorEastAsia"/>
          <w:lang w:eastAsia="zh-CN"/>
        </w:rPr>
        <w:t>投标人</w:t>
      </w:r>
      <w:r>
        <w:rPr>
          <w:rFonts w:hint="eastAsia" w:asciiTheme="minorEastAsia" w:hAnsiTheme="minorEastAsia" w:cstheme="minorEastAsia"/>
        </w:rPr>
        <w:t>注册登记所在地的县级以上人民政府中小企业主管部门负责。</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4.9</w:t>
      </w:r>
      <w:r>
        <w:rPr>
          <w:rFonts w:hint="eastAsia" w:asciiTheme="minorEastAsia" w:hAnsiTheme="minorEastAsia" w:cstheme="minorEastAsia"/>
          <w:lang w:eastAsia="zh-CN"/>
        </w:rPr>
        <w:t>投标人</w:t>
      </w:r>
      <w:r>
        <w:rPr>
          <w:rFonts w:hint="eastAsia" w:asciiTheme="minorEastAsia" w:hAnsiTheme="minorEastAsia" w:cstheme="minorEastAsia"/>
        </w:rPr>
        <w:t>按照财库〔2020〕46号规定及招标文件要求提供声明函内容不实的，属于提供虚假材料谋取中标、成交，依照《中华人民共和国政府采购法》等国家有关规定追究相应责任。</w:t>
      </w:r>
    </w:p>
    <w:p>
      <w:pPr>
        <w:pStyle w:val="21"/>
        <w:spacing w:after="0" w:line="440" w:lineRule="exact"/>
        <w:ind w:left="0" w:leftChars="0" w:firstLine="0" w:firstLineChars="0"/>
        <w:rPr>
          <w:rFonts w:asciiTheme="minorEastAsia" w:hAnsiTheme="minorEastAsia" w:cstheme="minorEastAsia"/>
          <w:b/>
          <w:bCs/>
          <w:sz w:val="24"/>
        </w:rPr>
      </w:pPr>
    </w:p>
    <w:p>
      <w:pPr>
        <w:pStyle w:val="21"/>
        <w:spacing w:after="0" w:line="440" w:lineRule="exact"/>
        <w:ind w:left="0" w:leftChars="0" w:firstLine="0" w:firstLineChars="0"/>
        <w:rPr>
          <w:rFonts w:asciiTheme="minorEastAsia" w:hAnsiTheme="minorEastAsia" w:cstheme="minorEastAsia"/>
          <w:b/>
          <w:bCs/>
          <w:sz w:val="24"/>
        </w:rPr>
      </w:pPr>
      <w:r>
        <w:rPr>
          <w:rFonts w:hint="eastAsia" w:asciiTheme="minorEastAsia" w:hAnsiTheme="minorEastAsia" w:cstheme="minorEastAsia"/>
          <w:b/>
          <w:bCs/>
          <w:sz w:val="24"/>
        </w:rPr>
        <w:t>附件</w:t>
      </w:r>
      <w:r>
        <w:rPr>
          <w:rFonts w:hint="eastAsia" w:asciiTheme="minorEastAsia" w:hAnsiTheme="minorEastAsia" w:cstheme="minorEastAsia"/>
          <w:b/>
          <w:bCs/>
          <w:sz w:val="22"/>
          <w:szCs w:val="22"/>
        </w:rPr>
        <w:t xml:space="preserve">：     </w:t>
      </w:r>
      <w:r>
        <w:rPr>
          <w:rFonts w:hint="eastAsia" w:asciiTheme="minorEastAsia" w:hAnsiTheme="minorEastAsia" w:cstheme="minorEastAsia"/>
          <w:b/>
          <w:bCs/>
          <w:sz w:val="24"/>
        </w:rPr>
        <w:t>《中小企业划型标准规定》（工信部联企业〔 2011 〕 300 号）</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一、根据《中华人民共和国中小企业促进法》和《国务院关于进一步促进中小企业发展的若干意见》（国发〔2009〕36 号)，制定本规定。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二、中小企业划分为中型、小型、微型三种类型，具体标准根据企业从业人员、营业收入、资产总额等指标，结合行业特点制定。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pStyle w:val="21"/>
        <w:spacing w:after="0" w:line="440" w:lineRule="exact"/>
        <w:ind w:left="0" w:leftChars="0" w:firstLine="840" w:firstLineChars="400"/>
        <w:rPr>
          <w:rFonts w:asciiTheme="minorEastAsia" w:hAnsiTheme="minorEastAsia" w:cstheme="minorEastAsia"/>
          <w:szCs w:val="21"/>
        </w:rPr>
      </w:pPr>
      <w:r>
        <w:rPr>
          <w:rFonts w:hint="eastAsia" w:asciiTheme="minorEastAsia" w:hAnsiTheme="minorEastAsia" w:cstheme="minorEastAsia"/>
          <w:szCs w:val="21"/>
        </w:rPr>
        <w:t>四、各行业划型标准为：</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（一）农、林、牧、渔业。营业收入 20000 万元以下的为中小微型企业。其中，营业收入 500 万元及以上的为中型企业，营业收入 50 万元及以上的为小型企业，营业收入 50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（二）工业。从业人员 1000 人以下或营业收入 40000 万元以下的为中小微型企业。其中，从业人员 300 人及以上，且营业收入 2000 万元及以上的为中型企业；从业人员 20 人及以上，且营业收入 300 万元及以上的为小型企业；从业人员 20 人以下或营业收入 300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（三）建筑业。营业收入 80000 万元以下或资产总额 80000 万元以下的为中小微型企业。其中，营业收入 6000 万元及以上，且资产总额 5000 万元及以上的为中型企业；营业收入 300万元及以上，且资产总额 300 万元及以上的为小型企业；营业收入 300 万元以下或资产总额300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（四）批发业。从业人员 200 人以下或营业收入 40000 万元以下的为中小微型企业。其中，从业人员 20 人及以上，且营业收入 5000 万元及以上的为中型企业；从业人员 5 人及以上，且营业收入 1000 万元及以上的为小型企业；从业人员 5 人以下或营业收入 1000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（五）零售业。从业人员 300 人以下或营业收入 20000 万元以下的为中小微型企业。其中，从业人员 50 人及以上，且营业收入 500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（六）交通运输业。从业人员 1000 人以下或营业收入 30000 万元以下的为中小微型企业。其中，从业人员 300 人及以上，且营业收入 3000 万元及以上的为中型企业；从业人员 20 人及以上，且营业收入 200 万元及以上的为小型企业；从业人员 20 人以下或营业收入 200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（七）仓储业。从业人员 200 人以下或营业收入 30000 万元以下的为中小微型企业。其中，从业人员 100 人及以上，且营业收入 1000 万元及以上的为中型企业；从业人员 20 人及以上，且营业收入 100 万元及以上的为小型企业；从业人员 20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（八）邮政业。从业人员 1000 人以下或营业收入 30000 万元以下的为中小微型企业。其中，从业人员 300 人及以上，且营业收入 2000 万元及以上的为中型企业；从业人员 20 人及以上，且营业收入 100 万元及以上的为小型企业；从业人员 20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（九）住宿业。从业人员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（十）餐饮业。从业人员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（十一）信息传输业。从业人员 2000 人以下或营业收入 100000 万元以下的为中小微型企业。其中，从业人员 100 人及以上，且营业收入 1000 万元及以上的为中型企业；从业人员10 人及以上，且营业收入 100 万元及以上的为小型企业；从业人员 10 人以下或营业收入 100万元以下的为微型企业。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（十二）软件和信息技术服务业。从业人员 300 人以下或营业收入 10000 万元以下的为中小微型企业。其中，从业人员 100 人及以上，且营业收入 1000 万元及以上的为中型企业；从业人员 10 人及以上，且营业收入 50 万元及以上的为小型企业；从业人员 10 人以下或营业收入 50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（十三）房地产开发经营。营业收入 200000 万元以下或资产总额 10000 万元以下的为中小微型企业。其中，营业收入 1000 万元及以上，且资产总额 5000 万元及以上的为中型企业；营业收入 100 万元及以上，且资产总额 2000 万元及以上的为小型企业；营业收入 100 万元以下或资产总额 2000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（十四）物业管理。从业人员 1000 人以下或营业收入 5000 万元以下的为中小微型企业。其中，从业人员 300 人及以上，且营业收入 1000 万元及以上的为中型企业；从业人员 100 人及以上，且营业收入 500 万元及以上的为小型企业；从业人员 100 人以下或营业收入 500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（十五）租赁和商务服务业。从业人员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 10 人以下或资产总额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（十六）其他未列明行业。从业人员 300 人以下的为中小微型企业。其中，从业人员 100人及以上的为中型企业；从业人员 10 人及以上的为小型企业；从业人员 10 人以下的为微型企业。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五、企业类型的划分以统计部门的统计数据为依据。</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六、本规定适用于在中华人民共和国境内依法设立的各类所有制和各种组织形式的企业。个体工商户和本规定以外的行业，参照本规定进行划型。</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七、本规定的中型企业标准上限即为大型企业标准的下限，国家统计部门据此制定大中小微型企业的统计分类。国务院有关部门据此进行相关数据分析，不得制定与本规定不一致的企业划型标准。</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八、本规定由工业和信息化部、国家统计局会同有关部门根据《国民经济行业分类》修订情况和企业发展变化情况适时修订。</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九、本规定由工业和信息化部、国家统计局会同有关部门负责解释。</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十、本规定自发布之日起执行，原国家经贸委、原国家计委、财政部和国家统计局 2003年颁布的《中小企业标准暂行规定》国经贸中小企[2003]143 号同时废止。</w:t>
      </w:r>
    </w:p>
    <w:p>
      <w:pPr>
        <w:adjustRightInd w:val="0"/>
        <w:snapToGrid w:val="0"/>
        <w:spacing w:line="440" w:lineRule="exact"/>
        <w:ind w:firstLine="420" w:firstLineChars="200"/>
        <w:rPr>
          <w:rFonts w:asciiTheme="minorEastAsia" w:hAnsiTheme="minorEastAsia" w:cstheme="minorEastAsia"/>
          <w:szCs w:val="21"/>
        </w:rPr>
      </w:pPr>
    </w:p>
    <w:p>
      <w:pPr>
        <w:pStyle w:val="3"/>
        <w:pageBreakBefore/>
        <w:widowControl/>
        <w:spacing w:before="0" w:after="0" w:line="440" w:lineRule="exact"/>
        <w:jc w:val="center"/>
        <w:rPr>
          <w:rFonts w:asciiTheme="minorEastAsia" w:hAnsiTheme="minorEastAsia" w:eastAsiaTheme="minorEastAsia" w:cstheme="minorEastAsia"/>
          <w:sz w:val="36"/>
          <w:szCs w:val="20"/>
        </w:rPr>
      </w:pPr>
      <w:bookmarkStart w:id="67" w:name="_Toc31762"/>
      <w:r>
        <w:rPr>
          <w:rFonts w:hint="eastAsia" w:asciiTheme="minorEastAsia" w:hAnsiTheme="minorEastAsia" w:eastAsiaTheme="minorEastAsia" w:cstheme="minorEastAsia"/>
          <w:sz w:val="32"/>
          <w:szCs w:val="32"/>
        </w:rPr>
        <w:t>第五章    合同（格式）</w:t>
      </w:r>
      <w:bookmarkEnd w:id="67"/>
    </w:p>
    <w:p>
      <w:pPr>
        <w:snapToGrid w:val="0"/>
        <w:spacing w:line="657" w:lineRule="atLeast"/>
        <w:jc w:val="center"/>
        <w:rPr>
          <w:rFonts w:asciiTheme="minorEastAsia" w:hAnsiTheme="minorEastAsia" w:cstheme="minorEastAsia"/>
          <w:b/>
          <w:spacing w:val="20"/>
          <w:sz w:val="28"/>
          <w:szCs w:val="28"/>
        </w:rPr>
      </w:pPr>
      <w:r>
        <w:rPr>
          <w:rFonts w:hint="eastAsia" w:asciiTheme="minorEastAsia" w:hAnsiTheme="minorEastAsia" w:cstheme="minorEastAsia"/>
          <w:b/>
          <w:spacing w:val="20"/>
          <w:sz w:val="28"/>
          <w:szCs w:val="28"/>
        </w:rPr>
        <w:t>（仅供参考）</w:t>
      </w:r>
    </w:p>
    <w:p>
      <w:pPr>
        <w:spacing w:line="450" w:lineRule="exact"/>
        <w:jc w:val="center"/>
        <w:textAlignment w:val="top"/>
        <w:rPr>
          <w:rFonts w:ascii="仿宋_GB2312" w:eastAsia="仿宋_GB2312"/>
          <w:b/>
          <w:sz w:val="32"/>
          <w:szCs w:val="18"/>
        </w:rPr>
      </w:pPr>
    </w:p>
    <w:p>
      <w:pPr>
        <w:jc w:val="center"/>
        <w:rPr>
          <w:rFonts w:ascii="宋体" w:hAnsi="宋体" w:eastAsia="宋体" w:cs="宋体"/>
          <w:b/>
          <w:bCs/>
          <w:sz w:val="28"/>
          <w:szCs w:val="28"/>
        </w:rPr>
      </w:pPr>
      <w:r>
        <w:rPr>
          <w:rFonts w:hint="eastAsia" w:ascii="宋体" w:hAnsi="宋体" w:eastAsia="宋体" w:cs="宋体"/>
          <w:b/>
          <w:bCs/>
          <w:sz w:val="28"/>
          <w:szCs w:val="28"/>
        </w:rPr>
        <w:t>供 货 合 同</w:t>
      </w:r>
    </w:p>
    <w:p>
      <w:pPr>
        <w:spacing w:line="360" w:lineRule="auto"/>
        <w:ind w:firstLine="420" w:firstLineChars="200"/>
        <w:rPr>
          <w:rFonts w:ascii="宋体" w:hAnsi="宋体" w:eastAsia="宋体" w:cs="宋体"/>
          <w:szCs w:val="21"/>
        </w:rPr>
      </w:pPr>
      <w:r>
        <w:rPr>
          <w:rFonts w:hint="eastAsia" w:ascii="宋体" w:hAnsi="宋体" w:eastAsia="宋体" w:cs="宋体"/>
          <w:szCs w:val="21"/>
        </w:rPr>
        <w:t>合同编号：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甲方：（采购人）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乙方：（</w:t>
      </w:r>
      <w:r>
        <w:rPr>
          <w:rFonts w:hint="eastAsia" w:ascii="宋体" w:hAnsi="宋体" w:eastAsia="宋体" w:cs="宋体"/>
          <w:szCs w:val="21"/>
          <w:lang w:eastAsia="zh-CN"/>
        </w:rPr>
        <w:t>投标人</w:t>
      </w:r>
      <w:r>
        <w:rPr>
          <w:rFonts w:hint="eastAsia" w:ascii="宋体" w:hAnsi="宋体" w:eastAsia="宋体" w:cs="宋体"/>
          <w:szCs w:val="21"/>
        </w:rPr>
        <w:t>）</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甲、乙双方持中资国际工程咨询集团有限责任公司 2022  年  月  日签发的（采购人及项目名称）〔项目编号： 〕中标通知书，根据采购文件及其修改补充澄清、投标文件及其修改补充澄清的内容，经双方平等协商一致，达成以下合同条款：</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一、本合同所指货物为此次</w:t>
      </w:r>
      <w:r>
        <w:rPr>
          <w:rFonts w:hint="eastAsia" w:ascii="宋体" w:hAnsi="宋体" w:eastAsia="宋体" w:cs="宋体"/>
          <w:szCs w:val="21"/>
          <w:highlight w:val="none"/>
          <w:lang w:eastAsia="zh-CN"/>
        </w:rPr>
        <w:t>公开招标</w:t>
      </w:r>
      <w:r>
        <w:rPr>
          <w:rFonts w:hint="eastAsia" w:ascii="宋体" w:hAnsi="宋体" w:eastAsia="宋体" w:cs="宋体"/>
          <w:szCs w:val="21"/>
          <w:highlight w:val="none"/>
        </w:rPr>
        <w:t xml:space="preserve">的货物，包括（详细注明：品名、规格、型号、数量、单价、产地及技术要求），合同总价款为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元（大写：       ）。</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本合同为固定总价合同，不因人工、材料和产品等价格的波动而影响合同价格。</w:t>
      </w:r>
      <w:r>
        <w:rPr>
          <w:rFonts w:hint="eastAsia" w:ascii="宋体" w:hAnsi="宋体" w:eastAsia="宋体" w:cs="宋体"/>
          <w:szCs w:val="21"/>
          <w:highlight w:val="none"/>
          <w:lang w:eastAsia="zh-CN"/>
        </w:rPr>
        <w:t>中标单位</w:t>
      </w:r>
      <w:r>
        <w:rPr>
          <w:rFonts w:hint="eastAsia" w:ascii="宋体" w:hAnsi="宋体" w:eastAsia="宋体" w:cs="宋体"/>
          <w:szCs w:val="21"/>
          <w:highlight w:val="none"/>
        </w:rPr>
        <w:t>日常维护服务期5年的费用为中标价的10%。</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二、货物质量要求及乙方对质量负责条件和期限：</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1、乙方提供的货物是全新的货物，符合国家强制标准及安全标准、检测标准以及该产品的出厂标准，符合</w:t>
      </w:r>
      <w:r>
        <w:rPr>
          <w:rFonts w:hint="eastAsia" w:ascii="宋体" w:hAnsi="宋体" w:eastAsia="宋体" w:cs="宋体"/>
          <w:szCs w:val="21"/>
          <w:highlight w:val="none"/>
          <w:lang w:eastAsia="zh-CN"/>
        </w:rPr>
        <w:t>招标</w:t>
      </w:r>
      <w:r>
        <w:rPr>
          <w:rFonts w:hint="eastAsia" w:ascii="宋体" w:hAnsi="宋体" w:eastAsia="宋体" w:cs="宋体"/>
          <w:szCs w:val="21"/>
          <w:highlight w:val="none"/>
        </w:rPr>
        <w:t>文件及其修改补充澄清要求且达到乙方《响应文件》及澄清中的技术标准。</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2、售后服务：（按招标文件及《</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文件》等相应条款制订）</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三、交货时间、地点、方式：</w:t>
      </w:r>
    </w:p>
    <w:p>
      <w:pPr>
        <w:pStyle w:val="5"/>
        <w:ind w:firstLine="420" w:firstLineChars="200"/>
        <w:rPr>
          <w:highlight w:val="none"/>
        </w:rPr>
      </w:pPr>
      <w:r>
        <w:rPr>
          <w:rFonts w:hint="eastAsia"/>
          <w:highlight w:val="none"/>
        </w:rPr>
        <w:t>1、中标商必须在规定的时间内签订合同。</w:t>
      </w:r>
    </w:p>
    <w:p>
      <w:pPr>
        <w:spacing w:line="360" w:lineRule="auto"/>
        <w:ind w:firstLine="420" w:firstLineChars="200"/>
        <w:rPr>
          <w:rFonts w:ascii="宋体" w:hAnsi="宋体" w:eastAsia="宋体" w:cs="宋体"/>
          <w:szCs w:val="21"/>
          <w:highlight w:val="none"/>
        </w:rPr>
      </w:pPr>
      <w:r>
        <w:rPr>
          <w:rFonts w:hint="default" w:ascii="宋体" w:hAnsi="宋体" w:eastAsia="宋体" w:cs="宋体"/>
          <w:szCs w:val="21"/>
          <w:highlight w:val="none"/>
        </w:rPr>
        <w:t>2、</w:t>
      </w:r>
      <w:r>
        <w:rPr>
          <w:rFonts w:hint="eastAsia" w:ascii="宋体" w:hAnsi="宋体" w:eastAsia="宋体" w:cs="宋体"/>
          <w:szCs w:val="21"/>
          <w:highlight w:val="none"/>
        </w:rPr>
        <w:t>合同生效后，乙方应于 2022 年 月 日前将货物带包装送达甲方指定地点，并于 2022 年 月 日前安装调试完毕，具备正常使用及验收条件。</w:t>
      </w:r>
    </w:p>
    <w:p>
      <w:pPr>
        <w:spacing w:line="360" w:lineRule="auto"/>
        <w:ind w:firstLine="420" w:firstLineChars="200"/>
        <w:rPr>
          <w:highlight w:val="none"/>
        </w:rPr>
      </w:pPr>
      <w:r>
        <w:rPr>
          <w:rFonts w:hint="eastAsia" w:ascii="宋体" w:hAnsi="宋体" w:eastAsia="宋体" w:cs="宋体"/>
          <w:szCs w:val="21"/>
          <w:highlight w:val="none"/>
        </w:rPr>
        <w:t>货物运送产生的费用由乙方负责。乙方在交付货物时应向甲方提供货物的使用说明书、合格证书及其他相关的资料。</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四、验收程序和要求</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highlight w:val="none"/>
          <w:lang w:val="zh-CN"/>
        </w:rPr>
        <w:t>所供货物全部安装调试结束、具备正常使用及验收条件时，由甲方成立的验收工作组负责验收。2023年</w:t>
      </w:r>
      <w:r>
        <w:rPr>
          <w:rFonts w:hint="eastAsia" w:ascii="宋体" w:hAnsi="宋体" w:eastAsia="宋体" w:cs="宋体"/>
          <w:szCs w:val="21"/>
          <w:highlight w:val="none"/>
          <w:lang w:val="en-US" w:eastAsia="zh-CN"/>
        </w:rPr>
        <w:t>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行第一次验收，验收合格后按政府采购法有关规定执行；第一次验收不合格，整改后需在第一次验收后10个工作日进行第二次验收，验收合格按政府采购法有关规定执行；第二次验收不合格，本合同自动终止，中标方</w:t>
      </w:r>
      <w:r>
        <w:rPr>
          <w:rFonts w:hint="eastAsia" w:ascii="宋体" w:hAnsi="宋体" w:eastAsia="宋体" w:cs="宋体"/>
          <w:szCs w:val="21"/>
          <w:highlight w:val="none"/>
          <w:lang w:val="en-US" w:eastAsia="zh-CN"/>
        </w:rPr>
        <w:t>2023年02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28日</w:t>
      </w:r>
      <w:r>
        <w:rPr>
          <w:rFonts w:hint="eastAsia" w:ascii="宋体" w:hAnsi="宋体" w:eastAsia="宋体" w:cs="宋体"/>
          <w:szCs w:val="21"/>
          <w:highlight w:val="none"/>
          <w:lang w:val="zh-CN"/>
        </w:rPr>
        <w:t>前拆除</w:t>
      </w:r>
      <w:r>
        <w:rPr>
          <w:rFonts w:hint="eastAsia" w:ascii="宋体" w:hAnsi="宋体" w:eastAsia="宋体" w:cs="宋体"/>
          <w:szCs w:val="21"/>
          <w:lang w:val="zh-CN"/>
        </w:rPr>
        <w:t>所有设备，并将原设备设施恢复原貌，由此造成的一切损失由中标方承担，给采购人造成损失的，应当予以赔偿。</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2、验收工作组：合同履约验收工作由甲方成立的验收工作组专门负责。</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政府采购合同金额50万元以下的（含50万元）的项目，验收工作组应不少于三人中标金额10万元以下项目的验收工作组成员应由甲方代表、评审专家组成，甲方代表必须含甲方纪检人员。</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3、验收报告：验收后，由甲方及专家等出具检测验收报告，国家规定强制性检测的招标项目应附国家认可的专业检测机构出具的验收报告。</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注：验收时需要进行破坏性试验的，乙方应进行充分的配合并提供备品备件。</w:t>
      </w:r>
    </w:p>
    <w:p>
      <w:pPr>
        <w:spacing w:line="360" w:lineRule="auto"/>
        <w:ind w:firstLine="420" w:firstLineChars="200"/>
        <w:rPr>
          <w:rFonts w:ascii="宋体" w:hAnsi="宋体" w:eastAsia="宋体" w:cs="宋体"/>
          <w:szCs w:val="21"/>
          <w:highlight w:val="none"/>
        </w:rPr>
      </w:pPr>
      <w:r>
        <w:rPr>
          <w:rFonts w:hint="default" w:ascii="宋体" w:hAnsi="宋体" w:eastAsia="宋体" w:cs="宋体"/>
          <w:szCs w:val="21"/>
          <w:highlight w:val="none"/>
        </w:rPr>
        <w:t>4</w:t>
      </w:r>
      <w:r>
        <w:rPr>
          <w:rFonts w:hint="eastAsia" w:ascii="宋体" w:hAnsi="宋体" w:eastAsia="宋体" w:cs="宋体"/>
          <w:szCs w:val="21"/>
          <w:highlight w:val="none"/>
        </w:rPr>
        <w:t>、 验收公告时限：采购人要在政府采购项目验收完成后</w:t>
      </w:r>
      <w:r>
        <w:rPr>
          <w:rFonts w:hint="default" w:ascii="宋体" w:hAnsi="宋体" w:eastAsia="宋体" w:cs="宋体"/>
          <w:szCs w:val="21"/>
          <w:highlight w:val="none"/>
        </w:rPr>
        <w:t>1</w:t>
      </w:r>
      <w:r>
        <w:rPr>
          <w:rFonts w:hint="eastAsia" w:ascii="宋体" w:hAnsi="宋体" w:eastAsia="宋体" w:cs="宋体"/>
          <w:szCs w:val="21"/>
          <w:highlight w:val="none"/>
        </w:rPr>
        <w:t>个工作日内登陆安阳市政府采购网进行验收公告。</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五、履约保证金：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六、付款程序：项目验收完成后，经采购人确认验收合格，首先一次性支付</w:t>
      </w:r>
      <w:r>
        <w:rPr>
          <w:rFonts w:hint="eastAsia" w:ascii="宋体" w:hAnsi="宋体" w:eastAsia="宋体" w:cs="宋体"/>
          <w:szCs w:val="21"/>
          <w:highlight w:val="none"/>
          <w:lang w:eastAsia="zh-CN"/>
        </w:rPr>
        <w:t>至</w:t>
      </w:r>
      <w:r>
        <w:rPr>
          <w:rFonts w:hint="eastAsia" w:ascii="宋体" w:hAnsi="宋体" w:eastAsia="宋体" w:cs="宋体"/>
          <w:szCs w:val="21"/>
          <w:highlight w:val="none"/>
        </w:rPr>
        <w:t>中标价的90%。</w:t>
      </w:r>
      <w:r>
        <w:rPr>
          <w:rFonts w:hint="eastAsia" w:ascii="宋体" w:hAnsi="宋体" w:eastAsia="宋体" w:cs="宋体"/>
          <w:szCs w:val="21"/>
          <w:highlight w:val="none"/>
          <w:lang w:eastAsia="zh-CN"/>
        </w:rPr>
        <w:t>中标单位</w:t>
      </w:r>
      <w:r>
        <w:rPr>
          <w:rFonts w:hint="eastAsia" w:ascii="宋体" w:hAnsi="宋体" w:eastAsia="宋体" w:cs="宋体"/>
          <w:szCs w:val="21"/>
          <w:highlight w:val="none"/>
        </w:rPr>
        <w:t>日常维护服务期5年的费用（中标价的10%）分五次付清、每年服务到期</w:t>
      </w:r>
      <w:r>
        <w:rPr>
          <w:rFonts w:hint="eastAsia" w:ascii="宋体" w:hAnsi="宋体" w:eastAsia="宋体" w:cs="宋体"/>
          <w:szCs w:val="21"/>
          <w:highlight w:val="none"/>
          <w:lang w:eastAsia="zh-CN"/>
        </w:rPr>
        <w:t>后，</w:t>
      </w:r>
      <w:r>
        <w:rPr>
          <w:rFonts w:hint="eastAsia" w:ascii="宋体" w:hAnsi="宋体" w:eastAsia="宋体" w:cs="宋体"/>
          <w:szCs w:val="21"/>
          <w:highlight w:val="none"/>
        </w:rPr>
        <w:t>经验收合格后支付服务费的2</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七、合同遵行《保障中小企业款项支付条例》。</w:t>
      </w:r>
    </w:p>
    <w:p>
      <w:pPr>
        <w:spacing w:line="360" w:lineRule="auto"/>
        <w:ind w:firstLine="420" w:firstLineChars="200"/>
        <w:rPr>
          <w:rFonts w:ascii="宋体" w:hAnsi="宋体" w:eastAsia="宋体" w:cs="宋体"/>
          <w:szCs w:val="21"/>
        </w:rPr>
      </w:pPr>
      <w:r>
        <w:rPr>
          <w:rFonts w:hint="eastAsia" w:ascii="宋体" w:hAnsi="宋体" w:eastAsia="宋体" w:cs="宋体"/>
          <w:szCs w:val="21"/>
        </w:rPr>
        <w:t>八、责任和义务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1、甲方的责任和义务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（1）对乙方供货安装调试工作提供必要的场地、给予必要的协助。</w:t>
      </w:r>
    </w:p>
    <w:p>
      <w:pPr>
        <w:spacing w:line="360" w:lineRule="auto"/>
        <w:ind w:firstLine="420" w:firstLineChars="200"/>
        <w:rPr>
          <w:rFonts w:ascii="宋体" w:hAnsi="宋体" w:eastAsia="宋体" w:cs="宋体"/>
          <w:szCs w:val="21"/>
        </w:rPr>
      </w:pPr>
      <w:r>
        <w:rPr>
          <w:rFonts w:hint="eastAsia" w:ascii="宋体" w:hAnsi="宋体" w:eastAsia="宋体" w:cs="宋体"/>
          <w:szCs w:val="21"/>
        </w:rPr>
        <w:t>（2）按时验收、及时支付资金；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（3）遵守国家法律法规，不得要求乙方虚开发票，不得向乙方索要“好处”、“回扣”、“礼品”，或要求乙方提供合同以外的其他物品或服务；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（4）对乙方未按合同约定履约在验收报告中注明违约情形和事项，并应及时通知财政部门。违反相关法规的向相关行政执法部门举报。属假冒伪劣产品的，同时向工商管理、质量监督等行政执法部门举报。</w:t>
      </w:r>
    </w:p>
    <w:p>
      <w:pPr>
        <w:spacing w:line="360" w:lineRule="auto"/>
        <w:ind w:firstLine="420" w:firstLineChars="200"/>
        <w:rPr>
          <w:rFonts w:ascii="宋体" w:hAnsi="宋体" w:eastAsia="宋体" w:cs="宋体"/>
          <w:szCs w:val="21"/>
        </w:rPr>
      </w:pPr>
      <w:r>
        <w:rPr>
          <w:rFonts w:hint="eastAsia" w:ascii="宋体" w:hAnsi="宋体" w:eastAsia="宋体" w:cs="宋体"/>
          <w:szCs w:val="21"/>
        </w:rPr>
        <w:t>（5）其他法律法规规定应尽的义务。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2、乙方的责任和义务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（1）严格按采购文件要求与投标文件的质量及服务承诺执行，保质、按期履行。保证提供全新正规产品，不得以次充好；提供优质服务，出现故障及时响应、上门维修。</w:t>
      </w:r>
    </w:p>
    <w:p>
      <w:pPr>
        <w:spacing w:line="360" w:lineRule="auto"/>
        <w:ind w:firstLine="420" w:firstLineChars="200"/>
        <w:rPr>
          <w:rFonts w:ascii="宋体" w:hAnsi="宋体" w:eastAsia="宋体" w:cs="宋体"/>
          <w:szCs w:val="21"/>
        </w:rPr>
      </w:pPr>
      <w:r>
        <w:rPr>
          <w:rFonts w:hint="eastAsia" w:ascii="宋体" w:hAnsi="宋体" w:eastAsia="宋体" w:cs="宋体"/>
          <w:szCs w:val="21"/>
        </w:rPr>
        <w:t>（2）不得将合同权利义务全部或部分转让给第三人。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（3）货物验收合格前，对货物和人员的安全负责，应采取安全措施，确保人员、材料、设备和设施的安全，防止货物验收合格前的人身伤害和财产损失；应对其履行合同所雇佣的全部人员的工伤事故承担责任。</w:t>
      </w:r>
    </w:p>
    <w:p>
      <w:pPr>
        <w:spacing w:line="360" w:lineRule="auto"/>
        <w:ind w:firstLine="420" w:firstLineChars="200"/>
        <w:rPr>
          <w:rFonts w:ascii="宋体" w:hAnsi="宋体" w:eastAsia="宋体" w:cs="宋体"/>
          <w:szCs w:val="21"/>
        </w:rPr>
      </w:pPr>
      <w:r>
        <w:rPr>
          <w:rFonts w:hint="eastAsia" w:ascii="宋体" w:hAnsi="宋体" w:eastAsia="宋体" w:cs="宋体"/>
          <w:szCs w:val="21"/>
        </w:rPr>
        <w:t>（4）遵守法律、依法纳税。</w:t>
      </w:r>
    </w:p>
    <w:p>
      <w:pPr>
        <w:spacing w:line="360" w:lineRule="auto"/>
        <w:ind w:firstLine="420" w:firstLineChars="200"/>
        <w:rPr>
          <w:rFonts w:ascii="宋体" w:hAnsi="宋体" w:eastAsia="宋体" w:cs="宋体"/>
          <w:szCs w:val="21"/>
        </w:rPr>
      </w:pPr>
      <w:r>
        <w:rPr>
          <w:rFonts w:hint="eastAsia" w:ascii="宋体" w:hAnsi="宋体" w:eastAsia="宋体" w:cs="宋体"/>
          <w:szCs w:val="21"/>
        </w:rPr>
        <w:t>（5）遵守职业道德和行业规范，坚决杜绝送礼、回扣、报销费用等一切不正当竞争行为和商业贿赂行为；对甲方索要回扣、礼品等违规行为，向同级财政局政府采购监督管理科及相关执法机关举报。</w:t>
      </w:r>
    </w:p>
    <w:p>
      <w:pPr>
        <w:spacing w:line="360" w:lineRule="auto"/>
        <w:ind w:firstLine="420" w:firstLineChars="200"/>
        <w:rPr>
          <w:rFonts w:ascii="宋体" w:hAnsi="宋体" w:eastAsia="宋体" w:cs="宋体"/>
          <w:szCs w:val="21"/>
        </w:rPr>
      </w:pPr>
      <w:r>
        <w:rPr>
          <w:rFonts w:hint="eastAsia" w:ascii="宋体" w:hAnsi="宋体" w:eastAsia="宋体" w:cs="宋体"/>
          <w:szCs w:val="21"/>
        </w:rPr>
        <w:t>（6）其他法律法规规定应尽的义务。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九、违约责任：</w:t>
      </w:r>
    </w:p>
    <w:p>
      <w:pPr>
        <w:spacing w:line="360" w:lineRule="auto"/>
        <w:ind w:firstLine="420" w:firstLineChars="200"/>
        <w:rPr>
          <w:rFonts w:ascii="宋体" w:hAnsi="宋体" w:eastAsia="宋体" w:cs="宋体"/>
          <w:szCs w:val="21"/>
        </w:rPr>
      </w:pPr>
      <w:r>
        <w:rPr>
          <w:rFonts w:hint="eastAsia" w:ascii="宋体" w:hAnsi="宋体" w:eastAsia="宋体" w:cs="宋体"/>
          <w:szCs w:val="21"/>
        </w:rPr>
        <w:t>1、甲方无正当理由拒收货物、拒付货款的，向乙方偿付拒收拒付部分货物款总额%的违约金。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2、乙方所交货物的规格型号、技术要求、质量品质等不符合合同规定，甲方有权拒收货物，乙方应负责更换并承担因更换而支付的全部实际费用。因更换而造成逾期交货，则按逾期交货处理。</w:t>
      </w:r>
    </w:p>
    <w:p>
      <w:pPr>
        <w:spacing w:line="360" w:lineRule="auto"/>
        <w:ind w:firstLine="420" w:firstLineChars="200"/>
        <w:rPr>
          <w:rFonts w:ascii="宋体" w:hAnsi="宋体" w:eastAsia="宋体" w:cs="宋体"/>
          <w:szCs w:val="21"/>
        </w:rPr>
      </w:pPr>
      <w:r>
        <w:rPr>
          <w:rFonts w:hint="eastAsia" w:ascii="宋体" w:hAnsi="宋体" w:eastAsia="宋体" w:cs="宋体"/>
          <w:szCs w:val="21"/>
        </w:rPr>
        <w:t>3、乙方不能交付货物的，乙方向甲方支付未交付部分货物款总额 %违约金。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4、乙方逾期交付货物，乙方向甲方每日偿付逾期交货部分货款总值 %赔偿费。</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eastAsia="zh-CN"/>
        </w:rPr>
        <w:t>招标</w:t>
      </w:r>
      <w:r>
        <w:rPr>
          <w:rFonts w:hint="eastAsia" w:ascii="宋体" w:hAnsi="宋体" w:eastAsia="宋体" w:cs="宋体"/>
          <w:szCs w:val="21"/>
        </w:rPr>
        <w:t>文件》及其修改补充、投标文件及其修改补充澄清均为本合同的组成部分。</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十一、本合同发生争议时双方应按合同条款协商解决。双方协商不成的，可以根据仲裁协议向当地仲裁机构申请仲裁。当事人没有订立仲裁协议或者仲裁协议无效的，可以向当地人民法院起诉。</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十二、合同生效及其它：</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本合同经甲乙双方代表签字、加盖公章和骑缝章后生效。本合同一式   份，甲乙双方各持   份。</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甲方应当自政府采购合同签订之日起 2 个工作日内进行合同公告及备案。合同公告需由甲方登陆“安阳市政府采购网”电子化政府采购系统，及时上传政府采购合同及附件进行合同备案，合同备案的同时系统将自动进行合同公告。</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                                  乙方：</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地址：                                  地址：</w:t>
      </w:r>
    </w:p>
    <w:p>
      <w:pPr>
        <w:spacing w:line="360" w:lineRule="auto"/>
        <w:ind w:firstLine="420" w:firstLineChars="200"/>
        <w:rPr>
          <w:rFonts w:ascii="宋体" w:hAnsi="宋体" w:eastAsia="宋体" w:cs="宋体"/>
          <w:szCs w:val="21"/>
        </w:rPr>
      </w:pPr>
      <w:r>
        <w:rPr>
          <w:rFonts w:hint="eastAsia" w:ascii="宋体" w:hAnsi="宋体" w:eastAsia="宋体" w:cs="宋体"/>
          <w:szCs w:val="21"/>
        </w:rPr>
        <w:t>法定代表人：                            法定代表人：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委托代理人：                            委托代理人：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电话：                                 电话：</w:t>
      </w:r>
    </w:p>
    <w:p>
      <w:pPr>
        <w:spacing w:line="360" w:lineRule="auto"/>
        <w:ind w:firstLine="420" w:firstLineChars="200"/>
        <w:rPr>
          <w:rFonts w:ascii="宋体" w:hAnsi="宋体" w:eastAsia="宋体" w:cs="宋体"/>
          <w:szCs w:val="21"/>
        </w:rPr>
      </w:pPr>
      <w:r>
        <w:rPr>
          <w:rFonts w:hint="eastAsia" w:ascii="宋体" w:hAnsi="宋体" w:eastAsia="宋体" w:cs="宋体"/>
          <w:szCs w:val="21"/>
        </w:rPr>
        <w:t>银行账号：                             银行账号：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签约时间：                             签约地点：</w:t>
      </w:r>
    </w:p>
    <w:p>
      <w:pPr>
        <w:spacing w:line="360" w:lineRule="auto"/>
        <w:ind w:firstLine="420" w:firstLineChars="200"/>
      </w:pPr>
      <w:r>
        <w:rPr>
          <w:rFonts w:hint="eastAsia" w:ascii="宋体" w:hAnsi="宋体" w:eastAsia="宋体" w:cs="宋体"/>
          <w:szCs w:val="21"/>
        </w:rPr>
        <w:t>开户银行：                             开户银行：</w:t>
      </w:r>
    </w:p>
    <w:p>
      <w:pPr>
        <w:autoSpaceDE w:val="0"/>
        <w:autoSpaceDN w:val="0"/>
        <w:adjustRightInd w:val="0"/>
        <w:spacing w:line="360" w:lineRule="auto"/>
        <w:ind w:firstLine="420" w:firstLineChars="200"/>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pStyle w:val="3"/>
        <w:jc w:val="left"/>
        <w:rPr>
          <w:rFonts w:asciiTheme="minorEastAsia" w:hAnsiTheme="minorEastAsia" w:cstheme="minorEastAsia"/>
          <w:szCs w:val="21"/>
          <w:lang w:val="zh-CN"/>
        </w:rPr>
      </w:pPr>
      <w:r>
        <w:rPr>
          <w:rFonts w:hint="eastAsia" w:asciiTheme="minorEastAsia" w:hAnsiTheme="minorEastAsia" w:cstheme="minorEastAsia"/>
          <w:szCs w:val="21"/>
        </w:rPr>
        <w:t xml:space="preserve">             </w:t>
      </w:r>
      <w:bookmarkStart w:id="68" w:name="_Toc31620"/>
      <w:bookmarkStart w:id="69" w:name="_Toc57386006"/>
      <w:bookmarkStart w:id="70" w:name="_Toc68700230"/>
      <w:r>
        <w:rPr>
          <w:rFonts w:hint="eastAsia"/>
          <w:sz w:val="36"/>
          <w:szCs w:val="36"/>
          <w:lang w:val="zh-CN"/>
        </w:rPr>
        <w:t>第六章 投标文件格式</w:t>
      </w:r>
      <w:bookmarkEnd w:id="68"/>
      <w:bookmarkEnd w:id="69"/>
      <w:bookmarkEnd w:id="70"/>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r>
        <w:rPr>
          <w:rFonts w:hint="eastAsia" w:asciiTheme="minorEastAsia" w:hAnsiTheme="minorEastAsia" w:cstheme="minorEastAsia"/>
          <w:szCs w:val="21"/>
          <w:lang w:val="zh-CN"/>
        </w:rPr>
        <w:t>投标人应按“投标人须知--投标文件的组成”列示内容编制投标文件，本章“投标文件格式”仅为对投标文件部分内容的格式化规范，并非投标文件所应具备的全部内容。</w:t>
      </w:r>
    </w:p>
    <w:p>
      <w:pPr>
        <w:pStyle w:val="5"/>
        <w:rPr>
          <w:rFonts w:asciiTheme="minorEastAsia" w:hAnsiTheme="minorEastAsia" w:eastAsiaTheme="minorEastAsia" w:cstheme="minorEastAsia"/>
        </w:rPr>
      </w:pPr>
    </w:p>
    <w:p>
      <w:pPr>
        <w:pStyle w:val="21"/>
        <w:ind w:firstLine="1203"/>
        <w:rPr>
          <w:rFonts w:asciiTheme="minorEastAsia" w:hAnsiTheme="minorEastAsia" w:cstheme="minorEastAsia"/>
          <w:sz w:val="36"/>
          <w:szCs w:val="36"/>
        </w:rPr>
      </w:pPr>
      <w:r>
        <w:rPr>
          <w:rFonts w:hint="eastAsia" w:asciiTheme="minorEastAsia" w:hAnsiTheme="minorEastAsia" w:cstheme="minorEastAsia"/>
          <w:b/>
          <w:spacing w:val="100"/>
          <w:sz w:val="40"/>
          <w:szCs w:val="40"/>
          <w:u w:val="single"/>
        </w:rPr>
        <w:t xml:space="preserve">          </w:t>
      </w:r>
      <w:r>
        <w:rPr>
          <w:rFonts w:hint="eastAsia" w:asciiTheme="minorEastAsia" w:hAnsiTheme="minorEastAsia" w:cstheme="minorEastAsia"/>
          <w:b/>
          <w:spacing w:val="100"/>
          <w:sz w:val="40"/>
          <w:szCs w:val="40"/>
        </w:rPr>
        <w:t>项目</w:t>
      </w:r>
    </w:p>
    <w:p>
      <w:pPr>
        <w:pStyle w:val="21"/>
        <w:ind w:firstLine="720"/>
        <w:rPr>
          <w:rFonts w:asciiTheme="minorEastAsia" w:hAnsiTheme="minorEastAsia" w:cstheme="minorEastAsia"/>
          <w:sz w:val="36"/>
          <w:szCs w:val="36"/>
        </w:rPr>
      </w:pPr>
    </w:p>
    <w:p>
      <w:pPr>
        <w:spacing w:after="572" w:afterLines="200" w:line="360" w:lineRule="auto"/>
        <w:ind w:left="4556" w:leftChars="299" w:hanging="3928" w:hangingChars="466"/>
        <w:jc w:val="center"/>
        <w:rPr>
          <w:rFonts w:asciiTheme="minorEastAsia" w:hAnsiTheme="minorEastAsia" w:cstheme="minorEastAsia"/>
          <w:b/>
          <w:spacing w:val="60"/>
          <w:sz w:val="96"/>
          <w:szCs w:val="96"/>
        </w:rPr>
      </w:pPr>
      <w:r>
        <w:rPr>
          <w:rFonts w:hint="eastAsia" w:asciiTheme="minorEastAsia" w:hAnsiTheme="minorEastAsia" w:cstheme="minorEastAsia"/>
          <w:b/>
          <w:spacing w:val="60"/>
          <w:sz w:val="72"/>
          <w:szCs w:val="72"/>
        </w:rPr>
        <w:t>符合性响应文件</w:t>
      </w:r>
    </w:p>
    <w:p>
      <w:pPr>
        <w:spacing w:before="143" w:beforeLines="50" w:after="143" w:afterLines="50" w:line="360" w:lineRule="auto"/>
        <w:jc w:val="center"/>
        <w:rPr>
          <w:rFonts w:asciiTheme="minorEastAsia" w:hAnsiTheme="minorEastAsia" w:cstheme="minorEastAsia"/>
          <w:b/>
          <w:sz w:val="36"/>
          <w:szCs w:val="36"/>
        </w:rPr>
      </w:pPr>
      <w:r>
        <w:rPr>
          <w:rFonts w:hint="eastAsia" w:asciiTheme="minorEastAsia" w:hAnsiTheme="minorEastAsia" w:cstheme="minorEastAsia"/>
          <w:sz w:val="32"/>
          <w:szCs w:val="32"/>
        </w:rPr>
        <w:t>采购编号：</w:t>
      </w: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r>
        <w:rPr>
          <w:rFonts w:asciiTheme="minorEastAsia" w:hAnsiTheme="minorEastAsia" w:eastAsiaTheme="minorEastAsia" w:cstheme="minorEastAsia"/>
          <w:color w:val="auto"/>
          <w:sz w:val="28"/>
          <w:szCs w:val="28"/>
        </w:rPr>
        <w:t>投标人：（加盖电子签章）</w:t>
      </w: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u w:val="single"/>
        </w:rPr>
      </w:pPr>
      <w:r>
        <w:rPr>
          <w:rFonts w:asciiTheme="minorEastAsia" w:hAnsiTheme="minorEastAsia" w:eastAsiaTheme="minorEastAsia" w:cstheme="minorEastAsia"/>
          <w:color w:val="auto"/>
          <w:sz w:val="28"/>
          <w:szCs w:val="28"/>
        </w:rPr>
        <w:t>法定代表人：（加盖电子签名）</w:t>
      </w:r>
    </w:p>
    <w:p>
      <w:pPr>
        <w:spacing w:before="429" w:beforeLines="150" w:after="429" w:afterLines="150" w:line="586" w:lineRule="atLeast"/>
        <w:jc w:val="center"/>
        <w:rPr>
          <w:rFonts w:asciiTheme="minorEastAsia" w:hAnsiTheme="minorEastAsia" w:cstheme="minorEastAsia"/>
          <w:sz w:val="28"/>
          <w:szCs w:val="28"/>
        </w:rPr>
      </w:pPr>
      <w:r>
        <w:rPr>
          <w:rFonts w:hint="eastAsia" w:asciiTheme="minorEastAsia" w:hAnsiTheme="minorEastAsia" w:cstheme="minorEastAsia"/>
          <w:sz w:val="28"/>
          <w:szCs w:val="28"/>
        </w:rPr>
        <w:t>投标日期：年月日</w:t>
      </w:r>
    </w:p>
    <w:p>
      <w:pPr>
        <w:pStyle w:val="2"/>
        <w:rPr>
          <w:rFonts w:asciiTheme="minorEastAsia" w:hAnsiTheme="minorEastAsia" w:eastAsiaTheme="minorEastAsia" w:cstheme="minorEastAsia"/>
          <w:lang w:val="zh-CN"/>
        </w:rPr>
      </w:pPr>
    </w:p>
    <w:p>
      <w:pPr>
        <w:rPr>
          <w:rFonts w:asciiTheme="minorEastAsia" w:hAnsiTheme="minorEastAsia" w:cstheme="minorEastAsia"/>
          <w:lang w:val="zh-CN"/>
        </w:rPr>
      </w:pPr>
    </w:p>
    <w:p>
      <w:pPr>
        <w:spacing w:line="351" w:lineRule="atLeast"/>
        <w:ind w:left="419"/>
        <w:jc w:val="center"/>
        <w:rPr>
          <w:rFonts w:asciiTheme="minorEastAsia" w:hAnsiTheme="minorEastAsia" w:cstheme="minorEastAsia"/>
          <w:b/>
          <w:spacing w:val="60"/>
          <w:sz w:val="36"/>
          <w:szCs w:val="36"/>
        </w:rPr>
      </w:pPr>
      <w:r>
        <w:rPr>
          <w:rFonts w:hint="eastAsia" w:asciiTheme="minorEastAsia" w:hAnsiTheme="minorEastAsia" w:cstheme="minorEastAsia"/>
          <w:b/>
          <w:spacing w:val="60"/>
          <w:sz w:val="36"/>
          <w:szCs w:val="36"/>
        </w:rPr>
        <w:t>目录</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投标书</w:t>
      </w:r>
    </w:p>
    <w:p>
      <w:pPr>
        <w:numPr>
          <w:ilvl w:val="0"/>
          <w:numId w:val="13"/>
        </w:numPr>
        <w:tabs>
          <w:tab w:val="left" w:pos="1680"/>
        </w:tabs>
        <w:spacing w:line="351" w:lineRule="atLeast"/>
        <w:ind w:left="419" w:firstLine="840" w:firstLineChars="350"/>
        <w:jc w:val="left"/>
        <w:rPr>
          <w:rFonts w:asciiTheme="minorEastAsia" w:hAnsiTheme="minorEastAsia" w:cstheme="minorEastAsia"/>
          <w:bCs/>
          <w:sz w:val="24"/>
        </w:rPr>
      </w:pPr>
      <w:r>
        <w:rPr>
          <w:rFonts w:hint="eastAsia" w:asciiTheme="minorEastAsia" w:hAnsiTheme="minorEastAsia" w:cstheme="minorEastAsia"/>
          <w:bCs/>
          <w:sz w:val="24"/>
        </w:rPr>
        <w:t>开标一览表</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分项报价</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投标产品清单及具体技术参数</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技术偏差表</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其他偏差表（除技术偏差外）</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售后服务计划</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反商业贿赂承诺书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履约承诺书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招投标诚信承诺书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采购人需求的其他材料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lang w:eastAsia="zh-CN"/>
        </w:rPr>
        <w:t>投标人</w:t>
      </w:r>
      <w:r>
        <w:rPr>
          <w:rFonts w:hint="eastAsia" w:asciiTheme="minorEastAsia" w:hAnsiTheme="minorEastAsia" w:cstheme="minorEastAsia"/>
          <w:bCs/>
          <w:sz w:val="24"/>
        </w:rPr>
        <w:t>须知所需的其他材料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评审办法所需的其他材料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投标人认为有必要提交的其它材料</w:t>
      </w: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pageBreakBefore/>
        <w:spacing w:line="440" w:lineRule="exact"/>
        <w:jc w:val="center"/>
        <w:rPr>
          <w:rFonts w:asciiTheme="minorEastAsia" w:hAnsiTheme="minorEastAsia" w:cstheme="minorEastAsia"/>
          <w:b/>
          <w:sz w:val="24"/>
        </w:rPr>
      </w:pPr>
      <w:r>
        <w:rPr>
          <w:rFonts w:hint="eastAsia" w:asciiTheme="minorEastAsia" w:hAnsiTheme="minorEastAsia" w:cstheme="minorEastAsia"/>
          <w:b/>
          <w:sz w:val="24"/>
        </w:rPr>
        <w:t>1.投标书</w:t>
      </w:r>
    </w:p>
    <w:p>
      <w:pPr>
        <w:spacing w:line="440" w:lineRule="exact"/>
        <w:rPr>
          <w:rFonts w:asciiTheme="minorEastAsia" w:hAnsiTheme="minorEastAsia" w:cstheme="minorEastAsia"/>
          <w:spacing w:val="11"/>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spacing w:line="440" w:lineRule="exact"/>
        <w:ind w:firstLine="420" w:firstLineChars="200"/>
        <w:rPr>
          <w:rFonts w:asciiTheme="minorEastAsia" w:hAnsiTheme="minorEastAsia" w:cstheme="minorEastAsia"/>
          <w:spacing w:val="11"/>
          <w:szCs w:val="21"/>
        </w:rPr>
      </w:pPr>
      <w:r>
        <w:rPr>
          <w:rFonts w:hint="eastAsia" w:asciiTheme="minorEastAsia" w:hAnsiTheme="minorEastAsia" w:cstheme="minorEastAsia"/>
          <w:szCs w:val="21"/>
        </w:rPr>
        <w:t>我们收到了采购编号为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的</w:t>
      </w:r>
      <w:r>
        <w:rPr>
          <w:rFonts w:hint="eastAsia" w:asciiTheme="minorEastAsia" w:hAnsiTheme="minorEastAsia" w:cstheme="minorEastAsia"/>
          <w:szCs w:val="21"/>
          <w:u w:val="single"/>
        </w:rPr>
        <w:t xml:space="preserve">    （项目名称）</w:t>
      </w:r>
      <w:r>
        <w:rPr>
          <w:rFonts w:hint="eastAsia" w:asciiTheme="minorEastAsia" w:hAnsiTheme="minorEastAsia" w:cstheme="minorEastAsia"/>
          <w:szCs w:val="21"/>
        </w:rPr>
        <w:t xml:space="preserve"> 招标文件，经详细研究，我们决定参加该项目的投标活动并按要求提交投标文件。我们郑重声明以下诸点并负法律责任:</w:t>
      </w:r>
    </w:p>
    <w:p>
      <w:pPr>
        <w:snapToGrid w:val="0"/>
        <w:spacing w:line="540" w:lineRule="exact"/>
        <w:ind w:firstLine="555"/>
        <w:rPr>
          <w:rFonts w:asciiTheme="minorEastAsia" w:hAnsiTheme="minorEastAsia" w:cstheme="minorEastAsia"/>
          <w:sz w:val="24"/>
        </w:rPr>
      </w:pPr>
      <w:r>
        <w:rPr>
          <w:rFonts w:hint="eastAsia" w:asciiTheme="minorEastAsia" w:hAnsiTheme="minorEastAsia" w:cstheme="minorEastAsia"/>
          <w:szCs w:val="21"/>
        </w:rPr>
        <w:t>1.愿按照招标文件中规定的条款和要求，提供完成招标文件规定的全部工作，投标总价为人民币（大写）</w:t>
      </w:r>
      <w:r>
        <w:rPr>
          <w:rFonts w:hint="eastAsia" w:asciiTheme="minorEastAsia" w:hAnsiTheme="minorEastAsia" w:cstheme="minorEastAsia"/>
          <w:sz w:val="24"/>
          <w:u w:val="single"/>
        </w:rPr>
        <w:tab/>
      </w:r>
      <w:r>
        <w:rPr>
          <w:rFonts w:hint="eastAsia" w:asciiTheme="minorEastAsia" w:hAnsiTheme="minorEastAsia" w:cstheme="minorEastAsia"/>
          <w:sz w:val="24"/>
          <w:u w:val="single"/>
        </w:rPr>
        <w:t xml:space="preserve">    </w:t>
      </w:r>
      <w:r>
        <w:rPr>
          <w:rFonts w:hint="eastAsia" w:asciiTheme="minorEastAsia" w:hAnsiTheme="minorEastAsia" w:cstheme="minorEastAsia"/>
          <w:szCs w:val="21"/>
        </w:rPr>
        <w:t>，（ RMB￥：</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 ）。</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2.我们将依照招标文件中规定的每一项要求，按质、按量履行合同，承诺供货期限：</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 xml:space="preserve"> ，供货地点：</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3.我们已详细阅读全部招标文件，包括修改文件以及全部参考资料和有关附件。我们完全理解并同意放弃对这方面有不明及误解的权力。</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4.我们同意提供按照贵方可能要求的与其投标有关的一切数据或资料，理解贵方不一定要接受最低价的投标或收到的任何投标。</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5.我单位承诺投标有效期为</w:t>
      </w:r>
      <w:r>
        <w:rPr>
          <w:rFonts w:hint="eastAsia" w:asciiTheme="minorEastAsia" w:hAnsiTheme="minorEastAsia" w:cstheme="minorEastAsia"/>
          <w:szCs w:val="21"/>
          <w:u w:val="single"/>
        </w:rPr>
        <w:t xml:space="preserve"> 90 </w:t>
      </w:r>
      <w:r>
        <w:rPr>
          <w:rFonts w:hint="eastAsia" w:asciiTheme="minorEastAsia" w:hAnsiTheme="minorEastAsia" w:cstheme="minorEastAsia"/>
          <w:szCs w:val="21"/>
        </w:rPr>
        <w:t>个工作日。</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6.我们愿按《中华人民共和国民法典》履行其的全部责任。</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与本投标有关的一切正式往来请寄：</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联系人：</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联系地址：</w:t>
      </w:r>
      <w:r>
        <w:rPr>
          <w:rFonts w:hint="eastAsia" w:asciiTheme="minorEastAsia" w:hAnsiTheme="minorEastAsia" w:cstheme="minorEastAsia"/>
          <w:szCs w:val="21"/>
        </w:rPr>
        <w:tab/>
      </w:r>
      <w:r>
        <w:rPr>
          <w:rFonts w:hint="eastAsia" w:asciiTheme="minorEastAsia" w:hAnsiTheme="minorEastAsia" w:cstheme="minorEastAsia"/>
          <w:szCs w:val="21"/>
        </w:rPr>
        <w:tab/>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联系电话：</w:t>
      </w:r>
      <w:r>
        <w:rPr>
          <w:rFonts w:hint="eastAsia" w:asciiTheme="minorEastAsia" w:hAnsiTheme="minorEastAsia" w:cstheme="minorEastAsia"/>
          <w:szCs w:val="21"/>
        </w:rPr>
        <w:tab/>
      </w:r>
      <w:r>
        <w:rPr>
          <w:rFonts w:hint="eastAsia" w:asciiTheme="minorEastAsia" w:hAnsiTheme="minorEastAsia" w:cstheme="minorEastAsia"/>
          <w:szCs w:val="21"/>
        </w:rPr>
        <w:tab/>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rPr>
        <w:t>法定代表人（电子签名）：</w:t>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（电子签章）：</w:t>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rPr>
        <w:t>日期：</w:t>
      </w:r>
    </w:p>
    <w:p>
      <w:pPr>
        <w:pStyle w:val="5"/>
        <w:rPr>
          <w:rFonts w:asciiTheme="minorEastAsia" w:hAnsiTheme="minorEastAsia" w:eastAsiaTheme="minorEastAsia" w:cstheme="minorEastAsia"/>
          <w:szCs w:val="21"/>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ageBreakBefore/>
        <w:spacing w:line="440" w:lineRule="exact"/>
        <w:jc w:val="center"/>
        <w:rPr>
          <w:rFonts w:asciiTheme="minorEastAsia" w:hAnsiTheme="minorEastAsia" w:cstheme="minorEastAsia"/>
          <w:b/>
          <w:sz w:val="24"/>
        </w:rPr>
      </w:pPr>
      <w:r>
        <w:rPr>
          <w:rFonts w:hint="eastAsia" w:asciiTheme="minorEastAsia" w:hAnsiTheme="minorEastAsia" w:cstheme="minorEastAsia"/>
          <w:b/>
          <w:sz w:val="24"/>
        </w:rPr>
        <w:t>2.开标一览表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21"/>
        </w:rPr>
      </w:pPr>
    </w:p>
    <w:p>
      <w:pPr>
        <w:tabs>
          <w:tab w:val="left" w:pos="9365"/>
        </w:tabs>
        <w:snapToGrid w:val="0"/>
        <w:spacing w:after="56" w:line="560" w:lineRule="exact"/>
        <w:ind w:right="56" w:firstLine="422" w:firstLineChars="200"/>
        <w:jc w:val="left"/>
        <w:textAlignment w:val="top"/>
        <w:rPr>
          <w:rFonts w:asciiTheme="minorEastAsia" w:hAnsiTheme="minorEastAsia" w:cstheme="minorEastAsia"/>
          <w:b/>
          <w:szCs w:val="21"/>
        </w:rPr>
      </w:pPr>
      <w:r>
        <w:rPr>
          <w:rFonts w:hint="eastAsia" w:asciiTheme="minorEastAsia" w:hAnsiTheme="minorEastAsia" w:cstheme="minorEastAsia"/>
          <w:b/>
          <w:szCs w:val="21"/>
        </w:rPr>
        <w:t>注：投标人需在“安阳市政府采购投标文件编制系统”中、按系统要求填列开标一览表，系统中填列的开标一览表为投标人《投标文件》的一部分。</w:t>
      </w:r>
    </w:p>
    <w:p>
      <w:pPr>
        <w:tabs>
          <w:tab w:val="left" w:pos="9365"/>
        </w:tabs>
        <w:snapToGrid w:val="0"/>
        <w:spacing w:after="56" w:line="560" w:lineRule="exact"/>
        <w:ind w:right="56" w:firstLine="963" w:firstLineChars="200"/>
        <w:jc w:val="left"/>
        <w:textAlignment w:val="top"/>
        <w:rPr>
          <w:rFonts w:asciiTheme="minorEastAsia" w:hAnsiTheme="minorEastAsia" w:cstheme="minorEastAsia"/>
          <w:szCs w:val="21"/>
        </w:rPr>
      </w:pPr>
      <w:r>
        <w:rPr>
          <w:rFonts w:hint="eastAsia" w:asciiTheme="minorEastAsia" w:hAnsiTheme="minorEastAsia" w:cstheme="minorEastAsia"/>
          <w:b/>
          <w:spacing w:val="60"/>
          <w:sz w:val="36"/>
          <w:szCs w:val="36"/>
        </w:rPr>
        <w:br w:type="page"/>
      </w:r>
    </w:p>
    <w:p>
      <w:pPr>
        <w:snapToGrid w:val="0"/>
        <w:spacing w:line="560" w:lineRule="exact"/>
        <w:ind w:firstLine="482" w:firstLineChars="200"/>
        <w:jc w:val="center"/>
        <w:rPr>
          <w:rFonts w:asciiTheme="minorEastAsia" w:hAnsiTheme="minorEastAsia" w:cstheme="minorEastAsia"/>
          <w:b/>
          <w:sz w:val="24"/>
        </w:rPr>
      </w:pPr>
      <w:r>
        <w:rPr>
          <w:rFonts w:hint="eastAsia" w:asciiTheme="minorEastAsia" w:hAnsiTheme="minorEastAsia" w:cstheme="minorEastAsia"/>
          <w:b/>
          <w:sz w:val="24"/>
        </w:rPr>
        <w:t>3 、分项报价</w:t>
      </w:r>
    </w:p>
    <w:p>
      <w:pPr>
        <w:snapToGrid w:val="0"/>
        <w:spacing w:line="560" w:lineRule="exact"/>
        <w:ind w:firstLine="420" w:firstLineChars="190"/>
        <w:jc w:val="left"/>
        <w:rPr>
          <w:rFonts w:asciiTheme="minorEastAsia" w:hAnsiTheme="minorEastAsia" w:cstheme="minorEastAsia"/>
          <w:b/>
          <w:sz w:val="22"/>
          <w:szCs w:val="22"/>
        </w:rPr>
      </w:pPr>
      <w:r>
        <w:rPr>
          <w:rFonts w:hint="eastAsia" w:asciiTheme="minorEastAsia" w:hAnsiTheme="minorEastAsia" w:cstheme="minorEastAsia"/>
          <w:b/>
          <w:sz w:val="22"/>
          <w:szCs w:val="22"/>
        </w:rPr>
        <w:t>注：投标人需在“安阳市政府采购投标文件编制系统 ”中按系统要求填列分项报价，系统中填列的分项报价为投标人《投标文件》的一部分。</w:t>
      </w: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snapToGrid w:val="0"/>
        <w:spacing w:line="560" w:lineRule="exact"/>
        <w:ind w:firstLine="482" w:firstLineChars="200"/>
        <w:jc w:val="center"/>
        <w:rPr>
          <w:rFonts w:hint="eastAsia" w:asciiTheme="minorEastAsia" w:hAnsiTheme="minorEastAsia" w:cstheme="minorEastAsia"/>
          <w:b/>
          <w:sz w:val="24"/>
        </w:rPr>
      </w:pPr>
    </w:p>
    <w:p>
      <w:pPr>
        <w:rPr>
          <w:rFonts w:hint="eastAsia" w:asciiTheme="minorEastAsia" w:hAnsiTheme="minorEastAsia" w:cstheme="minorEastAsia"/>
          <w:b/>
          <w:sz w:val="24"/>
        </w:rPr>
      </w:pPr>
      <w:r>
        <w:rPr>
          <w:rFonts w:hint="eastAsia" w:asciiTheme="minorEastAsia" w:hAnsiTheme="minorEastAsia" w:cstheme="minorEastAsia"/>
          <w:b/>
          <w:sz w:val="24"/>
        </w:rPr>
        <w:br w:type="page"/>
      </w:r>
    </w:p>
    <w:p>
      <w:pPr>
        <w:snapToGrid w:val="0"/>
        <w:spacing w:line="560" w:lineRule="exact"/>
        <w:ind w:firstLine="482" w:firstLineChars="200"/>
        <w:jc w:val="center"/>
        <w:rPr>
          <w:rFonts w:asciiTheme="minorEastAsia" w:hAnsiTheme="minorEastAsia" w:cstheme="minorEastAsia"/>
          <w:sz w:val="30"/>
          <w:szCs w:val="30"/>
        </w:rPr>
      </w:pPr>
      <w:r>
        <w:rPr>
          <w:rFonts w:hint="eastAsia" w:asciiTheme="minorEastAsia" w:hAnsiTheme="minorEastAsia" w:cstheme="minorEastAsia"/>
          <w:b/>
          <w:sz w:val="24"/>
        </w:rPr>
        <w:t>4.投标产品清单及具体技术参数</w:t>
      </w:r>
    </w:p>
    <w:p>
      <w:pPr>
        <w:pStyle w:val="18"/>
        <w:adjustRightInd w:val="0"/>
        <w:snapToGrid w:val="0"/>
        <w:spacing w:beforeAutospacing="0" w:afterAutospacing="0"/>
        <w:rPr>
          <w:rFonts w:asciiTheme="minorEastAsia" w:hAnsiTheme="minorEastAsia" w:eastAsiaTheme="minorEastAsia" w:cstheme="minorEastAsia"/>
        </w:rPr>
      </w:pPr>
    </w:p>
    <w:p>
      <w:pPr>
        <w:pStyle w:val="18"/>
        <w:adjustRightInd w:val="0"/>
        <w:snapToGrid w:val="0"/>
        <w:spacing w:beforeAutospacing="0" w:afterAutospacing="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rPr>
        <w:t>项</w:t>
      </w:r>
      <w:r>
        <w:rPr>
          <w:rFonts w:hint="eastAsia" w:asciiTheme="minorEastAsia" w:hAnsiTheme="minorEastAsia" w:eastAsiaTheme="minorEastAsia" w:cstheme="minorEastAsia"/>
          <w:sz w:val="21"/>
          <w:szCs w:val="21"/>
        </w:rPr>
        <w:t>目名称：</w:t>
      </w:r>
    </w:p>
    <w:p>
      <w:pPr>
        <w:pStyle w:val="18"/>
        <w:adjustRightInd w:val="0"/>
        <w:snapToGrid w:val="0"/>
        <w:spacing w:beforeAutospacing="0" w:afterAutospacing="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招标编号：</w:t>
      </w:r>
    </w:p>
    <w:tbl>
      <w:tblPr>
        <w:tblStyle w:val="22"/>
        <w:tblW w:w="10043"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0"/>
        <w:gridCol w:w="1625"/>
        <w:gridCol w:w="540"/>
        <w:gridCol w:w="540"/>
        <w:gridCol w:w="1046"/>
        <w:gridCol w:w="2085"/>
        <w:gridCol w:w="1515"/>
        <w:gridCol w:w="794"/>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8" w:hRule="atLeast"/>
        </w:trPr>
        <w:tc>
          <w:tcPr>
            <w:tcW w:w="48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序号</w:t>
            </w:r>
          </w:p>
        </w:tc>
        <w:tc>
          <w:tcPr>
            <w:tcW w:w="1625" w:type="dxa"/>
            <w:tcBorders>
              <w:top w:val="single" w:color="000000" w:sz="8" w:space="0"/>
              <w:bottom w:val="single" w:color="000000" w:sz="4" w:space="0"/>
              <w:right w:val="single" w:color="000000" w:sz="4" w:space="0"/>
            </w:tcBorders>
            <w:vAlign w:val="center"/>
          </w:tcPr>
          <w:p>
            <w:pPr>
              <w:snapToGrid w:val="0"/>
              <w:spacing w:line="360" w:lineRule="exact"/>
              <w:jc w:val="center"/>
              <w:rPr>
                <w:rFonts w:asciiTheme="minorEastAsia" w:hAnsiTheme="minorEastAsia" w:cstheme="minorEastAsia"/>
                <w:szCs w:val="21"/>
              </w:rPr>
            </w:pPr>
            <w:r>
              <w:rPr>
                <w:rFonts w:hint="eastAsia" w:asciiTheme="minorEastAsia" w:hAnsiTheme="minorEastAsia" w:cstheme="minorEastAsia"/>
                <w:szCs w:val="21"/>
              </w:rPr>
              <w:t>产品名称</w:t>
            </w:r>
          </w:p>
        </w:tc>
        <w:tc>
          <w:tcPr>
            <w:tcW w:w="54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单位</w:t>
            </w:r>
          </w:p>
        </w:tc>
        <w:tc>
          <w:tcPr>
            <w:tcW w:w="54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数量</w:t>
            </w:r>
          </w:p>
        </w:tc>
        <w:tc>
          <w:tcPr>
            <w:tcW w:w="1046"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品牌型号</w:t>
            </w:r>
          </w:p>
        </w:tc>
        <w:tc>
          <w:tcPr>
            <w:tcW w:w="2085"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技术参数</w:t>
            </w:r>
          </w:p>
        </w:tc>
        <w:tc>
          <w:tcPr>
            <w:tcW w:w="1515"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原产地及制造商</w:t>
            </w:r>
          </w:p>
        </w:tc>
        <w:tc>
          <w:tcPr>
            <w:tcW w:w="794" w:type="dxa"/>
            <w:tcBorders>
              <w:top w:val="single" w:color="000000" w:sz="8" w:space="0"/>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附件</w:t>
            </w:r>
          </w:p>
        </w:tc>
        <w:tc>
          <w:tcPr>
            <w:tcW w:w="1418" w:type="dxa"/>
            <w:tcBorders>
              <w:top w:val="single" w:color="000000" w:sz="8" w:space="0"/>
              <w:bottom w:val="single" w:color="000000" w:sz="4" w:space="0"/>
              <w:right w:val="single" w:color="000000" w:sz="8" w:space="0"/>
            </w:tcBorders>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节字标志环境标志认证证书号(按需填列或删除)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53" w:hRule="atLeast"/>
        </w:trPr>
        <w:tc>
          <w:tcPr>
            <w:tcW w:w="48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1</w:t>
            </w:r>
          </w:p>
        </w:tc>
        <w:tc>
          <w:tcPr>
            <w:tcW w:w="162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bottom w:val="single" w:color="000000" w:sz="4" w:space="0"/>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49" w:hRule="atLeast"/>
        </w:trPr>
        <w:tc>
          <w:tcPr>
            <w:tcW w:w="480" w:type="dxa"/>
            <w:tcBorders>
              <w:left w:val="single" w:color="000000" w:sz="4"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2</w:t>
            </w:r>
          </w:p>
        </w:tc>
        <w:tc>
          <w:tcPr>
            <w:tcW w:w="162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bottom w:val="single" w:color="000000" w:sz="4" w:space="0"/>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79" w:hRule="atLeast"/>
        </w:trPr>
        <w:tc>
          <w:tcPr>
            <w:tcW w:w="480" w:type="dxa"/>
            <w:tcBorders>
              <w:left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3</w:t>
            </w:r>
          </w:p>
        </w:tc>
        <w:tc>
          <w:tcPr>
            <w:tcW w:w="162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79" w:hRule="atLeast"/>
        </w:trPr>
        <w:tc>
          <w:tcPr>
            <w:tcW w:w="480" w:type="dxa"/>
            <w:tcBorders>
              <w:left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w:t>
            </w:r>
          </w:p>
        </w:tc>
        <w:tc>
          <w:tcPr>
            <w:tcW w:w="162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right w:val="single" w:color="000000" w:sz="8" w:space="0"/>
            </w:tcBorders>
          </w:tcPr>
          <w:p>
            <w:pPr>
              <w:spacing w:line="360" w:lineRule="exact"/>
              <w:jc w:val="center"/>
              <w:rPr>
                <w:rFonts w:asciiTheme="minorEastAsia" w:hAnsiTheme="minorEastAsia" w:cstheme="minorEastAsia"/>
                <w:szCs w:val="21"/>
              </w:rPr>
            </w:pPr>
          </w:p>
        </w:tc>
      </w:tr>
    </w:tbl>
    <w:p>
      <w:pPr>
        <w:autoSpaceDE w:val="0"/>
        <w:autoSpaceDN w:val="0"/>
        <w:adjustRightInd w:val="0"/>
        <w:spacing w:line="360" w:lineRule="auto"/>
        <w:rPr>
          <w:rFonts w:asciiTheme="minorEastAsia" w:hAnsiTheme="minorEastAsia" w:cstheme="minorEastAsia"/>
          <w:szCs w:val="21"/>
        </w:rPr>
      </w:pPr>
      <w:r>
        <w:rPr>
          <w:rFonts w:hint="eastAsia" w:asciiTheme="minorEastAsia" w:hAnsiTheme="minorEastAsia" w:cstheme="minorEastAsia"/>
          <w:szCs w:val="21"/>
        </w:rPr>
        <w:t>注： 1、投标人应详细填写投标产品具体技术参数。包括产品的品牌、规格、型号、产地等技术参数。</w:t>
      </w:r>
    </w:p>
    <w:p>
      <w:pPr>
        <w:autoSpaceDE w:val="0"/>
        <w:autoSpaceDN w:val="0"/>
        <w:adjustRightInd w:val="0"/>
        <w:spacing w:line="360" w:lineRule="auto"/>
        <w:ind w:firstLine="420" w:firstLineChars="200"/>
        <w:rPr>
          <w:rFonts w:asciiTheme="minorEastAsia" w:hAnsiTheme="minorEastAsia" w:cstheme="minorEastAsia"/>
          <w:szCs w:val="21"/>
        </w:rPr>
      </w:pPr>
      <w:r>
        <w:rPr>
          <w:rFonts w:hint="eastAsia" w:asciiTheme="minorEastAsia" w:hAnsiTheme="minorEastAsia" w:cstheme="minorEastAsia"/>
          <w:szCs w:val="21"/>
        </w:rPr>
        <w:t>2、如采购产品属于政府强制采购品目清单的，投标人须在本表对应栏中标明 “为节能产品，节能产品认证证书后附”，认证证书应当为国家确定的认证机构出具、且应处于有效期之内。不符合的、按招标文件规定为无效投标。</w:t>
      </w:r>
    </w:p>
    <w:p>
      <w:pPr>
        <w:autoSpaceDE w:val="0"/>
        <w:autoSpaceDN w:val="0"/>
        <w:adjustRightInd w:val="0"/>
        <w:spacing w:line="360" w:lineRule="auto"/>
        <w:ind w:firstLine="420" w:firstLineChars="200"/>
        <w:rPr>
          <w:rFonts w:asciiTheme="minorEastAsia" w:hAnsiTheme="minorEastAsia" w:cstheme="minorEastAsia"/>
          <w:szCs w:val="21"/>
        </w:rPr>
      </w:pPr>
      <w:r>
        <w:rPr>
          <w:rFonts w:hint="eastAsia" w:asciiTheme="minorEastAsia" w:hAnsiTheme="minorEastAsia" w:cstheme="minorEastAsia"/>
          <w:szCs w:val="21"/>
        </w:rPr>
        <w:t>3、如采购产品不属于政府强制采购品目清单的，投标人自主填列。</w:t>
      </w:r>
    </w:p>
    <w:p>
      <w:pPr>
        <w:autoSpaceDE w:val="0"/>
        <w:autoSpaceDN w:val="0"/>
        <w:adjustRightInd w:val="0"/>
        <w:spacing w:line="360" w:lineRule="auto"/>
        <w:rPr>
          <w:rFonts w:asciiTheme="minorEastAsia" w:hAnsiTheme="minorEastAsia" w:cstheme="minorEastAsia"/>
          <w:szCs w:val="21"/>
        </w:rPr>
      </w:pPr>
    </w:p>
    <w:p>
      <w:pPr>
        <w:autoSpaceDE w:val="0"/>
        <w:autoSpaceDN w:val="0"/>
        <w:adjustRightInd w:val="0"/>
        <w:spacing w:line="360" w:lineRule="auto"/>
        <w:ind w:firstLine="4620" w:firstLineChars="2200"/>
        <w:rPr>
          <w:rFonts w:asciiTheme="minorEastAsia" w:hAnsiTheme="minorEastAsia" w:cstheme="minorEastAsia"/>
          <w:szCs w:val="21"/>
        </w:rPr>
      </w:pPr>
      <w:r>
        <w:rPr>
          <w:rFonts w:hint="eastAsia" w:asciiTheme="minorEastAsia" w:hAnsiTheme="minorEastAsia" w:cstheme="minorEastAsia"/>
          <w:szCs w:val="21"/>
        </w:rPr>
        <w:t>投标人（电子签章）：</w:t>
      </w:r>
    </w:p>
    <w:p>
      <w:pPr>
        <w:autoSpaceDE w:val="0"/>
        <w:autoSpaceDN w:val="0"/>
        <w:adjustRightInd w:val="0"/>
        <w:spacing w:line="360" w:lineRule="auto"/>
        <w:ind w:firstLine="4620" w:firstLineChars="2200"/>
        <w:rPr>
          <w:rFonts w:asciiTheme="minorEastAsia" w:hAnsiTheme="minorEastAsia" w:cstheme="minorEastAsia"/>
          <w:szCs w:val="21"/>
        </w:rPr>
      </w:pPr>
      <w:r>
        <w:rPr>
          <w:rFonts w:hint="eastAsia" w:asciiTheme="minorEastAsia" w:hAnsiTheme="minorEastAsia" w:cstheme="minorEastAsia"/>
          <w:szCs w:val="21"/>
        </w:rPr>
        <w:t>法定代表人（电子签名）：</w:t>
      </w:r>
    </w:p>
    <w:p>
      <w:pPr>
        <w:autoSpaceDE w:val="0"/>
        <w:autoSpaceDN w:val="0"/>
        <w:adjustRightInd w:val="0"/>
        <w:spacing w:line="360" w:lineRule="auto"/>
        <w:ind w:firstLine="4620" w:firstLineChars="2200"/>
        <w:rPr>
          <w:rFonts w:asciiTheme="minorEastAsia" w:hAnsiTheme="minorEastAsia" w:cstheme="minorEastAsia"/>
          <w:sz w:val="24"/>
        </w:rPr>
      </w:pPr>
      <w:r>
        <w:rPr>
          <w:rFonts w:hint="eastAsia" w:asciiTheme="minorEastAsia" w:hAnsiTheme="minorEastAsia" w:cstheme="minorEastAsia"/>
          <w:szCs w:val="21"/>
        </w:rPr>
        <w:t>日期： 年 月 日</w:t>
      </w:r>
    </w:p>
    <w:p>
      <w:pPr>
        <w:snapToGrid w:val="0"/>
        <w:spacing w:line="560" w:lineRule="exact"/>
        <w:jc w:val="left"/>
        <w:rPr>
          <w:rFonts w:asciiTheme="minorEastAsia" w:hAnsiTheme="minorEastAsia" w:cstheme="minorEastAsia"/>
        </w:rPr>
      </w:pPr>
      <w:r>
        <w:rPr>
          <w:rFonts w:hint="eastAsia" w:asciiTheme="minorEastAsia" w:hAnsiTheme="minorEastAsia" w:cstheme="minorEastAsia"/>
          <w:b/>
          <w:sz w:val="30"/>
          <w:szCs w:val="30"/>
        </w:rPr>
        <w:br w:type="page"/>
      </w:r>
    </w:p>
    <w:p>
      <w:pPr>
        <w:snapToGrid w:val="0"/>
        <w:spacing w:line="560" w:lineRule="exact"/>
        <w:jc w:val="center"/>
        <w:rPr>
          <w:rFonts w:asciiTheme="minorEastAsia" w:hAnsiTheme="minorEastAsia" w:cstheme="minorEastAsia"/>
          <w:sz w:val="30"/>
          <w:szCs w:val="30"/>
        </w:rPr>
      </w:pPr>
      <w:r>
        <w:rPr>
          <w:rFonts w:hint="eastAsia" w:asciiTheme="minorEastAsia" w:hAnsiTheme="minorEastAsia" w:cstheme="minorEastAsia"/>
          <w:b/>
          <w:sz w:val="24"/>
        </w:rPr>
        <w:t>5.技术偏差表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项目名称：</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招标编号：</w:t>
      </w:r>
    </w:p>
    <w:tbl>
      <w:tblPr>
        <w:tblStyle w:val="22"/>
        <w:tblW w:w="9468"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8"/>
        <w:gridCol w:w="1640"/>
        <w:gridCol w:w="2184"/>
        <w:gridCol w:w="2077"/>
        <w:gridCol w:w="1859"/>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448" w:type="dxa"/>
            <w:tcBorders>
              <w:top w:val="single" w:color="000000" w:sz="8" w:space="0"/>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序号</w:t>
            </w:r>
          </w:p>
        </w:tc>
        <w:tc>
          <w:tcPr>
            <w:tcW w:w="1640"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产品名称</w:t>
            </w:r>
          </w:p>
        </w:tc>
        <w:tc>
          <w:tcPr>
            <w:tcW w:w="2184"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《招标文件》要求</w:t>
            </w:r>
          </w:p>
        </w:tc>
        <w:tc>
          <w:tcPr>
            <w:tcW w:w="2077"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投标货物参数</w:t>
            </w:r>
          </w:p>
        </w:tc>
        <w:tc>
          <w:tcPr>
            <w:tcW w:w="1859" w:type="dxa"/>
            <w:tcBorders>
              <w:top w:val="single" w:color="000000" w:sz="8" w:space="0"/>
              <w:bottom w:val="single" w:color="000000" w:sz="4" w:space="0"/>
              <w:right w:val="single" w:color="000000" w:sz="8"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偏差描述</w:t>
            </w:r>
          </w:p>
        </w:tc>
        <w:tc>
          <w:tcPr>
            <w:tcW w:w="1260" w:type="dxa"/>
            <w:tcBorders>
              <w:top w:val="single" w:color="000000" w:sz="8" w:space="0"/>
              <w:bottom w:val="single" w:color="000000" w:sz="4" w:space="0"/>
              <w:right w:val="single" w:color="000000" w:sz="8" w:space="0"/>
            </w:tcBorders>
          </w:tcPr>
          <w:p>
            <w:pPr>
              <w:jc w:val="center"/>
              <w:rPr>
                <w:rFonts w:asciiTheme="minorEastAsia" w:hAnsiTheme="minorEastAsia" w:cstheme="minorEastAsia"/>
                <w:b/>
              </w:rPr>
            </w:pPr>
            <w:r>
              <w:rPr>
                <w:rFonts w:hint="eastAsia" w:asciiTheme="minorEastAsia" w:hAnsiTheme="minorEastAsia" w:cstheme="minorEastAsia"/>
                <w:b/>
              </w:rPr>
              <w:t>所对应的产品证明材料的页码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1</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2</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3</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4</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5</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6</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7</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48" w:type="dxa"/>
            <w:tcBorders>
              <w:left w:val="single" w:color="000000" w:sz="8" w:space="0"/>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w:t>
            </w:r>
          </w:p>
        </w:tc>
        <w:tc>
          <w:tcPr>
            <w:tcW w:w="1640"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8"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8" w:space="0"/>
              <w:right w:val="single" w:color="000000" w:sz="8" w:space="0"/>
            </w:tcBorders>
          </w:tcPr>
          <w:p>
            <w:pPr>
              <w:spacing w:line="560" w:lineRule="exact"/>
              <w:jc w:val="center"/>
              <w:rPr>
                <w:rFonts w:asciiTheme="minorEastAsia" w:hAnsiTheme="minorEastAsia" w:cstheme="minorEastAsia"/>
                <w:sz w:val="28"/>
              </w:rPr>
            </w:pPr>
          </w:p>
        </w:tc>
      </w:tr>
    </w:tbl>
    <w:p>
      <w:pPr>
        <w:pStyle w:val="18"/>
        <w:adjustRightInd w:val="0"/>
        <w:snapToGrid w:val="0"/>
        <w:spacing w:beforeAutospacing="0" w:afterAutospacing="0"/>
        <w:rPr>
          <w:rFonts w:asciiTheme="minorEastAsia" w:hAnsiTheme="minorEastAsia" w:eastAsiaTheme="minorEastAsia" w:cstheme="minorEastAsia"/>
          <w:sz w:val="21"/>
          <w:szCs w:val="16"/>
        </w:rPr>
      </w:pP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注：1、“偏差”栏中详细注明所投产品参数与《招标文件》中要求有何不同，并说明其符合性。投标人应分标段填制本表。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2、如所投产品配置及技术参数与“技术要求”一致的部分，仍需在本表填列“与《招标文件》技术要求一致”样。</w:t>
      </w:r>
    </w:p>
    <w:p>
      <w:pPr>
        <w:pStyle w:val="21"/>
        <w:ind w:left="0" w:leftChars="0" w:firstLine="0" w:firstLineChars="0"/>
        <w:rPr>
          <w:rFonts w:asciiTheme="minorEastAsia" w:hAnsiTheme="minorEastAsia" w:cstheme="minorEastAsia"/>
          <w:sz w:val="24"/>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投标人（电子签章）：</w:t>
      </w: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法定代表人（电子签名）：</w:t>
      </w: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lang w:val="zh-CN"/>
        </w:rPr>
      </w:pPr>
      <w:r>
        <w:rPr>
          <w:rFonts w:hint="eastAsia" w:asciiTheme="minorEastAsia" w:hAnsiTheme="minorEastAsia" w:eastAsiaTheme="minorEastAsia" w:cstheme="minorEastAsia"/>
          <w:sz w:val="21"/>
          <w:szCs w:val="16"/>
          <w:lang w:val="zh-CN"/>
        </w:rPr>
        <w:t>日期：年月</w:t>
      </w:r>
      <w:r>
        <w:rPr>
          <w:rFonts w:hint="eastAsia" w:asciiTheme="minorEastAsia" w:hAnsiTheme="minorEastAsia" w:eastAsiaTheme="minorEastAsia" w:cstheme="minorEastAsia"/>
          <w:sz w:val="21"/>
          <w:szCs w:val="16"/>
          <w:lang w:val="en-US" w:eastAsia="zh-CN"/>
        </w:rPr>
        <w:t xml:space="preserve"> </w:t>
      </w:r>
      <w:r>
        <w:rPr>
          <w:rFonts w:hint="eastAsia" w:asciiTheme="minorEastAsia" w:hAnsiTheme="minorEastAsia" w:eastAsiaTheme="minorEastAsia" w:cstheme="minorEastAsia"/>
          <w:sz w:val="21"/>
          <w:szCs w:val="16"/>
          <w:lang w:val="zh-CN"/>
        </w:rPr>
        <w:t>日</w:t>
      </w:r>
    </w:p>
    <w:p>
      <w:pPr>
        <w:pStyle w:val="21"/>
        <w:ind w:left="0" w:leftChars="0" w:firstLine="0" w:firstLineChars="0"/>
        <w:rPr>
          <w:lang w:val="zh-CN"/>
        </w:rPr>
      </w:pPr>
    </w:p>
    <w:p>
      <w:pPr>
        <w:autoSpaceDE w:val="0"/>
        <w:autoSpaceDN w:val="0"/>
        <w:adjustRightInd w:val="0"/>
        <w:spacing w:line="360" w:lineRule="auto"/>
        <w:jc w:val="center"/>
        <w:rPr>
          <w:rFonts w:asciiTheme="minorEastAsia" w:hAnsiTheme="minorEastAsia" w:cstheme="minorEastAsia"/>
          <w:b/>
          <w:szCs w:val="21"/>
        </w:rPr>
      </w:pPr>
    </w:p>
    <w:p>
      <w:pPr>
        <w:pStyle w:val="20"/>
        <w:ind w:firstLine="210"/>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6.其他偏差表（除技术偏差外）</w:t>
      </w:r>
    </w:p>
    <w:p>
      <w:pPr>
        <w:pStyle w:val="18"/>
        <w:adjustRightInd w:val="0"/>
        <w:snapToGrid w:val="0"/>
        <w:spacing w:beforeAutospacing="0" w:afterAutospacing="0"/>
        <w:rPr>
          <w:rFonts w:asciiTheme="minorEastAsia" w:hAnsiTheme="minorEastAsia" w:eastAsiaTheme="minorEastAsia" w:cstheme="minorEastAsia"/>
          <w:sz w:val="21"/>
          <w:szCs w:val="16"/>
          <w:u w:val="single"/>
        </w:rPr>
      </w:pPr>
      <w:r>
        <w:rPr>
          <w:rFonts w:hint="eastAsia" w:asciiTheme="minorEastAsia" w:hAnsiTheme="minorEastAsia" w:eastAsiaTheme="minorEastAsia" w:cstheme="minorEastAsia"/>
          <w:sz w:val="21"/>
          <w:szCs w:val="16"/>
        </w:rPr>
        <w:t>项目名称：</w:t>
      </w:r>
    </w:p>
    <w:p>
      <w:pPr>
        <w:pStyle w:val="18"/>
        <w:adjustRightInd w:val="0"/>
        <w:snapToGrid w:val="0"/>
        <w:spacing w:beforeAutospacing="0" w:afterAutospacing="0"/>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招标编号：</w:t>
      </w:r>
    </w:p>
    <w:tbl>
      <w:tblPr>
        <w:tblStyle w:val="22"/>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3098"/>
        <w:gridCol w:w="2947"/>
        <w:gridCol w:w="2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top w:val="single" w:color="000000" w:sz="8" w:space="0"/>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序号</w:t>
            </w:r>
          </w:p>
        </w:tc>
        <w:tc>
          <w:tcPr>
            <w:tcW w:w="3098"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招标文件要求</w:t>
            </w:r>
          </w:p>
        </w:tc>
        <w:tc>
          <w:tcPr>
            <w:tcW w:w="2947"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投标文件响应</w:t>
            </w:r>
          </w:p>
        </w:tc>
        <w:tc>
          <w:tcPr>
            <w:tcW w:w="2638" w:type="dxa"/>
            <w:tcBorders>
              <w:top w:val="single" w:color="000000" w:sz="8" w:space="0"/>
              <w:bottom w:val="single" w:color="000000" w:sz="4" w:space="0"/>
              <w:right w:val="single" w:color="000000" w:sz="8"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偏差描述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1</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2</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3</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4</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5</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6</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7</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8</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9</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w:t>
            </w:r>
          </w:p>
        </w:tc>
        <w:tc>
          <w:tcPr>
            <w:tcW w:w="3098"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8" w:space="0"/>
              <w:right w:val="single" w:color="000000" w:sz="8" w:space="0"/>
            </w:tcBorders>
            <w:vAlign w:val="center"/>
          </w:tcPr>
          <w:p>
            <w:pPr>
              <w:spacing w:line="560" w:lineRule="exact"/>
              <w:jc w:val="center"/>
              <w:rPr>
                <w:rFonts w:asciiTheme="minorEastAsia" w:hAnsiTheme="minorEastAsia" w:cstheme="minorEastAsia"/>
                <w:sz w:val="28"/>
              </w:rPr>
            </w:pPr>
          </w:p>
        </w:tc>
      </w:tr>
    </w:tbl>
    <w:p>
      <w:pPr>
        <w:tabs>
          <w:tab w:val="left" w:pos="0"/>
        </w:tabs>
        <w:adjustRightInd w:val="0"/>
        <w:snapToGrid w:val="0"/>
        <w:spacing w:before="143" w:beforeLines="50" w:line="300" w:lineRule="auto"/>
        <w:ind w:right="25" w:firstLine="452" w:firstLineChars="200"/>
        <w:rPr>
          <w:rFonts w:asciiTheme="minorEastAsia" w:hAnsiTheme="minorEastAsia" w:cstheme="minorEastAsia"/>
          <w:spacing w:val="8"/>
          <w:szCs w:val="21"/>
        </w:rPr>
      </w:pPr>
      <w:r>
        <w:rPr>
          <w:rFonts w:hint="eastAsia" w:asciiTheme="minorEastAsia" w:hAnsiTheme="minorEastAsia" w:cstheme="minorEastAsia"/>
          <w:spacing w:val="8"/>
          <w:szCs w:val="21"/>
        </w:rPr>
        <w:t>注：1、“其他偏差表”应详细注明与《招标文件》中各项要求（除技术条款外的所有条款）有何不同，并说明其符合性（优于、或低于《招标文件》要求）。</w:t>
      </w:r>
    </w:p>
    <w:p>
      <w:pPr>
        <w:tabs>
          <w:tab w:val="left" w:pos="0"/>
        </w:tabs>
        <w:adjustRightInd w:val="0"/>
        <w:snapToGrid w:val="0"/>
        <w:spacing w:before="143" w:beforeLines="50" w:line="300" w:lineRule="auto"/>
        <w:ind w:right="25" w:firstLine="452" w:firstLineChars="200"/>
        <w:rPr>
          <w:rFonts w:asciiTheme="minorEastAsia" w:hAnsiTheme="minorEastAsia" w:cstheme="minorEastAsia"/>
          <w:spacing w:val="8"/>
          <w:szCs w:val="21"/>
        </w:rPr>
      </w:pPr>
      <w:r>
        <w:rPr>
          <w:rFonts w:hint="eastAsia" w:asciiTheme="minorEastAsia" w:hAnsiTheme="minorEastAsia" w:cstheme="minorEastAsia"/>
          <w:spacing w:val="8"/>
          <w:szCs w:val="21"/>
        </w:rPr>
        <w:t>2、如投标条款与《招标文件》其他要求一致，仍需在本表填列“除技术条款外，与《招标文件》所有条款要求一致，无偏差”字样。</w:t>
      </w:r>
    </w:p>
    <w:p>
      <w:pPr>
        <w:tabs>
          <w:tab w:val="left" w:pos="0"/>
        </w:tabs>
        <w:adjustRightInd w:val="0"/>
        <w:snapToGrid w:val="0"/>
        <w:spacing w:before="143" w:beforeLines="50" w:line="300" w:lineRule="auto"/>
        <w:ind w:right="510"/>
        <w:rPr>
          <w:rFonts w:asciiTheme="minorEastAsia" w:hAnsiTheme="minorEastAsia" w:cstheme="minorEastAsia"/>
          <w:spacing w:val="8"/>
          <w:szCs w:val="21"/>
        </w:rPr>
      </w:pPr>
    </w:p>
    <w:p>
      <w:pPr>
        <w:tabs>
          <w:tab w:val="left" w:pos="0"/>
        </w:tabs>
        <w:adjustRightInd w:val="0"/>
        <w:snapToGrid w:val="0"/>
        <w:spacing w:before="143" w:beforeLines="50" w:line="300" w:lineRule="auto"/>
        <w:ind w:right="510"/>
        <w:rPr>
          <w:rFonts w:asciiTheme="minorEastAsia" w:hAnsiTheme="minorEastAsia" w:cstheme="minorEastAsia"/>
          <w:spacing w:val="8"/>
          <w:szCs w:val="21"/>
        </w:rPr>
      </w:pPr>
    </w:p>
    <w:p>
      <w:pPr>
        <w:tabs>
          <w:tab w:val="left" w:pos="9365"/>
        </w:tabs>
        <w:snapToGrid w:val="0"/>
        <w:spacing w:after="56" w:line="560" w:lineRule="exact"/>
        <w:ind w:right="85" w:firstLine="4620" w:firstLineChars="2200"/>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4620" w:firstLineChars="2200"/>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autoSpaceDE w:val="0"/>
        <w:autoSpaceDN w:val="0"/>
        <w:adjustRightInd w:val="0"/>
        <w:spacing w:line="480" w:lineRule="auto"/>
        <w:ind w:firstLine="4746" w:firstLineChars="2100"/>
        <w:rPr>
          <w:rFonts w:asciiTheme="minorEastAsia" w:hAnsiTheme="minorEastAsia" w:cstheme="minorEastAsia"/>
          <w:szCs w:val="21"/>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autoSpaceDE w:val="0"/>
        <w:autoSpaceDN w:val="0"/>
        <w:adjustRightInd w:val="0"/>
        <w:spacing w:line="360" w:lineRule="auto"/>
        <w:rPr>
          <w:rFonts w:asciiTheme="minorEastAsia" w:hAnsiTheme="minorEastAsia" w:cstheme="minorEastAsia"/>
          <w:sz w:val="24"/>
          <w:lang w:val="zh-CN"/>
        </w:rPr>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7 、售后服务计划</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1、详细说明售后服务的内容、形式、时间、解决质量的响应时间、解决问题时间、单位名称、地点。</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2、质量保证措施。</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3、培训计划</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4、该项目（标段&lt;包&gt;）所提供的其他免费物品或服务。</w:t>
      </w: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pStyle w:val="20"/>
        <w:ind w:firstLine="210"/>
      </w:pPr>
    </w:p>
    <w:p>
      <w:pPr>
        <w:snapToGrid w:val="0"/>
        <w:spacing w:line="560" w:lineRule="exact"/>
        <w:jc w:val="left"/>
        <w:rPr>
          <w:rFonts w:asciiTheme="minorEastAsia" w:hAnsiTheme="minorEastAsia" w:cstheme="minorEastAsia"/>
          <w:bCs/>
          <w:sz w:val="24"/>
        </w:rPr>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8.反商业贿赂承诺书</w:t>
      </w:r>
    </w:p>
    <w:p>
      <w:pPr>
        <w:tabs>
          <w:tab w:val="left" w:pos="65"/>
        </w:tabs>
        <w:spacing w:line="560" w:lineRule="exact"/>
        <w:jc w:val="center"/>
        <w:rPr>
          <w:rFonts w:asciiTheme="minorEastAsia" w:hAnsiTheme="minorEastAsia" w:cstheme="minorEastAsia"/>
          <w:b/>
          <w:sz w:val="24"/>
        </w:rPr>
      </w:pPr>
    </w:p>
    <w:p>
      <w:pPr>
        <w:tabs>
          <w:tab w:val="left" w:pos="65"/>
        </w:tabs>
        <w:spacing w:line="740" w:lineRule="exact"/>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在招标编号为 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招标活动中，我公司保证做到：</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一、公平竞争参加本次招标活动。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三、若出现上述行为，我单位愿意接受相关部门按照国家法律法规等有关规定给予的处理。</w:t>
      </w:r>
    </w:p>
    <w:p>
      <w:pPr>
        <w:tabs>
          <w:tab w:val="left" w:pos="65"/>
        </w:tabs>
        <w:spacing w:line="740" w:lineRule="exact"/>
        <w:rPr>
          <w:rFonts w:asciiTheme="minorEastAsia" w:hAnsiTheme="minorEastAsia" w:cstheme="minorEastAsia"/>
          <w:szCs w:val="21"/>
        </w:rPr>
      </w:pP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tabs>
          <w:tab w:val="left" w:pos="9365"/>
        </w:tabs>
        <w:spacing w:before="360" w:after="360" w:line="586" w:lineRule="atLeast"/>
        <w:ind w:right="85"/>
        <w:jc w:val="left"/>
        <w:textAlignment w:val="top"/>
        <w:rPr>
          <w:rFonts w:asciiTheme="minorEastAsia" w:hAnsiTheme="minorEastAsia" w:cstheme="minorEastAsia"/>
          <w:szCs w:val="21"/>
        </w:rPr>
      </w:pPr>
    </w:p>
    <w:p>
      <w:pPr>
        <w:snapToGrid w:val="0"/>
        <w:spacing w:line="560" w:lineRule="exact"/>
        <w:jc w:val="center"/>
        <w:rPr>
          <w:rFonts w:asciiTheme="minorEastAsia" w:hAnsiTheme="minorEastAsia" w:cstheme="minorEastAsia"/>
          <w:sz w:val="28"/>
        </w:rPr>
      </w:pPr>
      <w:r>
        <w:rPr>
          <w:rFonts w:hint="eastAsia" w:asciiTheme="minorEastAsia" w:hAnsiTheme="minorEastAsia" w:cstheme="minorEastAsia"/>
          <w:sz w:val="24"/>
        </w:rPr>
        <w:br w:type="page"/>
      </w:r>
      <w:r>
        <w:rPr>
          <w:rFonts w:hint="eastAsia" w:asciiTheme="minorEastAsia" w:hAnsiTheme="minorEastAsia" w:cstheme="minorEastAsia"/>
          <w:b/>
          <w:sz w:val="24"/>
        </w:rPr>
        <w:t>9.履约承诺书</w:t>
      </w:r>
    </w:p>
    <w:p>
      <w:pPr>
        <w:adjustRightInd w:val="0"/>
        <w:snapToGrid w:val="0"/>
        <w:spacing w:line="440" w:lineRule="exact"/>
        <w:ind w:firstLine="555"/>
        <w:rPr>
          <w:rFonts w:asciiTheme="minorEastAsia" w:hAnsiTheme="minorEastAsia" w:cstheme="minorEastAsia"/>
          <w:szCs w:val="21"/>
        </w:rPr>
      </w:pPr>
      <w:r>
        <w:rPr>
          <w:rFonts w:hint="eastAsia" w:asciiTheme="minorEastAsia" w:hAnsiTheme="minorEastAsia" w:cstheme="minorEastAsia"/>
          <w:szCs w:val="21"/>
        </w:rPr>
        <w:t>一、我单位承诺：</w:t>
      </w:r>
    </w:p>
    <w:p>
      <w:pPr>
        <w:adjustRightInd w:val="0"/>
        <w:snapToGrid w:val="0"/>
        <w:spacing w:line="440" w:lineRule="exact"/>
        <w:ind w:firstLine="555"/>
        <w:rPr>
          <w:rFonts w:asciiTheme="minorEastAsia" w:hAnsiTheme="minorEastAsia" w:cstheme="minorEastAsia"/>
          <w:szCs w:val="21"/>
        </w:rPr>
      </w:pPr>
      <w:r>
        <w:rPr>
          <w:rFonts w:hint="eastAsia" w:asciiTheme="minorEastAsia" w:hAnsiTheme="minorEastAsia" w:cstheme="minorEastAsia"/>
          <w:szCs w:val="21"/>
        </w:rPr>
        <w:t>（一）我单位已详细阅读并完全理解、同意招标文件的全部内容，包括修改补充文件以及全部参考资料和有关附件；除我单位在招标文件规定期间内书面提出的疑问外，我单位放弃对这方面不明及误解的权力，并严格按采购人确定的技术及商务要求等履行。</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我单位开标前已详细勘察现场，并按采购人现场条件及采购要求编制投标报价；我单位的投标报价括包括文件所述报价组成的所有内容、并包括招标文件未列明而与采购项目相关的、必须的所有款项及费用等达到交付使用及验收条件的所有一切风险、责任和义务的费用。</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我单位确认本次投标报价未低于成本价，保证按招标文件要求及投标承诺的质量诚信履约。</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三）我单位保证在招标文件要求的时间内按期、保质完成中标项目。我单位在推荐中标结果公示后，将积极、主动的与采购人联系合同签订事宜，合同签订中如有任何的问题，我单位保证及时书面反映情况，否则视为我单位责任、按违约处理。</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二、我单位承诺：</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除法律规定的不可抗力因素外，我单位中标后以任何理由（包括违背上述承诺的事项）提出不能满足招标文件技术、服务期等要求或不能实现投标承诺的或提出变更的，我单位将无条件接受违约处理、并放弃我单位中标资格。我单位知悉违约责任及其处理，并无条件接受；情节严重的，由财政部门列入不良行为记录名单，在一至三年内禁止参加政府采购活动，并予以通报，处以罚金，给采购人及他人造成损失的，承担相应的赔偿责任。</w:t>
      </w:r>
    </w:p>
    <w:p>
      <w:pPr>
        <w:tabs>
          <w:tab w:val="left" w:pos="9354"/>
        </w:tabs>
        <w:adjustRightInd w:val="0"/>
        <w:snapToGrid w:val="0"/>
        <w:spacing w:line="440" w:lineRule="exact"/>
        <w:ind w:firstLine="420" w:firstLineChars="200"/>
        <w:rPr>
          <w:rFonts w:asciiTheme="minorEastAsia" w:hAnsiTheme="minorEastAsia" w:cstheme="minorEastAsia"/>
          <w:szCs w:val="21"/>
        </w:rPr>
      </w:pPr>
    </w:p>
    <w:p>
      <w:pPr>
        <w:tabs>
          <w:tab w:val="left" w:pos="9354"/>
        </w:tabs>
        <w:adjustRightInd w:val="0"/>
        <w:snapToGrid w:val="0"/>
        <w:spacing w:before="143" w:beforeLines="50" w:line="300" w:lineRule="auto"/>
        <w:ind w:firstLine="420" w:firstLineChars="200"/>
        <w:rPr>
          <w:rFonts w:asciiTheme="minorEastAsia" w:hAnsiTheme="minorEastAsia" w:cstheme="minorEastAsia"/>
          <w:szCs w:val="21"/>
        </w:rPr>
      </w:pPr>
    </w:p>
    <w:p>
      <w:pPr>
        <w:tabs>
          <w:tab w:val="left" w:pos="9365"/>
        </w:tabs>
        <w:snapToGrid w:val="0"/>
        <w:spacing w:after="56" w:line="560" w:lineRule="exact"/>
        <w:ind w:right="85" w:firstLine="5258" w:firstLineChars="2504"/>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258" w:firstLineChars="2504"/>
        <w:jc w:val="left"/>
        <w:textAlignment w:val="top"/>
        <w:rPr>
          <w:rFonts w:asciiTheme="minorEastAsia" w:hAnsiTheme="minorEastAsia" w:cstheme="minorEastAsia"/>
          <w:spacing w:val="8"/>
          <w:szCs w:val="21"/>
        </w:rPr>
      </w:pPr>
      <w:r>
        <w:rPr>
          <w:rFonts w:hint="eastAsia" w:asciiTheme="minorEastAsia" w:hAnsiTheme="minorEastAsia" w:cstheme="minorEastAsia"/>
          <w:szCs w:val="21"/>
        </w:rPr>
        <w:t>法定代表人（电子签名）：</w:t>
      </w:r>
    </w:p>
    <w:p>
      <w:pPr>
        <w:autoSpaceDE w:val="0"/>
        <w:autoSpaceDN w:val="0"/>
        <w:adjustRightInd w:val="0"/>
        <w:spacing w:line="360" w:lineRule="auto"/>
        <w:ind w:firstLine="5659" w:firstLineChars="2504"/>
        <w:jc w:val="left"/>
        <w:rPr>
          <w:rFonts w:asciiTheme="minorEastAsia" w:hAnsiTheme="minorEastAsia" w:cstheme="minorEastAsia"/>
          <w:b/>
          <w:szCs w:val="21"/>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ind w:firstLine="5279" w:firstLineChars="2504"/>
        <w:jc w:val="left"/>
        <w:rPr>
          <w:rFonts w:asciiTheme="minorEastAsia" w:hAnsiTheme="minorEastAsia" w:cstheme="minorEastAsia"/>
          <w:b/>
          <w:szCs w:val="21"/>
        </w:rPr>
      </w:pPr>
    </w:p>
    <w:p>
      <w:pPr>
        <w:snapToGrid w:val="0"/>
        <w:spacing w:line="560" w:lineRule="exact"/>
        <w:jc w:val="center"/>
        <w:rPr>
          <w:rFonts w:asciiTheme="minorEastAsia" w:hAnsiTheme="minorEastAsia" w:cstheme="minorEastAsia"/>
          <w:b/>
          <w:sz w:val="30"/>
          <w:szCs w:val="30"/>
        </w:rPr>
      </w:pPr>
      <w:r>
        <w:rPr>
          <w:rFonts w:hint="eastAsia" w:asciiTheme="minorEastAsia" w:hAnsiTheme="minorEastAsia" w:cstheme="minorEastAsia"/>
          <w:b/>
          <w:sz w:val="30"/>
          <w:szCs w:val="30"/>
        </w:rPr>
        <w:br w:type="page"/>
      </w:r>
      <w:r>
        <w:rPr>
          <w:rFonts w:hint="eastAsia" w:asciiTheme="minorEastAsia" w:hAnsiTheme="minorEastAsia" w:cstheme="minorEastAsia"/>
          <w:b/>
          <w:sz w:val="24"/>
        </w:rPr>
        <w:t>10.招投标诚信承诺书</w:t>
      </w:r>
    </w:p>
    <w:p>
      <w:pPr>
        <w:spacing w:line="580" w:lineRule="exact"/>
        <w:jc w:val="center"/>
        <w:rPr>
          <w:rFonts w:asciiTheme="minorEastAsia" w:hAnsiTheme="minorEastAsia" w:cstheme="minorEastAsia"/>
          <w:sz w:val="44"/>
          <w:szCs w:val="44"/>
        </w:rPr>
      </w:pP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我单位承诺，在项目采购活动中，自觉遵守《中华人民共和国政府采购法》、《中华人民共和国政府采购法实施条例》等相关法律、法规和制度规定，如有违反，愿承担相关法律责任。</w:t>
      </w:r>
    </w:p>
    <w:p>
      <w:pPr>
        <w:spacing w:line="440" w:lineRule="exact"/>
        <w:rPr>
          <w:rFonts w:asciiTheme="minorEastAsia" w:hAnsiTheme="minorEastAsia" w:cstheme="minorEastAsia"/>
          <w:szCs w:val="21"/>
        </w:rPr>
      </w:pPr>
    </w:p>
    <w:p>
      <w:pPr>
        <w:spacing w:line="440" w:lineRule="exact"/>
        <w:ind w:firstLine="2625" w:firstLineChars="12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 xml:space="preserve">                          投标人（电子签章）：</w:t>
      </w:r>
    </w:p>
    <w:p>
      <w:pPr>
        <w:spacing w:line="440" w:lineRule="exact"/>
        <w:ind w:firstLine="5355" w:firstLineChars="25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法定代表人（电子签名）：</w:t>
      </w:r>
    </w:p>
    <w:p>
      <w:pPr>
        <w:spacing w:line="440" w:lineRule="exact"/>
        <w:ind w:firstLine="5355" w:firstLineChars="25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联   系   电   话：</w:t>
      </w:r>
    </w:p>
    <w:p>
      <w:pPr>
        <w:autoSpaceDE w:val="0"/>
        <w:autoSpaceDN w:val="0"/>
        <w:adjustRightInd w:val="0"/>
        <w:spacing w:line="360" w:lineRule="auto"/>
        <w:ind w:firstLine="4830" w:firstLineChars="2300"/>
        <w:jc w:val="left"/>
        <w:rPr>
          <w:rFonts w:asciiTheme="minorEastAsia" w:hAnsiTheme="minorEastAsia" w:cstheme="minorEastAsia"/>
          <w:b/>
          <w:szCs w:val="21"/>
        </w:rPr>
      </w:pPr>
      <w:r>
        <w:rPr>
          <w:rFonts w:hint="eastAsia" w:asciiTheme="minorEastAsia" w:hAnsiTheme="minorEastAsia" w:cstheme="minorEastAsia"/>
          <w:szCs w:val="21"/>
          <w:lang w:val="en-US" w:eastAsia="zh-CN"/>
        </w:rPr>
        <w:t xml:space="preserve">     </w:t>
      </w: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spacing w:line="440" w:lineRule="exact"/>
        <w:ind w:firstLine="2625" w:firstLineChars="1250"/>
        <w:rPr>
          <w:rFonts w:hint="eastAsia" w:asciiTheme="minorEastAsia" w:hAnsiTheme="minorEastAsia" w:cstheme="minorEastAsia"/>
          <w:szCs w:val="21"/>
          <w:lang w:val="en-US" w:eastAsia="zh-CN"/>
        </w:rPr>
      </w:pPr>
    </w:p>
    <w:p>
      <w:pPr>
        <w:shd w:val="clear" w:color="auto" w:fill="FFFFFF"/>
        <w:spacing w:line="440" w:lineRule="exact"/>
        <w:jc w:val="left"/>
        <w:rPr>
          <w:rFonts w:asciiTheme="minorEastAsia" w:hAnsiTheme="minorEastAsia" w:cstheme="minorEastAsia"/>
          <w:szCs w:val="21"/>
        </w:rPr>
      </w:pPr>
      <w:r>
        <w:rPr>
          <w:rFonts w:hint="eastAsia" w:asciiTheme="minorEastAsia" w:hAnsiTheme="minorEastAsia" w:cstheme="minorEastAsia"/>
          <w:szCs w:val="21"/>
        </w:rPr>
        <w:t xml:space="preserve"> </w:t>
      </w: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pStyle w:val="21"/>
      </w:pPr>
    </w:p>
    <w:p/>
    <w:p>
      <w:pPr>
        <w:pStyle w:val="20"/>
      </w:pPr>
    </w:p>
    <w:p>
      <w:pPr>
        <w:pStyle w:val="21"/>
      </w:pPr>
    </w:p>
    <w:p>
      <w:pPr>
        <w:snapToGrid w:val="0"/>
        <w:spacing w:line="560" w:lineRule="atLeast"/>
        <w:textAlignment w:val="top"/>
        <w:rPr>
          <w:rFonts w:asciiTheme="minorEastAsia" w:hAnsiTheme="minorEastAsia" w:cstheme="minorEastAsia"/>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11.采购人需求的其他材料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pStyle w:val="2"/>
        <w:rPr>
          <w:rFonts w:asciiTheme="minorEastAsia" w:hAnsiTheme="minorEastAsia" w:eastAsiaTheme="minorEastAsia" w:cstheme="minorEastAsia"/>
        </w:rPr>
      </w:pPr>
    </w:p>
    <w:p>
      <w:pPr>
        <w:jc w:val="center"/>
        <w:rPr>
          <w:rFonts w:asciiTheme="minorEastAsia" w:hAnsiTheme="minorEastAsia" w:cstheme="minorEastAsia"/>
          <w:b/>
          <w:sz w:val="24"/>
        </w:rPr>
      </w:pPr>
      <w:r>
        <w:rPr>
          <w:rFonts w:hint="eastAsia" w:asciiTheme="minorEastAsia" w:hAnsiTheme="minorEastAsia" w:cstheme="minorEastAsia"/>
          <w:b/>
          <w:sz w:val="24"/>
        </w:rPr>
        <w:t>12.</w:t>
      </w:r>
      <w:r>
        <w:rPr>
          <w:rFonts w:hint="eastAsia" w:asciiTheme="minorEastAsia" w:hAnsiTheme="minorEastAsia" w:cstheme="minorEastAsia"/>
          <w:b/>
          <w:sz w:val="24"/>
          <w:lang w:eastAsia="zh-CN"/>
        </w:rPr>
        <w:t>投标人</w:t>
      </w:r>
      <w:r>
        <w:rPr>
          <w:rFonts w:hint="eastAsia" w:asciiTheme="minorEastAsia" w:hAnsiTheme="minorEastAsia" w:cstheme="minorEastAsia"/>
          <w:b/>
          <w:sz w:val="24"/>
        </w:rPr>
        <w:t>须知所需的其他材料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jc w:val="left"/>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13.评审办法所需的其他材料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spacing w:line="440" w:lineRule="exact"/>
        <w:ind w:firstLine="411" w:firstLineChars="196"/>
        <w:rPr>
          <w:rFonts w:asciiTheme="minorEastAsia" w:hAnsiTheme="minorEastAsia" w:cstheme="minorEastAsia"/>
          <w:szCs w:val="21"/>
        </w:rPr>
      </w:pPr>
    </w:p>
    <w:p>
      <w:pPr>
        <w:autoSpaceDE w:val="0"/>
        <w:autoSpaceDN w:val="0"/>
        <w:adjustRightInd w:val="0"/>
        <w:spacing w:line="360" w:lineRule="auto"/>
        <w:jc w:val="center"/>
        <w:rPr>
          <w:rFonts w:asciiTheme="minorEastAsia" w:hAnsiTheme="minorEastAsia" w:cstheme="minorEastAsia"/>
          <w:b/>
          <w:sz w:val="30"/>
          <w:szCs w:val="30"/>
        </w:rPr>
      </w:pPr>
    </w:p>
    <w:p>
      <w:pPr>
        <w:jc w:val="center"/>
        <w:rPr>
          <w:rFonts w:asciiTheme="minorEastAsia" w:hAnsiTheme="minorEastAsia" w:cstheme="minorEastAsia"/>
          <w:b/>
          <w:sz w:val="24"/>
        </w:rPr>
      </w:pPr>
      <w:r>
        <w:rPr>
          <w:rFonts w:hint="eastAsia" w:asciiTheme="minorEastAsia" w:hAnsiTheme="minorEastAsia" w:cstheme="minorEastAsia"/>
          <w:b/>
          <w:sz w:val="24"/>
        </w:rPr>
        <w:t>14.投标人认为有必要提交的其它材料</w:t>
      </w:r>
    </w:p>
    <w:p>
      <w:pPr>
        <w:autoSpaceDE w:val="0"/>
        <w:autoSpaceDN w:val="0"/>
        <w:adjustRightInd w:val="0"/>
        <w:spacing w:line="360" w:lineRule="auto"/>
        <w:jc w:val="center"/>
        <w:rPr>
          <w:rFonts w:asciiTheme="minorEastAsia" w:hAnsiTheme="minorEastAsia" w:cstheme="minorEastAsia"/>
          <w:szCs w:val="21"/>
        </w:rPr>
      </w:pPr>
      <w:r>
        <w:rPr>
          <w:rFonts w:hint="eastAsia" w:asciiTheme="minorEastAsia" w:hAnsiTheme="minorEastAsia" w:cstheme="minorEastAsia"/>
          <w:sz w:val="24"/>
        </w:rPr>
        <w:t>（</w:t>
      </w:r>
      <w:r>
        <w:rPr>
          <w:rFonts w:hint="eastAsia" w:asciiTheme="minorEastAsia" w:hAnsiTheme="minorEastAsia" w:cstheme="minorEastAsia"/>
          <w:szCs w:val="21"/>
        </w:rPr>
        <w:t>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jc w:val="center"/>
        <w:rPr>
          <w:rFonts w:asciiTheme="minorEastAsia" w:hAnsiTheme="minorEastAsia" w:cstheme="minorEastAsia"/>
          <w:b/>
          <w:spacing w:val="6"/>
          <w:sz w:val="30"/>
          <w:szCs w:val="30"/>
        </w:rPr>
      </w:pPr>
      <w:r>
        <w:rPr>
          <w:rFonts w:hint="eastAsia" w:asciiTheme="minorEastAsia" w:hAnsiTheme="minorEastAsia" w:cstheme="minorEastAsia"/>
          <w:sz w:val="24"/>
        </w:rPr>
        <w:br w:type="page"/>
      </w:r>
      <w:r>
        <w:rPr>
          <w:rFonts w:hint="eastAsia" w:asciiTheme="minorEastAsia" w:hAnsiTheme="minorEastAsia" w:cstheme="minorEastAsia"/>
          <w:b/>
          <w:sz w:val="24"/>
        </w:rPr>
        <w:t>14.1中小企业声明函 （ 如 有 ）</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本公司（联合体）郑重声明，根据《政府采购促进中小企业发展管理办法》（财库〔2020〕46 号）的规定，本公司(联合体）参加</w:t>
      </w:r>
      <w:r>
        <w:rPr>
          <w:rFonts w:hint="eastAsia" w:asciiTheme="minorEastAsia" w:hAnsiTheme="minorEastAsia" w:cstheme="minorEastAsia"/>
          <w:szCs w:val="21"/>
          <w:u w:val="single"/>
        </w:rPr>
        <w:t>（单位名称）</w:t>
      </w:r>
      <w:r>
        <w:rPr>
          <w:rFonts w:hint="eastAsia" w:asciiTheme="minorEastAsia" w:hAnsiTheme="minorEastAsia" w:cstheme="minorEastAsia"/>
          <w:szCs w:val="21"/>
        </w:rPr>
        <w:t>的</w:t>
      </w:r>
      <w:r>
        <w:rPr>
          <w:rFonts w:hint="eastAsia" w:asciiTheme="minorEastAsia" w:hAnsiTheme="minorEastAsia" w:cstheme="minorEastAsia"/>
          <w:szCs w:val="21"/>
          <w:u w:val="single"/>
        </w:rPr>
        <w:t>（项目名称）</w:t>
      </w:r>
      <w:r>
        <w:rPr>
          <w:rFonts w:hint="eastAsia" w:asciiTheme="minorEastAsia" w:hAnsiTheme="minorEastAsia" w:cstheme="minorEastAsia"/>
          <w:szCs w:val="21"/>
        </w:rPr>
        <w:t>采购活动，提供的货物全部由符合政策要求的中小企业制造。相关企业 (含联合体中的中小企业、签订分包意向协议的中小企业）的具体情况如下：</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w:t>
      </w:r>
      <w:r>
        <w:rPr>
          <w:rFonts w:hint="eastAsia" w:asciiTheme="minorEastAsia" w:hAnsiTheme="minorEastAsia" w:cstheme="minorEastAsia"/>
          <w:szCs w:val="21"/>
          <w:u w:val="single"/>
        </w:rPr>
        <w:t>(标的名称</w:t>
      </w:r>
      <w:r>
        <w:rPr>
          <w:rFonts w:hint="eastAsia" w:asciiTheme="minorEastAsia" w:hAnsiTheme="minorEastAsia" w:cstheme="minorEastAsia"/>
          <w:szCs w:val="21"/>
        </w:rPr>
        <w:t>)，属于</w:t>
      </w:r>
      <w:r>
        <w:rPr>
          <w:rFonts w:hint="eastAsia" w:asciiTheme="minorEastAsia" w:hAnsiTheme="minorEastAsia" w:cstheme="minorEastAsia"/>
          <w:szCs w:val="21"/>
          <w:u w:val="single"/>
        </w:rPr>
        <w:t>（采购文件中明确的所属行业)</w:t>
      </w:r>
      <w:r>
        <w:rPr>
          <w:rFonts w:hint="eastAsia" w:asciiTheme="minorEastAsia" w:hAnsiTheme="minorEastAsia" w:cstheme="minorEastAsia"/>
          <w:szCs w:val="21"/>
        </w:rPr>
        <w:t>行业， 制造商为</w:t>
      </w:r>
      <w:r>
        <w:rPr>
          <w:rFonts w:hint="eastAsia" w:asciiTheme="minorEastAsia" w:hAnsiTheme="minorEastAsia" w:cstheme="minorEastAsia"/>
          <w:szCs w:val="21"/>
          <w:u w:val="single"/>
        </w:rPr>
        <w:t>（企业名称)</w:t>
      </w:r>
      <w:r>
        <w:rPr>
          <w:rFonts w:hint="eastAsia" w:asciiTheme="minorEastAsia" w:hAnsiTheme="minorEastAsia" w:cstheme="minorEastAsia"/>
          <w:szCs w:val="21"/>
        </w:rPr>
        <w:t>，从业人员</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人，营业收入为</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万元，资产总额为</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万元，属于</w:t>
      </w:r>
      <w:r>
        <w:rPr>
          <w:rFonts w:hint="eastAsia" w:asciiTheme="minorEastAsia" w:hAnsiTheme="minorEastAsia" w:cstheme="minorEastAsia"/>
          <w:szCs w:val="21"/>
          <w:u w:val="single"/>
        </w:rPr>
        <w:t>（中型企业、小型企业、微型企业）</w:t>
      </w:r>
      <w:r>
        <w:rPr>
          <w:rFonts w:hint="eastAsia" w:asciiTheme="minorEastAsia" w:hAnsiTheme="minorEastAsia" w:cstheme="minorEastAsia"/>
          <w:szCs w:val="21"/>
        </w:rPr>
        <w:t>；</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 xml:space="preserve">2. </w:t>
      </w:r>
      <w:r>
        <w:rPr>
          <w:rFonts w:hint="eastAsia" w:asciiTheme="minorEastAsia" w:hAnsiTheme="minorEastAsia" w:cstheme="minorEastAsia"/>
          <w:szCs w:val="21"/>
          <w:u w:val="single"/>
        </w:rPr>
        <w:t>(标的名称)</w:t>
      </w:r>
      <w:r>
        <w:rPr>
          <w:rFonts w:hint="eastAsia" w:asciiTheme="minorEastAsia" w:hAnsiTheme="minorEastAsia" w:cstheme="minorEastAsia"/>
          <w:szCs w:val="21"/>
        </w:rPr>
        <w:t>，属于</w:t>
      </w:r>
      <w:r>
        <w:rPr>
          <w:rFonts w:hint="eastAsia" w:asciiTheme="minorEastAsia" w:hAnsiTheme="minorEastAsia" w:cstheme="minorEastAsia"/>
          <w:szCs w:val="21"/>
          <w:u w:val="single"/>
        </w:rPr>
        <w:t>（采购文件中明确的所属行业)</w:t>
      </w:r>
      <w:r>
        <w:rPr>
          <w:rFonts w:hint="eastAsia" w:asciiTheme="minorEastAsia" w:hAnsiTheme="minorEastAsia" w:cstheme="minorEastAsia"/>
          <w:szCs w:val="21"/>
        </w:rPr>
        <w:t>行业， 制造商为</w:t>
      </w:r>
      <w:r>
        <w:rPr>
          <w:rFonts w:hint="eastAsia" w:asciiTheme="minorEastAsia" w:hAnsiTheme="minorEastAsia" w:cstheme="minorEastAsia"/>
          <w:szCs w:val="21"/>
          <w:u w:val="single"/>
        </w:rPr>
        <w:t>（企业名称)</w:t>
      </w:r>
      <w:r>
        <w:rPr>
          <w:rFonts w:hint="eastAsia" w:asciiTheme="minorEastAsia" w:hAnsiTheme="minorEastAsia" w:cstheme="minorEastAsia"/>
          <w:szCs w:val="21"/>
        </w:rPr>
        <w:t>，从业人员</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人，营业收入为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万元，资产总额为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万元，属于</w:t>
      </w:r>
      <w:r>
        <w:rPr>
          <w:rFonts w:hint="eastAsia" w:asciiTheme="minorEastAsia" w:hAnsiTheme="minorEastAsia" w:cstheme="minorEastAsia"/>
          <w:szCs w:val="21"/>
          <w:u w:val="single"/>
        </w:rPr>
        <w:t>（中型企业、小 型企业、微型企业）</w:t>
      </w:r>
      <w:r>
        <w:rPr>
          <w:rFonts w:hint="eastAsia" w:asciiTheme="minorEastAsia" w:hAnsiTheme="minorEastAsia" w:cstheme="minorEastAsia"/>
          <w:szCs w:val="21"/>
        </w:rPr>
        <w:t>；</w:t>
      </w:r>
    </w:p>
    <w:p>
      <w:pPr>
        <w:spacing w:line="440" w:lineRule="exact"/>
        <w:rPr>
          <w:rFonts w:asciiTheme="minorEastAsia" w:hAnsiTheme="minorEastAsia" w:cstheme="minorEastAsia"/>
          <w:szCs w:val="21"/>
        </w:rPr>
      </w:pPr>
      <w:r>
        <w:rPr>
          <w:rFonts w:hint="eastAsia" w:asciiTheme="minorEastAsia" w:hAnsiTheme="minorEastAsia" w:cstheme="minorEastAsia"/>
          <w:szCs w:val="21"/>
        </w:rPr>
        <w:t>……</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以上企业，不属于大企业的分支机构，不存在控股股东为大企业的情形，也不存在与大企业的负责人为同一人的情形。</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本企业对上述声明内容的真实性负责。如有虚假，将依法承担相应责任。</w:t>
      </w:r>
    </w:p>
    <w:p>
      <w:pPr>
        <w:spacing w:line="440" w:lineRule="exact"/>
        <w:jc w:val="right"/>
        <w:rPr>
          <w:rFonts w:asciiTheme="minorEastAsia" w:hAnsiTheme="minorEastAsia" w:cstheme="minorEastAsia"/>
          <w:szCs w:val="21"/>
        </w:rPr>
      </w:pPr>
    </w:p>
    <w:p>
      <w:pPr>
        <w:pStyle w:val="21"/>
        <w:rPr>
          <w:rFonts w:hint="eastAsia" w:asciiTheme="minorEastAsia" w:hAnsiTheme="minorEastAsia" w:cstheme="minorEastAsia"/>
          <w:szCs w:val="21"/>
        </w:rPr>
      </w:pP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加盖电子签章）：</w:t>
      </w:r>
    </w:p>
    <w:p>
      <w:pPr>
        <w:pStyle w:val="21"/>
        <w:rPr>
          <w:rFonts w:hint="eastAsia" w:asciiTheme="minorEastAsia" w:hAnsiTheme="minorEastAsia" w:cstheme="minorEastAsia"/>
          <w:szCs w:val="21"/>
        </w:rPr>
      </w:pPr>
      <w:r>
        <w:rPr>
          <w:rFonts w:hint="eastAsia" w:asciiTheme="minorEastAsia" w:hAnsiTheme="minorEastAsia" w:cstheme="minorEastAsia"/>
          <w:szCs w:val="21"/>
        </w:rPr>
        <w:t>法定代表人（加盖电子签名）：</w:t>
      </w:r>
    </w:p>
    <w:p>
      <w:pPr>
        <w:pStyle w:val="21"/>
        <w:rPr>
          <w:rFonts w:asciiTheme="minorEastAsia" w:hAnsiTheme="minorEastAsia" w:cstheme="minorEastAsia"/>
          <w:szCs w:val="21"/>
        </w:rPr>
      </w:pPr>
      <w:r>
        <w:rPr>
          <w:rFonts w:hint="eastAsia" w:asciiTheme="minorEastAsia" w:hAnsiTheme="minorEastAsia" w:cstheme="minorEastAsia"/>
          <w:szCs w:val="21"/>
        </w:rPr>
        <w:t>日期：年月日</w:t>
      </w:r>
    </w:p>
    <w:p>
      <w:pPr>
        <w:pStyle w:val="21"/>
        <w:rPr>
          <w:rFonts w:asciiTheme="minorEastAsia" w:hAnsiTheme="minorEastAsia" w:cstheme="minorEastAsia"/>
          <w:szCs w:val="21"/>
        </w:rPr>
      </w:pPr>
    </w:p>
    <w:p>
      <w:pPr>
        <w:spacing w:line="440" w:lineRule="exact"/>
        <w:rPr>
          <w:rFonts w:asciiTheme="minorEastAsia" w:hAnsiTheme="minorEastAsia" w:cstheme="minorEastAsia"/>
          <w:szCs w:val="21"/>
        </w:rPr>
      </w:pPr>
      <w:r>
        <w:rPr>
          <w:rFonts w:hint="eastAsia" w:asciiTheme="minorEastAsia" w:hAnsiTheme="minorEastAsia" w:cstheme="minorEastAsia"/>
          <w:szCs w:val="21"/>
        </w:rPr>
        <w:t>注：1、 1 从业人员、营业收入、资产总额填报上一年度数据，无上一年度数据的新成立企业可不填报。</w:t>
      </w:r>
    </w:p>
    <w:p>
      <w:pPr>
        <w:spacing w:line="440" w:lineRule="exact"/>
        <w:ind w:firstLine="420" w:firstLineChars="200"/>
        <w:rPr>
          <w:rFonts w:asciiTheme="minorEastAsia" w:hAnsiTheme="minorEastAsia" w:cstheme="minorEastAsia"/>
          <w:sz w:val="24"/>
        </w:rPr>
      </w:pPr>
      <w:r>
        <w:rPr>
          <w:rFonts w:hint="eastAsia" w:asciiTheme="minorEastAsia" w:hAnsiTheme="minorEastAsia" w:cstheme="minorEastAsia"/>
          <w:szCs w:val="21"/>
        </w:rPr>
        <w:t>2、招标文件中未标注“专门面向中小企业采购”的未预留（非预留）项目，投标人可以根据自身情况提供《中小企业声明函》，未提供《中小企业声明函》的、将不享受小微企业价格扣除扶持政策。</w:t>
      </w:r>
    </w:p>
    <w:p>
      <w:pPr>
        <w:pStyle w:val="2"/>
        <w:spacing w:before="0" w:after="0" w:line="440" w:lineRule="exact"/>
        <w:rPr>
          <w:rFonts w:asciiTheme="minorEastAsia" w:hAnsiTheme="minorEastAsia" w:eastAsiaTheme="minorEastAsia" w:cstheme="minorEastAsia"/>
          <w:sz w:val="24"/>
          <w:szCs w:val="24"/>
        </w:rPr>
      </w:pPr>
    </w:p>
    <w:p>
      <w:pPr>
        <w:spacing w:line="440" w:lineRule="exact"/>
        <w:rPr>
          <w:rFonts w:asciiTheme="minorEastAsia" w:hAnsiTheme="minorEastAsia" w:cstheme="minorEastAsia"/>
          <w:sz w:val="24"/>
        </w:rPr>
      </w:pPr>
    </w:p>
    <w:p>
      <w:pPr>
        <w:pStyle w:val="2"/>
        <w:rPr>
          <w:rFonts w:asciiTheme="minorEastAsia" w:hAnsiTheme="minorEastAsia" w:eastAsiaTheme="minorEastAsia" w:cstheme="minorEastAsia"/>
        </w:rPr>
      </w:pPr>
    </w:p>
    <w:p>
      <w:pPr>
        <w:jc w:val="center"/>
        <w:rPr>
          <w:rFonts w:asciiTheme="minorEastAsia" w:hAnsiTheme="minorEastAsia" w:cstheme="minorEastAsia"/>
          <w:b/>
          <w:sz w:val="24"/>
        </w:rPr>
      </w:pPr>
    </w:p>
    <w:p>
      <w:pPr>
        <w:pStyle w:val="21"/>
        <w:ind w:firstLine="482"/>
        <w:rPr>
          <w:rFonts w:asciiTheme="minorEastAsia" w:hAnsiTheme="minorEastAsia" w:cstheme="minorEastAsia"/>
          <w:b/>
          <w:sz w:val="24"/>
        </w:rPr>
      </w:pPr>
    </w:p>
    <w:p>
      <w:pPr>
        <w:pStyle w:val="21"/>
        <w:ind w:firstLine="482"/>
        <w:rPr>
          <w:rFonts w:asciiTheme="minorEastAsia" w:hAnsiTheme="minorEastAsia" w:cstheme="minorEastAsia"/>
          <w:b/>
          <w:sz w:val="24"/>
        </w:rPr>
      </w:pPr>
    </w:p>
    <w:p>
      <w:pPr>
        <w:pStyle w:val="5"/>
      </w:pPr>
    </w:p>
    <w:p>
      <w:pPr>
        <w:jc w:val="center"/>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残疾人福利性单位声明函 （如符合条件时填写 * ）</w:t>
      </w:r>
    </w:p>
    <w:p>
      <w:pPr>
        <w:spacing w:line="588" w:lineRule="exact"/>
        <w:rPr>
          <w:rFonts w:asciiTheme="minorEastAsia" w:hAnsiTheme="minorEastAsia" w:cstheme="minorEastAsia"/>
          <w:b/>
          <w:spacing w:val="6"/>
          <w:sz w:val="30"/>
          <w:szCs w:val="30"/>
        </w:rPr>
      </w:pPr>
    </w:p>
    <w:p>
      <w:pPr>
        <w:spacing w:line="588" w:lineRule="exact"/>
        <w:ind w:firstLine="444" w:firstLineChars="200"/>
        <w:rPr>
          <w:rFonts w:asciiTheme="minorEastAsia" w:hAnsiTheme="minorEastAsia" w:cstheme="minorEastAsia"/>
          <w:spacing w:val="6"/>
          <w:szCs w:val="21"/>
        </w:rPr>
      </w:pPr>
      <w:r>
        <w:rPr>
          <w:rFonts w:hint="eastAsia" w:asciiTheme="minorEastAsia" w:hAnsi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cstheme="minorEastAsia"/>
          <w:szCs w:val="21"/>
        </w:rPr>
        <w:t>〔2017〕141</w:t>
      </w:r>
      <w:r>
        <w:rPr>
          <w:rFonts w:hint="eastAsia" w:asciiTheme="minorEastAsia" w:hAnsi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44" w:firstLineChars="200"/>
        <w:rPr>
          <w:rFonts w:asciiTheme="minorEastAsia" w:hAnsiTheme="minorEastAsia" w:cstheme="minorEastAsia"/>
          <w:spacing w:val="6"/>
          <w:szCs w:val="21"/>
        </w:rPr>
      </w:pPr>
      <w:r>
        <w:rPr>
          <w:rFonts w:hint="eastAsia" w:asciiTheme="minorEastAsia" w:hAnsiTheme="minorEastAsia" w:cstheme="minorEastAsia"/>
          <w:spacing w:val="6"/>
          <w:szCs w:val="21"/>
        </w:rPr>
        <w:t>本单位对上述声明的真实性负责。如有虚假，将依法承担相应责任。</w:t>
      </w:r>
    </w:p>
    <w:p>
      <w:pPr>
        <w:spacing w:line="588" w:lineRule="exact"/>
        <w:ind w:firstLine="504" w:firstLineChars="200"/>
        <w:rPr>
          <w:rFonts w:asciiTheme="minorEastAsia" w:hAnsiTheme="minorEastAsia" w:cstheme="minorEastAsia"/>
          <w:spacing w:val="6"/>
          <w:sz w:val="24"/>
        </w:rPr>
      </w:pP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投标人（电子签章）：</w:t>
      </w: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法定代表人（电子签名）：</w:t>
      </w: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日期：</w:t>
      </w:r>
      <w:r>
        <w:rPr>
          <w:rFonts w:hint="eastAsia" w:asciiTheme="minorEastAsia" w:hAnsiTheme="minorEastAsia" w:cstheme="minorEastAsia"/>
          <w:szCs w:val="21"/>
        </w:rPr>
        <w:t xml:space="preserve">  年   月    日</w:t>
      </w:r>
    </w:p>
    <w:p>
      <w:pPr>
        <w:autoSpaceDE w:val="0"/>
        <w:autoSpaceDN w:val="0"/>
        <w:adjustRightInd w:val="0"/>
        <w:spacing w:line="360" w:lineRule="auto"/>
        <w:jc w:val="center"/>
        <w:rPr>
          <w:rFonts w:asciiTheme="minorEastAsia" w:hAnsiTheme="minorEastAsia" w:cstheme="minorEastAsia"/>
          <w:b/>
          <w:sz w:val="30"/>
          <w:szCs w:val="30"/>
        </w:rPr>
      </w:pPr>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1" w:name="_Toc31693"/>
      <w:r>
        <w:rPr>
          <w:rFonts w:hint="eastAsia" w:asciiTheme="minorEastAsia" w:hAnsiTheme="minorEastAsia" w:eastAsiaTheme="minorEastAsia" w:cstheme="minorEastAsia"/>
          <w:b w:val="0"/>
          <w:bCs w:val="0"/>
          <w:sz w:val="21"/>
          <w:szCs w:val="21"/>
        </w:rPr>
        <w:t>注：1、按政策规定：符合条件的残疾人福利性单位视同小型、微型企业，享受评审价格扣除等促进中小企业发展的政府采购政策。残疾人福利性单位属于小型、微型企业的，不重复享受政策。</w:t>
      </w:r>
      <w:bookmarkEnd w:id="71"/>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2" w:name="_Toc28486"/>
      <w:r>
        <w:rPr>
          <w:rFonts w:hint="eastAsia" w:asciiTheme="minorEastAsia" w:hAnsiTheme="minorEastAsia" w:eastAsiaTheme="minorEastAsia" w:cstheme="minorEastAsia"/>
          <w:b w:val="0"/>
          <w:bCs w:val="0"/>
          <w:sz w:val="21"/>
          <w:szCs w:val="21"/>
        </w:rPr>
        <w:t>2、 * 本格式在残疾人福利性单位申请报价格扣除时填写，未填写不享受小微价格扣除，但不作为无效投标。</w:t>
      </w:r>
      <w:bookmarkEnd w:id="72"/>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3" w:name="_Toc10061"/>
      <w:r>
        <w:rPr>
          <w:rFonts w:hint="eastAsia" w:asciiTheme="minorEastAsia" w:hAnsiTheme="minorEastAsia" w:eastAsiaTheme="minorEastAsia" w:cstheme="minorEastAsia"/>
          <w:b w:val="0"/>
          <w:bCs w:val="0"/>
          <w:sz w:val="21"/>
          <w:szCs w:val="21"/>
        </w:rPr>
        <w:t>残疾人福利性单位属于小型、微型企业的，可只填写“ 中小企业声明函”，不再填写“残疾人福利性单位声明函”。</w:t>
      </w:r>
      <w:bookmarkEnd w:id="73"/>
    </w:p>
    <w:p>
      <w:pPr>
        <w:pStyle w:val="2"/>
        <w:spacing w:before="0" w:after="0" w:line="440" w:lineRule="exact"/>
        <w:ind w:firstLine="420" w:firstLineChars="200"/>
        <w:rPr>
          <w:rFonts w:asciiTheme="minorEastAsia" w:hAnsiTheme="minorEastAsia" w:cstheme="minorEastAsia"/>
          <w:sz w:val="30"/>
          <w:szCs w:val="30"/>
        </w:rPr>
      </w:pPr>
      <w:bookmarkStart w:id="74" w:name="_Toc14743"/>
      <w:r>
        <w:rPr>
          <w:rFonts w:hint="eastAsia" w:asciiTheme="minorEastAsia" w:hAnsiTheme="minorEastAsia" w:eastAsiaTheme="minorEastAsia" w:cstheme="minorEastAsia"/>
          <w:b w:val="0"/>
          <w:bCs w:val="0"/>
          <w:sz w:val="21"/>
          <w:szCs w:val="21"/>
        </w:rPr>
        <w:t>3、残疾人福利性单位填写“残疾人福利性单位声明函”后，仍需同时填写“中小企业声明函”、可在“中小企业声明函”注明“属于符合条件的残疾人福利性单位、视同小型、微型企业”。</w:t>
      </w:r>
      <w:bookmarkEnd w:id="74"/>
    </w:p>
    <w:p>
      <w:pPr>
        <w:pStyle w:val="2"/>
        <w:rPr>
          <w:rFonts w:asciiTheme="minorEastAsia" w:hAnsiTheme="minorEastAsia" w:eastAsiaTheme="minorEastAsia" w:cstheme="minorEastAsia"/>
        </w:rPr>
      </w:pPr>
    </w:p>
    <w:p>
      <w:pPr>
        <w:autoSpaceDE w:val="0"/>
        <w:autoSpaceDN w:val="0"/>
        <w:adjustRightInd w:val="0"/>
        <w:spacing w:line="360" w:lineRule="auto"/>
        <w:jc w:val="center"/>
        <w:rPr>
          <w:rFonts w:asciiTheme="minorEastAsia" w:hAnsiTheme="minorEastAsia" w:cstheme="minorEastAsia"/>
          <w:b/>
          <w:sz w:val="30"/>
          <w:szCs w:val="30"/>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pStyle w:val="9"/>
        <w:ind w:left="840" w:hanging="420"/>
      </w:pPr>
    </w:p>
    <w:p>
      <w:pPr>
        <w:pStyle w:val="9"/>
        <w:ind w:left="840" w:hanging="420"/>
      </w:pPr>
    </w:p>
    <w:p>
      <w:pPr>
        <w:jc w:val="center"/>
        <w:rPr>
          <w:rFonts w:asciiTheme="minorEastAsia" w:hAnsiTheme="minorEastAsia" w:cstheme="minorEastAsia"/>
          <w:b/>
          <w:sz w:val="24"/>
        </w:rPr>
      </w:pPr>
      <w:r>
        <w:rPr>
          <w:rFonts w:hint="eastAsia" w:asciiTheme="minorEastAsia" w:hAnsiTheme="minorEastAsia" w:cstheme="minorEastAsia"/>
          <w:b/>
          <w:sz w:val="24"/>
        </w:rPr>
        <w:t>14.2申报的小微企业产品价格扣除明细表</w:t>
      </w:r>
    </w:p>
    <w:p>
      <w:pPr>
        <w:jc w:val="center"/>
        <w:rPr>
          <w:rFonts w:asciiTheme="minorEastAsia" w:hAnsiTheme="minorEastAsia" w:cstheme="minorEastAsia"/>
        </w:rPr>
      </w:pPr>
      <w:r>
        <w:rPr>
          <w:rFonts w:hint="eastAsia" w:asciiTheme="minorEastAsia" w:hAnsiTheme="minorEastAsia" w:cstheme="minorEastAsia"/>
          <w:b/>
          <w:szCs w:val="21"/>
        </w:rPr>
        <w:t>注：投标人需在“安阳市政府采购投标文件编制系统”中、按系统要求填列</w:t>
      </w: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14.3其它材料</w:t>
      </w:r>
    </w:p>
    <w:p>
      <w:pPr>
        <w:pStyle w:val="2"/>
        <w:rPr>
          <w:rFonts w:asciiTheme="minorEastAsia" w:hAnsiTheme="minorEastAsia" w:eastAsiaTheme="minorEastAsia" w:cstheme="minorEastAsia"/>
        </w:rPr>
      </w:pPr>
    </w:p>
    <w:p>
      <w:pPr>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5"/>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spacing w:before="858" w:beforeLines="300" w:after="286" w:afterLines="100" w:line="360" w:lineRule="auto"/>
        <w:jc w:val="center"/>
        <w:rPr>
          <w:rFonts w:asciiTheme="minorEastAsia" w:hAnsiTheme="minorEastAsia" w:cstheme="minorEastAsia"/>
          <w:b/>
          <w:bCs/>
          <w:spacing w:val="100"/>
          <w:sz w:val="36"/>
          <w:szCs w:val="36"/>
        </w:rPr>
      </w:pPr>
      <w:r>
        <w:rPr>
          <w:rFonts w:hint="eastAsia" w:asciiTheme="minorEastAsia" w:hAnsiTheme="minorEastAsia" w:cstheme="minorEastAsia"/>
          <w:b/>
          <w:bCs/>
          <w:spacing w:val="100"/>
          <w:sz w:val="36"/>
          <w:szCs w:val="36"/>
          <w:u w:val="single"/>
        </w:rPr>
        <w:t xml:space="preserve">        </w:t>
      </w:r>
      <w:r>
        <w:rPr>
          <w:rFonts w:hint="eastAsia" w:asciiTheme="minorEastAsia" w:hAnsiTheme="minorEastAsia" w:cstheme="minorEastAsia"/>
          <w:b/>
          <w:bCs/>
          <w:spacing w:val="100"/>
          <w:sz w:val="36"/>
          <w:szCs w:val="36"/>
        </w:rPr>
        <w:t>项目</w:t>
      </w:r>
    </w:p>
    <w:p>
      <w:pPr>
        <w:spacing w:line="360" w:lineRule="auto"/>
        <w:ind w:left="4350" w:leftChars="1500" w:hanging="1200" w:hangingChars="166"/>
        <w:rPr>
          <w:rFonts w:asciiTheme="minorEastAsia" w:hAnsiTheme="minorEastAsia" w:cstheme="minorEastAsia"/>
          <w:b/>
          <w:sz w:val="72"/>
          <w:szCs w:val="72"/>
        </w:rPr>
      </w:pPr>
    </w:p>
    <w:p>
      <w:pPr>
        <w:spacing w:line="360" w:lineRule="auto"/>
        <w:ind w:left="4544" w:leftChars="1500" w:hanging="1394" w:hangingChars="166"/>
        <w:rPr>
          <w:rFonts w:asciiTheme="minorEastAsia" w:hAnsiTheme="minorEastAsia" w:cstheme="minorEastAsia"/>
          <w:sz w:val="84"/>
          <w:szCs w:val="84"/>
        </w:rPr>
      </w:pPr>
    </w:p>
    <w:p>
      <w:pPr>
        <w:spacing w:after="572" w:afterLines="200" w:line="360" w:lineRule="auto"/>
        <w:ind w:left="5678" w:leftChars="299" w:hanging="5050" w:hangingChars="466"/>
        <w:jc w:val="center"/>
        <w:rPr>
          <w:rFonts w:asciiTheme="minorEastAsia" w:hAnsiTheme="minorEastAsia" w:cstheme="minorEastAsia"/>
          <w:b/>
          <w:spacing w:val="60"/>
          <w:sz w:val="96"/>
          <w:szCs w:val="96"/>
        </w:rPr>
      </w:pPr>
      <w:r>
        <w:rPr>
          <w:rFonts w:hint="eastAsia" w:asciiTheme="minorEastAsia" w:hAnsiTheme="minorEastAsia" w:cstheme="minorEastAsia"/>
          <w:b/>
          <w:spacing w:val="60"/>
          <w:sz w:val="96"/>
          <w:szCs w:val="96"/>
        </w:rPr>
        <w:t>资格性证明文件</w:t>
      </w:r>
    </w:p>
    <w:p>
      <w:pPr>
        <w:spacing w:before="143" w:beforeLines="50" w:after="143" w:afterLines="50" w:line="360" w:lineRule="auto"/>
        <w:jc w:val="center"/>
        <w:rPr>
          <w:rFonts w:asciiTheme="minorEastAsia" w:hAnsiTheme="minorEastAsia" w:cstheme="minorEastAsia"/>
          <w:b/>
          <w:sz w:val="28"/>
          <w:szCs w:val="28"/>
        </w:rPr>
      </w:pPr>
      <w:r>
        <w:rPr>
          <w:rFonts w:hint="eastAsia" w:asciiTheme="minorEastAsia" w:hAnsiTheme="minorEastAsia" w:cstheme="minorEastAsia"/>
          <w:b/>
          <w:sz w:val="28"/>
          <w:szCs w:val="28"/>
        </w:rPr>
        <w:t>采购编号：</w:t>
      </w: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24"/>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4"/>
          <w:szCs w:val="24"/>
        </w:rPr>
      </w:pPr>
      <w:r>
        <w:rPr>
          <w:rFonts w:asciiTheme="minorEastAsia" w:hAnsiTheme="minorEastAsia" w:eastAsiaTheme="minorEastAsia" w:cstheme="minorEastAsia"/>
          <w:color w:val="auto"/>
          <w:sz w:val="24"/>
          <w:szCs w:val="24"/>
        </w:rPr>
        <w:t>投标人：（加盖电子签章）</w:t>
      </w:r>
    </w:p>
    <w:p>
      <w:pPr>
        <w:pStyle w:val="6"/>
        <w:spacing w:before="429" w:beforeLines="150" w:after="429" w:afterLines="150" w:line="360" w:lineRule="auto"/>
        <w:jc w:val="center"/>
        <w:rPr>
          <w:rFonts w:hint="default" w:asciiTheme="minorEastAsia" w:hAnsiTheme="minorEastAsia" w:eastAsiaTheme="minorEastAsia" w:cstheme="minorEastAsia"/>
          <w:color w:val="auto"/>
          <w:sz w:val="24"/>
          <w:szCs w:val="24"/>
          <w:u w:val="single"/>
        </w:rPr>
      </w:pPr>
      <w:r>
        <w:rPr>
          <w:rFonts w:asciiTheme="minorEastAsia" w:hAnsiTheme="minorEastAsia" w:eastAsiaTheme="minorEastAsia" w:cstheme="minorEastAsia"/>
          <w:color w:val="auto"/>
          <w:sz w:val="24"/>
          <w:szCs w:val="24"/>
        </w:rPr>
        <w:t>法定代表人：（加盖电子签名）</w:t>
      </w:r>
    </w:p>
    <w:p>
      <w:pPr>
        <w:spacing w:before="429" w:beforeLines="150" w:after="429" w:afterLines="150" w:line="586" w:lineRule="atLeast"/>
        <w:jc w:val="center"/>
        <w:rPr>
          <w:rFonts w:asciiTheme="minorEastAsia" w:hAnsiTheme="minorEastAsia" w:cstheme="minorEastAsia"/>
          <w:sz w:val="24"/>
          <w:szCs w:val="24"/>
        </w:rPr>
      </w:pPr>
      <w:r>
        <w:rPr>
          <w:rFonts w:hint="eastAsia" w:asciiTheme="minorEastAsia" w:hAnsiTheme="minorEastAsia" w:cstheme="minorEastAsia"/>
          <w:sz w:val="24"/>
          <w:szCs w:val="24"/>
        </w:rPr>
        <w:t>日期：   年   月    日</w:t>
      </w:r>
    </w:p>
    <w:p>
      <w:pPr>
        <w:spacing w:before="429" w:beforeLines="150" w:after="429" w:afterLines="150" w:line="586" w:lineRule="atLeast"/>
        <w:rPr>
          <w:rFonts w:asciiTheme="minorEastAsia" w:hAnsiTheme="minorEastAsia" w:cstheme="minorEastAsia"/>
          <w:sz w:val="28"/>
          <w:szCs w:val="28"/>
        </w:rPr>
      </w:pPr>
    </w:p>
    <w:p>
      <w:pPr>
        <w:pStyle w:val="9"/>
        <w:ind w:left="980" w:hanging="560"/>
        <w:rPr>
          <w:rFonts w:asciiTheme="minorEastAsia" w:hAnsiTheme="minorEastAsia" w:cstheme="minorEastAsia"/>
          <w:sz w:val="28"/>
          <w:szCs w:val="28"/>
        </w:rPr>
      </w:pPr>
    </w:p>
    <w:p>
      <w:pPr>
        <w:pStyle w:val="9"/>
        <w:ind w:left="980" w:hanging="560"/>
        <w:rPr>
          <w:rFonts w:asciiTheme="minorEastAsia" w:hAnsiTheme="minorEastAsia" w:cstheme="minorEastAsia"/>
          <w:sz w:val="28"/>
          <w:szCs w:val="28"/>
        </w:rPr>
      </w:pPr>
    </w:p>
    <w:p>
      <w:pPr>
        <w:pStyle w:val="5"/>
        <w:rPr>
          <w:rFonts w:asciiTheme="minorEastAsia" w:hAnsiTheme="minorEastAsia" w:eastAsiaTheme="minorEastAsia" w:cstheme="minorEastAsia"/>
          <w:sz w:val="28"/>
          <w:szCs w:val="28"/>
        </w:rPr>
      </w:pPr>
    </w:p>
    <w:p>
      <w:pPr>
        <w:spacing w:line="351" w:lineRule="atLeast"/>
        <w:ind w:left="419"/>
        <w:jc w:val="center"/>
        <w:rPr>
          <w:rFonts w:asciiTheme="minorEastAsia" w:hAnsiTheme="minorEastAsia" w:cstheme="minorEastAsia"/>
          <w:b/>
          <w:spacing w:val="60"/>
          <w:sz w:val="36"/>
          <w:szCs w:val="36"/>
        </w:rPr>
      </w:pPr>
      <w:r>
        <w:rPr>
          <w:rFonts w:hint="eastAsia" w:asciiTheme="minorEastAsia" w:hAnsiTheme="minorEastAsia" w:cstheme="minorEastAsia"/>
          <w:b/>
          <w:spacing w:val="60"/>
          <w:sz w:val="36"/>
          <w:szCs w:val="36"/>
        </w:rPr>
        <w:t>目录</w:t>
      </w:r>
    </w:p>
    <w:p>
      <w:pPr>
        <w:snapToGrid w:val="0"/>
        <w:spacing w:line="560" w:lineRule="atLeast"/>
        <w:ind w:firstLine="840" w:firstLineChars="400"/>
        <w:textAlignment w:val="top"/>
        <w:rPr>
          <w:rFonts w:asciiTheme="minorEastAsia" w:hAnsiTheme="minorEastAsia" w:cstheme="minorEastAsia"/>
          <w:szCs w:val="21"/>
          <w:lang w:val="zh-CN"/>
        </w:rPr>
      </w:pPr>
      <w:r>
        <w:rPr>
          <w:rFonts w:hint="eastAsia" w:asciiTheme="minorEastAsia" w:hAnsiTheme="minorEastAsia" w:cstheme="minorEastAsia"/>
          <w:szCs w:val="21"/>
          <w:lang w:val="zh-CN"/>
        </w:rPr>
        <w:t>1</w:t>
      </w:r>
      <w:r>
        <w:rPr>
          <w:rFonts w:hint="eastAsia" w:asciiTheme="minorEastAsia" w:hAnsiTheme="minorEastAsia" w:cstheme="minorEastAsia"/>
          <w:szCs w:val="21"/>
        </w:rPr>
        <w:t>5.</w:t>
      </w:r>
      <w:r>
        <w:rPr>
          <w:rFonts w:hint="eastAsia" w:asciiTheme="minorEastAsia" w:hAnsiTheme="minorEastAsia" w:cstheme="minorEastAsia"/>
          <w:szCs w:val="21"/>
          <w:lang w:val="zh-CN"/>
        </w:rPr>
        <w:t>关于资格的声明函</w:t>
      </w:r>
    </w:p>
    <w:p>
      <w:pPr>
        <w:snapToGrid w:val="0"/>
        <w:spacing w:line="560" w:lineRule="atLeast"/>
        <w:ind w:firstLine="840" w:firstLineChars="400"/>
        <w:textAlignment w:val="top"/>
        <w:rPr>
          <w:rFonts w:asciiTheme="minorEastAsia" w:hAnsiTheme="minorEastAsia" w:cstheme="minorEastAsia"/>
          <w:szCs w:val="21"/>
        </w:rPr>
      </w:pPr>
      <w:r>
        <w:rPr>
          <w:rFonts w:hint="eastAsia" w:asciiTheme="minorEastAsia" w:hAnsiTheme="minorEastAsia" w:cstheme="minorEastAsia"/>
          <w:szCs w:val="21"/>
          <w:lang w:val="zh-CN"/>
        </w:rPr>
        <w:t>1</w:t>
      </w:r>
      <w:r>
        <w:rPr>
          <w:rFonts w:hint="eastAsia" w:asciiTheme="minorEastAsia" w:hAnsiTheme="minorEastAsia" w:cstheme="minorEastAsia"/>
          <w:szCs w:val="21"/>
        </w:rPr>
        <w:t>6.</w:t>
      </w:r>
      <w:r>
        <w:rPr>
          <w:rFonts w:hint="eastAsia" w:asciiTheme="minorEastAsia" w:hAnsiTheme="minorEastAsia" w:cstheme="minorEastAsia"/>
          <w:szCs w:val="21"/>
          <w:lang w:val="zh-CN"/>
        </w:rPr>
        <w:t>资格要求相关证明材料（文件）</w:t>
      </w:r>
    </w:p>
    <w:p>
      <w:pPr>
        <w:snapToGrid w:val="0"/>
        <w:spacing w:line="560" w:lineRule="atLeast"/>
        <w:ind w:firstLine="840" w:firstLineChars="400"/>
        <w:textAlignment w:val="top"/>
        <w:rPr>
          <w:rFonts w:asciiTheme="minorEastAsia" w:hAnsiTheme="minorEastAsia" w:cstheme="minorEastAsia"/>
          <w:szCs w:val="21"/>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tabs>
          <w:tab w:val="left" w:pos="540"/>
        </w:tabs>
        <w:spacing w:line="440" w:lineRule="exact"/>
        <w:jc w:val="center"/>
        <w:rPr>
          <w:rFonts w:asciiTheme="minorEastAsia" w:hAnsiTheme="minorEastAsia" w:cstheme="minorEastAsia"/>
          <w:b/>
          <w:sz w:val="30"/>
          <w:szCs w:val="30"/>
        </w:rPr>
      </w:pPr>
      <w:r>
        <w:rPr>
          <w:rFonts w:hint="eastAsia" w:asciiTheme="minorEastAsia" w:hAnsiTheme="minorEastAsia" w:cstheme="minorEastAsia"/>
          <w:sz w:val="32"/>
          <w:szCs w:val="32"/>
        </w:rPr>
        <w:br w:type="page"/>
      </w:r>
      <w:r>
        <w:rPr>
          <w:rFonts w:hint="eastAsia" w:asciiTheme="minorEastAsia" w:hAnsiTheme="minorEastAsia" w:cstheme="minorEastAsia"/>
          <w:b/>
          <w:sz w:val="24"/>
        </w:rPr>
        <w:t>15.关于资格的声明函</w:t>
      </w:r>
    </w:p>
    <w:p>
      <w:pPr>
        <w:snapToGrid w:val="0"/>
        <w:spacing w:line="560" w:lineRule="exact"/>
        <w:ind w:firstLine="839"/>
        <w:rPr>
          <w:rFonts w:asciiTheme="minorEastAsia" w:hAnsiTheme="minorEastAsia" w:cstheme="minorEastAsia"/>
        </w:rPr>
      </w:pPr>
    </w:p>
    <w:p>
      <w:pPr>
        <w:tabs>
          <w:tab w:val="left" w:pos="9365"/>
        </w:tabs>
        <w:spacing w:before="360" w:after="360"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关于贵方组织的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的招标公告，本签字人愿意参加投标，提供招标文件中规定的产品及服务，并声明提交下列文件是准确的、真实的和有效的。</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1. 《招标文件》第一章“招标公告”第二条所要求的资格性证明文件（证件或证明资料或承诺）</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2. 采购项目中必须的其他证件。</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3. 本签字人确认资格文件中的说明是真实的、准确的。</w:t>
      </w:r>
    </w:p>
    <w:p>
      <w:pPr>
        <w:snapToGrid w:val="0"/>
        <w:spacing w:line="560" w:lineRule="exact"/>
        <w:ind w:firstLine="555"/>
        <w:rPr>
          <w:rFonts w:asciiTheme="minorEastAsia" w:hAnsiTheme="minorEastAsia" w:cstheme="minorEastAsia"/>
          <w:szCs w:val="21"/>
        </w:rPr>
      </w:pPr>
    </w:p>
    <w:p>
      <w:pPr>
        <w:snapToGrid w:val="0"/>
        <w:spacing w:line="560" w:lineRule="exact"/>
        <w:ind w:firstLine="555"/>
        <w:rPr>
          <w:rFonts w:asciiTheme="minorEastAsia" w:hAnsiTheme="minorEastAsia" w:cstheme="minorEastAsia"/>
          <w:szCs w:val="21"/>
        </w:rPr>
      </w:pPr>
    </w:p>
    <w:p>
      <w:pPr>
        <w:snapToGrid w:val="0"/>
        <w:spacing w:line="560" w:lineRule="exact"/>
        <w:ind w:firstLine="555"/>
        <w:rPr>
          <w:rFonts w:asciiTheme="minorEastAsia" w:hAnsiTheme="minorEastAsia" w:cstheme="minorEastAsia"/>
          <w:szCs w:val="21"/>
        </w:rPr>
      </w:pPr>
    </w:p>
    <w:p>
      <w:pPr>
        <w:tabs>
          <w:tab w:val="left" w:pos="9365"/>
        </w:tabs>
        <w:snapToGrid w:val="0"/>
        <w:spacing w:after="56" w:line="560" w:lineRule="exact"/>
        <w:ind w:right="85" w:firstLine="5678" w:firstLineChars="2704"/>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678" w:firstLineChars="2704"/>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560" w:lineRule="exact"/>
        <w:ind w:right="85" w:firstLine="5650" w:firstLineChars="2500"/>
        <w:jc w:val="left"/>
        <w:textAlignment w:val="top"/>
        <w:rPr>
          <w:rFonts w:asciiTheme="minorEastAsia" w:hAnsiTheme="minorEastAsia" w:cstheme="minorEastAsia"/>
          <w:szCs w:val="21"/>
          <w:lang w:val="zh-CN"/>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tabs>
          <w:tab w:val="left" w:pos="9365"/>
        </w:tabs>
        <w:snapToGrid w:val="0"/>
        <w:spacing w:after="56" w:line="560" w:lineRule="exact"/>
        <w:ind w:right="85"/>
        <w:jc w:val="left"/>
        <w:textAlignment w:val="top"/>
        <w:rPr>
          <w:rFonts w:asciiTheme="minorEastAsia" w:hAnsiTheme="minorEastAsia" w:cstheme="minorEastAsia"/>
          <w:szCs w:val="21"/>
          <w:lang w:val="zh-CN"/>
        </w:rPr>
      </w:pPr>
      <w:r>
        <w:rPr>
          <w:rFonts w:hint="eastAsia" w:asciiTheme="minorEastAsia" w:hAnsiTheme="minorEastAsia" w:cstheme="minorEastAsia"/>
          <w:szCs w:val="21"/>
          <w:lang w:val="zh-CN"/>
        </w:rPr>
        <w:br w:type="page"/>
      </w:r>
    </w:p>
    <w:p>
      <w:pPr>
        <w:jc w:val="center"/>
        <w:rPr>
          <w:rFonts w:asciiTheme="minorEastAsia" w:hAnsiTheme="minorEastAsia" w:cstheme="minorEastAsia"/>
          <w:sz w:val="24"/>
          <w:lang w:val="zh-CN"/>
        </w:rPr>
      </w:pPr>
      <w:r>
        <w:rPr>
          <w:rFonts w:hint="eastAsia" w:asciiTheme="minorEastAsia" w:hAnsiTheme="minorEastAsia" w:cstheme="minorEastAsia"/>
          <w:b/>
          <w:sz w:val="24"/>
        </w:rPr>
        <w:t>16.《招标文件》第一章“招标公告”第二条所要求的资格性证明文件</w:t>
      </w:r>
    </w:p>
    <w:p>
      <w:pPr>
        <w:jc w:val="center"/>
        <w:rPr>
          <w:rFonts w:asciiTheme="minorEastAsia" w:hAnsiTheme="minorEastAsia" w:cstheme="minorEastAsia"/>
          <w:b/>
          <w:sz w:val="24"/>
        </w:rPr>
      </w:pPr>
      <w:r>
        <w:rPr>
          <w:rFonts w:hint="eastAsia" w:asciiTheme="minorEastAsia" w:hAnsiTheme="minorEastAsia" w:cstheme="minorEastAsia"/>
          <w:b/>
          <w:sz w:val="24"/>
        </w:rPr>
        <w:t>16.1具有独立承担民事责任能力的证明文件</w:t>
      </w:r>
    </w:p>
    <w:p>
      <w:pPr>
        <w:snapToGrid w:val="0"/>
        <w:spacing w:line="560" w:lineRule="atLeast"/>
        <w:ind w:firstLine="420" w:firstLineChars="200"/>
        <w:rPr>
          <w:rFonts w:asciiTheme="minorEastAsia" w:hAnsiTheme="minorEastAsia" w:cstheme="minorEastAsia"/>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atLeast"/>
        <w:jc w:val="left"/>
        <w:rPr>
          <w:rFonts w:asciiTheme="minorEastAsia" w:hAnsiTheme="minorEastAsia" w:cstheme="minorEastAsia"/>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16.2具有良好的商业信誉和健全的财务会计制度，有依法缴纳税收和社会保障资金的良好记录的证明文件。</w:t>
      </w:r>
    </w:p>
    <w:p>
      <w:pPr>
        <w:snapToGrid w:val="0"/>
        <w:spacing w:line="560" w:lineRule="atLeast"/>
        <w:ind w:firstLine="420" w:firstLineChars="200"/>
        <w:rPr>
          <w:rFonts w:asciiTheme="minorEastAsia" w:hAnsiTheme="minorEastAsia" w:cstheme="minorEastAsia"/>
          <w:b/>
          <w:bCs/>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jc w:val="center"/>
        <w:rPr>
          <w:rFonts w:hint="eastAsia" w:asciiTheme="minorEastAsia" w:hAnsiTheme="minorEastAsia" w:eastAsiaTheme="minorEastAsia" w:cstheme="minorEastAsia"/>
          <w:b/>
          <w:sz w:val="24"/>
          <w:lang w:eastAsia="zh-CN"/>
        </w:rPr>
      </w:pPr>
      <w:r>
        <w:rPr>
          <w:rFonts w:hint="eastAsia" w:asciiTheme="minorEastAsia" w:hAnsiTheme="minorEastAsia" w:cstheme="minorEastAsia"/>
          <w:b/>
          <w:sz w:val="24"/>
        </w:rPr>
        <w:t>16.3具备履行合同所必需的设备和专业技术能力的证明</w:t>
      </w:r>
      <w:r>
        <w:rPr>
          <w:rFonts w:hint="eastAsia" w:asciiTheme="minorEastAsia" w:hAnsiTheme="minorEastAsia" w:cstheme="minorEastAsia"/>
          <w:b/>
          <w:sz w:val="24"/>
          <w:lang w:eastAsia="zh-CN"/>
        </w:rPr>
        <w:t>材料</w:t>
      </w:r>
    </w:p>
    <w:p>
      <w:pPr>
        <w:snapToGrid w:val="0"/>
        <w:spacing w:line="560" w:lineRule="atLeast"/>
        <w:ind w:firstLine="420" w:firstLineChars="200"/>
        <w:rPr>
          <w:rFonts w:asciiTheme="minorEastAsia" w:hAnsiTheme="minorEastAsia" w:cstheme="minorEastAsia"/>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atLeast"/>
        <w:ind w:firstLine="482" w:firstLineChars="200"/>
        <w:rPr>
          <w:rFonts w:asciiTheme="minorEastAsia" w:hAnsiTheme="minorEastAsia" w:cstheme="minorEastAsia"/>
          <w:b/>
          <w:sz w:val="24"/>
        </w:rPr>
      </w:pPr>
    </w:p>
    <w:p>
      <w:pPr>
        <w:pStyle w:val="21"/>
        <w:ind w:firstLine="482"/>
        <w:rPr>
          <w:rFonts w:asciiTheme="minorEastAsia" w:hAnsiTheme="minorEastAsia" w:cstheme="minorEastAsia"/>
          <w:b/>
          <w:sz w:val="24"/>
        </w:rPr>
      </w:pPr>
    </w:p>
    <w:p>
      <w:pPr>
        <w:snapToGrid w:val="0"/>
        <w:spacing w:line="560" w:lineRule="atLeast"/>
        <w:ind w:firstLine="482" w:firstLineChars="200"/>
        <w:jc w:val="center"/>
        <w:rPr>
          <w:rFonts w:asciiTheme="minorEastAsia" w:hAnsiTheme="minorEastAsia" w:cstheme="minorEastAsia"/>
          <w:b/>
          <w:sz w:val="30"/>
          <w:szCs w:val="30"/>
        </w:rPr>
      </w:pPr>
      <w:r>
        <w:rPr>
          <w:rFonts w:hint="eastAsia" w:asciiTheme="minorEastAsia" w:hAnsiTheme="minorEastAsia" w:cstheme="minorEastAsia"/>
          <w:b/>
          <w:sz w:val="24"/>
        </w:rPr>
        <w:t>16.4近三年无重大违法记录的声明函</w:t>
      </w:r>
    </w:p>
    <w:p>
      <w:pPr>
        <w:tabs>
          <w:tab w:val="left" w:pos="9365"/>
        </w:tabs>
        <w:spacing w:before="57" w:after="57" w:line="586" w:lineRule="atLeast"/>
        <w:ind w:right="85"/>
        <w:jc w:val="left"/>
        <w:textAlignment w:val="top"/>
        <w:rPr>
          <w:rFonts w:asciiTheme="minorEastAsia" w:hAnsiTheme="minorEastAsia" w:cstheme="minorEastAsia"/>
          <w:szCs w:val="21"/>
          <w:u w:val="single"/>
        </w:rPr>
      </w:pPr>
      <w:r>
        <w:rPr>
          <w:rFonts w:hint="eastAsia" w:asciiTheme="minorEastAsia" w:hAnsiTheme="minorEastAsia" w:cstheme="minorEastAsia"/>
          <w:szCs w:val="21"/>
        </w:rPr>
        <w:t>致：</w:t>
      </w:r>
      <w:r>
        <w:rPr>
          <w:rFonts w:hint="eastAsia" w:asciiTheme="minorEastAsia" w:hAnsiTheme="minorEastAsia" w:cstheme="minorEastAsia"/>
          <w:szCs w:val="21"/>
          <w:u w:val="single"/>
        </w:rPr>
        <w:t xml:space="preserve">(采购人名称）    </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我单位在参加政府采购活动前三年内，在经营活动中没有重大违法记录。</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特此承诺。</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 xml:space="preserve">     投标人（电子签章）：</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tabs>
          <w:tab w:val="left" w:pos="540"/>
        </w:tabs>
        <w:spacing w:line="440" w:lineRule="exact"/>
        <w:jc w:val="center"/>
        <w:rPr>
          <w:rFonts w:asciiTheme="minorEastAsia" w:hAnsiTheme="minorEastAsia" w:cstheme="minorEastAsia"/>
          <w:b/>
          <w:sz w:val="30"/>
          <w:szCs w:val="30"/>
        </w:rPr>
      </w:pPr>
      <w:r>
        <w:rPr>
          <w:rFonts w:hint="eastAsia" w:asciiTheme="minorEastAsia" w:hAnsiTheme="minorEastAsia" w:cstheme="minorEastAsia"/>
          <w:b/>
          <w:sz w:val="30"/>
          <w:szCs w:val="30"/>
        </w:rPr>
        <w:br w:type="page"/>
      </w:r>
      <w:r>
        <w:rPr>
          <w:rFonts w:hint="eastAsia" w:asciiTheme="minorEastAsia" w:hAnsiTheme="minorEastAsia" w:cstheme="minorEastAsia"/>
          <w:b/>
          <w:sz w:val="24"/>
        </w:rPr>
        <w:t>16.5符合《招标文件》有关联合体要求的声明函</w:t>
      </w:r>
    </w:p>
    <w:p>
      <w:pPr>
        <w:tabs>
          <w:tab w:val="left" w:pos="9365"/>
        </w:tabs>
        <w:spacing w:before="360" w:after="360" w:line="586" w:lineRule="atLeast"/>
        <w:ind w:right="85"/>
        <w:jc w:val="left"/>
        <w:textAlignment w:val="top"/>
        <w:rPr>
          <w:rFonts w:asciiTheme="minorEastAsia" w:hAnsiTheme="minorEastAsia" w:cstheme="minorEastAsia"/>
          <w:b/>
          <w:sz w:val="24"/>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r>
        <w:rPr>
          <w:rFonts w:hint="eastAsia" w:asciiTheme="minorEastAsia" w:hAnsiTheme="minorEastAsia" w:cstheme="minorEastAsia"/>
          <w:szCs w:val="21"/>
        </w:rPr>
        <w:t>：</w:t>
      </w:r>
    </w:p>
    <w:p>
      <w:pPr>
        <w:snapToGrid w:val="0"/>
        <w:spacing w:line="560" w:lineRule="atLeast"/>
        <w:ind w:firstLine="525" w:firstLineChars="250"/>
        <w:rPr>
          <w:rFonts w:asciiTheme="minorEastAsia" w:hAnsiTheme="minorEastAsia" w:cstheme="minorEastAsia"/>
          <w:szCs w:val="21"/>
        </w:rPr>
      </w:pPr>
      <w:r>
        <w:rPr>
          <w:rFonts w:hint="eastAsia" w:asciiTheme="minorEastAsia" w:hAnsiTheme="minorEastAsia" w:cstheme="minorEastAsia"/>
          <w:szCs w:val="21"/>
        </w:rPr>
        <w:t>在招标编号为</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招标活动中，按照《招标文件》有关联合体要求，我公司（是/否）与其他</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组成联合体参加投标。</w:t>
      </w:r>
    </w:p>
    <w:p>
      <w:pPr>
        <w:tabs>
          <w:tab w:val="left" w:pos="9365"/>
        </w:tabs>
        <w:spacing w:before="57" w:after="57" w:line="586" w:lineRule="atLeast"/>
        <w:ind w:right="85"/>
        <w:jc w:val="left"/>
        <w:textAlignment w:val="top"/>
        <w:rPr>
          <w:rFonts w:asciiTheme="minorEastAsia" w:hAnsiTheme="minorEastAsia" w:cstheme="minorEastAsia"/>
          <w:szCs w:val="21"/>
        </w:rPr>
      </w:pPr>
    </w:p>
    <w:p>
      <w:pPr>
        <w:tabs>
          <w:tab w:val="left" w:pos="9365"/>
        </w:tabs>
        <w:spacing w:before="57" w:after="57" w:line="586" w:lineRule="atLeast"/>
        <w:ind w:right="85"/>
        <w:jc w:val="left"/>
        <w:textAlignment w:val="top"/>
        <w:rPr>
          <w:rFonts w:asciiTheme="minorEastAsia" w:hAnsiTheme="minorEastAsia" w:cstheme="minorEastAsia"/>
          <w:szCs w:val="21"/>
        </w:rPr>
      </w:pP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snapToGrid w:val="0"/>
        <w:spacing w:line="560" w:lineRule="atLeast"/>
        <w:rPr>
          <w:rFonts w:asciiTheme="minorEastAsia" w:hAnsiTheme="minorEastAsia" w:cstheme="minorEastAsia"/>
          <w:b/>
          <w:sz w:val="32"/>
          <w:szCs w:val="32"/>
        </w:rPr>
      </w:pPr>
    </w:p>
    <w:p>
      <w:pPr>
        <w:snapToGrid w:val="0"/>
        <w:spacing w:line="560" w:lineRule="atLeast"/>
        <w:rPr>
          <w:rFonts w:asciiTheme="minorEastAsia" w:hAnsiTheme="minorEastAsia" w:cstheme="minorEastAsia"/>
          <w:szCs w:val="21"/>
        </w:rPr>
      </w:pPr>
      <w:r>
        <w:rPr>
          <w:rFonts w:hint="eastAsia" w:asciiTheme="minorEastAsia" w:hAnsiTheme="minorEastAsia" w:cstheme="minorEastAsia"/>
          <w:szCs w:val="21"/>
        </w:rPr>
        <w:t>注：如《招标文件》接受联合体，投标人以联合体投标的，应按《招标文件》第三章“1.4联合体”条款要求提供符合《招标文件》要求联合投标协议、并提供相关证明资料。</w:t>
      </w:r>
    </w:p>
    <w:p>
      <w:pPr>
        <w:snapToGrid w:val="0"/>
        <w:spacing w:line="560" w:lineRule="atLeast"/>
        <w:rPr>
          <w:rFonts w:asciiTheme="minorEastAsia" w:hAnsiTheme="minorEastAsia" w:cstheme="minorEastAsia"/>
          <w:szCs w:val="21"/>
        </w:rPr>
      </w:pPr>
    </w:p>
    <w:p>
      <w:pPr>
        <w:spacing w:before="57" w:after="57" w:line="520" w:lineRule="exact"/>
        <w:ind w:right="85"/>
        <w:jc w:val="center"/>
        <w:textAlignment w:val="top"/>
        <w:rPr>
          <w:rFonts w:asciiTheme="minorEastAsia" w:hAnsiTheme="minorEastAsia" w:cstheme="minorEastAsia"/>
          <w:b/>
          <w:sz w:val="30"/>
          <w:szCs w:val="30"/>
        </w:rPr>
      </w:pPr>
      <w:r>
        <w:rPr>
          <w:rFonts w:hint="eastAsia" w:asciiTheme="minorEastAsia" w:hAnsiTheme="minorEastAsia" w:cstheme="minorEastAsia"/>
          <w:sz w:val="24"/>
        </w:rPr>
        <w:br w:type="page"/>
      </w:r>
      <w:r>
        <w:rPr>
          <w:rFonts w:hint="eastAsia" w:asciiTheme="minorEastAsia" w:hAnsiTheme="minorEastAsia" w:cstheme="minorEastAsia"/>
          <w:b/>
          <w:sz w:val="24"/>
        </w:rPr>
        <w:t>16.6</w:t>
      </w:r>
      <w:r>
        <w:rPr>
          <w:rFonts w:hint="eastAsia" w:asciiTheme="minorEastAsia" w:hAnsiTheme="minorEastAsia" w:cstheme="minorEastAsia"/>
          <w:b/>
          <w:sz w:val="24"/>
          <w:lang w:eastAsia="zh-CN"/>
        </w:rPr>
        <w:t>投标人</w:t>
      </w:r>
      <w:r>
        <w:rPr>
          <w:rFonts w:hint="eastAsia" w:asciiTheme="minorEastAsia" w:hAnsiTheme="minorEastAsia" w:cstheme="minorEastAsia"/>
          <w:b/>
          <w:sz w:val="24"/>
        </w:rPr>
        <w:t>负责人控股、设计等相关承诺书</w:t>
      </w:r>
    </w:p>
    <w:p>
      <w:pPr>
        <w:tabs>
          <w:tab w:val="left" w:pos="9365"/>
        </w:tabs>
        <w:spacing w:before="360" w:after="360"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在招标编号为 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招标活动中，我单位承诺满足以下要求：</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一、单位负责人为同一人或者存在直接控股、管理关系的不同</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，不参加同一合同项下的政府采购活动。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二、没有为本项目提供整体设计、规范编制或者项目管理、监理、检测等服务。</w:t>
      </w:r>
    </w:p>
    <w:p>
      <w:pPr>
        <w:tabs>
          <w:tab w:val="left" w:pos="9365"/>
        </w:tabs>
        <w:spacing w:before="57" w:after="57" w:line="586" w:lineRule="atLeast"/>
        <w:ind w:right="85" w:firstLine="420" w:firstLineChars="200"/>
        <w:jc w:val="left"/>
        <w:textAlignment w:val="top"/>
        <w:rPr>
          <w:rFonts w:asciiTheme="minorEastAsia" w:hAnsiTheme="minorEastAsia" w:cstheme="minorEastAsia"/>
          <w:szCs w:val="21"/>
        </w:rPr>
      </w:pPr>
      <w:r>
        <w:rPr>
          <w:rFonts w:hint="eastAsia" w:asciiTheme="minorEastAsia" w:hAnsiTheme="minorEastAsia" w:cstheme="minorEastAsia"/>
          <w:szCs w:val="21"/>
        </w:rPr>
        <w:t>三、若出现上述行为，我单位确认投标无效、承诺书虚假，接受相关部门按照国家法律法规等有关规定对我单位虚假承诺所给予的处理。</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snapToGrid w:val="0"/>
        <w:spacing w:before="100" w:beforeAutospacing="1" w:after="100" w:afterAutospacing="1" w:line="360" w:lineRule="auto"/>
        <w:ind w:right="641" w:firstLine="5258" w:firstLineChars="2504"/>
        <w:rPr>
          <w:rFonts w:asciiTheme="minorEastAsia" w:hAnsiTheme="minorEastAsia" w:cstheme="minorEastAsia"/>
          <w:szCs w:val="21"/>
        </w:rPr>
      </w:pPr>
      <w:r>
        <w:rPr>
          <w:rFonts w:hint="eastAsia" w:asciiTheme="minorEastAsia" w:hAnsiTheme="minorEastAsia" w:cstheme="minorEastAsia"/>
          <w:szCs w:val="21"/>
        </w:rPr>
        <w:t>投标人（电子签章）：</w:t>
      </w:r>
    </w:p>
    <w:p>
      <w:pPr>
        <w:snapToGrid w:val="0"/>
        <w:spacing w:before="100" w:beforeAutospacing="1" w:after="100" w:afterAutospacing="1" w:line="360" w:lineRule="auto"/>
        <w:ind w:right="641" w:firstLine="5258" w:firstLineChars="2504"/>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360" w:lineRule="auto"/>
        <w:ind w:right="85" w:firstLine="5258" w:firstLineChars="2504"/>
        <w:jc w:val="center"/>
        <w:textAlignment w:val="top"/>
        <w:rPr>
          <w:rFonts w:asciiTheme="minorEastAsia" w:hAnsiTheme="minorEastAsia" w:cstheme="minorEastAsia"/>
          <w:b/>
          <w:sz w:val="32"/>
          <w:szCs w:val="32"/>
        </w:rPr>
      </w:pPr>
      <w:r>
        <w:rPr>
          <w:rFonts w:hint="eastAsia" w:asciiTheme="minorEastAsia" w:hAnsiTheme="minorEastAsia" w:cstheme="minorEastAsia"/>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r>
        <w:rPr>
          <w:rFonts w:hint="eastAsia" w:asciiTheme="minorEastAsia" w:hAnsiTheme="minorEastAsia" w:cstheme="minorEastAsia"/>
          <w:b/>
          <w:sz w:val="24"/>
        </w:rPr>
        <w:br w:type="page"/>
      </w:r>
      <w:r>
        <w:rPr>
          <w:rFonts w:hint="eastAsia" w:asciiTheme="minorEastAsia" w:hAnsiTheme="minorEastAsia" w:cstheme="minorEastAsia"/>
          <w:b/>
          <w:sz w:val="24"/>
        </w:rPr>
        <w:t>16.7投标承诺函</w:t>
      </w:r>
    </w:p>
    <w:p>
      <w:pPr>
        <w:tabs>
          <w:tab w:val="left" w:pos="9365"/>
        </w:tabs>
        <w:snapToGrid w:val="0"/>
        <w:spacing w:after="56" w:line="560" w:lineRule="exact"/>
        <w:ind w:right="85"/>
        <w:jc w:val="center"/>
        <w:textAlignment w:val="top"/>
        <w:rPr>
          <w:rFonts w:asciiTheme="minorEastAsia" w:hAnsiTheme="minorEastAsia" w:cstheme="minorEastAsia"/>
          <w:b/>
          <w:sz w:val="32"/>
          <w:szCs w:val="32"/>
        </w:rPr>
      </w:pPr>
      <w:r>
        <w:rPr>
          <w:rFonts w:hint="eastAsia" w:asciiTheme="minorEastAsia" w:hAnsiTheme="minorEastAsia" w:cstheme="minorEastAsia"/>
          <w:b/>
          <w:sz w:val="24"/>
        </w:rPr>
        <w:t>（以投标承诺函形式，替代投标保证金的相关承诺事项）</w:t>
      </w:r>
    </w:p>
    <w:p>
      <w:pPr>
        <w:tabs>
          <w:tab w:val="left" w:pos="9365"/>
        </w:tabs>
        <w:snapToGrid w:val="0"/>
        <w:spacing w:after="56" w:line="560" w:lineRule="exact"/>
        <w:ind w:right="85"/>
        <w:jc w:val="left"/>
        <w:textAlignment w:val="top"/>
        <w:rPr>
          <w:rFonts w:hint="eastAsia" w:asciiTheme="minorEastAsia" w:hAnsiTheme="minorEastAsia" w:eastAsiaTheme="minorEastAsia" w:cstheme="minorEastAsia"/>
          <w:b/>
          <w:sz w:val="24"/>
          <w:lang w:eastAsia="zh-CN"/>
        </w:rPr>
      </w:pPr>
      <w:r>
        <w:rPr>
          <w:rFonts w:hint="eastAsia" w:asciiTheme="minorEastAsia" w:hAnsiTheme="minorEastAsia" w:cstheme="minorEastAsia"/>
          <w:b/>
          <w:sz w:val="24"/>
        </w:rPr>
        <w:t xml:space="preserve">致： </w:t>
      </w:r>
      <w:r>
        <w:rPr>
          <w:rFonts w:hint="eastAsia" w:asciiTheme="minorEastAsia" w:hAnsiTheme="minorEastAsia" w:cstheme="minorEastAsia"/>
          <w:b/>
          <w:sz w:val="24"/>
          <w:u w:val="single"/>
        </w:rPr>
        <w:t>(采购人名称） 、</w:t>
      </w:r>
      <w:r>
        <w:rPr>
          <w:rFonts w:hint="eastAsia" w:asciiTheme="minorEastAsia" w:hAnsiTheme="minorEastAsia" w:cstheme="minorEastAsia"/>
          <w:b/>
          <w:sz w:val="24"/>
          <w:u w:val="single"/>
          <w:lang w:eastAsia="zh-CN"/>
        </w:rPr>
        <w:t>中资国际工程咨询集团有限责任公司</w:t>
      </w:r>
    </w:p>
    <w:p>
      <w:pPr>
        <w:tabs>
          <w:tab w:val="left" w:pos="9365"/>
        </w:tabs>
        <w:snapToGrid w:val="0"/>
        <w:spacing w:after="56" w:line="440" w:lineRule="exact"/>
        <w:ind w:right="85" w:firstLine="420" w:firstLineChars="200"/>
        <w:jc w:val="left"/>
        <w:textAlignment w:val="top"/>
        <w:rPr>
          <w:rFonts w:asciiTheme="minorEastAsia" w:hAnsiTheme="minorEastAsia" w:cstheme="minorEastAsia"/>
          <w:bCs/>
          <w:szCs w:val="21"/>
        </w:rPr>
      </w:pPr>
      <w:r>
        <w:rPr>
          <w:rFonts w:hint="eastAsia" w:asciiTheme="minorEastAsia" w:hAnsiTheme="minorEastAsia" w:cstheme="minorEastAsia"/>
          <w:bCs/>
          <w:szCs w:val="21"/>
        </w:rPr>
        <w:t>在项目编号为</w:t>
      </w:r>
      <w:r>
        <w:rPr>
          <w:rFonts w:hint="eastAsia" w:asciiTheme="minorEastAsia" w:hAnsiTheme="minorEastAsia" w:cstheme="minorEastAsia"/>
          <w:bCs/>
          <w:szCs w:val="21"/>
          <w:u w:val="single"/>
        </w:rPr>
        <w:t xml:space="preserve">           </w:t>
      </w:r>
      <w:r>
        <w:rPr>
          <w:rFonts w:hint="eastAsia" w:asciiTheme="minorEastAsia" w:hAnsiTheme="minorEastAsia" w:cstheme="minorEastAsia"/>
          <w:bCs/>
          <w:szCs w:val="21"/>
        </w:rPr>
        <w:t xml:space="preserve">的 </w:t>
      </w:r>
      <w:r>
        <w:rPr>
          <w:rFonts w:hint="eastAsia" w:asciiTheme="minorEastAsia" w:hAnsiTheme="minorEastAsia" w:cstheme="minorEastAsia"/>
          <w:bCs/>
          <w:szCs w:val="21"/>
          <w:u w:val="single"/>
        </w:rPr>
        <w:t xml:space="preserve">（项目名称） </w:t>
      </w:r>
      <w:r>
        <w:rPr>
          <w:rFonts w:hint="eastAsia" w:asciiTheme="minorEastAsia" w:hAnsiTheme="minorEastAsia" w:cstheme="minorEastAsia"/>
          <w:bCs/>
          <w:szCs w:val="21"/>
        </w:rPr>
        <w:t>采购活动中，我单位承诺：</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一、遵循公开、公平、公正和诚实信用的原则自愿参加本项目投标；</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二、在政府采购活动中提供真实、准确、有效、合法的材料，不提供虚假材料；</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三、按照招标文件规定，在提交投标文件截止时间后，在招标文件规定的投标有效期</w:t>
      </w:r>
    </w:p>
    <w:p>
      <w:pPr>
        <w:tabs>
          <w:tab w:val="left" w:pos="9365"/>
        </w:tabs>
        <w:snapToGrid w:val="0"/>
        <w:spacing w:after="56" w:line="440" w:lineRule="exact"/>
        <w:ind w:right="85"/>
        <w:jc w:val="left"/>
        <w:textAlignment w:val="top"/>
        <w:rPr>
          <w:rFonts w:asciiTheme="minorEastAsia" w:hAnsiTheme="minorEastAsia" w:cstheme="minorEastAsia"/>
          <w:bCs/>
          <w:szCs w:val="21"/>
        </w:rPr>
      </w:pPr>
      <w:r>
        <w:rPr>
          <w:rFonts w:hint="eastAsia" w:asciiTheme="minorEastAsia" w:hAnsiTheme="minorEastAsia" w:cstheme="minorEastAsia"/>
          <w:bCs/>
          <w:szCs w:val="21"/>
        </w:rPr>
        <w:t>限内不撤回投标文件；</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四、不与其他投标人、采购人或采购代理机构串通或恶意串通。</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五、如我单位中标，除不可抗拒力或招标文件认可的情形外，我单位承诺及时领取中</w:t>
      </w:r>
    </w:p>
    <w:p>
      <w:pPr>
        <w:tabs>
          <w:tab w:val="left" w:pos="9365"/>
        </w:tabs>
        <w:snapToGrid w:val="0"/>
        <w:spacing w:after="56" w:line="440" w:lineRule="exact"/>
        <w:ind w:right="85"/>
        <w:jc w:val="left"/>
        <w:textAlignment w:val="top"/>
        <w:rPr>
          <w:rFonts w:asciiTheme="minorEastAsia" w:hAnsiTheme="minorEastAsia" w:cstheme="minorEastAsia"/>
          <w:bCs/>
          <w:szCs w:val="21"/>
        </w:rPr>
      </w:pPr>
      <w:r>
        <w:rPr>
          <w:rFonts w:hint="eastAsia" w:asciiTheme="minorEastAsia" w:hAnsiTheme="minorEastAsia" w:cstheme="minorEastAsia"/>
          <w:bCs/>
          <w:szCs w:val="21"/>
        </w:rPr>
        <w:t>标通知书，在成交通知书规定时间、地点与采购人签订合同；</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六、遵守法律法规及招标文件规定的其他情况；</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七、按招标文件规定及时缴纳中标服务费。</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八、违背上述承诺事项的，我单位无条件接受以下责任追究：</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一）法定责任：按照政府采购相关法规，处以罚款，列入不良行为记录名单，在一至三年内禁止参加政府采购活动，有违法所得的，并处没收违法所得，情节严重的，由工商行政管理机关（市场监督机关）吊销营业执照；构成犯罪的，依法追究刑事责任。给采购人及他人造成损失的，愿承担相应的赔偿责任。</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（二）违约责任：</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1、已中标的，中标（ 成交 ）无效；</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2、支付采购人违约标的预算金额 2%的违约金；</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3、中标后未缴中标服务费的，作为违约及违背诚实信用原则，在履行承诺前，代理机构将视我单位为失信企业、不予办理其后相关业务。</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投标人（电子签章）：</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法定代表人（电子签名）：</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日期：</w:t>
      </w:r>
      <w:r>
        <w:rPr>
          <w:rFonts w:hint="eastAsia" w:asciiTheme="minorEastAsia" w:hAnsiTheme="minorEastAsia" w:cstheme="minorEastAsia"/>
          <w:bCs/>
          <w:szCs w:val="21"/>
          <w:lang w:val="en-US" w:eastAsia="zh-CN"/>
        </w:rPr>
        <w:t xml:space="preserve"> </w:t>
      </w:r>
      <w:r>
        <w:rPr>
          <w:rFonts w:hint="eastAsia" w:asciiTheme="minorEastAsia" w:hAnsiTheme="minorEastAsia" w:cstheme="minorEastAsia"/>
          <w:bCs/>
          <w:szCs w:val="21"/>
        </w:rPr>
        <w:t xml:space="preserve"> 年</w:t>
      </w:r>
      <w:r>
        <w:rPr>
          <w:rFonts w:hint="eastAsia" w:asciiTheme="minorEastAsia" w:hAnsiTheme="minorEastAsia" w:cstheme="minorEastAsia"/>
          <w:bCs/>
          <w:szCs w:val="21"/>
          <w:lang w:val="en-US" w:eastAsia="zh-CN"/>
        </w:rPr>
        <w:t xml:space="preserve"> </w:t>
      </w:r>
      <w:r>
        <w:rPr>
          <w:rFonts w:hint="eastAsia" w:asciiTheme="minorEastAsia" w:hAnsiTheme="minorEastAsia" w:cstheme="minorEastAsia"/>
          <w:bCs/>
          <w:szCs w:val="21"/>
        </w:rPr>
        <w:t xml:space="preserve"> 月     日</w:t>
      </w:r>
    </w:p>
    <w:p>
      <w:pPr>
        <w:tabs>
          <w:tab w:val="left" w:pos="9365"/>
        </w:tabs>
        <w:snapToGrid w:val="0"/>
        <w:spacing w:after="56" w:line="560" w:lineRule="exact"/>
        <w:ind w:right="85"/>
        <w:jc w:val="left"/>
        <w:textAlignment w:val="top"/>
        <w:rPr>
          <w:rFonts w:asciiTheme="minorEastAsia" w:hAnsiTheme="minorEastAsia" w:cstheme="minorEastAsia"/>
          <w:b/>
          <w:sz w:val="24"/>
        </w:rPr>
      </w:pPr>
    </w:p>
    <w:p>
      <w:pPr>
        <w:pStyle w:val="21"/>
      </w:pPr>
    </w:p>
    <w:p>
      <w:pPr>
        <w:tabs>
          <w:tab w:val="left" w:pos="9365"/>
        </w:tabs>
        <w:snapToGrid w:val="0"/>
        <w:spacing w:after="56" w:line="560" w:lineRule="exact"/>
        <w:ind w:right="85"/>
        <w:jc w:val="center"/>
        <w:textAlignment w:val="top"/>
        <w:rPr>
          <w:rFonts w:asciiTheme="minorEastAsia" w:hAnsiTheme="minorEastAsia" w:cstheme="minorEastAsia"/>
          <w:b/>
          <w:sz w:val="32"/>
          <w:szCs w:val="32"/>
        </w:rPr>
      </w:pPr>
      <w:r>
        <w:rPr>
          <w:rFonts w:hint="eastAsia" w:asciiTheme="minorEastAsia" w:hAnsiTheme="minorEastAsia" w:cstheme="minorEastAsia"/>
          <w:b/>
          <w:sz w:val="24"/>
        </w:rPr>
        <w:t>16.8其他资格证明材料</w:t>
      </w:r>
    </w:p>
    <w:p>
      <w:pPr>
        <w:snapToGrid w:val="0"/>
        <w:spacing w:line="560" w:lineRule="atLeast"/>
        <w:ind w:firstLine="420" w:firstLineChars="200"/>
        <w:rPr>
          <w:rFonts w:asciiTheme="minorEastAsia" w:hAnsiTheme="minorEastAsia" w:cstheme="minorEastAsia"/>
          <w:b/>
          <w:szCs w:val="21"/>
        </w:rPr>
      </w:pPr>
      <w:r>
        <w:rPr>
          <w:rFonts w:hint="eastAsia" w:asciiTheme="minorEastAsia" w:hAnsiTheme="minorEastAsia" w:cstheme="minorEastAsia"/>
          <w:szCs w:val="21"/>
        </w:rPr>
        <w:t>按招标文件要求提供的其他资格证明材料或</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认为有必要提供的其他证明材料。（按招标文件要求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exact"/>
        <w:ind w:right="56" w:firstLine="555"/>
        <w:rPr>
          <w:rFonts w:asciiTheme="minorEastAsia" w:hAnsiTheme="minorEastAsia" w:cstheme="minorEastAsia"/>
          <w:b/>
          <w:sz w:val="24"/>
        </w:rPr>
      </w:pPr>
      <w:r>
        <w:rPr>
          <w:rFonts w:hint="eastAsia" w:asciiTheme="minorEastAsia" w:hAnsiTheme="minorEastAsia" w:cstheme="minorEastAsia"/>
          <w:szCs w:val="21"/>
        </w:rPr>
        <w:t xml:space="preserve">   </w:t>
      </w:r>
    </w:p>
    <w:p>
      <w:pPr>
        <w:snapToGrid w:val="0"/>
        <w:spacing w:line="560" w:lineRule="atLeast"/>
        <w:rPr>
          <w:rFonts w:asciiTheme="minorEastAsia" w:hAnsiTheme="minorEastAsia" w:cstheme="minorEastAsia"/>
          <w:b/>
          <w:sz w:val="24"/>
        </w:rPr>
      </w:pPr>
    </w:p>
    <w:p>
      <w:pPr>
        <w:snapToGrid w:val="0"/>
        <w:spacing w:line="560" w:lineRule="atLeast"/>
        <w:ind w:firstLine="482" w:firstLineChars="200"/>
        <w:rPr>
          <w:rFonts w:asciiTheme="minorEastAsia" w:hAnsiTheme="minorEastAsia" w:cstheme="minorEastAsia"/>
          <w:b/>
          <w:sz w:val="24"/>
        </w:rPr>
      </w:pPr>
    </w:p>
    <w:p>
      <w:pPr>
        <w:snapToGrid w:val="0"/>
        <w:spacing w:line="560" w:lineRule="atLeast"/>
        <w:rPr>
          <w:rFonts w:asciiTheme="minorEastAsia" w:hAnsiTheme="minorEastAsia" w:cstheme="minorEastAsia"/>
          <w:b/>
          <w:sz w:val="24"/>
        </w:rPr>
      </w:pPr>
    </w:p>
    <w:p>
      <w:pPr>
        <w:snapToGrid w:val="0"/>
        <w:spacing w:line="560" w:lineRule="atLeast"/>
        <w:rPr>
          <w:rFonts w:asciiTheme="minorEastAsia" w:hAnsiTheme="minorEastAsia" w:cstheme="minorEastAsia"/>
          <w:b/>
          <w:sz w:val="24"/>
        </w:rPr>
      </w:pPr>
    </w:p>
    <w:p>
      <w:pPr>
        <w:pStyle w:val="5"/>
        <w:widowControl/>
        <w:spacing w:line="440" w:lineRule="exact"/>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autoSpaceDE w:val="0"/>
        <w:autoSpaceDN w:val="0"/>
        <w:adjustRightInd w:val="0"/>
        <w:spacing w:line="480" w:lineRule="exact"/>
        <w:ind w:right="-816"/>
        <w:rPr>
          <w:rFonts w:asciiTheme="minorEastAsia" w:hAnsiTheme="minorEastAsia" w:cstheme="minorEastAsia"/>
        </w:rPr>
      </w:pPr>
    </w:p>
    <w:p>
      <w:pPr>
        <w:spacing w:line="500" w:lineRule="exact"/>
        <w:jc w:val="left"/>
        <w:rPr>
          <w:rFonts w:asciiTheme="minorEastAsia" w:hAnsiTheme="minorEastAsia" w:cstheme="minorEastAsia"/>
          <w:b/>
          <w:szCs w:val="21"/>
        </w:rPr>
      </w:pPr>
    </w:p>
    <w:bookmarkEnd w:id="49"/>
    <w:p>
      <w:pPr>
        <w:tabs>
          <w:tab w:val="left" w:pos="5448"/>
        </w:tabs>
        <w:spacing w:before="57" w:after="57" w:line="688" w:lineRule="atLeast"/>
        <w:ind w:right="85"/>
        <w:jc w:val="center"/>
        <w:textAlignment w:val="top"/>
        <w:rPr>
          <w:rFonts w:asciiTheme="minorEastAsia" w:hAnsiTheme="minorEastAsia" w:cstheme="minorEastAsia"/>
        </w:rPr>
      </w:pPr>
      <w:bookmarkStart w:id="75" w:name="_Toc46320049"/>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bookmarkEnd w:id="75"/>
    <w:p>
      <w:pPr>
        <w:tabs>
          <w:tab w:val="left" w:pos="5448"/>
        </w:tabs>
        <w:spacing w:before="57" w:after="57" w:line="688" w:lineRule="atLeast"/>
        <w:ind w:right="85"/>
        <w:jc w:val="center"/>
        <w:textAlignment w:val="top"/>
        <w:rPr>
          <w:rFonts w:asciiTheme="minorEastAsia" w:hAnsiTheme="minorEastAsia" w:cstheme="minorEastAsia"/>
        </w:rPr>
      </w:pPr>
    </w:p>
    <w:sectPr>
      <w:footerReference r:id="rId3" w:type="default"/>
      <w:pgSz w:w="11906" w:h="16838"/>
      <w:pgMar w:top="1418" w:right="1135" w:bottom="1135" w:left="1191" w:header="964" w:footer="851" w:gutter="0"/>
      <w:pgNumType w:start="1"/>
      <w:cols w:space="425"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YaHei">
    <w:altName w:val="Segoe Print"/>
    <w:panose1 w:val="00000000000000000000"/>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3909148"/>
    </w:sdtPr>
    <w:sdtContent>
      <w:p>
        <w:pPr>
          <w:pStyle w:val="13"/>
          <w:jc w:val="center"/>
        </w:pPr>
        <w:r>
          <w:fldChar w:fldCharType="begin"/>
        </w:r>
        <w:r>
          <w:instrText xml:space="preserve">PAGE   \* MERGEFORMAT</w:instrText>
        </w:r>
        <w:r>
          <w:fldChar w:fldCharType="separate"/>
        </w:r>
        <w:r>
          <w:rPr>
            <w:lang w:val="zh-CN"/>
          </w:rPr>
          <w:t>37</w:t>
        </w:r>
        <w:r>
          <w:fldChar w:fldCharType="end"/>
        </w:r>
      </w:p>
    </w:sdtContent>
  </w:sdt>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4B73C"/>
    <w:multiLevelType w:val="singleLevel"/>
    <w:tmpl w:val="A2C4B73C"/>
    <w:lvl w:ilvl="0" w:tentative="0">
      <w:start w:val="1"/>
      <w:numFmt w:val="chineseCounting"/>
      <w:suff w:val="nothing"/>
      <w:lvlText w:val="（%1）"/>
      <w:lvlJc w:val="left"/>
      <w:rPr>
        <w:rFonts w:hint="eastAsia"/>
      </w:rPr>
    </w:lvl>
  </w:abstractNum>
  <w:abstractNum w:abstractNumId="1">
    <w:nsid w:val="AF182401"/>
    <w:multiLevelType w:val="singleLevel"/>
    <w:tmpl w:val="AF182401"/>
    <w:lvl w:ilvl="0" w:tentative="0">
      <w:start w:val="1"/>
      <w:numFmt w:val="decimal"/>
      <w:lvlText w:val="%1."/>
      <w:lvlJc w:val="left"/>
      <w:pPr>
        <w:tabs>
          <w:tab w:val="left" w:pos="312"/>
        </w:tabs>
      </w:pPr>
    </w:lvl>
  </w:abstractNum>
  <w:abstractNum w:abstractNumId="2">
    <w:nsid w:val="EB1F3602"/>
    <w:multiLevelType w:val="singleLevel"/>
    <w:tmpl w:val="EB1F3602"/>
    <w:lvl w:ilvl="0" w:tentative="0">
      <w:start w:val="3"/>
      <w:numFmt w:val="chineseCounting"/>
      <w:suff w:val="space"/>
      <w:lvlText w:val="第%1章"/>
      <w:lvlJc w:val="left"/>
      <w:rPr>
        <w:rFonts w:hint="eastAsia"/>
      </w:rPr>
    </w:lvl>
  </w:abstractNum>
  <w:abstractNum w:abstractNumId="3">
    <w:nsid w:val="F3B309BD"/>
    <w:multiLevelType w:val="singleLevel"/>
    <w:tmpl w:val="F3B309BD"/>
    <w:lvl w:ilvl="0" w:tentative="0">
      <w:start w:val="1"/>
      <w:numFmt w:val="decimal"/>
      <w:lvlText w:val="%1."/>
      <w:lvlJc w:val="left"/>
      <w:pPr>
        <w:tabs>
          <w:tab w:val="left" w:pos="312"/>
        </w:tabs>
      </w:pPr>
    </w:lvl>
  </w:abstractNum>
  <w:abstractNum w:abstractNumId="4">
    <w:nsid w:val="00000002"/>
    <w:multiLevelType w:val="multilevel"/>
    <w:tmpl w:val="0000000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3"/>
    <w:multiLevelType w:val="multilevel"/>
    <w:tmpl w:val="00000003"/>
    <w:lvl w:ilvl="0" w:tentative="0">
      <w:start w:val="1"/>
      <w:numFmt w:val="decimal"/>
      <w:lvlText w:val="%1."/>
      <w:lvlJc w:val="left"/>
      <w:pPr>
        <w:ind w:left="420" w:hanging="420"/>
      </w:pPr>
    </w:lvl>
    <w:lvl w:ilvl="1" w:tentative="0">
      <w:start w:val="1"/>
      <w:numFmt w:val="chineseCountingThousand"/>
      <w:lvlText w:val="%2、"/>
      <w:lvlJc w:val="left"/>
      <w:pPr>
        <w:ind w:left="1090" w:hanging="460"/>
      </w:pPr>
      <w:rPr>
        <w:rFonts w:hint="default"/>
        <w:b/>
      </w:rPr>
    </w:lvl>
    <w:lvl w:ilvl="2" w:tentative="0">
      <w:start w:val="1"/>
      <w:numFmt w:val="lowerRoman"/>
      <w:lvlText w:val="%3."/>
      <w:lvlJc w:val="right"/>
      <w:pPr>
        <w:ind w:left="1260" w:hanging="420"/>
      </w:pPr>
    </w:lvl>
    <w:lvl w:ilvl="3" w:tentative="0">
      <w:start w:val="1"/>
      <w:numFmt w:val="decimal"/>
      <w:lvlText w:val="%4."/>
      <w:lvlJc w:val="left"/>
      <w:pPr>
        <w:ind w:left="1669"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5"/>
    <w:multiLevelType w:val="multilevel"/>
    <w:tmpl w:val="00000005"/>
    <w:lvl w:ilvl="0" w:tentative="0">
      <w:start w:val="1"/>
      <w:numFmt w:val="decimal"/>
      <w:lvlText w:val="%1."/>
      <w:lvlJc w:val="left"/>
      <w:pPr>
        <w:ind w:left="420" w:hanging="420"/>
      </w:pPr>
      <w:rPr>
        <w:b w:val="0"/>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6"/>
    <w:multiLevelType w:val="multilevel"/>
    <w:tmpl w:val="000000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810811"/>
    <w:multiLevelType w:val="singleLevel"/>
    <w:tmpl w:val="24810811"/>
    <w:lvl w:ilvl="0" w:tentative="0">
      <w:start w:val="1"/>
      <w:numFmt w:val="decimal"/>
      <w:suff w:val="space"/>
      <w:lvlText w:val="%1."/>
      <w:lvlJc w:val="left"/>
    </w:lvl>
  </w:abstractNum>
  <w:abstractNum w:abstractNumId="10">
    <w:nsid w:val="59D8706E"/>
    <w:multiLevelType w:val="multilevel"/>
    <w:tmpl w:val="59D8706E"/>
    <w:lvl w:ilvl="0" w:tentative="0">
      <w:start w:val="1"/>
      <w:numFmt w:val="decimal"/>
      <w:lvlText w:val="%1."/>
      <w:lvlJc w:val="left"/>
      <w:pPr>
        <w:ind w:left="420" w:hanging="420"/>
      </w:pPr>
    </w:lvl>
    <w:lvl w:ilvl="1" w:tentative="0">
      <w:start w:val="1"/>
      <w:numFmt w:val="chineseCountingThousand"/>
      <w:lvlText w:val="%2、"/>
      <w:lvlJc w:val="left"/>
      <w:pPr>
        <w:ind w:left="880" w:hanging="460"/>
      </w:pPr>
      <w:rPr>
        <w:rFonts w:hint="default"/>
        <w:b/>
        <w:lang w:val="en-U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8DA37E8"/>
    <w:multiLevelType w:val="singleLevel"/>
    <w:tmpl w:val="68DA37E8"/>
    <w:lvl w:ilvl="0" w:tentative="0">
      <w:start w:val="1"/>
      <w:numFmt w:val="decimal"/>
      <w:lvlText w:val="(%1)"/>
      <w:lvlJc w:val="left"/>
      <w:pPr>
        <w:ind w:left="425" w:hanging="425"/>
      </w:pPr>
      <w:rPr>
        <w:rFonts w:hint="default"/>
      </w:rPr>
    </w:lvl>
  </w:abstractNum>
  <w:abstractNum w:abstractNumId="12">
    <w:nsid w:val="7C09A776"/>
    <w:multiLevelType w:val="singleLevel"/>
    <w:tmpl w:val="7C09A776"/>
    <w:lvl w:ilvl="0" w:tentative="0">
      <w:start w:val="1"/>
      <w:numFmt w:val="decimal"/>
      <w:suff w:val="nothing"/>
      <w:lvlText w:val="（%1）"/>
      <w:lvlJc w:val="left"/>
    </w:lvl>
  </w:abstractNum>
  <w:num w:numId="1">
    <w:abstractNumId w:val="12"/>
  </w:num>
  <w:num w:numId="2">
    <w:abstractNumId w:val="9"/>
  </w:num>
  <w:num w:numId="3">
    <w:abstractNumId w:val="5"/>
  </w:num>
  <w:num w:numId="4">
    <w:abstractNumId w:val="6"/>
  </w:num>
  <w:num w:numId="5">
    <w:abstractNumId w:val="0"/>
  </w:num>
  <w:num w:numId="6">
    <w:abstractNumId w:val="7"/>
  </w:num>
  <w:num w:numId="7">
    <w:abstractNumId w:val="4"/>
  </w:num>
  <w:num w:numId="8">
    <w:abstractNumId w:val="8"/>
  </w:num>
  <w:num w:numId="9">
    <w:abstractNumId w:val="10"/>
  </w:num>
  <w:num w:numId="10">
    <w:abstractNumId w:val="11"/>
  </w:num>
  <w:num w:numId="11">
    <w:abstractNumId w:val="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hMzVkYTQ4MmQzMmU0ZWM3OTg3ZWU3NzkzYzkyYTAifQ=="/>
  </w:docVars>
  <w:rsids>
    <w:rsidRoot w:val="761A3AF4"/>
    <w:rsid w:val="00001995"/>
    <w:rsid w:val="000224EF"/>
    <w:rsid w:val="00025121"/>
    <w:rsid w:val="0004677A"/>
    <w:rsid w:val="00052446"/>
    <w:rsid w:val="00055A4F"/>
    <w:rsid w:val="00061441"/>
    <w:rsid w:val="000655AC"/>
    <w:rsid w:val="00066BF6"/>
    <w:rsid w:val="00074398"/>
    <w:rsid w:val="000840BF"/>
    <w:rsid w:val="00093C88"/>
    <w:rsid w:val="000C06EA"/>
    <w:rsid w:val="000D73D8"/>
    <w:rsid w:val="00110440"/>
    <w:rsid w:val="00112922"/>
    <w:rsid w:val="00132C19"/>
    <w:rsid w:val="001530F0"/>
    <w:rsid w:val="00194551"/>
    <w:rsid w:val="001C68A2"/>
    <w:rsid w:val="001D1F53"/>
    <w:rsid w:val="001D4105"/>
    <w:rsid w:val="00214FE7"/>
    <w:rsid w:val="00224C41"/>
    <w:rsid w:val="00235333"/>
    <w:rsid w:val="00235D35"/>
    <w:rsid w:val="00260F8E"/>
    <w:rsid w:val="002641CB"/>
    <w:rsid w:val="002738A2"/>
    <w:rsid w:val="00286EA6"/>
    <w:rsid w:val="00291E7C"/>
    <w:rsid w:val="002A1870"/>
    <w:rsid w:val="002E1648"/>
    <w:rsid w:val="002E7D78"/>
    <w:rsid w:val="002F15D1"/>
    <w:rsid w:val="002F4240"/>
    <w:rsid w:val="00301565"/>
    <w:rsid w:val="0032048C"/>
    <w:rsid w:val="00341481"/>
    <w:rsid w:val="00367BBB"/>
    <w:rsid w:val="00387584"/>
    <w:rsid w:val="003905B6"/>
    <w:rsid w:val="003A105D"/>
    <w:rsid w:val="003A1D55"/>
    <w:rsid w:val="003A78C2"/>
    <w:rsid w:val="003D2329"/>
    <w:rsid w:val="003D4553"/>
    <w:rsid w:val="004005B0"/>
    <w:rsid w:val="00401A73"/>
    <w:rsid w:val="00414023"/>
    <w:rsid w:val="00424ABE"/>
    <w:rsid w:val="00436E19"/>
    <w:rsid w:val="004434BC"/>
    <w:rsid w:val="00445242"/>
    <w:rsid w:val="00463D0A"/>
    <w:rsid w:val="004657FD"/>
    <w:rsid w:val="004664E8"/>
    <w:rsid w:val="00485F36"/>
    <w:rsid w:val="00487F71"/>
    <w:rsid w:val="00496048"/>
    <w:rsid w:val="004A1AD3"/>
    <w:rsid w:val="004A57B7"/>
    <w:rsid w:val="004A7451"/>
    <w:rsid w:val="004B3C68"/>
    <w:rsid w:val="004C4839"/>
    <w:rsid w:val="004F4544"/>
    <w:rsid w:val="00521A30"/>
    <w:rsid w:val="005415CF"/>
    <w:rsid w:val="00543943"/>
    <w:rsid w:val="00564AD2"/>
    <w:rsid w:val="005712AF"/>
    <w:rsid w:val="00572A4A"/>
    <w:rsid w:val="0058264F"/>
    <w:rsid w:val="00592C72"/>
    <w:rsid w:val="005A09C7"/>
    <w:rsid w:val="005A12EE"/>
    <w:rsid w:val="005D6B7B"/>
    <w:rsid w:val="005F0A84"/>
    <w:rsid w:val="005F3932"/>
    <w:rsid w:val="0061701B"/>
    <w:rsid w:val="0062508A"/>
    <w:rsid w:val="00635DA0"/>
    <w:rsid w:val="00641164"/>
    <w:rsid w:val="0065114A"/>
    <w:rsid w:val="00670371"/>
    <w:rsid w:val="006B2119"/>
    <w:rsid w:val="006D4A3E"/>
    <w:rsid w:val="007149F6"/>
    <w:rsid w:val="00750730"/>
    <w:rsid w:val="007630D9"/>
    <w:rsid w:val="00765BD3"/>
    <w:rsid w:val="00784346"/>
    <w:rsid w:val="007949BF"/>
    <w:rsid w:val="007A6E16"/>
    <w:rsid w:val="007C11E4"/>
    <w:rsid w:val="007C6FCD"/>
    <w:rsid w:val="007D21C9"/>
    <w:rsid w:val="007F1A0C"/>
    <w:rsid w:val="007F6B41"/>
    <w:rsid w:val="00800A82"/>
    <w:rsid w:val="00806507"/>
    <w:rsid w:val="00824808"/>
    <w:rsid w:val="00826B6C"/>
    <w:rsid w:val="00881B70"/>
    <w:rsid w:val="008850DA"/>
    <w:rsid w:val="00892CB9"/>
    <w:rsid w:val="008943CA"/>
    <w:rsid w:val="008A657E"/>
    <w:rsid w:val="008B72E5"/>
    <w:rsid w:val="008E2B57"/>
    <w:rsid w:val="008F3F27"/>
    <w:rsid w:val="009106C7"/>
    <w:rsid w:val="00947AEB"/>
    <w:rsid w:val="00957307"/>
    <w:rsid w:val="009A7883"/>
    <w:rsid w:val="009C0993"/>
    <w:rsid w:val="009D6E93"/>
    <w:rsid w:val="00A02EEE"/>
    <w:rsid w:val="00A25017"/>
    <w:rsid w:val="00A448C1"/>
    <w:rsid w:val="00A45E83"/>
    <w:rsid w:val="00A52C38"/>
    <w:rsid w:val="00A6013D"/>
    <w:rsid w:val="00A91969"/>
    <w:rsid w:val="00A96399"/>
    <w:rsid w:val="00AD7769"/>
    <w:rsid w:val="00B37DB3"/>
    <w:rsid w:val="00B4577A"/>
    <w:rsid w:val="00B46A3C"/>
    <w:rsid w:val="00B57D49"/>
    <w:rsid w:val="00B9162F"/>
    <w:rsid w:val="00B926FD"/>
    <w:rsid w:val="00B93483"/>
    <w:rsid w:val="00BA3A0A"/>
    <w:rsid w:val="00BB0C1A"/>
    <w:rsid w:val="00BC5A7F"/>
    <w:rsid w:val="00BF00D6"/>
    <w:rsid w:val="00C05B64"/>
    <w:rsid w:val="00C12515"/>
    <w:rsid w:val="00C23B4B"/>
    <w:rsid w:val="00C37D4B"/>
    <w:rsid w:val="00C41980"/>
    <w:rsid w:val="00C53472"/>
    <w:rsid w:val="00C653A7"/>
    <w:rsid w:val="00C65BD0"/>
    <w:rsid w:val="00C77F78"/>
    <w:rsid w:val="00C8546A"/>
    <w:rsid w:val="00C8649E"/>
    <w:rsid w:val="00C97301"/>
    <w:rsid w:val="00CA5861"/>
    <w:rsid w:val="00CA6253"/>
    <w:rsid w:val="00CB1BC8"/>
    <w:rsid w:val="00CC750E"/>
    <w:rsid w:val="00CD0343"/>
    <w:rsid w:val="00D04E8A"/>
    <w:rsid w:val="00D05B9E"/>
    <w:rsid w:val="00D0621D"/>
    <w:rsid w:val="00D062DE"/>
    <w:rsid w:val="00D20548"/>
    <w:rsid w:val="00D21F32"/>
    <w:rsid w:val="00D41ACD"/>
    <w:rsid w:val="00D52E85"/>
    <w:rsid w:val="00D61E7B"/>
    <w:rsid w:val="00D82910"/>
    <w:rsid w:val="00D848EF"/>
    <w:rsid w:val="00D871D5"/>
    <w:rsid w:val="00D9382C"/>
    <w:rsid w:val="00D94B4E"/>
    <w:rsid w:val="00DA0069"/>
    <w:rsid w:val="00DB3352"/>
    <w:rsid w:val="00DC26F8"/>
    <w:rsid w:val="00DD2BBE"/>
    <w:rsid w:val="00DD6A07"/>
    <w:rsid w:val="00DF077B"/>
    <w:rsid w:val="00DF474D"/>
    <w:rsid w:val="00E64450"/>
    <w:rsid w:val="00E72BFB"/>
    <w:rsid w:val="00E77F08"/>
    <w:rsid w:val="00E83D50"/>
    <w:rsid w:val="00EA2FAF"/>
    <w:rsid w:val="00ED2B44"/>
    <w:rsid w:val="00ED7540"/>
    <w:rsid w:val="00EE347E"/>
    <w:rsid w:val="00EF4C38"/>
    <w:rsid w:val="00EF7B2F"/>
    <w:rsid w:val="00F322FE"/>
    <w:rsid w:val="00F32B12"/>
    <w:rsid w:val="00F35E5C"/>
    <w:rsid w:val="00F719B0"/>
    <w:rsid w:val="00F85717"/>
    <w:rsid w:val="00F9622B"/>
    <w:rsid w:val="00FA2863"/>
    <w:rsid w:val="00FA5D68"/>
    <w:rsid w:val="00FB367A"/>
    <w:rsid w:val="00FB5821"/>
    <w:rsid w:val="00FE75EE"/>
    <w:rsid w:val="01116817"/>
    <w:rsid w:val="01B149C4"/>
    <w:rsid w:val="01FA47FF"/>
    <w:rsid w:val="02133338"/>
    <w:rsid w:val="021C17D6"/>
    <w:rsid w:val="023B5DAD"/>
    <w:rsid w:val="024C307A"/>
    <w:rsid w:val="02AB3296"/>
    <w:rsid w:val="02E1151B"/>
    <w:rsid w:val="02F23D0F"/>
    <w:rsid w:val="02F37A37"/>
    <w:rsid w:val="030D070E"/>
    <w:rsid w:val="0338216B"/>
    <w:rsid w:val="03617DBA"/>
    <w:rsid w:val="0374413D"/>
    <w:rsid w:val="03D46B64"/>
    <w:rsid w:val="041A2F36"/>
    <w:rsid w:val="046D1C05"/>
    <w:rsid w:val="047A1D03"/>
    <w:rsid w:val="04C61170"/>
    <w:rsid w:val="04D1736D"/>
    <w:rsid w:val="051A6F66"/>
    <w:rsid w:val="055E67AF"/>
    <w:rsid w:val="05694D61"/>
    <w:rsid w:val="058508B5"/>
    <w:rsid w:val="06C57091"/>
    <w:rsid w:val="078F218F"/>
    <w:rsid w:val="07E97F4A"/>
    <w:rsid w:val="080018C5"/>
    <w:rsid w:val="082F5634"/>
    <w:rsid w:val="08C571E9"/>
    <w:rsid w:val="08F52A4F"/>
    <w:rsid w:val="090D5EF1"/>
    <w:rsid w:val="095837EC"/>
    <w:rsid w:val="095C6ABF"/>
    <w:rsid w:val="097743A0"/>
    <w:rsid w:val="09956C95"/>
    <w:rsid w:val="09D53D5B"/>
    <w:rsid w:val="0A083831"/>
    <w:rsid w:val="0A2A10EE"/>
    <w:rsid w:val="0A3F348F"/>
    <w:rsid w:val="0A47786D"/>
    <w:rsid w:val="0AA260FE"/>
    <w:rsid w:val="0BDB13A9"/>
    <w:rsid w:val="0BE26FF4"/>
    <w:rsid w:val="0BF0731F"/>
    <w:rsid w:val="0CBC5AFA"/>
    <w:rsid w:val="0D5026D9"/>
    <w:rsid w:val="0DEE2D3E"/>
    <w:rsid w:val="0DF5231E"/>
    <w:rsid w:val="0E4D7C0C"/>
    <w:rsid w:val="0E6B25E0"/>
    <w:rsid w:val="0EC5358B"/>
    <w:rsid w:val="0EF7603E"/>
    <w:rsid w:val="0FCC1F0E"/>
    <w:rsid w:val="0FCE6997"/>
    <w:rsid w:val="103F6F16"/>
    <w:rsid w:val="10BC5778"/>
    <w:rsid w:val="10CA0E65"/>
    <w:rsid w:val="10EA3AA1"/>
    <w:rsid w:val="11160F29"/>
    <w:rsid w:val="11235531"/>
    <w:rsid w:val="112F78F5"/>
    <w:rsid w:val="11CB1D14"/>
    <w:rsid w:val="122F0329"/>
    <w:rsid w:val="12585F3E"/>
    <w:rsid w:val="12EB41F7"/>
    <w:rsid w:val="13217712"/>
    <w:rsid w:val="135000BC"/>
    <w:rsid w:val="137B5074"/>
    <w:rsid w:val="141E1340"/>
    <w:rsid w:val="142C211E"/>
    <w:rsid w:val="14342A15"/>
    <w:rsid w:val="148C6512"/>
    <w:rsid w:val="155337C4"/>
    <w:rsid w:val="158E3ECD"/>
    <w:rsid w:val="159D4EE4"/>
    <w:rsid w:val="15CE4991"/>
    <w:rsid w:val="15F900FE"/>
    <w:rsid w:val="162B6F68"/>
    <w:rsid w:val="16B807B2"/>
    <w:rsid w:val="16F92D57"/>
    <w:rsid w:val="17081197"/>
    <w:rsid w:val="171F77E1"/>
    <w:rsid w:val="173E4D36"/>
    <w:rsid w:val="175D205E"/>
    <w:rsid w:val="176171FD"/>
    <w:rsid w:val="17A821AF"/>
    <w:rsid w:val="17BE4FB8"/>
    <w:rsid w:val="18956BD8"/>
    <w:rsid w:val="189F0AAD"/>
    <w:rsid w:val="18AD1BB3"/>
    <w:rsid w:val="18AF4C6B"/>
    <w:rsid w:val="190B300F"/>
    <w:rsid w:val="19322678"/>
    <w:rsid w:val="19363EB9"/>
    <w:rsid w:val="19492C9B"/>
    <w:rsid w:val="197A2B79"/>
    <w:rsid w:val="197D0CED"/>
    <w:rsid w:val="1992198D"/>
    <w:rsid w:val="19975C54"/>
    <w:rsid w:val="19AF5448"/>
    <w:rsid w:val="1A165AF6"/>
    <w:rsid w:val="1A1A4F1C"/>
    <w:rsid w:val="1A960C33"/>
    <w:rsid w:val="1A9E709E"/>
    <w:rsid w:val="1B0548A2"/>
    <w:rsid w:val="1BD3587C"/>
    <w:rsid w:val="1C6071AD"/>
    <w:rsid w:val="1CC20F56"/>
    <w:rsid w:val="1CD75B98"/>
    <w:rsid w:val="1CE9658E"/>
    <w:rsid w:val="1CF71C0F"/>
    <w:rsid w:val="1D04695D"/>
    <w:rsid w:val="1D0F78A5"/>
    <w:rsid w:val="1D8076DF"/>
    <w:rsid w:val="1E1623D3"/>
    <w:rsid w:val="1E6330E5"/>
    <w:rsid w:val="1E8A0861"/>
    <w:rsid w:val="1ECB1E0D"/>
    <w:rsid w:val="1ECD61C6"/>
    <w:rsid w:val="1F2A2E7D"/>
    <w:rsid w:val="1F3025EF"/>
    <w:rsid w:val="1F5E0DEE"/>
    <w:rsid w:val="1F9574BD"/>
    <w:rsid w:val="1FFD5F3E"/>
    <w:rsid w:val="203755F6"/>
    <w:rsid w:val="20843CF7"/>
    <w:rsid w:val="211053A6"/>
    <w:rsid w:val="21572B8F"/>
    <w:rsid w:val="22CB4CDC"/>
    <w:rsid w:val="22E36792"/>
    <w:rsid w:val="234E1C85"/>
    <w:rsid w:val="237E2A86"/>
    <w:rsid w:val="23A92DC8"/>
    <w:rsid w:val="2446347C"/>
    <w:rsid w:val="249C34A3"/>
    <w:rsid w:val="24D34D10"/>
    <w:rsid w:val="24E86910"/>
    <w:rsid w:val="250D2A3D"/>
    <w:rsid w:val="25334D9B"/>
    <w:rsid w:val="254765B6"/>
    <w:rsid w:val="25703B37"/>
    <w:rsid w:val="25F20226"/>
    <w:rsid w:val="277B2C7C"/>
    <w:rsid w:val="2782748C"/>
    <w:rsid w:val="27AA2E57"/>
    <w:rsid w:val="28355CE1"/>
    <w:rsid w:val="28F40157"/>
    <w:rsid w:val="28F558C6"/>
    <w:rsid w:val="292B3C40"/>
    <w:rsid w:val="293935AF"/>
    <w:rsid w:val="296261D9"/>
    <w:rsid w:val="29652ABB"/>
    <w:rsid w:val="2A560D72"/>
    <w:rsid w:val="2A5D507B"/>
    <w:rsid w:val="2A7725E1"/>
    <w:rsid w:val="2AEC3FD6"/>
    <w:rsid w:val="2AED10C0"/>
    <w:rsid w:val="2B1D7E71"/>
    <w:rsid w:val="2B387127"/>
    <w:rsid w:val="2B6F1495"/>
    <w:rsid w:val="2B8A2193"/>
    <w:rsid w:val="2BAE71C5"/>
    <w:rsid w:val="2BC84AD8"/>
    <w:rsid w:val="2BD37ABB"/>
    <w:rsid w:val="2BD62B9B"/>
    <w:rsid w:val="2C077995"/>
    <w:rsid w:val="2C091017"/>
    <w:rsid w:val="2C0F3927"/>
    <w:rsid w:val="2C5571D8"/>
    <w:rsid w:val="2C5A6A48"/>
    <w:rsid w:val="2C7621CB"/>
    <w:rsid w:val="2C8C359C"/>
    <w:rsid w:val="2CF73565"/>
    <w:rsid w:val="2D4A22EA"/>
    <w:rsid w:val="2D956FA3"/>
    <w:rsid w:val="2DE1646D"/>
    <w:rsid w:val="2E960B5C"/>
    <w:rsid w:val="2F0B47CF"/>
    <w:rsid w:val="2F41742E"/>
    <w:rsid w:val="2F9C0C96"/>
    <w:rsid w:val="2FA71376"/>
    <w:rsid w:val="30645071"/>
    <w:rsid w:val="30C54FDA"/>
    <w:rsid w:val="31201EEE"/>
    <w:rsid w:val="3139369E"/>
    <w:rsid w:val="313B504F"/>
    <w:rsid w:val="314907D4"/>
    <w:rsid w:val="31887FA6"/>
    <w:rsid w:val="31C24593"/>
    <w:rsid w:val="31C933FD"/>
    <w:rsid w:val="31CA56EC"/>
    <w:rsid w:val="324B015B"/>
    <w:rsid w:val="32877139"/>
    <w:rsid w:val="334E572E"/>
    <w:rsid w:val="33723081"/>
    <w:rsid w:val="337815F1"/>
    <w:rsid w:val="337906F9"/>
    <w:rsid w:val="33C50EDE"/>
    <w:rsid w:val="3400497A"/>
    <w:rsid w:val="343D0DF1"/>
    <w:rsid w:val="34485333"/>
    <w:rsid w:val="34533777"/>
    <w:rsid w:val="34D67F04"/>
    <w:rsid w:val="34D85CE0"/>
    <w:rsid w:val="34EC7728"/>
    <w:rsid w:val="35126E06"/>
    <w:rsid w:val="352C3DAC"/>
    <w:rsid w:val="353C0EED"/>
    <w:rsid w:val="356A325D"/>
    <w:rsid w:val="35725E7F"/>
    <w:rsid w:val="359F02D4"/>
    <w:rsid w:val="35D527B7"/>
    <w:rsid w:val="364A20FD"/>
    <w:rsid w:val="36620573"/>
    <w:rsid w:val="367559C3"/>
    <w:rsid w:val="36F97470"/>
    <w:rsid w:val="371D611B"/>
    <w:rsid w:val="37CF57C5"/>
    <w:rsid w:val="38257ADA"/>
    <w:rsid w:val="38743938"/>
    <w:rsid w:val="389E6A5F"/>
    <w:rsid w:val="390E2362"/>
    <w:rsid w:val="393D276B"/>
    <w:rsid w:val="39BC1DBE"/>
    <w:rsid w:val="39D55D19"/>
    <w:rsid w:val="3A080B5B"/>
    <w:rsid w:val="3A97610B"/>
    <w:rsid w:val="3B1F2773"/>
    <w:rsid w:val="3B524138"/>
    <w:rsid w:val="3B84690C"/>
    <w:rsid w:val="3BAA02CE"/>
    <w:rsid w:val="3C335818"/>
    <w:rsid w:val="3C3C0F95"/>
    <w:rsid w:val="3C8D7A42"/>
    <w:rsid w:val="3CB90686"/>
    <w:rsid w:val="3CC25DD2"/>
    <w:rsid w:val="3CCA08F1"/>
    <w:rsid w:val="3CDA70E4"/>
    <w:rsid w:val="3CE1282E"/>
    <w:rsid w:val="3DB02492"/>
    <w:rsid w:val="3DB26815"/>
    <w:rsid w:val="3DCA0C62"/>
    <w:rsid w:val="3DE66810"/>
    <w:rsid w:val="3E1C72D0"/>
    <w:rsid w:val="3E3C7C4B"/>
    <w:rsid w:val="3E5D7972"/>
    <w:rsid w:val="3ED06982"/>
    <w:rsid w:val="3F3643C1"/>
    <w:rsid w:val="3F9A4950"/>
    <w:rsid w:val="3FAC4A86"/>
    <w:rsid w:val="3FEF631E"/>
    <w:rsid w:val="401339D2"/>
    <w:rsid w:val="402D6EBF"/>
    <w:rsid w:val="4062735C"/>
    <w:rsid w:val="40C26EE4"/>
    <w:rsid w:val="40CF2A68"/>
    <w:rsid w:val="41281AE7"/>
    <w:rsid w:val="414E55D4"/>
    <w:rsid w:val="41AA40B9"/>
    <w:rsid w:val="41B5190D"/>
    <w:rsid w:val="42401397"/>
    <w:rsid w:val="42512A5E"/>
    <w:rsid w:val="42707BEA"/>
    <w:rsid w:val="42F01B23"/>
    <w:rsid w:val="42FF2D1C"/>
    <w:rsid w:val="433555C5"/>
    <w:rsid w:val="43413371"/>
    <w:rsid w:val="436A49B1"/>
    <w:rsid w:val="438835B5"/>
    <w:rsid w:val="44BF5601"/>
    <w:rsid w:val="45525574"/>
    <w:rsid w:val="4568104C"/>
    <w:rsid w:val="45786D7F"/>
    <w:rsid w:val="45DC2C7D"/>
    <w:rsid w:val="469F0A9E"/>
    <w:rsid w:val="46B83AF2"/>
    <w:rsid w:val="46C07E21"/>
    <w:rsid w:val="46D84A80"/>
    <w:rsid w:val="47D122AC"/>
    <w:rsid w:val="48A0249D"/>
    <w:rsid w:val="48A95EFC"/>
    <w:rsid w:val="49604221"/>
    <w:rsid w:val="496E301C"/>
    <w:rsid w:val="49970121"/>
    <w:rsid w:val="4A2300DD"/>
    <w:rsid w:val="4A624DF7"/>
    <w:rsid w:val="4A82670C"/>
    <w:rsid w:val="4A9B77CE"/>
    <w:rsid w:val="4AF46677"/>
    <w:rsid w:val="4AF474FC"/>
    <w:rsid w:val="4B105053"/>
    <w:rsid w:val="4B171C2B"/>
    <w:rsid w:val="4BBB7DCD"/>
    <w:rsid w:val="4C3B0B3B"/>
    <w:rsid w:val="4D3F478F"/>
    <w:rsid w:val="4E535C73"/>
    <w:rsid w:val="4E6E774E"/>
    <w:rsid w:val="4E825F44"/>
    <w:rsid w:val="4E9C5DCD"/>
    <w:rsid w:val="4EBE42B9"/>
    <w:rsid w:val="4F0976FB"/>
    <w:rsid w:val="4F8A3148"/>
    <w:rsid w:val="4F9628BA"/>
    <w:rsid w:val="4FE2739A"/>
    <w:rsid w:val="500672FC"/>
    <w:rsid w:val="500A3D2C"/>
    <w:rsid w:val="506810AB"/>
    <w:rsid w:val="507F05B9"/>
    <w:rsid w:val="51136B5E"/>
    <w:rsid w:val="512C73D2"/>
    <w:rsid w:val="51492D6D"/>
    <w:rsid w:val="515B623C"/>
    <w:rsid w:val="517351B5"/>
    <w:rsid w:val="51A80889"/>
    <w:rsid w:val="51EE7753"/>
    <w:rsid w:val="523503FB"/>
    <w:rsid w:val="52913430"/>
    <w:rsid w:val="52D25287"/>
    <w:rsid w:val="53582700"/>
    <w:rsid w:val="53A103E4"/>
    <w:rsid w:val="53AA2514"/>
    <w:rsid w:val="542A1360"/>
    <w:rsid w:val="548F613D"/>
    <w:rsid w:val="54B85F9D"/>
    <w:rsid w:val="54D9585D"/>
    <w:rsid w:val="552456B7"/>
    <w:rsid w:val="553746FB"/>
    <w:rsid w:val="55384597"/>
    <w:rsid w:val="553A16D1"/>
    <w:rsid w:val="55A92ABD"/>
    <w:rsid w:val="55F00C8F"/>
    <w:rsid w:val="560F0729"/>
    <w:rsid w:val="56FE0B98"/>
    <w:rsid w:val="578319FA"/>
    <w:rsid w:val="57903079"/>
    <w:rsid w:val="57995095"/>
    <w:rsid w:val="58DC7930"/>
    <w:rsid w:val="590C5371"/>
    <w:rsid w:val="5A5E617C"/>
    <w:rsid w:val="5ACD2462"/>
    <w:rsid w:val="5AF53946"/>
    <w:rsid w:val="5B127639"/>
    <w:rsid w:val="5B8A3673"/>
    <w:rsid w:val="5C001B87"/>
    <w:rsid w:val="5C4750C0"/>
    <w:rsid w:val="5C76393E"/>
    <w:rsid w:val="5C8F086E"/>
    <w:rsid w:val="5CAD1631"/>
    <w:rsid w:val="5D4A4043"/>
    <w:rsid w:val="5DEA21A7"/>
    <w:rsid w:val="5DEA2A28"/>
    <w:rsid w:val="5DF10189"/>
    <w:rsid w:val="5E6853FA"/>
    <w:rsid w:val="5ECC5BBE"/>
    <w:rsid w:val="5ED03200"/>
    <w:rsid w:val="5EE40B9B"/>
    <w:rsid w:val="5F0F0890"/>
    <w:rsid w:val="5F887182"/>
    <w:rsid w:val="5FC3276E"/>
    <w:rsid w:val="5FCB3F2B"/>
    <w:rsid w:val="603D6F06"/>
    <w:rsid w:val="607C493C"/>
    <w:rsid w:val="60995B36"/>
    <w:rsid w:val="61B03707"/>
    <w:rsid w:val="62072B1B"/>
    <w:rsid w:val="620E1A1C"/>
    <w:rsid w:val="62A50D92"/>
    <w:rsid w:val="62A52823"/>
    <w:rsid w:val="62BF2442"/>
    <w:rsid w:val="62F85366"/>
    <w:rsid w:val="63846C13"/>
    <w:rsid w:val="63894210"/>
    <w:rsid w:val="63EF7A0D"/>
    <w:rsid w:val="64302FF2"/>
    <w:rsid w:val="646D1D84"/>
    <w:rsid w:val="64D2139B"/>
    <w:rsid w:val="653A1489"/>
    <w:rsid w:val="654E6298"/>
    <w:rsid w:val="65CC3A3C"/>
    <w:rsid w:val="65DF3931"/>
    <w:rsid w:val="65F25D65"/>
    <w:rsid w:val="662371C8"/>
    <w:rsid w:val="66260069"/>
    <w:rsid w:val="666D132D"/>
    <w:rsid w:val="669E3AFA"/>
    <w:rsid w:val="66F74908"/>
    <w:rsid w:val="670F3B9A"/>
    <w:rsid w:val="67566AFF"/>
    <w:rsid w:val="679B1B25"/>
    <w:rsid w:val="67B75E4A"/>
    <w:rsid w:val="67C73559"/>
    <w:rsid w:val="67FB3F8A"/>
    <w:rsid w:val="682912F1"/>
    <w:rsid w:val="68EE4A25"/>
    <w:rsid w:val="69076303"/>
    <w:rsid w:val="694238FD"/>
    <w:rsid w:val="69A07CE7"/>
    <w:rsid w:val="6A342EDC"/>
    <w:rsid w:val="6A9433C1"/>
    <w:rsid w:val="6AB56579"/>
    <w:rsid w:val="6AF02DC7"/>
    <w:rsid w:val="6AF22FC1"/>
    <w:rsid w:val="6B545A00"/>
    <w:rsid w:val="6BC729AC"/>
    <w:rsid w:val="6C767184"/>
    <w:rsid w:val="6C7908D8"/>
    <w:rsid w:val="6CF13DBB"/>
    <w:rsid w:val="6D5A614B"/>
    <w:rsid w:val="6DAB7BEE"/>
    <w:rsid w:val="6DCF7BAA"/>
    <w:rsid w:val="6E141101"/>
    <w:rsid w:val="6E2F19B1"/>
    <w:rsid w:val="6E533D98"/>
    <w:rsid w:val="6E775CD9"/>
    <w:rsid w:val="6E7B6E4B"/>
    <w:rsid w:val="6E84066B"/>
    <w:rsid w:val="6F3F192C"/>
    <w:rsid w:val="700A3C9E"/>
    <w:rsid w:val="700E03B2"/>
    <w:rsid w:val="70505C8C"/>
    <w:rsid w:val="721433E2"/>
    <w:rsid w:val="72812FA3"/>
    <w:rsid w:val="729D22FC"/>
    <w:rsid w:val="729E231D"/>
    <w:rsid w:val="72A136FE"/>
    <w:rsid w:val="735501EA"/>
    <w:rsid w:val="735C724B"/>
    <w:rsid w:val="73724CC1"/>
    <w:rsid w:val="73B70891"/>
    <w:rsid w:val="74225471"/>
    <w:rsid w:val="74352436"/>
    <w:rsid w:val="74970845"/>
    <w:rsid w:val="753855F3"/>
    <w:rsid w:val="759C2A22"/>
    <w:rsid w:val="75B65989"/>
    <w:rsid w:val="75D9710D"/>
    <w:rsid w:val="761A3AF4"/>
    <w:rsid w:val="76283289"/>
    <w:rsid w:val="76B13A3D"/>
    <w:rsid w:val="77643F3D"/>
    <w:rsid w:val="77C81353"/>
    <w:rsid w:val="7804238E"/>
    <w:rsid w:val="782E04C1"/>
    <w:rsid w:val="7872538E"/>
    <w:rsid w:val="78B55717"/>
    <w:rsid w:val="793218A2"/>
    <w:rsid w:val="79412907"/>
    <w:rsid w:val="79982FA7"/>
    <w:rsid w:val="79AB1CAC"/>
    <w:rsid w:val="79C3140D"/>
    <w:rsid w:val="79C7267B"/>
    <w:rsid w:val="79E104AA"/>
    <w:rsid w:val="7A023C38"/>
    <w:rsid w:val="7A0F3269"/>
    <w:rsid w:val="7A2C33B3"/>
    <w:rsid w:val="7A547208"/>
    <w:rsid w:val="7ADB4DD1"/>
    <w:rsid w:val="7BEC3136"/>
    <w:rsid w:val="7C4B2455"/>
    <w:rsid w:val="7C5A62CB"/>
    <w:rsid w:val="7D24527D"/>
    <w:rsid w:val="7D5B68A9"/>
    <w:rsid w:val="7D657644"/>
    <w:rsid w:val="7D702148"/>
    <w:rsid w:val="7DC530F3"/>
    <w:rsid w:val="7E120ECA"/>
    <w:rsid w:val="7E456FE1"/>
    <w:rsid w:val="7E590C7D"/>
    <w:rsid w:val="7EE54599"/>
    <w:rsid w:val="7F5673C5"/>
    <w:rsid w:val="7F673200"/>
    <w:rsid w:val="DBBEA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9"/>
    <w:qFormat/>
    <w:uiPriority w:val="0"/>
    <w:pPr>
      <w:keepNext/>
      <w:keepLines/>
      <w:spacing w:before="340" w:after="330" w:line="576" w:lineRule="auto"/>
      <w:outlineLvl w:val="0"/>
    </w:pPr>
    <w:rPr>
      <w:rFonts w:ascii="Calibri" w:hAnsi="Calibri" w:eastAsia="宋体" w:cs="Times New Roman"/>
      <w:b/>
      <w:kern w:val="44"/>
      <w:sz w:val="44"/>
      <w:szCs w:val="44"/>
    </w:rPr>
  </w:style>
  <w:style w:type="paragraph" w:styleId="2">
    <w:name w:val="heading 2"/>
    <w:basedOn w:val="1"/>
    <w:next w:val="1"/>
    <w:qFormat/>
    <w:uiPriority w:val="0"/>
    <w:pPr>
      <w:keepNext/>
      <w:keepLines/>
      <w:spacing w:before="260" w:after="260" w:line="412" w:lineRule="auto"/>
      <w:outlineLvl w:val="1"/>
    </w:pPr>
    <w:rPr>
      <w:rFonts w:ascii="Arial" w:hAnsi="Arial" w:eastAsia="黑体"/>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6"/>
    <w:qFormat/>
    <w:uiPriority w:val="0"/>
    <w:pPr>
      <w:jc w:val="left"/>
    </w:pPr>
  </w:style>
  <w:style w:type="paragraph" w:styleId="5">
    <w:name w:val="Body Text"/>
    <w:basedOn w:val="1"/>
    <w:next w:val="6"/>
    <w:link w:val="41"/>
    <w:qFormat/>
    <w:uiPriority w:val="0"/>
    <w:pPr>
      <w:spacing w:after="120"/>
    </w:pPr>
    <w:rPr>
      <w:rFonts w:ascii="Calibri" w:hAnsi="Calibri" w:eastAsia="宋体" w:cs="Times New Roman"/>
      <w:szCs w:val="20"/>
    </w:rPr>
  </w:style>
  <w:style w:type="paragraph" w:customStyle="1" w:styleId="6">
    <w:name w:val="Default"/>
    <w:basedOn w:val="1"/>
    <w:qFormat/>
    <w:uiPriority w:val="0"/>
    <w:pPr>
      <w:autoSpaceDE w:val="0"/>
      <w:autoSpaceDN w:val="0"/>
      <w:adjustRightInd w:val="0"/>
      <w:jc w:val="left"/>
    </w:pPr>
    <w:rPr>
      <w:rFonts w:hint="eastAsia" w:ascii="宋体" w:hAnsi="Calibri" w:eastAsia="宋体" w:cs="Times New Roman"/>
      <w:color w:val="000000"/>
      <w:kern w:val="0"/>
      <w:sz w:val="24"/>
      <w:szCs w:val="20"/>
    </w:rPr>
  </w:style>
  <w:style w:type="paragraph" w:styleId="7">
    <w:name w:val="Body Text Indent"/>
    <w:basedOn w:val="1"/>
    <w:next w:val="8"/>
    <w:link w:val="35"/>
    <w:qFormat/>
    <w:uiPriority w:val="0"/>
    <w:pPr>
      <w:ind w:left="420" w:leftChars="200"/>
    </w:pPr>
  </w:style>
  <w:style w:type="paragraph" w:styleId="8">
    <w:name w:val="envelope return"/>
    <w:basedOn w:val="1"/>
    <w:qFormat/>
    <w:uiPriority w:val="0"/>
    <w:pPr>
      <w:snapToGrid w:val="0"/>
    </w:pPr>
    <w:rPr>
      <w:rFonts w:ascii="Arial" w:hAnsi="Arial" w:cs="Arial"/>
    </w:rPr>
  </w:style>
  <w:style w:type="paragraph" w:styleId="9">
    <w:name w:val="List 2"/>
    <w:basedOn w:val="1"/>
    <w:unhideWhenUsed/>
    <w:qFormat/>
    <w:uiPriority w:val="99"/>
    <w:pPr>
      <w:ind w:left="100" w:leftChars="200" w:hanging="200" w:hangingChars="200"/>
      <w:contextualSpacing/>
    </w:pPr>
  </w:style>
  <w:style w:type="paragraph" w:styleId="10">
    <w:name w:val="Date"/>
    <w:basedOn w:val="1"/>
    <w:next w:val="1"/>
    <w:link w:val="34"/>
    <w:qFormat/>
    <w:uiPriority w:val="0"/>
    <w:pPr>
      <w:ind w:left="100" w:leftChars="2500"/>
    </w:pPr>
  </w:style>
  <w:style w:type="paragraph" w:styleId="11">
    <w:name w:val="Body Text Indent 2"/>
    <w:basedOn w:val="1"/>
    <w:link w:val="42"/>
    <w:qFormat/>
    <w:uiPriority w:val="0"/>
    <w:pPr>
      <w:spacing w:line="480" w:lineRule="auto"/>
      <w:ind w:left="420" w:leftChars="200"/>
    </w:pPr>
  </w:style>
  <w:style w:type="paragraph" w:styleId="12">
    <w:name w:val="Balloon Text"/>
    <w:basedOn w:val="1"/>
    <w:link w:val="40"/>
    <w:qFormat/>
    <w:uiPriority w:val="0"/>
    <w:rPr>
      <w:sz w:val="18"/>
    </w:rPr>
  </w:style>
  <w:style w:type="paragraph" w:styleId="13">
    <w:name w:val="footer"/>
    <w:basedOn w:val="1"/>
    <w:link w:val="44"/>
    <w:qFormat/>
    <w:uiPriority w:val="99"/>
    <w:pPr>
      <w:tabs>
        <w:tab w:val="center" w:pos="4153"/>
        <w:tab w:val="right" w:pos="8306"/>
      </w:tabs>
      <w:snapToGrid w:val="0"/>
      <w:jc w:val="left"/>
    </w:pPr>
    <w:rPr>
      <w:sz w:val="18"/>
    </w:rPr>
  </w:style>
  <w:style w:type="paragraph" w:styleId="14">
    <w:name w:val="header"/>
    <w:basedOn w:val="1"/>
    <w:link w:val="4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0"/>
    <w:pPr>
      <w:tabs>
        <w:tab w:val="right" w:leader="dot" w:pos="9345"/>
      </w:tabs>
      <w:spacing w:after="120" w:line="360" w:lineRule="auto"/>
      <w:jc w:val="left"/>
    </w:pPr>
    <w:rPr>
      <w:rFonts w:ascii="Calibri" w:hAnsi="Calibri" w:eastAsia="宋体" w:cs="Times New Roman"/>
      <w:b/>
      <w:sz w:val="28"/>
      <w:szCs w:val="28"/>
    </w:rPr>
  </w:style>
  <w:style w:type="paragraph" w:styleId="16">
    <w:name w:val="toc 2"/>
    <w:basedOn w:val="1"/>
    <w:next w:val="1"/>
    <w:qFormat/>
    <w:uiPriority w:val="0"/>
    <w:pPr>
      <w:ind w:left="420" w:leftChars="200"/>
    </w:pPr>
  </w:style>
  <w:style w:type="paragraph" w:styleId="17">
    <w:name w:val="Body Text 2"/>
    <w:basedOn w:val="1"/>
    <w:next w:val="5"/>
    <w:qFormat/>
    <w:uiPriority w:val="99"/>
    <w:pPr>
      <w:spacing w:after="120" w:line="480" w:lineRule="auto"/>
    </w:pPr>
    <w:rPr>
      <w:sz w:val="20"/>
    </w:rPr>
  </w:style>
  <w:style w:type="paragraph" w:styleId="18">
    <w:name w:val="Normal (Web)"/>
    <w:basedOn w:val="1"/>
    <w:qFormat/>
    <w:uiPriority w:val="0"/>
    <w:pPr>
      <w:spacing w:beforeAutospacing="1" w:afterAutospacing="1"/>
      <w:jc w:val="left"/>
    </w:pPr>
    <w:rPr>
      <w:rFonts w:ascii="Calibri" w:hAnsi="Calibri" w:eastAsia="宋体" w:cs="Times New Roman"/>
      <w:kern w:val="0"/>
      <w:sz w:val="24"/>
      <w:szCs w:val="20"/>
    </w:rPr>
  </w:style>
  <w:style w:type="paragraph" w:styleId="19">
    <w:name w:val="annotation subject"/>
    <w:basedOn w:val="4"/>
    <w:next w:val="4"/>
    <w:link w:val="45"/>
    <w:qFormat/>
    <w:uiPriority w:val="0"/>
    <w:rPr>
      <w:b/>
    </w:rPr>
  </w:style>
  <w:style w:type="paragraph" w:styleId="20">
    <w:name w:val="Body Text First Indent"/>
    <w:basedOn w:val="5"/>
    <w:next w:val="21"/>
    <w:link w:val="47"/>
    <w:qFormat/>
    <w:uiPriority w:val="0"/>
    <w:pPr>
      <w:widowControl/>
      <w:spacing w:line="357" w:lineRule="atLeast"/>
      <w:ind w:firstLine="420" w:firstLineChars="100"/>
    </w:pPr>
    <w:rPr>
      <w:rFonts w:ascii="Times New Roman" w:hAnsi="Times New Roman"/>
      <w:color w:val="000000"/>
      <w:kern w:val="0"/>
      <w:u w:color="000000"/>
    </w:rPr>
  </w:style>
  <w:style w:type="paragraph" w:styleId="21">
    <w:name w:val="Body Text First Indent 2"/>
    <w:basedOn w:val="7"/>
    <w:next w:val="1"/>
    <w:qFormat/>
    <w:uiPriority w:val="0"/>
    <w:pPr>
      <w:tabs>
        <w:tab w:val="left" w:pos="0"/>
        <w:tab w:val="left" w:pos="945"/>
        <w:tab w:val="left" w:pos="1155"/>
      </w:tabs>
      <w:spacing w:after="120"/>
      <w:ind w:firstLine="420" w:firstLineChars="200"/>
    </w:pPr>
  </w:style>
  <w:style w:type="table" w:styleId="23">
    <w:name w:val="Table Grid"/>
    <w:basedOn w:val="22"/>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5">
    <w:name w:val="Strong"/>
    <w:basedOn w:val="24"/>
    <w:qFormat/>
    <w:uiPriority w:val="0"/>
    <w:rPr>
      <w:b/>
      <w:bCs/>
    </w:rPr>
  </w:style>
  <w:style w:type="character" w:styleId="26">
    <w:name w:val="page number"/>
    <w:basedOn w:val="24"/>
    <w:qFormat/>
    <w:uiPriority w:val="0"/>
  </w:style>
  <w:style w:type="character" w:styleId="27">
    <w:name w:val="FollowedHyperlink"/>
    <w:basedOn w:val="24"/>
    <w:qFormat/>
    <w:uiPriority w:val="99"/>
    <w:rPr>
      <w:color w:val="000000"/>
      <w:u w:val="none"/>
    </w:rPr>
  </w:style>
  <w:style w:type="character" w:styleId="28">
    <w:name w:val="Emphasis"/>
    <w:basedOn w:val="24"/>
    <w:qFormat/>
    <w:uiPriority w:val="0"/>
    <w:rPr>
      <w:rFonts w:hint="default" w:ascii="Times New Roman" w:hAnsi="Times New Roman" w:cs="Times New Roman"/>
      <w:i/>
      <w:w w:val="100"/>
      <w:sz w:val="21"/>
    </w:rPr>
  </w:style>
  <w:style w:type="character" w:styleId="29">
    <w:name w:val="Hyperlink"/>
    <w:basedOn w:val="24"/>
    <w:qFormat/>
    <w:uiPriority w:val="99"/>
    <w:rPr>
      <w:color w:val="000000"/>
      <w:u w:val="none"/>
    </w:rPr>
  </w:style>
  <w:style w:type="character" w:styleId="30">
    <w:name w:val="HTML Code"/>
    <w:basedOn w:val="24"/>
    <w:qFormat/>
    <w:uiPriority w:val="0"/>
    <w:rPr>
      <w:rFonts w:hint="default" w:ascii="monospace" w:hAnsi="monospace" w:eastAsia="monospace" w:cs="monospace"/>
      <w:sz w:val="21"/>
      <w:szCs w:val="21"/>
    </w:rPr>
  </w:style>
  <w:style w:type="character" w:styleId="31">
    <w:name w:val="annotation reference"/>
    <w:basedOn w:val="24"/>
    <w:qFormat/>
    <w:uiPriority w:val="0"/>
    <w:rPr>
      <w:sz w:val="21"/>
      <w:szCs w:val="21"/>
    </w:rPr>
  </w:style>
  <w:style w:type="character" w:styleId="32">
    <w:name w:val="HTML Keyboard"/>
    <w:basedOn w:val="24"/>
    <w:qFormat/>
    <w:uiPriority w:val="0"/>
    <w:rPr>
      <w:rFonts w:hint="default" w:ascii="monospace" w:hAnsi="monospace" w:eastAsia="monospace" w:cs="monospace"/>
      <w:sz w:val="21"/>
      <w:szCs w:val="21"/>
    </w:rPr>
  </w:style>
  <w:style w:type="character" w:styleId="33">
    <w:name w:val="HTML Sample"/>
    <w:basedOn w:val="24"/>
    <w:qFormat/>
    <w:uiPriority w:val="0"/>
    <w:rPr>
      <w:rFonts w:ascii="monospace" w:hAnsi="monospace" w:eastAsia="monospace" w:cs="monospace"/>
      <w:sz w:val="21"/>
      <w:szCs w:val="21"/>
    </w:rPr>
  </w:style>
  <w:style w:type="character" w:customStyle="1" w:styleId="34">
    <w:name w:val="日期 Char"/>
    <w:basedOn w:val="24"/>
    <w:link w:val="10"/>
    <w:qFormat/>
    <w:uiPriority w:val="0"/>
    <w:rPr>
      <w:kern w:val="2"/>
      <w:sz w:val="21"/>
    </w:rPr>
  </w:style>
  <w:style w:type="character" w:customStyle="1" w:styleId="35">
    <w:name w:val="正文文本缩进 Char"/>
    <w:basedOn w:val="24"/>
    <w:link w:val="7"/>
    <w:qFormat/>
    <w:uiPriority w:val="0"/>
    <w:rPr>
      <w:rFonts w:hint="eastAsia" w:ascii="楷体_GB2312" w:eastAsia="楷体_GB2312" w:cs="楷体_GB2312"/>
      <w:b/>
      <w:kern w:val="2"/>
      <w:sz w:val="28"/>
    </w:rPr>
  </w:style>
  <w:style w:type="character" w:customStyle="1" w:styleId="36">
    <w:name w:val="批注文字 Char"/>
    <w:basedOn w:val="24"/>
    <w:link w:val="4"/>
    <w:qFormat/>
    <w:uiPriority w:val="0"/>
    <w:rPr>
      <w:kern w:val="2"/>
      <w:sz w:val="21"/>
    </w:rPr>
  </w:style>
  <w:style w:type="paragraph" w:customStyle="1" w:styleId="37">
    <w:name w:val="p0"/>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38">
    <w:name w:val="Table Paragraph"/>
    <w:basedOn w:val="1"/>
    <w:qFormat/>
    <w:uiPriority w:val="0"/>
    <w:pPr>
      <w:autoSpaceDE w:val="0"/>
      <w:autoSpaceDN w:val="0"/>
      <w:adjustRightInd w:val="0"/>
      <w:jc w:val="left"/>
    </w:pPr>
    <w:rPr>
      <w:rFonts w:hint="eastAsia" w:ascii="宋体" w:hAnsi="Calibri" w:eastAsia="宋体" w:cs="Times New Roman"/>
      <w:kern w:val="0"/>
      <w:sz w:val="24"/>
    </w:rPr>
  </w:style>
  <w:style w:type="character" w:customStyle="1" w:styleId="39">
    <w:name w:val="标题 1 Char"/>
    <w:basedOn w:val="24"/>
    <w:link w:val="3"/>
    <w:qFormat/>
    <w:uiPriority w:val="0"/>
    <w:rPr>
      <w:b/>
      <w:kern w:val="44"/>
      <w:sz w:val="44"/>
      <w:szCs w:val="44"/>
    </w:rPr>
  </w:style>
  <w:style w:type="character" w:customStyle="1" w:styleId="40">
    <w:name w:val="批注框文本 Char"/>
    <w:basedOn w:val="24"/>
    <w:link w:val="12"/>
    <w:qFormat/>
    <w:uiPriority w:val="0"/>
    <w:rPr>
      <w:kern w:val="2"/>
      <w:sz w:val="18"/>
    </w:rPr>
  </w:style>
  <w:style w:type="character" w:customStyle="1" w:styleId="41">
    <w:name w:val="正文文本 Char"/>
    <w:basedOn w:val="24"/>
    <w:link w:val="5"/>
    <w:qFormat/>
    <w:uiPriority w:val="0"/>
    <w:rPr>
      <w:kern w:val="2"/>
      <w:sz w:val="21"/>
    </w:rPr>
  </w:style>
  <w:style w:type="character" w:customStyle="1" w:styleId="42">
    <w:name w:val="正文文本缩进 2 Char"/>
    <w:basedOn w:val="24"/>
    <w:link w:val="11"/>
    <w:qFormat/>
    <w:uiPriority w:val="0"/>
    <w:rPr>
      <w:kern w:val="2"/>
      <w:sz w:val="21"/>
    </w:rPr>
  </w:style>
  <w:style w:type="character" w:customStyle="1" w:styleId="43">
    <w:name w:val="页眉 Char"/>
    <w:basedOn w:val="24"/>
    <w:link w:val="14"/>
    <w:qFormat/>
    <w:uiPriority w:val="0"/>
    <w:rPr>
      <w:kern w:val="2"/>
      <w:sz w:val="18"/>
    </w:rPr>
  </w:style>
  <w:style w:type="character" w:customStyle="1" w:styleId="44">
    <w:name w:val="页脚 Char"/>
    <w:basedOn w:val="24"/>
    <w:link w:val="13"/>
    <w:qFormat/>
    <w:uiPriority w:val="99"/>
    <w:rPr>
      <w:kern w:val="2"/>
      <w:sz w:val="18"/>
    </w:rPr>
  </w:style>
  <w:style w:type="character" w:customStyle="1" w:styleId="45">
    <w:name w:val="批注主题 Char"/>
    <w:basedOn w:val="36"/>
    <w:link w:val="19"/>
    <w:qFormat/>
    <w:uiPriority w:val="0"/>
    <w:rPr>
      <w:b/>
      <w:kern w:val="2"/>
      <w:sz w:val="21"/>
    </w:rPr>
  </w:style>
  <w:style w:type="character" w:customStyle="1" w:styleId="46">
    <w:name w:val="正文缩进2格 Char"/>
    <w:basedOn w:val="24"/>
    <w:qFormat/>
    <w:uiPriority w:val="0"/>
    <w:rPr>
      <w:rFonts w:hint="eastAsia" w:ascii="仿宋_GB2312" w:hAnsi="宋体" w:eastAsia="仿宋_GB2312" w:cs="仿宋_GB2312"/>
      <w:kern w:val="2"/>
      <w:sz w:val="31"/>
      <w:szCs w:val="28"/>
    </w:rPr>
  </w:style>
  <w:style w:type="character" w:customStyle="1" w:styleId="47">
    <w:name w:val="正文首行缩进 Char"/>
    <w:basedOn w:val="41"/>
    <w:link w:val="20"/>
    <w:qFormat/>
    <w:uiPriority w:val="0"/>
    <w:rPr>
      <w:rFonts w:hint="default" w:ascii="Times New Roman" w:hAnsi="Times New Roman" w:cs="Times New Roman"/>
      <w:color w:val="000000"/>
      <w:kern w:val="2"/>
      <w:sz w:val="21"/>
      <w:u w:color="000000"/>
    </w:rPr>
  </w:style>
  <w:style w:type="character" w:customStyle="1" w:styleId="48">
    <w:name w:val="hover17"/>
    <w:basedOn w:val="24"/>
    <w:qFormat/>
    <w:uiPriority w:val="0"/>
  </w:style>
  <w:style w:type="character" w:customStyle="1" w:styleId="49">
    <w:name w:val="active[data-v-3f5430ea]"/>
    <w:basedOn w:val="24"/>
    <w:qFormat/>
    <w:uiPriority w:val="0"/>
    <w:rPr>
      <w:rFonts w:ascii="MicrosoftYaHei" w:hAnsi="MicrosoftYaHei" w:eastAsia="MicrosoftYaHei" w:cs="MicrosoftYaHei"/>
      <w:b/>
      <w:bCs/>
      <w:color w:val="2874E4"/>
      <w:sz w:val="24"/>
      <w:szCs w:val="24"/>
    </w:rPr>
  </w:style>
  <w:style w:type="character" w:customStyle="1" w:styleId="50">
    <w:name w:val="current[data-v-90e68978]"/>
    <w:basedOn w:val="24"/>
    <w:qFormat/>
    <w:uiPriority w:val="0"/>
    <w:rPr>
      <w:color w:val="FFFFFF"/>
      <w:shd w:val="clear" w:color="auto" w:fill="065CBC"/>
    </w:rPr>
  </w:style>
  <w:style w:type="character" w:customStyle="1" w:styleId="51">
    <w:name w:val="not([class*=suffix])"/>
    <w:basedOn w:val="24"/>
    <w:qFormat/>
    <w:uiPriority w:val="0"/>
    <w:rPr>
      <w:sz w:val="19"/>
      <w:szCs w:val="19"/>
    </w:rPr>
  </w:style>
  <w:style w:type="character" w:customStyle="1" w:styleId="52">
    <w:name w:val="not([class*=suffix])1"/>
    <w:basedOn w:val="24"/>
    <w:qFormat/>
    <w:uiPriority w:val="0"/>
  </w:style>
  <w:style w:type="character" w:customStyle="1" w:styleId="53">
    <w:name w:val="current[data-v-a582a8c0]"/>
    <w:basedOn w:val="24"/>
    <w:qFormat/>
    <w:uiPriority w:val="0"/>
    <w:rPr>
      <w:color w:val="FFFFFF"/>
      <w:shd w:val="clear" w:color="auto" w:fill="065CBC"/>
    </w:rPr>
  </w:style>
  <w:style w:type="character" w:customStyle="1" w:styleId="54">
    <w:name w:val="hover18"/>
    <w:basedOn w:val="24"/>
    <w:qFormat/>
    <w:uiPriority w:val="0"/>
  </w:style>
  <w:style w:type="character" w:customStyle="1" w:styleId="55">
    <w:name w:val="font31"/>
    <w:basedOn w:val="24"/>
    <w:qFormat/>
    <w:uiPriority w:val="0"/>
    <w:rPr>
      <w:rFonts w:hint="eastAsia" w:ascii="宋体" w:hAnsi="宋体" w:eastAsia="宋体" w:cs="宋体"/>
      <w:color w:val="000000"/>
      <w:sz w:val="20"/>
      <w:szCs w:val="20"/>
      <w:u w:val="none"/>
    </w:rPr>
  </w:style>
  <w:style w:type="character" w:customStyle="1" w:styleId="56">
    <w:name w:val="font21"/>
    <w:basedOn w:val="24"/>
    <w:qFormat/>
    <w:uiPriority w:val="0"/>
    <w:rPr>
      <w:rFonts w:hint="eastAsia" w:ascii="宋体" w:hAnsi="宋体" w:eastAsia="宋体" w:cs="宋体"/>
      <w:b/>
      <w:bCs/>
      <w:color w:val="000000"/>
      <w:sz w:val="21"/>
      <w:szCs w:val="21"/>
      <w:u w:val="none"/>
    </w:rPr>
  </w:style>
  <w:style w:type="character" w:customStyle="1" w:styleId="57">
    <w:name w:val="font81"/>
    <w:basedOn w:val="24"/>
    <w:qFormat/>
    <w:uiPriority w:val="0"/>
    <w:rPr>
      <w:rFonts w:ascii="Calibri" w:hAnsi="Calibri" w:cs="Calibri"/>
      <w:b/>
      <w:bCs/>
      <w:color w:val="000000"/>
      <w:sz w:val="21"/>
      <w:szCs w:val="21"/>
      <w:u w:val="none"/>
    </w:rPr>
  </w:style>
  <w:style w:type="character" w:customStyle="1" w:styleId="58">
    <w:name w:val="font51"/>
    <w:basedOn w:val="24"/>
    <w:qFormat/>
    <w:uiPriority w:val="0"/>
    <w:rPr>
      <w:rFonts w:hint="eastAsia" w:ascii="宋体" w:hAnsi="宋体" w:eastAsia="宋体" w:cs="宋体"/>
      <w:color w:val="000000"/>
      <w:sz w:val="21"/>
      <w:szCs w:val="21"/>
      <w:u w:val="none"/>
    </w:rPr>
  </w:style>
  <w:style w:type="character" w:customStyle="1" w:styleId="59">
    <w:name w:val="font71"/>
    <w:basedOn w:val="24"/>
    <w:qFormat/>
    <w:uiPriority w:val="0"/>
    <w:rPr>
      <w:rFonts w:hint="eastAsia" w:ascii="宋体" w:hAnsi="宋体" w:eastAsia="宋体" w:cs="宋体"/>
      <w:color w:val="000000"/>
      <w:sz w:val="14"/>
      <w:szCs w:val="14"/>
      <w:u w:val="none"/>
    </w:rPr>
  </w:style>
  <w:style w:type="character" w:customStyle="1" w:styleId="60">
    <w:name w:val="font11"/>
    <w:basedOn w:val="24"/>
    <w:qFormat/>
    <w:uiPriority w:val="0"/>
    <w:rPr>
      <w:rFonts w:hint="default" w:ascii="Times New Roman" w:hAnsi="Times New Roman" w:cs="Times New Roman"/>
      <w:color w:val="000000"/>
      <w:sz w:val="14"/>
      <w:szCs w:val="14"/>
      <w:u w:val="none"/>
    </w:rPr>
  </w:style>
  <w:style w:type="character" w:customStyle="1" w:styleId="61">
    <w:name w:val="font41"/>
    <w:basedOn w:val="24"/>
    <w:qFormat/>
    <w:uiPriority w:val="0"/>
    <w:rPr>
      <w:rFonts w:hint="eastAsia" w:ascii="宋体" w:hAnsi="宋体" w:eastAsia="宋体" w:cs="宋体"/>
      <w:color w:val="FF0000"/>
      <w:sz w:val="21"/>
      <w:szCs w:val="21"/>
      <w:u w:val="none"/>
    </w:rPr>
  </w:style>
  <w:style w:type="paragraph" w:customStyle="1" w:styleId="62">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65">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66">
    <w:name w:val="xl63"/>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7">
    <w:name w:val="xl64"/>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68">
    <w:name w:val="xl65"/>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69">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0">
    <w:name w:val="xl6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1">
    <w:name w:val="xl68"/>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2">
    <w:name w:val="xl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3">
    <w:name w:val="xl70"/>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74">
    <w:name w:val="xl71"/>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5">
    <w:name w:val="xl72"/>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6">
    <w:name w:val="xl7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7">
    <w:name w:val="xl7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8">
    <w:name w:val="xl75"/>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9">
    <w:name w:val="xl76"/>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0">
    <w:name w:val="xl77"/>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1">
    <w:name w:val="xl78"/>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2">
    <w:name w:val="xl79"/>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3">
    <w:name w:val="xl80"/>
    <w:basedOn w:val="1"/>
    <w:qFormat/>
    <w:uiPriority w:val="0"/>
    <w:pPr>
      <w:widowControl/>
      <w:pBdr>
        <w:top w:val="single" w:color="auto" w:sz="8" w:space="0"/>
        <w:bottom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4">
    <w:name w:val="xl81"/>
    <w:basedOn w:val="1"/>
    <w:qFormat/>
    <w:uiPriority w:val="0"/>
    <w:pPr>
      <w:widowControl/>
      <w:pBdr>
        <w:top w:val="single" w:color="auto" w:sz="8" w:space="0"/>
        <w:lef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5">
    <w:name w:val="xl82"/>
    <w:basedOn w:val="1"/>
    <w:qFormat/>
    <w:uiPriority w:val="0"/>
    <w:pPr>
      <w:widowControl/>
      <w:pBdr>
        <w:top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6">
    <w:name w:val="xl83"/>
    <w:basedOn w:val="1"/>
    <w:qFormat/>
    <w:uiPriority w:val="0"/>
    <w:pPr>
      <w:widowControl/>
      <w:pBdr>
        <w:top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7">
    <w:name w:val="xl84"/>
    <w:basedOn w:val="1"/>
    <w:qFormat/>
    <w:uiPriority w:val="0"/>
    <w:pPr>
      <w:widowControl/>
      <w:pBdr>
        <w:lef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8">
    <w:name w:val="xl85"/>
    <w:basedOn w:val="1"/>
    <w:qFormat/>
    <w:uiPriority w:val="0"/>
    <w:pPr>
      <w:widowControl/>
      <w:spacing w:before="100" w:beforeAutospacing="1" w:after="100" w:afterAutospacing="1"/>
      <w:jc w:val="left"/>
      <w:textAlignment w:val="center"/>
    </w:pPr>
    <w:rPr>
      <w:rFonts w:ascii="宋体" w:hAnsi="宋体" w:eastAsia="宋体" w:cs="宋体"/>
      <w:kern w:val="0"/>
      <w:sz w:val="20"/>
      <w:szCs w:val="20"/>
    </w:rPr>
  </w:style>
  <w:style w:type="paragraph" w:customStyle="1" w:styleId="89">
    <w:name w:val="xl8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0">
    <w:name w:val="xl87"/>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1">
    <w:name w:val="xl88"/>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2">
    <w:name w:val="xl8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3">
    <w:name w:val="xl90"/>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94">
    <w:name w:val="xl91"/>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5">
    <w:name w:val="xl92"/>
    <w:basedOn w:val="1"/>
    <w:qFormat/>
    <w:uiPriority w:val="0"/>
    <w:pPr>
      <w:widowControl/>
      <w:pBdr>
        <w:bottom w:val="single" w:color="auto" w:sz="8" w:space="0"/>
      </w:pBdr>
      <w:spacing w:before="100" w:beforeAutospacing="1" w:after="100" w:afterAutospacing="1"/>
      <w:jc w:val="left"/>
      <w:textAlignment w:val="center"/>
    </w:pPr>
    <w:rPr>
      <w:rFonts w:ascii="宋体" w:hAnsi="宋体" w:eastAsia="宋体" w:cs="宋体"/>
      <w:b/>
      <w:bCs/>
      <w:kern w:val="0"/>
      <w:sz w:val="24"/>
    </w:rPr>
  </w:style>
  <w:style w:type="paragraph" w:customStyle="1" w:styleId="96">
    <w:name w:val="xl93"/>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97">
    <w:name w:val="xl94"/>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98">
    <w:name w:val="xl95"/>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9">
    <w:name w:val="xl96"/>
    <w:basedOn w:val="1"/>
    <w:qFormat/>
    <w:uiPriority w:val="0"/>
    <w:pPr>
      <w:widowControl/>
      <w:pBdr>
        <w:lef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0">
    <w:name w:val="xl97"/>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1">
    <w:name w:val="xl98"/>
    <w:basedOn w:val="1"/>
    <w:qFormat/>
    <w:uiPriority w:val="0"/>
    <w:pPr>
      <w:widowControl/>
      <w:pBdr>
        <w:left w:val="single" w:color="auto" w:sz="8" w:space="0"/>
        <w:bottom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2">
    <w:name w:val="xl99"/>
    <w:basedOn w:val="1"/>
    <w:qFormat/>
    <w:uiPriority w:val="0"/>
    <w:pPr>
      <w:widowControl/>
      <w:pBdr>
        <w:bottom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3">
    <w:name w:val="xl100"/>
    <w:basedOn w:val="1"/>
    <w:qFormat/>
    <w:uiPriority w:val="0"/>
    <w:pPr>
      <w:widowControl/>
      <w:pBdr>
        <w:bottom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4">
    <w:name w:val="xl101"/>
    <w:basedOn w:val="1"/>
    <w:qFormat/>
    <w:uiPriority w:val="0"/>
    <w:pPr>
      <w:widowControl/>
      <w:pBdr>
        <w:left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5">
    <w:name w:val="xl102"/>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character" w:customStyle="1" w:styleId="106">
    <w:name w:val="current[data-v-3f48f332]"/>
    <w:basedOn w:val="24"/>
    <w:qFormat/>
    <w:uiPriority w:val="0"/>
    <w:rPr>
      <w:color w:val="FFFFFF"/>
      <w:shd w:val="clear" w:color="auto" w:fill="065CBC"/>
    </w:rPr>
  </w:style>
  <w:style w:type="character" w:customStyle="1" w:styleId="107">
    <w:name w:val="current[data-v-5e1194b2]"/>
    <w:basedOn w:val="24"/>
    <w:qFormat/>
    <w:uiPriority w:val="0"/>
    <w:rPr>
      <w:color w:val="FFFFFF"/>
      <w:shd w:val="clear" w:color="auto" w:fill="065CBC"/>
    </w:rPr>
  </w:style>
  <w:style w:type="table" w:customStyle="1" w:styleId="108">
    <w:name w:val="aPP表格11"/>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9">
    <w:name w:val="无间隔1"/>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67</Pages>
  <Words>40895</Words>
  <Characters>43547</Characters>
  <Lines>428</Lines>
  <Paragraphs>120</Paragraphs>
  <TotalTime>4</TotalTime>
  <ScaleCrop>false</ScaleCrop>
  <LinksUpToDate>false</LinksUpToDate>
  <CharactersWithSpaces>44953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2022-10-09T08:38:00Z</dcterms:created>
  <dc:creator>河南德新工程管理咨询有限公司:尹广星</dc:creator>
  <cp:lastModifiedBy>Admin</cp:lastModifiedBy>
  <cp:lastPrinted>2022-10-09T13:22:00Z</cp:lastPrinted>
  <dcterms:modified xsi:type="dcterms:W3CDTF">2022-12-15T07:49:35Z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B86CA23D6D444332B1EEB1E36701E5FD</vt:lpwstr>
  </property>
  <property fmtid="{D5CDD505-2E9C-101B-9397-08002B2CF9AE}" pid="3" name="KSOProductBuildVer">
    <vt:lpwstr>2052-11.1.0.12763</vt:lpwstr>
  </property>
</Properties>
</file>