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F40E2C">
      <w:pPr>
        <w:widowControl w:val="0"/>
        <w:snapToGrid w:val="0"/>
        <w:spacing w:line="240" w:lineRule="auto"/>
        <w:ind w:firstLine="241" w:firstLineChars="50"/>
        <w:jc w:val="center"/>
        <w:rPr>
          <w:rFonts w:hint="eastAsia" w:ascii="宋体" w:hAnsi="宋体" w:eastAsia="宋体" w:cs="宋体"/>
          <w:b/>
          <w:color w:val="auto"/>
          <w:spacing w:val="40"/>
          <w:sz w:val="40"/>
          <w:szCs w:val="40"/>
          <w:highlight w:val="none"/>
          <w:lang w:eastAsia="zh-CN"/>
        </w:rPr>
      </w:pPr>
    </w:p>
    <w:p w14:paraId="53942626">
      <w:pPr>
        <w:widowControl w:val="0"/>
        <w:snapToGrid w:val="0"/>
        <w:spacing w:line="560" w:lineRule="exact"/>
        <w:ind w:firstLine="241" w:firstLineChars="50"/>
        <w:jc w:val="center"/>
        <w:rPr>
          <w:rFonts w:ascii="宋体" w:hAnsi="宋体" w:cs="宋体"/>
          <w:b/>
          <w:color w:val="auto"/>
          <w:spacing w:val="40"/>
          <w:sz w:val="40"/>
          <w:szCs w:val="40"/>
          <w:highlight w:val="none"/>
        </w:rPr>
      </w:pPr>
    </w:p>
    <w:p w14:paraId="46449E12">
      <w:pPr>
        <w:widowControl w:val="0"/>
        <w:snapToGrid w:val="0"/>
        <w:spacing w:line="560" w:lineRule="exact"/>
        <w:ind w:firstLine="241" w:firstLineChars="50"/>
        <w:jc w:val="center"/>
        <w:rPr>
          <w:rFonts w:ascii="宋体" w:hAnsi="宋体" w:cs="宋体"/>
          <w:b/>
          <w:color w:val="auto"/>
          <w:spacing w:val="40"/>
          <w:sz w:val="40"/>
          <w:szCs w:val="40"/>
          <w:highlight w:val="none"/>
        </w:rPr>
      </w:pPr>
    </w:p>
    <w:p w14:paraId="2652B437">
      <w:pPr>
        <w:widowControl w:val="0"/>
        <w:snapToGrid w:val="0"/>
        <w:spacing w:line="560" w:lineRule="exact"/>
        <w:ind w:firstLine="241" w:firstLineChars="50"/>
        <w:jc w:val="center"/>
        <w:rPr>
          <w:rFonts w:hint="eastAsia" w:ascii="宋体" w:hAnsi="宋体" w:cs="宋体"/>
          <w:b/>
          <w:color w:val="auto"/>
          <w:sz w:val="48"/>
          <w:szCs w:val="48"/>
          <w:highlight w:val="none"/>
          <w:lang w:eastAsia="zh-CN"/>
        </w:rPr>
      </w:pPr>
      <w:r>
        <w:rPr>
          <w:rFonts w:hint="eastAsia" w:ascii="宋体" w:hAnsi="宋体" w:cs="宋体"/>
          <w:b/>
          <w:color w:val="auto"/>
          <w:sz w:val="48"/>
          <w:szCs w:val="48"/>
          <w:highlight w:val="none"/>
          <w:lang w:eastAsia="zh-CN"/>
        </w:rPr>
        <w:t>安阳市体育发展服务中心场馆改造提升</w:t>
      </w:r>
    </w:p>
    <w:p w14:paraId="296A56DF">
      <w:pPr>
        <w:widowControl w:val="0"/>
        <w:snapToGrid w:val="0"/>
        <w:spacing w:line="560" w:lineRule="exact"/>
        <w:ind w:firstLine="241" w:firstLineChars="50"/>
        <w:jc w:val="center"/>
        <w:rPr>
          <w:rFonts w:hint="eastAsia" w:ascii="宋体" w:hAnsi="宋体" w:eastAsia="宋体" w:cs="宋体"/>
          <w:b/>
          <w:color w:val="auto"/>
          <w:spacing w:val="40"/>
          <w:sz w:val="44"/>
          <w:szCs w:val="44"/>
          <w:highlight w:val="none"/>
          <w:lang w:eastAsia="zh-CN"/>
        </w:rPr>
      </w:pPr>
      <w:r>
        <w:rPr>
          <w:rFonts w:hint="eastAsia" w:ascii="宋体" w:hAnsi="宋体" w:cs="宋体"/>
          <w:b/>
          <w:color w:val="auto"/>
          <w:sz w:val="48"/>
          <w:szCs w:val="48"/>
          <w:highlight w:val="none"/>
          <w:lang w:eastAsia="zh-CN"/>
        </w:rPr>
        <w:t>（设备购置）项目</w:t>
      </w:r>
    </w:p>
    <w:p w14:paraId="03D56835">
      <w:pPr>
        <w:widowControl w:val="0"/>
        <w:snapToGrid w:val="0"/>
        <w:spacing w:before="240" w:beforeLines="100" w:line="560" w:lineRule="exact"/>
        <w:jc w:val="center"/>
        <w:rPr>
          <w:rFonts w:ascii="宋体" w:hAnsi="宋体" w:cs="宋体"/>
          <w:b/>
          <w:color w:val="auto"/>
          <w:sz w:val="44"/>
          <w:highlight w:val="none"/>
        </w:rPr>
      </w:pPr>
    </w:p>
    <w:p w14:paraId="464B1240">
      <w:pPr>
        <w:widowControl w:val="0"/>
        <w:snapToGrid w:val="0"/>
        <w:spacing w:before="240" w:beforeLines="100" w:line="240" w:lineRule="auto"/>
        <w:jc w:val="both"/>
        <w:rPr>
          <w:rFonts w:ascii="宋体" w:hAnsi="宋体" w:cs="宋体"/>
          <w:b/>
          <w:color w:val="auto"/>
          <w:sz w:val="44"/>
          <w:highlight w:val="none"/>
        </w:rPr>
      </w:pPr>
    </w:p>
    <w:p w14:paraId="38D63599">
      <w:pPr>
        <w:widowControl w:val="0"/>
        <w:snapToGrid w:val="0"/>
        <w:spacing w:before="240" w:beforeLines="100" w:line="240" w:lineRule="auto"/>
        <w:jc w:val="center"/>
        <w:rPr>
          <w:rFonts w:ascii="宋体" w:hAnsi="宋体" w:cs="宋体"/>
          <w:b/>
          <w:color w:val="auto"/>
          <w:sz w:val="116"/>
          <w:szCs w:val="116"/>
          <w:highlight w:val="none"/>
        </w:rPr>
      </w:pPr>
      <w:r>
        <w:rPr>
          <w:rFonts w:hint="eastAsia" w:ascii="宋体" w:hAnsi="宋体" w:cs="宋体"/>
          <w:b/>
          <w:color w:val="auto"/>
          <w:sz w:val="116"/>
          <w:szCs w:val="116"/>
          <w:highlight w:val="none"/>
        </w:rPr>
        <w:t>磋 商 文 件</w:t>
      </w:r>
    </w:p>
    <w:p w14:paraId="7175A250">
      <w:pPr>
        <w:widowControl w:val="0"/>
        <w:snapToGrid w:val="0"/>
        <w:spacing w:before="240" w:beforeLines="100" w:line="560" w:lineRule="exact"/>
        <w:jc w:val="center"/>
        <w:rPr>
          <w:rFonts w:hint="default" w:ascii="宋体" w:hAnsi="宋体" w:eastAsia="宋体" w:cs="宋体"/>
          <w:b/>
          <w:color w:val="auto"/>
          <w:sz w:val="44"/>
          <w:highlight w:val="none"/>
          <w:lang w:val="en-US" w:eastAsia="zh-CN"/>
        </w:rPr>
      </w:pPr>
      <w:r>
        <w:rPr>
          <w:rFonts w:hint="eastAsia" w:ascii="宋体" w:hAnsi="宋体" w:cs="宋体"/>
          <w:color w:val="auto"/>
          <w:sz w:val="32"/>
          <w:szCs w:val="32"/>
          <w:highlight w:val="none"/>
          <w:lang w:val="en-US" w:eastAsia="zh-CN"/>
        </w:rPr>
        <w:t>采购</w:t>
      </w:r>
      <w:r>
        <w:rPr>
          <w:rFonts w:hint="eastAsia" w:ascii="宋体" w:hAnsi="宋体" w:cs="宋体"/>
          <w:color w:val="auto"/>
          <w:sz w:val="32"/>
          <w:szCs w:val="32"/>
          <w:highlight w:val="none"/>
        </w:rPr>
        <w:t>项目编号：</w:t>
      </w:r>
      <w:r>
        <w:rPr>
          <w:rFonts w:hint="eastAsia" w:ascii="宋体" w:hAnsi="宋体" w:cs="宋体"/>
          <w:color w:val="auto"/>
          <w:sz w:val="32"/>
          <w:szCs w:val="32"/>
          <w:highlight w:val="none"/>
          <w:lang w:val="en-US" w:eastAsia="zh-CN"/>
        </w:rPr>
        <w:t>安财磋商采购-2025-12</w:t>
      </w:r>
    </w:p>
    <w:p w14:paraId="00054941">
      <w:pPr>
        <w:widowControl w:val="0"/>
        <w:snapToGrid w:val="0"/>
        <w:spacing w:before="240" w:beforeLines="100" w:line="560" w:lineRule="exact"/>
        <w:jc w:val="center"/>
        <w:rPr>
          <w:rFonts w:ascii="宋体" w:hAnsi="宋体" w:cs="宋体"/>
          <w:b/>
          <w:color w:val="auto"/>
          <w:sz w:val="44"/>
          <w:highlight w:val="none"/>
        </w:rPr>
      </w:pPr>
    </w:p>
    <w:p w14:paraId="40777919">
      <w:pPr>
        <w:widowControl w:val="0"/>
        <w:snapToGrid w:val="0"/>
        <w:spacing w:before="240" w:beforeLines="100" w:line="560" w:lineRule="exact"/>
        <w:rPr>
          <w:rFonts w:ascii="宋体" w:hAnsi="宋体" w:cs="宋体"/>
          <w:b/>
          <w:color w:val="auto"/>
          <w:sz w:val="44"/>
          <w:highlight w:val="none"/>
        </w:rPr>
      </w:pPr>
    </w:p>
    <w:p w14:paraId="29B5F340">
      <w:pPr>
        <w:pStyle w:val="30"/>
        <w:rPr>
          <w:rFonts w:ascii="宋体" w:hAnsi="宋体" w:cs="宋体"/>
          <w:b/>
          <w:color w:val="auto"/>
          <w:sz w:val="44"/>
          <w:highlight w:val="none"/>
        </w:rPr>
      </w:pPr>
    </w:p>
    <w:p w14:paraId="64277B2B">
      <w:pPr>
        <w:pStyle w:val="30"/>
        <w:rPr>
          <w:rFonts w:ascii="宋体" w:hAnsi="宋体" w:cs="宋体"/>
          <w:b/>
          <w:color w:val="auto"/>
          <w:sz w:val="44"/>
          <w:highlight w:val="none"/>
        </w:rPr>
      </w:pPr>
    </w:p>
    <w:p w14:paraId="0A6C77A3">
      <w:pPr>
        <w:pStyle w:val="30"/>
        <w:rPr>
          <w:rFonts w:ascii="宋体" w:hAnsi="宋体" w:cs="宋体"/>
          <w:b/>
          <w:color w:val="auto"/>
          <w:sz w:val="44"/>
          <w:highlight w:val="none"/>
        </w:rPr>
      </w:pPr>
    </w:p>
    <w:p w14:paraId="1CAFC079">
      <w:pPr>
        <w:pStyle w:val="30"/>
        <w:rPr>
          <w:rFonts w:ascii="宋体" w:hAnsi="宋体" w:cs="宋体"/>
          <w:b/>
          <w:color w:val="auto"/>
          <w:sz w:val="44"/>
          <w:highlight w:val="none"/>
        </w:rPr>
      </w:pPr>
    </w:p>
    <w:p w14:paraId="6EEAD717">
      <w:pPr>
        <w:widowControl w:val="0"/>
        <w:snapToGrid w:val="0"/>
        <w:spacing w:line="360" w:lineRule="auto"/>
        <w:ind w:firstLine="2143" w:firstLineChars="667"/>
        <w:rPr>
          <w:rFonts w:hint="eastAsia" w:ascii="宋体" w:hAnsi="宋体" w:eastAsia="宋体" w:cs="宋体"/>
          <w:b/>
          <w:color w:val="auto"/>
          <w:sz w:val="32"/>
          <w:szCs w:val="32"/>
          <w:highlight w:val="none"/>
          <w:lang w:eastAsia="zh-CN"/>
        </w:rPr>
      </w:pPr>
      <w:r>
        <w:rPr>
          <w:rFonts w:hint="eastAsia" w:ascii="宋体" w:hAnsi="宋体" w:cs="宋体"/>
          <w:b/>
          <w:color w:val="auto"/>
          <w:sz w:val="32"/>
          <w:szCs w:val="32"/>
          <w:highlight w:val="none"/>
        </w:rPr>
        <w:t>采 购 人：</w:t>
      </w:r>
      <w:r>
        <w:rPr>
          <w:rFonts w:hint="eastAsia" w:ascii="宋体" w:hAnsi="宋体" w:cs="宋体"/>
          <w:b/>
          <w:color w:val="auto"/>
          <w:sz w:val="32"/>
          <w:szCs w:val="32"/>
          <w:highlight w:val="none"/>
          <w:lang w:eastAsia="zh-CN"/>
        </w:rPr>
        <w:t>安阳市体育发展服务中心</w:t>
      </w:r>
    </w:p>
    <w:p w14:paraId="76435364">
      <w:pPr>
        <w:widowControl w:val="0"/>
        <w:snapToGrid w:val="0"/>
        <w:spacing w:line="360" w:lineRule="auto"/>
        <w:ind w:firstLine="2143" w:firstLineChars="667"/>
        <w:rPr>
          <w:rFonts w:ascii="宋体" w:hAnsi="宋体" w:cs="宋体"/>
          <w:b/>
          <w:color w:val="auto"/>
          <w:sz w:val="32"/>
          <w:szCs w:val="32"/>
          <w:highlight w:val="none"/>
        </w:rPr>
      </w:pPr>
      <w:r>
        <w:rPr>
          <w:rFonts w:hint="eastAsia" w:ascii="宋体" w:hAnsi="宋体" w:cs="宋体"/>
          <w:b/>
          <w:color w:val="auto"/>
          <w:sz w:val="32"/>
          <w:szCs w:val="32"/>
          <w:highlight w:val="none"/>
        </w:rPr>
        <w:t>代理机构：</w:t>
      </w:r>
      <w:r>
        <w:rPr>
          <w:rFonts w:hint="eastAsia" w:ascii="宋体" w:hAnsi="宋体" w:cs="宋体"/>
          <w:b/>
          <w:color w:val="auto"/>
          <w:sz w:val="32"/>
          <w:szCs w:val="32"/>
          <w:highlight w:val="none"/>
          <w:lang w:eastAsia="zh-CN"/>
        </w:rPr>
        <w:t>诚安工程管理有限公司</w:t>
      </w:r>
    </w:p>
    <w:p w14:paraId="3DB5B412">
      <w:pPr>
        <w:spacing w:line="360" w:lineRule="auto"/>
        <w:jc w:val="center"/>
        <w:rPr>
          <w:b/>
          <w:bCs/>
          <w:color w:val="auto"/>
          <w:sz w:val="32"/>
          <w:szCs w:val="32"/>
          <w:highlight w:val="none"/>
        </w:rPr>
        <w:sectPr>
          <w:footerReference r:id="rId8" w:type="first"/>
          <w:headerReference r:id="rId5" w:type="default"/>
          <w:footerReference r:id="rId6" w:type="default"/>
          <w:footerReference r:id="rId7" w:type="even"/>
          <w:pgSz w:w="11905" w:h="16837"/>
          <w:pgMar w:top="1418" w:right="1106" w:bottom="1418" w:left="1418" w:header="567" w:footer="567" w:gutter="0"/>
          <w:pgNumType w:fmt="numberInDash" w:start="0"/>
          <w:cols w:space="720" w:num="1"/>
          <w:titlePg/>
        </w:sectPr>
      </w:pPr>
      <w:r>
        <w:rPr>
          <w:rFonts w:hint="eastAsia"/>
          <w:b/>
          <w:bCs/>
          <w:color w:val="auto"/>
          <w:sz w:val="32"/>
          <w:szCs w:val="32"/>
          <w:highlight w:val="none"/>
        </w:rPr>
        <w:t>二零二</w:t>
      </w:r>
      <w:r>
        <w:rPr>
          <w:rFonts w:hint="eastAsia"/>
          <w:b/>
          <w:bCs/>
          <w:color w:val="auto"/>
          <w:sz w:val="32"/>
          <w:szCs w:val="32"/>
          <w:highlight w:val="none"/>
          <w:lang w:val="en-US" w:eastAsia="zh-CN"/>
        </w:rPr>
        <w:t>五</w:t>
      </w:r>
      <w:r>
        <w:rPr>
          <w:rFonts w:hint="eastAsia"/>
          <w:b/>
          <w:bCs/>
          <w:color w:val="auto"/>
          <w:sz w:val="32"/>
          <w:szCs w:val="32"/>
          <w:highlight w:val="none"/>
        </w:rPr>
        <w:t>年</w:t>
      </w:r>
      <w:r>
        <w:rPr>
          <w:rFonts w:hint="eastAsia"/>
          <w:b/>
          <w:bCs/>
          <w:color w:val="auto"/>
          <w:sz w:val="32"/>
          <w:szCs w:val="32"/>
          <w:highlight w:val="none"/>
          <w:lang w:val="en-US" w:eastAsia="zh-CN"/>
        </w:rPr>
        <w:t>六</w:t>
      </w:r>
      <w:r>
        <w:rPr>
          <w:rFonts w:hint="eastAsia"/>
          <w:b/>
          <w:bCs/>
          <w:color w:val="auto"/>
          <w:sz w:val="32"/>
          <w:szCs w:val="32"/>
          <w:highlight w:val="none"/>
        </w:rPr>
        <w:t>月</w:t>
      </w:r>
    </w:p>
    <w:p w14:paraId="13A3C2D2">
      <w:pPr>
        <w:pStyle w:val="59"/>
        <w:jc w:val="center"/>
        <w:rPr>
          <w:rFonts w:ascii="宋体" w:hAnsi="宋体" w:cs="宋体"/>
          <w:color w:val="auto"/>
          <w:sz w:val="36"/>
          <w:szCs w:val="36"/>
          <w:highlight w:val="none"/>
          <w:lang w:val="zh-CN"/>
        </w:rPr>
      </w:pPr>
      <w:r>
        <w:rPr>
          <w:rFonts w:hint="eastAsia" w:ascii="宋体" w:hAnsi="宋体" w:cs="宋体"/>
          <w:color w:val="auto"/>
          <w:sz w:val="36"/>
          <w:szCs w:val="36"/>
          <w:highlight w:val="none"/>
          <w:lang w:val="zh-CN"/>
        </w:rPr>
        <w:t>目  录</w:t>
      </w:r>
    </w:p>
    <w:p w14:paraId="626E6557">
      <w:pPr>
        <w:spacing w:line="276" w:lineRule="auto"/>
        <w:rPr>
          <w:rFonts w:ascii="宋体" w:hAnsi="宋体" w:cs="宋体"/>
          <w:color w:val="auto"/>
          <w:sz w:val="24"/>
          <w:szCs w:val="24"/>
          <w:highlight w:val="none"/>
          <w:lang w:val="zh-CN"/>
        </w:rPr>
      </w:pPr>
    </w:p>
    <w:p w14:paraId="3410DD62">
      <w:pPr>
        <w:pStyle w:val="15"/>
        <w:tabs>
          <w:tab w:val="right" w:leader="dot" w:pos="9371"/>
        </w:tabs>
        <w:rPr>
          <w:rFonts w:ascii="宋体" w:hAnsi="宋体" w:cs="宋体"/>
          <w:color w:val="auto"/>
          <w:kern w:val="2"/>
          <w:szCs w:val="22"/>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TOC \o "1-3" \h \z \u </w:instrText>
      </w:r>
      <w:r>
        <w:rPr>
          <w:rFonts w:hint="eastAsia" w:ascii="宋体" w:hAnsi="宋体" w:cs="宋体"/>
          <w:color w:val="auto"/>
          <w:highlight w:val="none"/>
        </w:rPr>
        <w:fldChar w:fldCharType="separate"/>
      </w:r>
      <w:r>
        <w:rPr>
          <w:color w:val="auto"/>
          <w:highlight w:val="none"/>
        </w:rPr>
        <w:fldChar w:fldCharType="begin"/>
      </w:r>
      <w:r>
        <w:rPr>
          <w:color w:val="auto"/>
          <w:highlight w:val="none"/>
        </w:rPr>
        <w:instrText xml:space="preserve"> HYPERLINK \l "_Toc83372537" </w:instrText>
      </w:r>
      <w:r>
        <w:rPr>
          <w:color w:val="auto"/>
          <w:highlight w:val="none"/>
        </w:rPr>
        <w:fldChar w:fldCharType="separate"/>
      </w:r>
      <w:r>
        <w:rPr>
          <w:rStyle w:val="27"/>
          <w:rFonts w:hint="eastAsia" w:ascii="宋体" w:hAnsi="宋体" w:cs="宋体"/>
          <w:b/>
          <w:color w:val="auto"/>
          <w:highlight w:val="none"/>
        </w:rPr>
        <w:t>第一章  竞争性磋商公告</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_Toc83372537 \h </w:instrText>
      </w:r>
      <w:r>
        <w:rPr>
          <w:rFonts w:hint="eastAsia" w:ascii="宋体" w:hAnsi="宋体" w:cs="宋体"/>
          <w:color w:val="auto"/>
          <w:highlight w:val="none"/>
        </w:rPr>
        <w:fldChar w:fldCharType="separate"/>
      </w:r>
      <w:r>
        <w:rPr>
          <w:rFonts w:hint="eastAsia" w:ascii="宋体" w:hAnsi="宋体" w:cs="宋体"/>
          <w:color w:val="auto"/>
          <w:highlight w:val="none"/>
        </w:rPr>
        <w:t>- 1 -</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25092A6A">
      <w:pPr>
        <w:pStyle w:val="15"/>
        <w:tabs>
          <w:tab w:val="right" w:leader="dot" w:pos="9371"/>
        </w:tabs>
        <w:rPr>
          <w:rFonts w:ascii="宋体" w:hAnsi="宋体" w:cs="宋体"/>
          <w:color w:val="auto"/>
          <w:kern w:val="2"/>
          <w:szCs w:val="22"/>
          <w:highlight w:val="none"/>
        </w:rPr>
      </w:pPr>
      <w:r>
        <w:rPr>
          <w:color w:val="auto"/>
          <w:highlight w:val="none"/>
        </w:rPr>
        <w:fldChar w:fldCharType="begin"/>
      </w:r>
      <w:r>
        <w:rPr>
          <w:color w:val="auto"/>
          <w:highlight w:val="none"/>
        </w:rPr>
        <w:instrText xml:space="preserve"> HYPERLINK \l "_Toc83372538" </w:instrText>
      </w:r>
      <w:r>
        <w:rPr>
          <w:color w:val="auto"/>
          <w:highlight w:val="none"/>
        </w:rPr>
        <w:fldChar w:fldCharType="separate"/>
      </w:r>
      <w:r>
        <w:rPr>
          <w:rStyle w:val="27"/>
          <w:rFonts w:hint="eastAsia" w:ascii="宋体" w:hAnsi="宋体" w:cs="宋体"/>
          <w:b/>
          <w:color w:val="auto"/>
          <w:highlight w:val="none"/>
        </w:rPr>
        <w:t>第二章  采购项目清单及技术要求</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_Toc83372538 \h </w:instrText>
      </w:r>
      <w:r>
        <w:rPr>
          <w:rFonts w:hint="eastAsia" w:ascii="宋体" w:hAnsi="宋体" w:cs="宋体"/>
          <w:color w:val="auto"/>
          <w:highlight w:val="none"/>
        </w:rPr>
        <w:fldChar w:fldCharType="separate"/>
      </w:r>
      <w:r>
        <w:rPr>
          <w:rFonts w:hint="eastAsia" w:ascii="宋体" w:hAnsi="宋体" w:cs="宋体"/>
          <w:color w:val="auto"/>
          <w:highlight w:val="none"/>
        </w:rPr>
        <w:t xml:space="preserve">- </w:t>
      </w:r>
      <w:r>
        <w:rPr>
          <w:rFonts w:hint="eastAsia" w:ascii="宋体" w:hAnsi="宋体" w:cs="宋体"/>
          <w:color w:val="auto"/>
          <w:highlight w:val="none"/>
          <w:lang w:val="en-US" w:eastAsia="zh-CN"/>
        </w:rPr>
        <w:t>5</w:t>
      </w:r>
      <w:r>
        <w:rPr>
          <w:rFonts w:hint="eastAsia" w:ascii="宋体" w:hAnsi="宋体" w:cs="宋体"/>
          <w:color w:val="auto"/>
          <w:highlight w:val="none"/>
        </w:rPr>
        <w:t xml:space="preserve"> -</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573D1E26">
      <w:pPr>
        <w:pStyle w:val="16"/>
        <w:tabs>
          <w:tab w:val="right" w:leader="dot" w:pos="9371"/>
        </w:tabs>
        <w:rPr>
          <w:rFonts w:ascii="宋体" w:hAnsi="宋体" w:cs="宋体"/>
          <w:color w:val="auto"/>
          <w:kern w:val="2"/>
          <w:szCs w:val="22"/>
          <w:highlight w:val="none"/>
        </w:rPr>
      </w:pPr>
      <w:r>
        <w:rPr>
          <w:color w:val="auto"/>
          <w:highlight w:val="none"/>
        </w:rPr>
        <w:fldChar w:fldCharType="begin"/>
      </w:r>
      <w:r>
        <w:rPr>
          <w:color w:val="auto"/>
          <w:highlight w:val="none"/>
        </w:rPr>
        <w:instrText xml:space="preserve"> HYPERLINK \l "_Toc83372539" </w:instrText>
      </w:r>
      <w:r>
        <w:rPr>
          <w:color w:val="auto"/>
          <w:highlight w:val="none"/>
        </w:rPr>
        <w:fldChar w:fldCharType="separate"/>
      </w:r>
      <w:r>
        <w:rPr>
          <w:rStyle w:val="27"/>
          <w:rFonts w:hint="eastAsia" w:ascii="宋体" w:hAnsi="宋体" w:cs="宋体"/>
          <w:b/>
          <w:color w:val="auto"/>
          <w:highlight w:val="none"/>
        </w:rPr>
        <w:t>1. 采购项目、标段（包）划分、磋商报价</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_Toc83372539 \h </w:instrText>
      </w:r>
      <w:r>
        <w:rPr>
          <w:rFonts w:hint="eastAsia" w:ascii="宋体" w:hAnsi="宋体" w:cs="宋体"/>
          <w:color w:val="auto"/>
          <w:highlight w:val="none"/>
        </w:rPr>
        <w:fldChar w:fldCharType="separate"/>
      </w:r>
      <w:r>
        <w:rPr>
          <w:rFonts w:hint="eastAsia" w:ascii="宋体" w:hAnsi="宋体" w:cs="宋体"/>
          <w:color w:val="auto"/>
          <w:highlight w:val="none"/>
        </w:rPr>
        <w:t xml:space="preserve">- </w:t>
      </w:r>
      <w:r>
        <w:rPr>
          <w:rFonts w:hint="eastAsia" w:ascii="宋体" w:hAnsi="宋体" w:cs="宋体"/>
          <w:color w:val="auto"/>
          <w:highlight w:val="none"/>
          <w:lang w:val="en-US" w:eastAsia="zh-CN"/>
        </w:rPr>
        <w:t>5</w:t>
      </w:r>
      <w:r>
        <w:rPr>
          <w:rFonts w:hint="eastAsia" w:ascii="宋体" w:hAnsi="宋体" w:cs="宋体"/>
          <w:color w:val="auto"/>
          <w:highlight w:val="none"/>
        </w:rPr>
        <w:t xml:space="preserve"> -</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4FA0763D">
      <w:pPr>
        <w:pStyle w:val="16"/>
        <w:tabs>
          <w:tab w:val="right" w:leader="dot" w:pos="9371"/>
        </w:tabs>
        <w:rPr>
          <w:rFonts w:ascii="宋体" w:hAnsi="宋体" w:cs="宋体"/>
          <w:color w:val="auto"/>
          <w:kern w:val="2"/>
          <w:szCs w:val="22"/>
          <w:highlight w:val="none"/>
        </w:rPr>
      </w:pPr>
      <w:r>
        <w:rPr>
          <w:color w:val="auto"/>
          <w:highlight w:val="none"/>
        </w:rPr>
        <w:fldChar w:fldCharType="begin"/>
      </w:r>
      <w:r>
        <w:rPr>
          <w:color w:val="auto"/>
          <w:highlight w:val="none"/>
        </w:rPr>
        <w:instrText xml:space="preserve"> HYPERLINK \l "_Toc83372540" </w:instrText>
      </w:r>
      <w:r>
        <w:rPr>
          <w:color w:val="auto"/>
          <w:highlight w:val="none"/>
        </w:rPr>
        <w:fldChar w:fldCharType="separate"/>
      </w:r>
      <w:r>
        <w:rPr>
          <w:rStyle w:val="27"/>
          <w:rFonts w:hint="eastAsia" w:ascii="宋体" w:hAnsi="宋体" w:cs="宋体"/>
          <w:b/>
          <w:color w:val="auto"/>
          <w:highlight w:val="none"/>
        </w:rPr>
        <w:t>2. 标段（包）内容（范围）及基本技术要求</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_Toc83372540 \h </w:instrText>
      </w:r>
      <w:r>
        <w:rPr>
          <w:rFonts w:hint="eastAsia" w:ascii="宋体" w:hAnsi="宋体" w:cs="宋体"/>
          <w:color w:val="auto"/>
          <w:highlight w:val="none"/>
        </w:rPr>
        <w:fldChar w:fldCharType="separate"/>
      </w:r>
      <w:r>
        <w:rPr>
          <w:rFonts w:hint="eastAsia" w:ascii="宋体" w:hAnsi="宋体" w:cs="宋体"/>
          <w:color w:val="auto"/>
          <w:highlight w:val="none"/>
        </w:rPr>
        <w:t xml:space="preserve">- </w:t>
      </w:r>
      <w:r>
        <w:rPr>
          <w:rFonts w:hint="eastAsia" w:ascii="宋体" w:hAnsi="宋体" w:cs="宋体"/>
          <w:color w:val="auto"/>
          <w:highlight w:val="none"/>
          <w:lang w:val="en-US" w:eastAsia="zh-CN"/>
        </w:rPr>
        <w:t>5</w:t>
      </w:r>
      <w:r>
        <w:rPr>
          <w:rFonts w:hint="eastAsia" w:ascii="宋体" w:hAnsi="宋体" w:cs="宋体"/>
          <w:color w:val="auto"/>
          <w:highlight w:val="none"/>
        </w:rPr>
        <w:t xml:space="preserve"> -</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607BDF70">
      <w:pPr>
        <w:pStyle w:val="15"/>
        <w:tabs>
          <w:tab w:val="right" w:leader="dot" w:pos="9371"/>
        </w:tabs>
        <w:rPr>
          <w:rFonts w:ascii="宋体" w:hAnsi="宋体" w:cs="宋体"/>
          <w:color w:val="auto"/>
          <w:kern w:val="2"/>
          <w:szCs w:val="22"/>
          <w:highlight w:val="none"/>
        </w:rPr>
      </w:pPr>
      <w:r>
        <w:rPr>
          <w:color w:val="auto"/>
          <w:highlight w:val="none"/>
        </w:rPr>
        <w:fldChar w:fldCharType="begin"/>
      </w:r>
      <w:r>
        <w:rPr>
          <w:color w:val="auto"/>
          <w:highlight w:val="none"/>
        </w:rPr>
        <w:instrText xml:space="preserve"> HYPERLINK \l "_Toc83372541" </w:instrText>
      </w:r>
      <w:r>
        <w:rPr>
          <w:color w:val="auto"/>
          <w:highlight w:val="none"/>
        </w:rPr>
        <w:fldChar w:fldCharType="separate"/>
      </w:r>
      <w:r>
        <w:rPr>
          <w:rStyle w:val="27"/>
          <w:rFonts w:hint="eastAsia" w:ascii="宋体" w:hAnsi="宋体" w:cs="宋体"/>
          <w:b/>
          <w:color w:val="auto"/>
          <w:highlight w:val="none"/>
        </w:rPr>
        <w:t>第三章  供应商须知</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_Toc83372541 \h </w:instrText>
      </w:r>
      <w:r>
        <w:rPr>
          <w:rFonts w:hint="eastAsia" w:ascii="宋体" w:hAnsi="宋体" w:cs="宋体"/>
          <w:color w:val="auto"/>
          <w:highlight w:val="none"/>
        </w:rPr>
        <w:fldChar w:fldCharType="separate"/>
      </w:r>
      <w:r>
        <w:rPr>
          <w:rFonts w:hint="eastAsia" w:ascii="宋体" w:hAnsi="宋体" w:cs="宋体"/>
          <w:color w:val="auto"/>
          <w:highlight w:val="none"/>
        </w:rPr>
        <w:t xml:space="preserve">- </w:t>
      </w:r>
      <w:r>
        <w:rPr>
          <w:rFonts w:hint="eastAsia" w:ascii="宋体" w:hAnsi="宋体" w:cs="宋体"/>
          <w:color w:val="auto"/>
          <w:highlight w:val="none"/>
          <w:lang w:val="en-US" w:eastAsia="zh-CN"/>
        </w:rPr>
        <w:t>39</w:t>
      </w:r>
      <w:r>
        <w:rPr>
          <w:rFonts w:hint="eastAsia" w:ascii="宋体" w:hAnsi="宋体" w:cs="宋体"/>
          <w:color w:val="auto"/>
          <w:highlight w:val="none"/>
        </w:rPr>
        <w:t xml:space="preserve"> -</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7A54AACC">
      <w:pPr>
        <w:pStyle w:val="16"/>
        <w:tabs>
          <w:tab w:val="right" w:leader="dot" w:pos="9371"/>
        </w:tabs>
        <w:rPr>
          <w:rFonts w:ascii="宋体" w:hAnsi="宋体" w:cs="宋体"/>
          <w:color w:val="auto"/>
          <w:kern w:val="2"/>
          <w:szCs w:val="22"/>
          <w:highlight w:val="none"/>
        </w:rPr>
      </w:pPr>
      <w:r>
        <w:rPr>
          <w:color w:val="auto"/>
          <w:highlight w:val="none"/>
        </w:rPr>
        <w:fldChar w:fldCharType="begin"/>
      </w:r>
      <w:r>
        <w:rPr>
          <w:color w:val="auto"/>
          <w:highlight w:val="none"/>
        </w:rPr>
        <w:instrText xml:space="preserve"> HYPERLINK \l "_Toc83372542" </w:instrText>
      </w:r>
      <w:r>
        <w:rPr>
          <w:color w:val="auto"/>
          <w:highlight w:val="none"/>
        </w:rPr>
        <w:fldChar w:fldCharType="separate"/>
      </w:r>
      <w:r>
        <w:rPr>
          <w:rStyle w:val="27"/>
          <w:rFonts w:hint="eastAsia" w:ascii="宋体" w:hAnsi="宋体" w:cs="宋体"/>
          <w:b/>
          <w:color w:val="auto"/>
          <w:highlight w:val="none"/>
        </w:rPr>
        <w:t>供应商须知前附表</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_Toc83372542 \h </w:instrText>
      </w:r>
      <w:r>
        <w:rPr>
          <w:rFonts w:hint="eastAsia" w:ascii="宋体" w:hAnsi="宋体" w:cs="宋体"/>
          <w:color w:val="auto"/>
          <w:highlight w:val="none"/>
        </w:rPr>
        <w:fldChar w:fldCharType="separate"/>
      </w:r>
      <w:r>
        <w:rPr>
          <w:rFonts w:hint="eastAsia" w:ascii="宋体" w:hAnsi="宋体" w:cs="宋体"/>
          <w:color w:val="auto"/>
          <w:highlight w:val="none"/>
        </w:rPr>
        <w:t xml:space="preserve">- </w:t>
      </w:r>
      <w:r>
        <w:rPr>
          <w:rFonts w:hint="eastAsia" w:ascii="宋体" w:hAnsi="宋体" w:cs="宋体"/>
          <w:color w:val="auto"/>
          <w:highlight w:val="none"/>
          <w:lang w:val="en-US" w:eastAsia="zh-CN"/>
        </w:rPr>
        <w:t>39</w:t>
      </w:r>
      <w:r>
        <w:rPr>
          <w:rFonts w:hint="eastAsia" w:ascii="宋体" w:hAnsi="宋体" w:cs="宋体"/>
          <w:color w:val="auto"/>
          <w:highlight w:val="none"/>
        </w:rPr>
        <w:t xml:space="preserve"> -</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3F797EA6">
      <w:pPr>
        <w:pStyle w:val="16"/>
        <w:tabs>
          <w:tab w:val="right" w:leader="dot" w:pos="9371"/>
        </w:tabs>
        <w:rPr>
          <w:rFonts w:ascii="宋体" w:hAnsi="宋体" w:cs="宋体"/>
          <w:color w:val="auto"/>
          <w:kern w:val="2"/>
          <w:szCs w:val="22"/>
          <w:highlight w:val="none"/>
        </w:rPr>
      </w:pPr>
      <w:r>
        <w:rPr>
          <w:color w:val="auto"/>
          <w:highlight w:val="none"/>
        </w:rPr>
        <w:fldChar w:fldCharType="begin"/>
      </w:r>
      <w:r>
        <w:rPr>
          <w:color w:val="auto"/>
          <w:highlight w:val="none"/>
        </w:rPr>
        <w:instrText xml:space="preserve"> HYPERLINK \l "_Toc83372543" </w:instrText>
      </w:r>
      <w:r>
        <w:rPr>
          <w:color w:val="auto"/>
          <w:highlight w:val="none"/>
        </w:rPr>
        <w:fldChar w:fldCharType="separate"/>
      </w:r>
      <w:r>
        <w:rPr>
          <w:rStyle w:val="27"/>
          <w:rFonts w:hint="eastAsia" w:ascii="宋体" w:hAnsi="宋体" w:cs="宋体"/>
          <w:b/>
          <w:bCs/>
          <w:color w:val="auto"/>
          <w:highlight w:val="none"/>
          <w:lang w:val="zh-CN"/>
        </w:rPr>
        <w:t>1. 总则</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_Toc83372543 \h </w:instrText>
      </w:r>
      <w:r>
        <w:rPr>
          <w:rFonts w:hint="eastAsia" w:ascii="宋体" w:hAnsi="宋体" w:cs="宋体"/>
          <w:color w:val="auto"/>
          <w:highlight w:val="none"/>
        </w:rPr>
        <w:fldChar w:fldCharType="separate"/>
      </w:r>
      <w:r>
        <w:rPr>
          <w:rFonts w:hint="eastAsia" w:ascii="宋体" w:hAnsi="宋体" w:cs="宋体"/>
          <w:color w:val="auto"/>
          <w:highlight w:val="none"/>
        </w:rPr>
        <w:t xml:space="preserve">- </w:t>
      </w:r>
      <w:r>
        <w:rPr>
          <w:rFonts w:hint="eastAsia" w:ascii="宋体" w:hAnsi="宋体" w:cs="宋体"/>
          <w:color w:val="auto"/>
          <w:highlight w:val="none"/>
          <w:lang w:val="en-US" w:eastAsia="zh-CN"/>
        </w:rPr>
        <w:t>41</w:t>
      </w:r>
      <w:r>
        <w:rPr>
          <w:rFonts w:hint="eastAsia" w:ascii="宋体" w:hAnsi="宋体" w:cs="宋体"/>
          <w:color w:val="auto"/>
          <w:highlight w:val="none"/>
        </w:rPr>
        <w:t xml:space="preserve"> -</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3DFFD4C9">
      <w:pPr>
        <w:pStyle w:val="16"/>
        <w:tabs>
          <w:tab w:val="right" w:leader="dot" w:pos="9371"/>
        </w:tabs>
        <w:rPr>
          <w:rFonts w:ascii="宋体" w:hAnsi="宋体" w:cs="宋体"/>
          <w:color w:val="auto"/>
          <w:kern w:val="2"/>
          <w:szCs w:val="22"/>
          <w:highlight w:val="none"/>
        </w:rPr>
      </w:pPr>
      <w:r>
        <w:rPr>
          <w:color w:val="auto"/>
          <w:highlight w:val="none"/>
        </w:rPr>
        <w:fldChar w:fldCharType="begin"/>
      </w:r>
      <w:r>
        <w:rPr>
          <w:color w:val="auto"/>
          <w:highlight w:val="none"/>
        </w:rPr>
        <w:instrText xml:space="preserve"> HYPERLINK \l "_Toc83372544" </w:instrText>
      </w:r>
      <w:r>
        <w:rPr>
          <w:color w:val="auto"/>
          <w:highlight w:val="none"/>
        </w:rPr>
        <w:fldChar w:fldCharType="separate"/>
      </w:r>
      <w:r>
        <w:rPr>
          <w:rStyle w:val="27"/>
          <w:rFonts w:hint="eastAsia" w:ascii="宋体" w:hAnsi="宋体" w:cs="宋体"/>
          <w:b/>
          <w:bCs/>
          <w:color w:val="auto"/>
          <w:highlight w:val="none"/>
          <w:lang w:val="zh-CN"/>
        </w:rPr>
        <w:t>2.《磋商文件》</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_Toc83372544 \h </w:instrText>
      </w:r>
      <w:r>
        <w:rPr>
          <w:rFonts w:hint="eastAsia" w:ascii="宋体" w:hAnsi="宋体" w:cs="宋体"/>
          <w:color w:val="auto"/>
          <w:highlight w:val="none"/>
        </w:rPr>
        <w:fldChar w:fldCharType="separate"/>
      </w:r>
      <w:r>
        <w:rPr>
          <w:rFonts w:hint="eastAsia" w:ascii="宋体" w:hAnsi="宋体" w:cs="宋体"/>
          <w:color w:val="auto"/>
          <w:highlight w:val="none"/>
        </w:rPr>
        <w:t xml:space="preserve">- </w:t>
      </w:r>
      <w:r>
        <w:rPr>
          <w:rFonts w:hint="eastAsia" w:ascii="宋体" w:hAnsi="宋体" w:cs="宋体"/>
          <w:color w:val="auto"/>
          <w:highlight w:val="none"/>
          <w:lang w:val="en-US" w:eastAsia="zh-CN"/>
        </w:rPr>
        <w:t>45</w:t>
      </w:r>
      <w:r>
        <w:rPr>
          <w:rFonts w:hint="eastAsia" w:ascii="宋体" w:hAnsi="宋体" w:cs="宋体"/>
          <w:color w:val="auto"/>
          <w:highlight w:val="none"/>
        </w:rPr>
        <w:t xml:space="preserve"> -</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6733F997">
      <w:pPr>
        <w:pStyle w:val="16"/>
        <w:tabs>
          <w:tab w:val="right" w:leader="dot" w:pos="9371"/>
        </w:tabs>
        <w:rPr>
          <w:rFonts w:ascii="宋体" w:hAnsi="宋体" w:cs="宋体"/>
          <w:color w:val="auto"/>
          <w:kern w:val="2"/>
          <w:szCs w:val="22"/>
          <w:highlight w:val="none"/>
        </w:rPr>
      </w:pPr>
      <w:r>
        <w:rPr>
          <w:color w:val="auto"/>
          <w:highlight w:val="none"/>
        </w:rPr>
        <w:fldChar w:fldCharType="begin"/>
      </w:r>
      <w:r>
        <w:rPr>
          <w:color w:val="auto"/>
          <w:highlight w:val="none"/>
        </w:rPr>
        <w:instrText xml:space="preserve"> HYPERLINK \l "_Toc83372545" </w:instrText>
      </w:r>
      <w:r>
        <w:rPr>
          <w:color w:val="auto"/>
          <w:highlight w:val="none"/>
        </w:rPr>
        <w:fldChar w:fldCharType="separate"/>
      </w:r>
      <w:r>
        <w:rPr>
          <w:rStyle w:val="27"/>
          <w:rFonts w:hint="eastAsia" w:ascii="宋体" w:hAnsi="宋体" w:cs="宋体"/>
          <w:b/>
          <w:bCs/>
          <w:color w:val="auto"/>
          <w:highlight w:val="none"/>
          <w:lang w:val="zh-CN"/>
        </w:rPr>
        <w:t>3.《响应文件》</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_Toc83372545 \h </w:instrText>
      </w:r>
      <w:r>
        <w:rPr>
          <w:rFonts w:hint="eastAsia" w:ascii="宋体" w:hAnsi="宋体" w:cs="宋体"/>
          <w:color w:val="auto"/>
          <w:highlight w:val="none"/>
        </w:rPr>
        <w:fldChar w:fldCharType="separate"/>
      </w:r>
      <w:r>
        <w:rPr>
          <w:rFonts w:hint="eastAsia" w:ascii="宋体" w:hAnsi="宋体" w:cs="宋体"/>
          <w:color w:val="auto"/>
          <w:highlight w:val="none"/>
        </w:rPr>
        <w:t xml:space="preserve">- </w:t>
      </w:r>
      <w:r>
        <w:rPr>
          <w:rFonts w:hint="eastAsia" w:ascii="宋体" w:hAnsi="宋体" w:cs="宋体"/>
          <w:color w:val="auto"/>
          <w:highlight w:val="none"/>
          <w:lang w:val="en-US" w:eastAsia="zh-CN"/>
        </w:rPr>
        <w:t>47</w:t>
      </w:r>
      <w:r>
        <w:rPr>
          <w:rFonts w:hint="eastAsia" w:ascii="宋体" w:hAnsi="宋体" w:cs="宋体"/>
          <w:color w:val="auto"/>
          <w:highlight w:val="none"/>
        </w:rPr>
        <w:t xml:space="preserve"> -</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2A2DD5FA">
      <w:pPr>
        <w:pStyle w:val="16"/>
        <w:tabs>
          <w:tab w:val="right" w:leader="dot" w:pos="9371"/>
        </w:tabs>
        <w:rPr>
          <w:rFonts w:ascii="宋体" w:hAnsi="宋体" w:cs="宋体"/>
          <w:color w:val="auto"/>
          <w:kern w:val="2"/>
          <w:szCs w:val="22"/>
          <w:highlight w:val="none"/>
        </w:rPr>
      </w:pPr>
      <w:r>
        <w:rPr>
          <w:color w:val="auto"/>
          <w:highlight w:val="none"/>
        </w:rPr>
        <w:fldChar w:fldCharType="begin"/>
      </w:r>
      <w:r>
        <w:rPr>
          <w:color w:val="auto"/>
          <w:highlight w:val="none"/>
        </w:rPr>
        <w:instrText xml:space="preserve"> HYPERLINK \l "_Toc83372546" </w:instrText>
      </w:r>
      <w:r>
        <w:rPr>
          <w:color w:val="auto"/>
          <w:highlight w:val="none"/>
        </w:rPr>
        <w:fldChar w:fldCharType="separate"/>
      </w:r>
      <w:r>
        <w:rPr>
          <w:rStyle w:val="27"/>
          <w:rFonts w:hint="eastAsia" w:ascii="宋体" w:hAnsi="宋体" w:cs="宋体"/>
          <w:b/>
          <w:bCs/>
          <w:color w:val="auto"/>
          <w:highlight w:val="none"/>
          <w:lang w:val="zh-CN"/>
        </w:rPr>
        <w:t>4.《响应文件》的提交</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_Toc83372546 \h </w:instrText>
      </w:r>
      <w:r>
        <w:rPr>
          <w:rFonts w:hint="eastAsia" w:ascii="宋体" w:hAnsi="宋体" w:cs="宋体"/>
          <w:color w:val="auto"/>
          <w:highlight w:val="none"/>
        </w:rPr>
        <w:fldChar w:fldCharType="separate"/>
      </w:r>
      <w:r>
        <w:rPr>
          <w:rFonts w:hint="eastAsia" w:ascii="宋体" w:hAnsi="宋体" w:cs="宋体"/>
          <w:color w:val="auto"/>
          <w:highlight w:val="none"/>
        </w:rPr>
        <w:t xml:space="preserve">- </w:t>
      </w:r>
      <w:r>
        <w:rPr>
          <w:rFonts w:hint="eastAsia" w:ascii="宋体" w:hAnsi="宋体" w:cs="宋体"/>
          <w:color w:val="auto"/>
          <w:highlight w:val="none"/>
          <w:lang w:val="en-US" w:eastAsia="zh-CN"/>
        </w:rPr>
        <w:t>50</w:t>
      </w:r>
      <w:r>
        <w:rPr>
          <w:rFonts w:hint="eastAsia" w:ascii="宋体" w:hAnsi="宋体" w:cs="宋体"/>
          <w:color w:val="auto"/>
          <w:highlight w:val="none"/>
        </w:rPr>
        <w:t xml:space="preserve"> -</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0A4A3DA3">
      <w:pPr>
        <w:pStyle w:val="16"/>
        <w:tabs>
          <w:tab w:val="right" w:leader="dot" w:pos="9371"/>
        </w:tabs>
        <w:rPr>
          <w:rFonts w:ascii="宋体" w:hAnsi="宋体" w:cs="宋体"/>
          <w:color w:val="auto"/>
          <w:kern w:val="2"/>
          <w:szCs w:val="22"/>
          <w:highlight w:val="none"/>
        </w:rPr>
      </w:pPr>
      <w:r>
        <w:rPr>
          <w:color w:val="auto"/>
          <w:highlight w:val="none"/>
        </w:rPr>
        <w:fldChar w:fldCharType="begin"/>
      </w:r>
      <w:r>
        <w:rPr>
          <w:color w:val="auto"/>
          <w:highlight w:val="none"/>
        </w:rPr>
        <w:instrText xml:space="preserve"> HYPERLINK \l "_Toc83372547" </w:instrText>
      </w:r>
      <w:r>
        <w:rPr>
          <w:color w:val="auto"/>
          <w:highlight w:val="none"/>
        </w:rPr>
        <w:fldChar w:fldCharType="separate"/>
      </w:r>
      <w:r>
        <w:rPr>
          <w:rStyle w:val="27"/>
          <w:rFonts w:hint="eastAsia" w:ascii="宋体" w:hAnsi="宋体" w:cs="宋体"/>
          <w:b/>
          <w:bCs/>
          <w:color w:val="auto"/>
          <w:highlight w:val="none"/>
          <w:lang w:val="zh-CN"/>
        </w:rPr>
        <w:t>5.《响应文件》的开启</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_Toc83372547 \h </w:instrText>
      </w:r>
      <w:r>
        <w:rPr>
          <w:rFonts w:hint="eastAsia" w:ascii="宋体" w:hAnsi="宋体" w:cs="宋体"/>
          <w:color w:val="auto"/>
          <w:highlight w:val="none"/>
        </w:rPr>
        <w:fldChar w:fldCharType="separate"/>
      </w:r>
      <w:r>
        <w:rPr>
          <w:rFonts w:hint="eastAsia" w:ascii="宋体" w:hAnsi="宋体" w:cs="宋体"/>
          <w:color w:val="auto"/>
          <w:highlight w:val="none"/>
        </w:rPr>
        <w:t xml:space="preserve">- </w:t>
      </w:r>
      <w:r>
        <w:rPr>
          <w:rFonts w:hint="eastAsia" w:ascii="宋体" w:hAnsi="宋体" w:cs="宋体"/>
          <w:color w:val="auto"/>
          <w:highlight w:val="none"/>
          <w:lang w:val="en-US" w:eastAsia="zh-CN"/>
        </w:rPr>
        <w:t>51</w:t>
      </w:r>
      <w:r>
        <w:rPr>
          <w:rFonts w:hint="eastAsia" w:ascii="宋体" w:hAnsi="宋体" w:cs="宋体"/>
          <w:color w:val="auto"/>
          <w:highlight w:val="none"/>
        </w:rPr>
        <w:t xml:space="preserve"> -</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2FA5C641">
      <w:pPr>
        <w:pStyle w:val="16"/>
        <w:tabs>
          <w:tab w:val="right" w:leader="dot" w:pos="9371"/>
        </w:tabs>
        <w:rPr>
          <w:rFonts w:ascii="宋体" w:hAnsi="宋体" w:cs="宋体"/>
          <w:color w:val="auto"/>
          <w:kern w:val="2"/>
          <w:szCs w:val="22"/>
          <w:highlight w:val="none"/>
        </w:rPr>
      </w:pPr>
      <w:r>
        <w:rPr>
          <w:color w:val="auto"/>
          <w:highlight w:val="none"/>
        </w:rPr>
        <w:fldChar w:fldCharType="begin"/>
      </w:r>
      <w:r>
        <w:rPr>
          <w:color w:val="auto"/>
          <w:highlight w:val="none"/>
        </w:rPr>
        <w:instrText xml:space="preserve"> HYPERLINK \l "_Toc83372548" </w:instrText>
      </w:r>
      <w:r>
        <w:rPr>
          <w:color w:val="auto"/>
          <w:highlight w:val="none"/>
        </w:rPr>
        <w:fldChar w:fldCharType="separate"/>
      </w:r>
      <w:r>
        <w:rPr>
          <w:rStyle w:val="27"/>
          <w:rFonts w:hint="eastAsia" w:ascii="宋体" w:hAnsi="宋体" w:cs="宋体"/>
          <w:b/>
          <w:bCs/>
          <w:color w:val="auto"/>
          <w:highlight w:val="none"/>
          <w:lang w:val="zh-CN"/>
        </w:rPr>
        <w:t>6. 评审</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_Toc83372548 \h </w:instrText>
      </w:r>
      <w:r>
        <w:rPr>
          <w:rFonts w:hint="eastAsia" w:ascii="宋体" w:hAnsi="宋体" w:cs="宋体"/>
          <w:color w:val="auto"/>
          <w:highlight w:val="none"/>
        </w:rPr>
        <w:fldChar w:fldCharType="separate"/>
      </w:r>
      <w:r>
        <w:rPr>
          <w:rFonts w:hint="eastAsia" w:ascii="宋体" w:hAnsi="宋体" w:cs="宋体"/>
          <w:color w:val="auto"/>
          <w:highlight w:val="none"/>
        </w:rPr>
        <w:t xml:space="preserve">- </w:t>
      </w:r>
      <w:r>
        <w:rPr>
          <w:rFonts w:hint="eastAsia" w:ascii="宋体" w:hAnsi="宋体" w:cs="宋体"/>
          <w:color w:val="auto"/>
          <w:highlight w:val="none"/>
          <w:lang w:val="en-US" w:eastAsia="zh-CN"/>
        </w:rPr>
        <w:t>51</w:t>
      </w:r>
      <w:r>
        <w:rPr>
          <w:rFonts w:hint="eastAsia" w:ascii="宋体" w:hAnsi="宋体" w:cs="宋体"/>
          <w:color w:val="auto"/>
          <w:highlight w:val="none"/>
        </w:rPr>
        <w:t xml:space="preserve"> -</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429DCA43">
      <w:pPr>
        <w:pStyle w:val="16"/>
        <w:tabs>
          <w:tab w:val="right" w:leader="dot" w:pos="9371"/>
        </w:tabs>
        <w:rPr>
          <w:rFonts w:ascii="宋体" w:hAnsi="宋体" w:cs="宋体"/>
          <w:color w:val="auto"/>
          <w:kern w:val="2"/>
          <w:szCs w:val="22"/>
          <w:highlight w:val="none"/>
        </w:rPr>
      </w:pPr>
      <w:r>
        <w:rPr>
          <w:color w:val="auto"/>
          <w:highlight w:val="none"/>
        </w:rPr>
        <w:fldChar w:fldCharType="begin"/>
      </w:r>
      <w:r>
        <w:rPr>
          <w:color w:val="auto"/>
          <w:highlight w:val="none"/>
        </w:rPr>
        <w:instrText xml:space="preserve"> HYPERLINK \l "_Toc83372549" </w:instrText>
      </w:r>
      <w:r>
        <w:rPr>
          <w:color w:val="auto"/>
          <w:highlight w:val="none"/>
        </w:rPr>
        <w:fldChar w:fldCharType="separate"/>
      </w:r>
      <w:r>
        <w:rPr>
          <w:rStyle w:val="27"/>
          <w:rFonts w:hint="eastAsia" w:ascii="宋体" w:hAnsi="宋体" w:cs="宋体"/>
          <w:b/>
          <w:bCs/>
          <w:color w:val="auto"/>
          <w:highlight w:val="none"/>
          <w:lang w:val="zh-CN"/>
        </w:rPr>
        <w:t>7. 授予合同</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_Toc83372549 \h </w:instrText>
      </w:r>
      <w:r>
        <w:rPr>
          <w:rFonts w:hint="eastAsia" w:ascii="宋体" w:hAnsi="宋体" w:cs="宋体"/>
          <w:color w:val="auto"/>
          <w:highlight w:val="none"/>
        </w:rPr>
        <w:fldChar w:fldCharType="separate"/>
      </w:r>
      <w:r>
        <w:rPr>
          <w:rFonts w:hint="eastAsia" w:ascii="宋体" w:hAnsi="宋体" w:cs="宋体"/>
          <w:color w:val="auto"/>
          <w:highlight w:val="none"/>
        </w:rPr>
        <w:t xml:space="preserve">- </w:t>
      </w:r>
      <w:r>
        <w:rPr>
          <w:rFonts w:hint="eastAsia" w:ascii="宋体" w:hAnsi="宋体" w:cs="宋体"/>
          <w:color w:val="auto"/>
          <w:highlight w:val="none"/>
          <w:lang w:val="en-US" w:eastAsia="zh-CN"/>
        </w:rPr>
        <w:t>52</w:t>
      </w:r>
      <w:r>
        <w:rPr>
          <w:rFonts w:hint="eastAsia" w:ascii="宋体" w:hAnsi="宋体" w:cs="宋体"/>
          <w:color w:val="auto"/>
          <w:highlight w:val="none"/>
        </w:rPr>
        <w:t xml:space="preserve"> -</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1C8DDFDD">
      <w:pPr>
        <w:pStyle w:val="16"/>
        <w:tabs>
          <w:tab w:val="right" w:leader="dot" w:pos="9371"/>
        </w:tabs>
        <w:rPr>
          <w:rFonts w:ascii="宋体" w:hAnsi="宋体" w:cs="宋体"/>
          <w:color w:val="auto"/>
          <w:kern w:val="2"/>
          <w:szCs w:val="22"/>
          <w:highlight w:val="none"/>
        </w:rPr>
      </w:pPr>
      <w:r>
        <w:rPr>
          <w:color w:val="auto"/>
          <w:highlight w:val="none"/>
        </w:rPr>
        <w:fldChar w:fldCharType="begin"/>
      </w:r>
      <w:r>
        <w:rPr>
          <w:color w:val="auto"/>
          <w:highlight w:val="none"/>
        </w:rPr>
        <w:instrText xml:space="preserve"> HYPERLINK \l "_Toc83372550" </w:instrText>
      </w:r>
      <w:r>
        <w:rPr>
          <w:color w:val="auto"/>
          <w:highlight w:val="none"/>
        </w:rPr>
        <w:fldChar w:fldCharType="separate"/>
      </w:r>
      <w:r>
        <w:rPr>
          <w:rStyle w:val="27"/>
          <w:rFonts w:hint="eastAsia" w:ascii="宋体" w:hAnsi="宋体" w:cs="宋体"/>
          <w:b/>
          <w:bCs/>
          <w:color w:val="auto"/>
          <w:highlight w:val="none"/>
          <w:lang w:val="zh-CN"/>
        </w:rPr>
        <w:t>8. 验收</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_Toc83372550 \h </w:instrText>
      </w:r>
      <w:r>
        <w:rPr>
          <w:rFonts w:hint="eastAsia" w:ascii="宋体" w:hAnsi="宋体" w:cs="宋体"/>
          <w:color w:val="auto"/>
          <w:highlight w:val="none"/>
        </w:rPr>
        <w:fldChar w:fldCharType="separate"/>
      </w:r>
      <w:r>
        <w:rPr>
          <w:rFonts w:hint="eastAsia" w:ascii="宋体" w:hAnsi="宋体" w:cs="宋体"/>
          <w:color w:val="auto"/>
          <w:highlight w:val="none"/>
        </w:rPr>
        <w:t xml:space="preserve">- </w:t>
      </w:r>
      <w:r>
        <w:rPr>
          <w:rFonts w:hint="eastAsia" w:ascii="宋体" w:hAnsi="宋体" w:cs="宋体"/>
          <w:color w:val="auto"/>
          <w:highlight w:val="none"/>
          <w:lang w:val="en-US" w:eastAsia="zh-CN"/>
        </w:rPr>
        <w:t>54</w:t>
      </w:r>
      <w:r>
        <w:rPr>
          <w:rFonts w:hint="eastAsia" w:ascii="宋体" w:hAnsi="宋体" w:cs="宋体"/>
          <w:color w:val="auto"/>
          <w:highlight w:val="none"/>
        </w:rPr>
        <w:t xml:space="preserve"> -</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589912D5">
      <w:pPr>
        <w:pStyle w:val="16"/>
        <w:tabs>
          <w:tab w:val="right" w:leader="dot" w:pos="9371"/>
        </w:tabs>
        <w:rPr>
          <w:rFonts w:ascii="宋体" w:hAnsi="宋体" w:cs="宋体"/>
          <w:color w:val="auto"/>
          <w:kern w:val="2"/>
          <w:szCs w:val="22"/>
          <w:highlight w:val="none"/>
        </w:rPr>
      </w:pPr>
      <w:r>
        <w:rPr>
          <w:color w:val="auto"/>
          <w:highlight w:val="none"/>
        </w:rPr>
        <w:fldChar w:fldCharType="begin"/>
      </w:r>
      <w:r>
        <w:rPr>
          <w:color w:val="auto"/>
          <w:highlight w:val="none"/>
        </w:rPr>
        <w:instrText xml:space="preserve"> HYPERLINK \l "_Toc83372551" </w:instrText>
      </w:r>
      <w:r>
        <w:rPr>
          <w:color w:val="auto"/>
          <w:highlight w:val="none"/>
        </w:rPr>
        <w:fldChar w:fldCharType="separate"/>
      </w:r>
      <w:r>
        <w:rPr>
          <w:rStyle w:val="27"/>
          <w:rFonts w:hint="eastAsia" w:ascii="宋体" w:hAnsi="宋体" w:cs="宋体"/>
          <w:b/>
          <w:bCs/>
          <w:color w:val="auto"/>
          <w:highlight w:val="none"/>
          <w:lang w:val="zh-CN"/>
        </w:rPr>
        <w:t>9. 付款</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_Toc83372551 \h </w:instrText>
      </w:r>
      <w:r>
        <w:rPr>
          <w:rFonts w:hint="eastAsia" w:ascii="宋体" w:hAnsi="宋体" w:cs="宋体"/>
          <w:color w:val="auto"/>
          <w:highlight w:val="none"/>
        </w:rPr>
        <w:fldChar w:fldCharType="separate"/>
      </w:r>
      <w:r>
        <w:rPr>
          <w:rFonts w:hint="eastAsia" w:ascii="宋体" w:hAnsi="宋体" w:cs="宋体"/>
          <w:color w:val="auto"/>
          <w:highlight w:val="none"/>
        </w:rPr>
        <w:t xml:space="preserve">- </w:t>
      </w:r>
      <w:r>
        <w:rPr>
          <w:rFonts w:hint="eastAsia" w:ascii="宋体" w:hAnsi="宋体" w:cs="宋体"/>
          <w:color w:val="auto"/>
          <w:highlight w:val="none"/>
          <w:lang w:val="en-US" w:eastAsia="zh-CN"/>
        </w:rPr>
        <w:t>55</w:t>
      </w:r>
      <w:r>
        <w:rPr>
          <w:rFonts w:hint="eastAsia" w:ascii="宋体" w:hAnsi="宋体" w:cs="宋体"/>
          <w:color w:val="auto"/>
          <w:highlight w:val="none"/>
        </w:rPr>
        <w:t xml:space="preserve"> -</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79B15C51">
      <w:pPr>
        <w:pStyle w:val="16"/>
        <w:tabs>
          <w:tab w:val="right" w:leader="dot" w:pos="9371"/>
        </w:tabs>
        <w:rPr>
          <w:rFonts w:ascii="宋体" w:hAnsi="宋体" w:cs="宋体"/>
          <w:color w:val="auto"/>
          <w:kern w:val="2"/>
          <w:szCs w:val="22"/>
          <w:highlight w:val="none"/>
        </w:rPr>
      </w:pPr>
      <w:r>
        <w:rPr>
          <w:color w:val="auto"/>
          <w:highlight w:val="none"/>
        </w:rPr>
        <w:fldChar w:fldCharType="begin"/>
      </w:r>
      <w:r>
        <w:rPr>
          <w:color w:val="auto"/>
          <w:highlight w:val="none"/>
        </w:rPr>
        <w:instrText xml:space="preserve"> HYPERLINK \l "_Toc83372552" </w:instrText>
      </w:r>
      <w:r>
        <w:rPr>
          <w:color w:val="auto"/>
          <w:highlight w:val="none"/>
        </w:rPr>
        <w:fldChar w:fldCharType="separate"/>
      </w:r>
      <w:r>
        <w:rPr>
          <w:rStyle w:val="27"/>
          <w:rFonts w:hint="eastAsia" w:ascii="宋体" w:hAnsi="宋体" w:cs="宋体"/>
          <w:b/>
          <w:bCs/>
          <w:color w:val="auto"/>
          <w:highlight w:val="none"/>
          <w:lang w:val="zh-CN"/>
        </w:rPr>
        <w:t>10. 其他</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_Toc83372552 \h </w:instrText>
      </w:r>
      <w:r>
        <w:rPr>
          <w:rFonts w:hint="eastAsia" w:ascii="宋体" w:hAnsi="宋体" w:cs="宋体"/>
          <w:color w:val="auto"/>
          <w:highlight w:val="none"/>
        </w:rPr>
        <w:fldChar w:fldCharType="separate"/>
      </w:r>
      <w:r>
        <w:rPr>
          <w:rFonts w:hint="eastAsia" w:ascii="宋体" w:hAnsi="宋体" w:cs="宋体"/>
          <w:color w:val="auto"/>
          <w:highlight w:val="none"/>
        </w:rPr>
        <w:t xml:space="preserve">- </w:t>
      </w:r>
      <w:r>
        <w:rPr>
          <w:rFonts w:hint="eastAsia" w:ascii="宋体" w:hAnsi="宋体" w:cs="宋体"/>
          <w:color w:val="auto"/>
          <w:highlight w:val="none"/>
          <w:lang w:val="en-US" w:eastAsia="zh-CN"/>
        </w:rPr>
        <w:t>55</w:t>
      </w:r>
      <w:r>
        <w:rPr>
          <w:rFonts w:hint="eastAsia" w:ascii="宋体" w:hAnsi="宋体" w:cs="宋体"/>
          <w:color w:val="auto"/>
          <w:highlight w:val="none"/>
        </w:rPr>
        <w:t xml:space="preserve"> -</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60541087">
      <w:pPr>
        <w:pStyle w:val="16"/>
        <w:tabs>
          <w:tab w:val="right" w:leader="dot" w:pos="9371"/>
        </w:tabs>
        <w:rPr>
          <w:rFonts w:ascii="宋体" w:hAnsi="宋体" w:cs="宋体"/>
          <w:color w:val="auto"/>
          <w:kern w:val="2"/>
          <w:szCs w:val="22"/>
          <w:highlight w:val="none"/>
        </w:rPr>
      </w:pPr>
      <w:r>
        <w:rPr>
          <w:color w:val="auto"/>
          <w:highlight w:val="none"/>
        </w:rPr>
        <w:fldChar w:fldCharType="begin"/>
      </w:r>
      <w:r>
        <w:rPr>
          <w:color w:val="auto"/>
          <w:highlight w:val="none"/>
        </w:rPr>
        <w:instrText xml:space="preserve"> HYPERLINK \l "_Toc83372553" </w:instrText>
      </w:r>
      <w:r>
        <w:rPr>
          <w:color w:val="auto"/>
          <w:highlight w:val="none"/>
        </w:rPr>
        <w:fldChar w:fldCharType="separate"/>
      </w:r>
      <w:r>
        <w:rPr>
          <w:rStyle w:val="27"/>
          <w:rFonts w:hint="eastAsia" w:ascii="宋体" w:hAnsi="宋体" w:cs="宋体"/>
          <w:b/>
          <w:bCs/>
          <w:color w:val="auto"/>
          <w:highlight w:val="none"/>
          <w:lang w:val="zh-CN"/>
        </w:rPr>
        <w:t>11. 河南省政府采购合同融资政策告知函</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_Toc83372553 \h </w:instrText>
      </w:r>
      <w:r>
        <w:rPr>
          <w:rFonts w:hint="eastAsia" w:ascii="宋体" w:hAnsi="宋体" w:cs="宋体"/>
          <w:color w:val="auto"/>
          <w:highlight w:val="none"/>
        </w:rPr>
        <w:fldChar w:fldCharType="separate"/>
      </w:r>
      <w:r>
        <w:rPr>
          <w:rFonts w:hint="eastAsia" w:ascii="宋体" w:hAnsi="宋体" w:cs="宋体"/>
          <w:color w:val="auto"/>
          <w:highlight w:val="none"/>
        </w:rPr>
        <w:t xml:space="preserve">- </w:t>
      </w:r>
      <w:r>
        <w:rPr>
          <w:rFonts w:hint="eastAsia" w:ascii="宋体" w:hAnsi="宋体" w:cs="宋体"/>
          <w:color w:val="auto"/>
          <w:highlight w:val="none"/>
          <w:lang w:val="en-US" w:eastAsia="zh-CN"/>
        </w:rPr>
        <w:t>56</w:t>
      </w:r>
      <w:r>
        <w:rPr>
          <w:rFonts w:hint="eastAsia" w:ascii="宋体" w:hAnsi="宋体" w:cs="宋体"/>
          <w:color w:val="auto"/>
          <w:highlight w:val="none"/>
        </w:rPr>
        <w:t xml:space="preserve"> -</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6C0F9ED9">
      <w:pPr>
        <w:pStyle w:val="15"/>
        <w:tabs>
          <w:tab w:val="right" w:leader="dot" w:pos="9371"/>
        </w:tabs>
        <w:rPr>
          <w:rFonts w:ascii="宋体" w:hAnsi="宋体" w:cs="宋体"/>
          <w:color w:val="auto"/>
          <w:kern w:val="2"/>
          <w:szCs w:val="22"/>
          <w:highlight w:val="none"/>
        </w:rPr>
      </w:pPr>
      <w:r>
        <w:rPr>
          <w:color w:val="auto"/>
          <w:highlight w:val="none"/>
        </w:rPr>
        <w:fldChar w:fldCharType="begin"/>
      </w:r>
      <w:r>
        <w:rPr>
          <w:color w:val="auto"/>
          <w:highlight w:val="none"/>
        </w:rPr>
        <w:instrText xml:space="preserve"> HYPERLINK \l "_Toc83372554" </w:instrText>
      </w:r>
      <w:r>
        <w:rPr>
          <w:color w:val="auto"/>
          <w:highlight w:val="none"/>
        </w:rPr>
        <w:fldChar w:fldCharType="separate"/>
      </w:r>
      <w:r>
        <w:rPr>
          <w:rStyle w:val="27"/>
          <w:rFonts w:hint="eastAsia" w:ascii="宋体" w:hAnsi="宋体" w:cs="宋体"/>
          <w:b/>
          <w:color w:val="auto"/>
          <w:highlight w:val="none"/>
          <w:lang w:val="zh-CN"/>
        </w:rPr>
        <w:t>第四章  评审办法</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_Toc83372554 \h </w:instrText>
      </w:r>
      <w:r>
        <w:rPr>
          <w:rFonts w:hint="eastAsia" w:ascii="宋体" w:hAnsi="宋体" w:cs="宋体"/>
          <w:color w:val="auto"/>
          <w:highlight w:val="none"/>
        </w:rPr>
        <w:fldChar w:fldCharType="separate"/>
      </w:r>
      <w:r>
        <w:rPr>
          <w:rFonts w:hint="eastAsia" w:ascii="宋体" w:hAnsi="宋体" w:cs="宋体"/>
          <w:color w:val="auto"/>
          <w:highlight w:val="none"/>
        </w:rPr>
        <w:t xml:space="preserve">- </w:t>
      </w:r>
      <w:r>
        <w:rPr>
          <w:rFonts w:hint="eastAsia" w:ascii="宋体" w:hAnsi="宋体" w:cs="宋体"/>
          <w:color w:val="auto"/>
          <w:highlight w:val="none"/>
          <w:lang w:val="en-US" w:eastAsia="zh-CN"/>
        </w:rPr>
        <w:t>57</w:t>
      </w:r>
      <w:r>
        <w:rPr>
          <w:rFonts w:hint="eastAsia" w:ascii="宋体" w:hAnsi="宋体" w:cs="宋体"/>
          <w:color w:val="auto"/>
          <w:highlight w:val="none"/>
        </w:rPr>
        <w:t xml:space="preserve"> -</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2673F59F">
      <w:pPr>
        <w:pStyle w:val="16"/>
        <w:tabs>
          <w:tab w:val="right" w:leader="dot" w:pos="9371"/>
        </w:tabs>
        <w:rPr>
          <w:rFonts w:ascii="宋体" w:hAnsi="宋体" w:cs="宋体"/>
          <w:color w:val="auto"/>
          <w:kern w:val="2"/>
          <w:szCs w:val="22"/>
          <w:highlight w:val="none"/>
        </w:rPr>
      </w:pPr>
      <w:r>
        <w:rPr>
          <w:color w:val="auto"/>
          <w:highlight w:val="none"/>
        </w:rPr>
        <w:fldChar w:fldCharType="begin"/>
      </w:r>
      <w:r>
        <w:rPr>
          <w:color w:val="auto"/>
          <w:highlight w:val="none"/>
        </w:rPr>
        <w:instrText xml:space="preserve"> HYPERLINK \l "_Toc83372555" </w:instrText>
      </w:r>
      <w:r>
        <w:rPr>
          <w:color w:val="auto"/>
          <w:highlight w:val="none"/>
        </w:rPr>
        <w:fldChar w:fldCharType="separate"/>
      </w:r>
      <w:r>
        <w:rPr>
          <w:rStyle w:val="27"/>
          <w:rFonts w:hint="eastAsia" w:ascii="宋体" w:hAnsi="宋体" w:cs="宋体"/>
          <w:b/>
          <w:color w:val="auto"/>
          <w:highlight w:val="none"/>
        </w:rPr>
        <w:t>评审办法前附表</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_Toc83372555 \h </w:instrText>
      </w:r>
      <w:r>
        <w:rPr>
          <w:rFonts w:hint="eastAsia" w:ascii="宋体" w:hAnsi="宋体" w:cs="宋体"/>
          <w:color w:val="auto"/>
          <w:highlight w:val="none"/>
        </w:rPr>
        <w:fldChar w:fldCharType="separate"/>
      </w:r>
      <w:r>
        <w:rPr>
          <w:rFonts w:hint="eastAsia" w:ascii="宋体" w:hAnsi="宋体" w:cs="宋体"/>
          <w:color w:val="auto"/>
          <w:highlight w:val="none"/>
        </w:rPr>
        <w:t xml:space="preserve">- </w:t>
      </w:r>
      <w:r>
        <w:rPr>
          <w:rFonts w:hint="eastAsia" w:ascii="宋体" w:hAnsi="宋体" w:cs="宋体"/>
          <w:color w:val="auto"/>
          <w:highlight w:val="none"/>
          <w:lang w:val="en-US" w:eastAsia="zh-CN"/>
        </w:rPr>
        <w:t>58</w:t>
      </w:r>
      <w:r>
        <w:rPr>
          <w:rFonts w:hint="eastAsia" w:ascii="宋体" w:hAnsi="宋体" w:cs="宋体"/>
          <w:color w:val="auto"/>
          <w:highlight w:val="none"/>
        </w:rPr>
        <w:t xml:space="preserve"> -</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6F2239BF">
      <w:pPr>
        <w:pStyle w:val="16"/>
        <w:tabs>
          <w:tab w:val="right" w:leader="dot" w:pos="9371"/>
        </w:tabs>
        <w:rPr>
          <w:rFonts w:ascii="宋体" w:hAnsi="宋体" w:cs="宋体"/>
          <w:color w:val="auto"/>
          <w:kern w:val="2"/>
          <w:szCs w:val="22"/>
          <w:highlight w:val="none"/>
        </w:rPr>
      </w:pPr>
      <w:r>
        <w:rPr>
          <w:color w:val="auto"/>
          <w:highlight w:val="none"/>
        </w:rPr>
        <w:fldChar w:fldCharType="begin"/>
      </w:r>
      <w:r>
        <w:rPr>
          <w:color w:val="auto"/>
          <w:highlight w:val="none"/>
        </w:rPr>
        <w:instrText xml:space="preserve"> HYPERLINK \l "_Toc83372556" </w:instrText>
      </w:r>
      <w:r>
        <w:rPr>
          <w:color w:val="auto"/>
          <w:highlight w:val="none"/>
        </w:rPr>
        <w:fldChar w:fldCharType="separate"/>
      </w:r>
      <w:r>
        <w:rPr>
          <w:rStyle w:val="27"/>
          <w:rFonts w:hint="eastAsia" w:ascii="宋体" w:hAnsi="宋体" w:cs="宋体"/>
          <w:b/>
          <w:bCs/>
          <w:color w:val="auto"/>
          <w:highlight w:val="none"/>
          <w:lang w:val="zh-CN"/>
        </w:rPr>
        <w:t>1. 评审方法（评定成交的标准）</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_Toc83372556 \h </w:instrText>
      </w:r>
      <w:r>
        <w:rPr>
          <w:rFonts w:hint="eastAsia" w:ascii="宋体" w:hAnsi="宋体" w:cs="宋体"/>
          <w:color w:val="auto"/>
          <w:highlight w:val="none"/>
        </w:rPr>
        <w:fldChar w:fldCharType="separate"/>
      </w:r>
      <w:r>
        <w:rPr>
          <w:rFonts w:hint="eastAsia" w:ascii="宋体" w:hAnsi="宋体" w:cs="宋体"/>
          <w:color w:val="auto"/>
          <w:highlight w:val="none"/>
        </w:rPr>
        <w:t xml:space="preserve">- </w:t>
      </w:r>
      <w:r>
        <w:rPr>
          <w:rFonts w:hint="eastAsia" w:ascii="宋体" w:hAnsi="宋体" w:cs="宋体"/>
          <w:color w:val="auto"/>
          <w:highlight w:val="none"/>
          <w:lang w:val="en-US" w:eastAsia="zh-CN"/>
        </w:rPr>
        <w:t>59</w:t>
      </w:r>
      <w:r>
        <w:rPr>
          <w:rFonts w:hint="eastAsia" w:ascii="宋体" w:hAnsi="宋体" w:cs="宋体"/>
          <w:color w:val="auto"/>
          <w:highlight w:val="none"/>
        </w:rPr>
        <w:t xml:space="preserve"> -</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3420BB0C">
      <w:pPr>
        <w:pStyle w:val="16"/>
        <w:tabs>
          <w:tab w:val="right" w:leader="dot" w:pos="9371"/>
        </w:tabs>
        <w:rPr>
          <w:rFonts w:ascii="宋体" w:hAnsi="宋体" w:cs="宋体"/>
          <w:color w:val="auto"/>
          <w:kern w:val="2"/>
          <w:szCs w:val="22"/>
          <w:highlight w:val="none"/>
        </w:rPr>
      </w:pPr>
      <w:r>
        <w:rPr>
          <w:color w:val="auto"/>
          <w:highlight w:val="none"/>
        </w:rPr>
        <w:fldChar w:fldCharType="begin"/>
      </w:r>
      <w:r>
        <w:rPr>
          <w:color w:val="auto"/>
          <w:highlight w:val="none"/>
        </w:rPr>
        <w:instrText xml:space="preserve"> HYPERLINK \l "_Toc83372557" </w:instrText>
      </w:r>
      <w:r>
        <w:rPr>
          <w:color w:val="auto"/>
          <w:highlight w:val="none"/>
        </w:rPr>
        <w:fldChar w:fldCharType="separate"/>
      </w:r>
      <w:r>
        <w:rPr>
          <w:rStyle w:val="27"/>
          <w:rFonts w:hint="eastAsia" w:ascii="宋体" w:hAnsi="宋体" w:cs="宋体"/>
          <w:b/>
          <w:bCs/>
          <w:color w:val="auto"/>
          <w:highlight w:val="none"/>
          <w:lang w:val="zh-CN"/>
        </w:rPr>
        <w:t>2. 评审标准</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_Toc83372557 \h </w:instrText>
      </w:r>
      <w:r>
        <w:rPr>
          <w:rFonts w:hint="eastAsia" w:ascii="宋体" w:hAnsi="宋体" w:cs="宋体"/>
          <w:color w:val="auto"/>
          <w:highlight w:val="none"/>
        </w:rPr>
        <w:fldChar w:fldCharType="separate"/>
      </w:r>
      <w:r>
        <w:rPr>
          <w:rFonts w:hint="eastAsia" w:ascii="宋体" w:hAnsi="宋体" w:cs="宋体"/>
          <w:color w:val="auto"/>
          <w:highlight w:val="none"/>
        </w:rPr>
        <w:t xml:space="preserve">- </w:t>
      </w:r>
      <w:r>
        <w:rPr>
          <w:rFonts w:hint="eastAsia" w:ascii="宋体" w:hAnsi="宋体" w:cs="宋体"/>
          <w:color w:val="auto"/>
          <w:highlight w:val="none"/>
          <w:lang w:val="en-US" w:eastAsia="zh-CN"/>
        </w:rPr>
        <w:t>60</w:t>
      </w:r>
      <w:r>
        <w:rPr>
          <w:rFonts w:hint="eastAsia" w:ascii="宋体" w:hAnsi="宋体" w:cs="宋体"/>
          <w:color w:val="auto"/>
          <w:highlight w:val="none"/>
        </w:rPr>
        <w:t xml:space="preserve"> -</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144ED908">
      <w:pPr>
        <w:pStyle w:val="16"/>
        <w:tabs>
          <w:tab w:val="right" w:leader="dot" w:pos="9371"/>
        </w:tabs>
        <w:rPr>
          <w:rFonts w:ascii="宋体" w:hAnsi="宋体" w:cs="宋体"/>
          <w:color w:val="auto"/>
          <w:kern w:val="2"/>
          <w:szCs w:val="22"/>
          <w:highlight w:val="none"/>
        </w:rPr>
      </w:pPr>
      <w:r>
        <w:rPr>
          <w:color w:val="auto"/>
          <w:highlight w:val="none"/>
        </w:rPr>
        <w:fldChar w:fldCharType="begin"/>
      </w:r>
      <w:r>
        <w:rPr>
          <w:color w:val="auto"/>
          <w:highlight w:val="none"/>
        </w:rPr>
        <w:instrText xml:space="preserve"> HYPERLINK \l "_Toc83372558" </w:instrText>
      </w:r>
      <w:r>
        <w:rPr>
          <w:color w:val="auto"/>
          <w:highlight w:val="none"/>
        </w:rPr>
        <w:fldChar w:fldCharType="separate"/>
      </w:r>
      <w:r>
        <w:rPr>
          <w:rStyle w:val="27"/>
          <w:rFonts w:hint="eastAsia" w:ascii="宋体" w:hAnsi="宋体" w:cs="宋体"/>
          <w:b/>
          <w:bCs/>
          <w:color w:val="auto"/>
          <w:highlight w:val="none"/>
          <w:lang w:val="zh-CN"/>
        </w:rPr>
        <w:t>3. 评审程序</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_Toc83372558 \h </w:instrText>
      </w:r>
      <w:r>
        <w:rPr>
          <w:rFonts w:hint="eastAsia" w:ascii="宋体" w:hAnsi="宋体" w:cs="宋体"/>
          <w:color w:val="auto"/>
          <w:highlight w:val="none"/>
        </w:rPr>
        <w:fldChar w:fldCharType="separate"/>
      </w:r>
      <w:r>
        <w:rPr>
          <w:rFonts w:hint="eastAsia" w:ascii="宋体" w:hAnsi="宋体" w:cs="宋体"/>
          <w:color w:val="auto"/>
          <w:highlight w:val="none"/>
        </w:rPr>
        <w:t xml:space="preserve">- </w:t>
      </w:r>
      <w:r>
        <w:rPr>
          <w:rFonts w:hint="eastAsia" w:ascii="宋体" w:hAnsi="宋体" w:cs="宋体"/>
          <w:color w:val="auto"/>
          <w:highlight w:val="none"/>
          <w:lang w:val="en-US" w:eastAsia="zh-CN"/>
        </w:rPr>
        <w:t>60</w:t>
      </w:r>
      <w:r>
        <w:rPr>
          <w:rFonts w:hint="eastAsia" w:ascii="宋体" w:hAnsi="宋体" w:cs="宋体"/>
          <w:color w:val="auto"/>
          <w:highlight w:val="none"/>
        </w:rPr>
        <w:t xml:space="preserve"> -</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2046DAD7">
      <w:pPr>
        <w:pStyle w:val="16"/>
        <w:tabs>
          <w:tab w:val="right" w:leader="dot" w:pos="9371"/>
        </w:tabs>
        <w:rPr>
          <w:rFonts w:ascii="宋体" w:hAnsi="宋体" w:cs="宋体"/>
          <w:color w:val="auto"/>
          <w:kern w:val="2"/>
          <w:szCs w:val="22"/>
          <w:highlight w:val="none"/>
        </w:rPr>
      </w:pPr>
      <w:r>
        <w:rPr>
          <w:color w:val="auto"/>
          <w:highlight w:val="none"/>
        </w:rPr>
        <w:fldChar w:fldCharType="begin"/>
      </w:r>
      <w:r>
        <w:rPr>
          <w:color w:val="auto"/>
          <w:highlight w:val="none"/>
        </w:rPr>
        <w:instrText xml:space="preserve"> HYPERLINK \l "_Toc83372559" </w:instrText>
      </w:r>
      <w:r>
        <w:rPr>
          <w:color w:val="auto"/>
          <w:highlight w:val="none"/>
        </w:rPr>
        <w:fldChar w:fldCharType="separate"/>
      </w:r>
      <w:r>
        <w:rPr>
          <w:rStyle w:val="27"/>
          <w:rFonts w:hint="eastAsia" w:ascii="宋体" w:hAnsi="宋体" w:cs="宋体"/>
          <w:b/>
          <w:bCs/>
          <w:color w:val="auto"/>
          <w:highlight w:val="none"/>
          <w:lang w:val="zh-CN"/>
        </w:rPr>
        <w:t>4. 政府采购促进中小企业发展扶持政策</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_Toc83372559 \h </w:instrText>
      </w:r>
      <w:r>
        <w:rPr>
          <w:rFonts w:hint="eastAsia" w:ascii="宋体" w:hAnsi="宋体" w:cs="宋体"/>
          <w:color w:val="auto"/>
          <w:highlight w:val="none"/>
        </w:rPr>
        <w:fldChar w:fldCharType="separate"/>
      </w:r>
      <w:r>
        <w:rPr>
          <w:rFonts w:hint="eastAsia" w:ascii="宋体" w:hAnsi="宋体" w:cs="宋体"/>
          <w:color w:val="auto"/>
          <w:highlight w:val="none"/>
        </w:rPr>
        <w:t xml:space="preserve">- </w:t>
      </w:r>
      <w:r>
        <w:rPr>
          <w:rFonts w:hint="eastAsia" w:ascii="宋体" w:hAnsi="宋体" w:cs="宋体"/>
          <w:color w:val="auto"/>
          <w:highlight w:val="none"/>
          <w:lang w:val="en-US" w:eastAsia="zh-CN"/>
        </w:rPr>
        <w:t>65</w:t>
      </w:r>
      <w:r>
        <w:rPr>
          <w:rFonts w:hint="eastAsia" w:ascii="宋体" w:hAnsi="宋体" w:cs="宋体"/>
          <w:color w:val="auto"/>
          <w:highlight w:val="none"/>
        </w:rPr>
        <w:t xml:space="preserve"> -</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7545603B">
      <w:pPr>
        <w:pStyle w:val="15"/>
        <w:tabs>
          <w:tab w:val="right" w:leader="dot" w:pos="9371"/>
        </w:tabs>
        <w:rPr>
          <w:rFonts w:ascii="宋体" w:hAnsi="宋体" w:cs="宋体"/>
          <w:color w:val="auto"/>
          <w:kern w:val="2"/>
          <w:szCs w:val="22"/>
          <w:highlight w:val="none"/>
        </w:rPr>
      </w:pPr>
      <w:r>
        <w:rPr>
          <w:color w:val="auto"/>
          <w:highlight w:val="none"/>
        </w:rPr>
        <w:fldChar w:fldCharType="begin"/>
      </w:r>
      <w:r>
        <w:rPr>
          <w:color w:val="auto"/>
          <w:highlight w:val="none"/>
        </w:rPr>
        <w:instrText xml:space="preserve"> HYPERLINK \l "_Toc83372560" </w:instrText>
      </w:r>
      <w:r>
        <w:rPr>
          <w:color w:val="auto"/>
          <w:highlight w:val="none"/>
        </w:rPr>
        <w:fldChar w:fldCharType="separate"/>
      </w:r>
      <w:r>
        <w:rPr>
          <w:rStyle w:val="27"/>
          <w:rFonts w:hint="eastAsia" w:ascii="宋体" w:hAnsi="宋体" w:cs="宋体"/>
          <w:b/>
          <w:color w:val="auto"/>
          <w:highlight w:val="none"/>
        </w:rPr>
        <w:t>第五章  合同主要条款</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_Toc83372560 \h </w:instrText>
      </w:r>
      <w:r>
        <w:rPr>
          <w:rFonts w:hint="eastAsia" w:ascii="宋体" w:hAnsi="宋体" w:cs="宋体"/>
          <w:color w:val="auto"/>
          <w:highlight w:val="none"/>
        </w:rPr>
        <w:fldChar w:fldCharType="separate"/>
      </w:r>
      <w:r>
        <w:rPr>
          <w:rFonts w:hint="eastAsia" w:ascii="宋体" w:hAnsi="宋体" w:cs="宋体"/>
          <w:color w:val="auto"/>
          <w:highlight w:val="none"/>
        </w:rPr>
        <w:t xml:space="preserve">- </w:t>
      </w:r>
      <w:r>
        <w:rPr>
          <w:rFonts w:hint="eastAsia" w:ascii="宋体" w:hAnsi="宋体" w:cs="宋体"/>
          <w:color w:val="auto"/>
          <w:highlight w:val="none"/>
          <w:lang w:val="en-US" w:eastAsia="zh-CN"/>
        </w:rPr>
        <w:t>68</w:t>
      </w:r>
      <w:r>
        <w:rPr>
          <w:rFonts w:hint="eastAsia" w:ascii="宋体" w:hAnsi="宋体" w:cs="宋体"/>
          <w:color w:val="auto"/>
          <w:highlight w:val="none"/>
        </w:rPr>
        <w:t xml:space="preserve"> -</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4F651966">
      <w:pPr>
        <w:pStyle w:val="15"/>
        <w:tabs>
          <w:tab w:val="right" w:leader="dot" w:pos="9371"/>
        </w:tabs>
        <w:rPr>
          <w:rFonts w:ascii="宋体" w:hAnsi="宋体" w:cs="宋体"/>
          <w:color w:val="auto"/>
          <w:kern w:val="2"/>
          <w:szCs w:val="22"/>
          <w:highlight w:val="none"/>
        </w:rPr>
      </w:pPr>
      <w:r>
        <w:rPr>
          <w:color w:val="auto"/>
          <w:highlight w:val="none"/>
        </w:rPr>
        <w:fldChar w:fldCharType="begin"/>
      </w:r>
      <w:r>
        <w:rPr>
          <w:color w:val="auto"/>
          <w:highlight w:val="none"/>
        </w:rPr>
        <w:instrText xml:space="preserve"> HYPERLINK \l "_Toc83372561" </w:instrText>
      </w:r>
      <w:r>
        <w:rPr>
          <w:color w:val="auto"/>
          <w:highlight w:val="none"/>
        </w:rPr>
        <w:fldChar w:fldCharType="separate"/>
      </w:r>
      <w:r>
        <w:rPr>
          <w:rStyle w:val="27"/>
          <w:rFonts w:hint="eastAsia" w:ascii="宋体" w:hAnsi="宋体" w:cs="宋体"/>
          <w:b/>
          <w:color w:val="auto"/>
          <w:highlight w:val="none"/>
          <w:lang w:val="zh-CN"/>
        </w:rPr>
        <w:t>第六章  《响应文件》格式</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_Toc83372561 \h </w:instrText>
      </w:r>
      <w:r>
        <w:rPr>
          <w:rFonts w:hint="eastAsia" w:ascii="宋体" w:hAnsi="宋体" w:cs="宋体"/>
          <w:color w:val="auto"/>
          <w:highlight w:val="none"/>
        </w:rPr>
        <w:fldChar w:fldCharType="separate"/>
      </w:r>
      <w:r>
        <w:rPr>
          <w:rFonts w:hint="eastAsia" w:ascii="宋体" w:hAnsi="宋体" w:cs="宋体"/>
          <w:color w:val="auto"/>
          <w:highlight w:val="none"/>
        </w:rPr>
        <w:t xml:space="preserve">- </w:t>
      </w:r>
      <w:r>
        <w:rPr>
          <w:rFonts w:hint="eastAsia" w:ascii="宋体" w:hAnsi="宋体" w:cs="宋体"/>
          <w:color w:val="auto"/>
          <w:highlight w:val="none"/>
          <w:lang w:val="en-US" w:eastAsia="zh-CN"/>
        </w:rPr>
        <w:t>72</w:t>
      </w:r>
      <w:r>
        <w:rPr>
          <w:rFonts w:hint="eastAsia" w:ascii="宋体" w:hAnsi="宋体" w:cs="宋体"/>
          <w:color w:val="auto"/>
          <w:highlight w:val="none"/>
        </w:rPr>
        <w:t xml:space="preserve"> -</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76AFFD16">
      <w:pPr>
        <w:rPr>
          <w:rFonts w:ascii="宋体" w:hAnsi="宋体" w:cs="宋体"/>
          <w:color w:val="auto"/>
          <w:highlight w:val="none"/>
        </w:rPr>
      </w:pPr>
      <w:r>
        <w:rPr>
          <w:rFonts w:hint="eastAsia" w:ascii="宋体" w:hAnsi="宋体" w:cs="宋体"/>
          <w:color w:val="auto"/>
          <w:highlight w:val="none"/>
        </w:rPr>
        <w:fldChar w:fldCharType="end"/>
      </w:r>
    </w:p>
    <w:p w14:paraId="16B726F9">
      <w:pPr>
        <w:widowControl w:val="0"/>
        <w:snapToGrid w:val="0"/>
        <w:spacing w:line="660" w:lineRule="exact"/>
        <w:ind w:firstLine="607" w:firstLineChars="168"/>
        <w:rPr>
          <w:rFonts w:ascii="宋体" w:hAnsi="宋体" w:cs="宋体"/>
          <w:b/>
          <w:color w:val="auto"/>
          <w:sz w:val="36"/>
          <w:szCs w:val="36"/>
          <w:highlight w:val="none"/>
        </w:rPr>
      </w:pPr>
    </w:p>
    <w:p w14:paraId="5EB612E2">
      <w:pPr>
        <w:widowControl w:val="0"/>
        <w:snapToGrid w:val="0"/>
        <w:spacing w:line="560" w:lineRule="exact"/>
        <w:ind w:firstLine="181" w:firstLineChars="50"/>
        <w:rPr>
          <w:rFonts w:ascii="宋体" w:hAnsi="宋体" w:cs="宋体"/>
          <w:b/>
          <w:color w:val="auto"/>
          <w:sz w:val="36"/>
          <w:szCs w:val="36"/>
          <w:highlight w:val="none"/>
        </w:rPr>
        <w:sectPr>
          <w:pgSz w:w="11905" w:h="16837"/>
          <w:pgMar w:top="1418" w:right="1106" w:bottom="1418" w:left="1418" w:header="567" w:footer="567" w:gutter="0"/>
          <w:pgNumType w:fmt="numberInDash" w:start="0"/>
          <w:cols w:space="720" w:num="1"/>
          <w:titlePg/>
        </w:sectPr>
      </w:pPr>
    </w:p>
    <w:p w14:paraId="4AB6A4B0">
      <w:pPr>
        <w:widowControl w:val="0"/>
        <w:snapToGrid w:val="0"/>
        <w:spacing w:line="276" w:lineRule="auto"/>
        <w:jc w:val="left"/>
        <w:rPr>
          <w:rFonts w:ascii="宋体" w:hAnsi="宋体" w:cs="宋体"/>
          <w:b/>
          <w:color w:val="auto"/>
          <w:sz w:val="24"/>
          <w:szCs w:val="24"/>
          <w:highlight w:val="none"/>
        </w:rPr>
      </w:pPr>
    </w:p>
    <w:p w14:paraId="6B5000DF">
      <w:pPr>
        <w:widowControl w:val="0"/>
        <w:snapToGrid w:val="0"/>
        <w:spacing w:line="560" w:lineRule="exact"/>
        <w:jc w:val="center"/>
        <w:outlineLvl w:val="0"/>
        <w:rPr>
          <w:rFonts w:ascii="宋体" w:hAnsi="宋体" w:cs="宋体"/>
          <w:color w:val="auto"/>
          <w:sz w:val="36"/>
          <w:szCs w:val="36"/>
          <w:highlight w:val="none"/>
        </w:rPr>
      </w:pPr>
      <w:bookmarkStart w:id="0" w:name="_Toc83372537"/>
      <w:r>
        <w:rPr>
          <w:rFonts w:hint="eastAsia" w:ascii="宋体" w:hAnsi="宋体" w:cs="宋体"/>
          <w:b/>
          <w:color w:val="auto"/>
          <w:sz w:val="36"/>
          <w:szCs w:val="36"/>
          <w:highlight w:val="none"/>
        </w:rPr>
        <w:t>第一章  竞争性磋商公告</w:t>
      </w:r>
      <w:bookmarkEnd w:id="0"/>
    </w:p>
    <w:p w14:paraId="03FFE540">
      <w:pPr>
        <w:widowControl w:val="0"/>
        <w:adjustRightInd w:val="0"/>
        <w:snapToGrid w:val="0"/>
        <w:spacing w:line="276" w:lineRule="auto"/>
        <w:ind w:firstLine="542" w:firstLineChars="225"/>
        <w:jc w:val="left"/>
        <w:rPr>
          <w:rFonts w:ascii="宋体" w:hAnsi="宋体" w:cs="宋体"/>
          <w:b/>
          <w:color w:val="auto"/>
          <w:sz w:val="24"/>
          <w:szCs w:val="24"/>
          <w:highlight w:val="none"/>
        </w:rPr>
      </w:pPr>
    </w:p>
    <w:p w14:paraId="3D2C96FA">
      <w:pPr>
        <w:widowControl w:val="0"/>
        <w:adjustRightInd w:val="0"/>
        <w:snapToGrid w:val="0"/>
        <w:spacing w:line="360" w:lineRule="auto"/>
        <w:jc w:val="left"/>
        <w:rPr>
          <w:rFonts w:ascii="宋体" w:hAnsi="宋体" w:cs="宋体"/>
          <w:b/>
          <w:color w:val="auto"/>
          <w:sz w:val="28"/>
          <w:szCs w:val="28"/>
          <w:highlight w:val="none"/>
        </w:rPr>
      </w:pPr>
      <w:r>
        <w:rPr>
          <w:rFonts w:hint="eastAsia" w:ascii="宋体" w:hAnsi="宋体" w:cs="宋体"/>
          <w:b/>
          <w:color w:val="auto"/>
          <w:sz w:val="28"/>
          <w:szCs w:val="28"/>
          <w:highlight w:val="none"/>
        </w:rPr>
        <w:t>一、项目基本情况：</w:t>
      </w:r>
    </w:p>
    <w:p w14:paraId="71FAD46C">
      <w:pPr>
        <w:widowControl w:val="0"/>
        <w:adjustRightInd w:val="0"/>
        <w:snapToGrid w:val="0"/>
        <w:spacing w:line="360" w:lineRule="auto"/>
        <w:ind w:firstLine="540" w:firstLineChars="225"/>
        <w:jc w:val="left"/>
        <w:rPr>
          <w:rFonts w:ascii="宋体" w:hAnsi="宋体" w:cs="宋体"/>
          <w:color w:val="auto"/>
          <w:sz w:val="24"/>
          <w:szCs w:val="24"/>
          <w:highlight w:val="none"/>
        </w:rPr>
      </w:pPr>
      <w:r>
        <w:rPr>
          <w:rFonts w:hint="eastAsia" w:ascii="宋体" w:hAnsi="宋体" w:cs="宋体"/>
          <w:color w:val="auto"/>
          <w:sz w:val="24"/>
          <w:szCs w:val="24"/>
          <w:highlight w:val="none"/>
        </w:rPr>
        <w:t>1、项目编号：安</w:t>
      </w:r>
      <w:r>
        <w:rPr>
          <w:rFonts w:hint="eastAsia" w:ascii="宋体" w:hAnsi="宋体" w:cs="宋体"/>
          <w:color w:val="auto"/>
          <w:sz w:val="24"/>
          <w:szCs w:val="24"/>
          <w:highlight w:val="none"/>
          <w:lang w:val="en-US" w:eastAsia="zh-CN"/>
        </w:rPr>
        <w:t>财</w:t>
      </w:r>
      <w:r>
        <w:rPr>
          <w:rFonts w:hint="eastAsia" w:ascii="宋体" w:hAnsi="宋体" w:cs="宋体"/>
          <w:color w:val="auto"/>
          <w:sz w:val="24"/>
          <w:szCs w:val="24"/>
          <w:highlight w:val="none"/>
        </w:rPr>
        <w:t>磋商采购-2025-</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2</w:t>
      </w:r>
    </w:p>
    <w:p w14:paraId="23E76DC1">
      <w:pPr>
        <w:widowControl w:val="0"/>
        <w:adjustRightInd w:val="0"/>
        <w:snapToGrid w:val="0"/>
        <w:spacing w:line="360" w:lineRule="auto"/>
        <w:ind w:firstLine="540" w:firstLineChars="225"/>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2、项目名称：</w:t>
      </w:r>
      <w:r>
        <w:rPr>
          <w:rFonts w:hint="eastAsia" w:ascii="宋体" w:hAnsi="宋体" w:cs="宋体"/>
          <w:color w:val="auto"/>
          <w:sz w:val="24"/>
          <w:szCs w:val="24"/>
          <w:highlight w:val="none"/>
          <w:lang w:eastAsia="zh-CN"/>
        </w:rPr>
        <w:t>安阳市体育发展服务中心场馆改造提升（设备购置）项目</w:t>
      </w:r>
    </w:p>
    <w:p w14:paraId="19BD8537">
      <w:pPr>
        <w:widowControl w:val="0"/>
        <w:adjustRightInd w:val="0"/>
        <w:snapToGrid w:val="0"/>
        <w:spacing w:line="360" w:lineRule="auto"/>
        <w:ind w:firstLine="540" w:firstLineChars="225"/>
        <w:jc w:val="left"/>
        <w:rPr>
          <w:rFonts w:ascii="宋体" w:hAnsi="宋体" w:cs="宋体"/>
          <w:color w:val="auto"/>
          <w:sz w:val="24"/>
          <w:szCs w:val="24"/>
          <w:highlight w:val="none"/>
        </w:rPr>
      </w:pPr>
      <w:r>
        <w:rPr>
          <w:rFonts w:hint="eastAsia" w:ascii="宋体" w:hAnsi="宋体" w:cs="宋体"/>
          <w:color w:val="auto"/>
          <w:sz w:val="24"/>
          <w:szCs w:val="24"/>
          <w:highlight w:val="none"/>
        </w:rPr>
        <w:t>3、采购方式：竞争性磋商</w:t>
      </w:r>
    </w:p>
    <w:p w14:paraId="5DDA9EFA">
      <w:pPr>
        <w:widowControl w:val="0"/>
        <w:adjustRightInd w:val="0"/>
        <w:snapToGrid w:val="0"/>
        <w:spacing w:line="360" w:lineRule="auto"/>
        <w:ind w:firstLine="540" w:firstLineChars="225"/>
        <w:jc w:val="left"/>
        <w:rPr>
          <w:rFonts w:ascii="宋体" w:hAnsi="宋体" w:cs="宋体"/>
          <w:color w:val="auto"/>
          <w:sz w:val="24"/>
          <w:szCs w:val="24"/>
          <w:highlight w:val="none"/>
        </w:rPr>
      </w:pPr>
      <w:r>
        <w:rPr>
          <w:rFonts w:hint="eastAsia" w:ascii="宋体" w:hAnsi="宋体" w:cs="宋体"/>
          <w:color w:val="auto"/>
          <w:sz w:val="24"/>
          <w:szCs w:val="24"/>
          <w:highlight w:val="none"/>
        </w:rPr>
        <w:t>4、预算金额（最高限价）：</w:t>
      </w:r>
      <w:r>
        <w:rPr>
          <w:rFonts w:hint="eastAsia" w:ascii="宋体" w:hAnsi="宋体" w:cs="宋体"/>
          <w:color w:val="auto"/>
          <w:sz w:val="24"/>
          <w:szCs w:val="24"/>
          <w:highlight w:val="none"/>
          <w:lang w:val="en-US" w:eastAsia="zh-CN"/>
        </w:rPr>
        <w:t>1583166.58</w:t>
      </w:r>
      <w:r>
        <w:rPr>
          <w:rFonts w:hint="eastAsia" w:ascii="宋体" w:hAnsi="宋体" w:cs="宋体"/>
          <w:color w:val="auto"/>
          <w:sz w:val="24"/>
          <w:szCs w:val="24"/>
          <w:highlight w:val="none"/>
        </w:rPr>
        <w:t xml:space="preserve">元 </w:t>
      </w:r>
    </w:p>
    <w:p w14:paraId="6C558859">
      <w:pPr>
        <w:adjustRightInd w:val="0"/>
        <w:snapToGrid w:val="0"/>
        <w:spacing w:line="360" w:lineRule="auto"/>
        <w:ind w:firstLine="540" w:firstLineChars="225"/>
        <w:rPr>
          <w:rFonts w:ascii="宋体" w:hAnsi="宋体" w:cs="宋体"/>
          <w:color w:val="auto"/>
          <w:sz w:val="24"/>
          <w:szCs w:val="24"/>
          <w:highlight w:val="none"/>
        </w:rPr>
      </w:pPr>
      <w:r>
        <w:rPr>
          <w:rFonts w:hint="eastAsia" w:ascii="宋体" w:hAnsi="宋体" w:cs="宋体"/>
          <w:color w:val="auto"/>
          <w:sz w:val="24"/>
          <w:szCs w:val="24"/>
          <w:highlight w:val="none"/>
        </w:rPr>
        <w:t>5、采购需求（包括但不限于标的的名称、数量、简要技术需求或服务要求等）</w:t>
      </w:r>
    </w:p>
    <w:p w14:paraId="423C731C">
      <w:pPr>
        <w:adjustRightInd w:val="0"/>
        <w:snapToGrid w:val="0"/>
        <w:spacing w:line="360" w:lineRule="auto"/>
        <w:ind w:firstLine="540" w:firstLineChars="225"/>
        <w:rPr>
          <w:rFonts w:ascii="宋体" w:hAnsi="宋体" w:cs="宋体"/>
          <w:color w:val="auto"/>
          <w:sz w:val="24"/>
          <w:szCs w:val="24"/>
          <w:highlight w:val="none"/>
        </w:rPr>
      </w:pPr>
      <w:r>
        <w:rPr>
          <w:rFonts w:hint="eastAsia" w:ascii="宋体" w:hAnsi="宋体" w:cs="宋体"/>
          <w:color w:val="auto"/>
          <w:sz w:val="24"/>
          <w:szCs w:val="24"/>
          <w:highlight w:val="none"/>
        </w:rPr>
        <w:t>5.1采购内容：安阳市体育发展服务中心场馆改造提升项目所需的空调、led显示屏及音响设备各一批，技术参数详见《磋商文件》第二章“基本技术要求”</w:t>
      </w:r>
    </w:p>
    <w:p w14:paraId="556E77BB">
      <w:pPr>
        <w:adjustRightInd w:val="0"/>
        <w:snapToGrid w:val="0"/>
        <w:spacing w:line="360" w:lineRule="auto"/>
        <w:ind w:firstLine="540" w:firstLineChars="225"/>
        <w:rPr>
          <w:rFonts w:ascii="宋体" w:hAnsi="宋体" w:cs="宋体"/>
          <w:color w:val="auto"/>
          <w:sz w:val="24"/>
          <w:szCs w:val="24"/>
          <w:highlight w:val="none"/>
        </w:rPr>
      </w:pPr>
      <w:r>
        <w:rPr>
          <w:rFonts w:hint="eastAsia" w:ascii="宋体" w:hAnsi="宋体" w:cs="宋体"/>
          <w:color w:val="auto"/>
          <w:sz w:val="24"/>
          <w:szCs w:val="24"/>
          <w:highlight w:val="none"/>
        </w:rPr>
        <w:t>5.2交验地点：采购单位指定地点</w:t>
      </w:r>
    </w:p>
    <w:p w14:paraId="1647A8AB">
      <w:pPr>
        <w:adjustRightInd w:val="0"/>
        <w:snapToGrid w:val="0"/>
        <w:spacing w:line="360" w:lineRule="auto"/>
        <w:ind w:firstLine="540" w:firstLineChars="225"/>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6、合同履行期限：</w:t>
      </w:r>
      <w:r>
        <w:rPr>
          <w:rFonts w:hint="eastAsia" w:ascii="宋体" w:hAnsi="宋体" w:cs="宋体"/>
          <w:color w:val="auto"/>
          <w:sz w:val="24"/>
          <w:szCs w:val="24"/>
          <w:highlight w:val="none"/>
          <w:lang w:eastAsia="zh-CN"/>
        </w:rPr>
        <w:t>合同签订日起</w:t>
      </w:r>
      <w:r>
        <w:rPr>
          <w:rFonts w:hint="eastAsia" w:ascii="宋体" w:hAnsi="宋体" w:cs="宋体"/>
          <w:color w:val="auto"/>
          <w:sz w:val="24"/>
          <w:szCs w:val="24"/>
          <w:highlight w:val="none"/>
          <w:lang w:val="en-US" w:eastAsia="zh-CN"/>
        </w:rPr>
        <w:t>60</w:t>
      </w:r>
      <w:r>
        <w:rPr>
          <w:rFonts w:hint="eastAsia" w:ascii="宋体" w:hAnsi="宋体" w:cs="宋体"/>
          <w:color w:val="auto"/>
          <w:sz w:val="24"/>
          <w:szCs w:val="24"/>
          <w:highlight w:val="none"/>
          <w:lang w:eastAsia="zh-CN"/>
        </w:rPr>
        <w:t>日内</w:t>
      </w:r>
    </w:p>
    <w:p w14:paraId="7787106C">
      <w:pPr>
        <w:widowControl w:val="0"/>
        <w:adjustRightInd w:val="0"/>
        <w:snapToGrid w:val="0"/>
        <w:spacing w:line="360" w:lineRule="auto"/>
        <w:ind w:firstLine="540" w:firstLineChars="225"/>
        <w:jc w:val="left"/>
        <w:rPr>
          <w:rFonts w:ascii="宋体" w:hAnsi="宋体" w:cs="宋体"/>
          <w:color w:val="auto"/>
          <w:sz w:val="24"/>
          <w:szCs w:val="24"/>
          <w:highlight w:val="none"/>
        </w:rPr>
      </w:pPr>
      <w:r>
        <w:rPr>
          <w:rFonts w:hint="eastAsia" w:ascii="宋体" w:hAnsi="宋体" w:cs="宋体"/>
          <w:color w:val="auto"/>
          <w:sz w:val="24"/>
          <w:szCs w:val="24"/>
          <w:highlight w:val="none"/>
        </w:rPr>
        <w:t>7、本项目（是/否）接受联合体投标：否</w:t>
      </w:r>
    </w:p>
    <w:p w14:paraId="3027807B">
      <w:pPr>
        <w:widowControl w:val="0"/>
        <w:adjustRightInd w:val="0"/>
        <w:snapToGrid w:val="0"/>
        <w:spacing w:line="360" w:lineRule="auto"/>
        <w:ind w:firstLine="540" w:firstLineChars="225"/>
        <w:jc w:val="left"/>
        <w:rPr>
          <w:rFonts w:ascii="宋体" w:hAnsi="宋体" w:cs="宋体"/>
          <w:color w:val="auto"/>
          <w:sz w:val="24"/>
          <w:szCs w:val="24"/>
          <w:highlight w:val="none"/>
        </w:rPr>
      </w:pPr>
      <w:r>
        <w:rPr>
          <w:rFonts w:hint="eastAsia" w:ascii="宋体" w:hAnsi="宋体" w:cs="宋体"/>
          <w:color w:val="auto"/>
          <w:sz w:val="24"/>
          <w:szCs w:val="24"/>
          <w:highlight w:val="none"/>
        </w:rPr>
        <w:t>8、是否接受进口产品：否</w:t>
      </w:r>
    </w:p>
    <w:p w14:paraId="20327D66">
      <w:pPr>
        <w:widowControl w:val="0"/>
        <w:adjustRightInd w:val="0"/>
        <w:snapToGrid w:val="0"/>
        <w:spacing w:line="360" w:lineRule="auto"/>
        <w:ind w:firstLine="540" w:firstLineChars="225"/>
        <w:jc w:val="left"/>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9、是否专门面向中小企业：</w:t>
      </w:r>
      <w:r>
        <w:rPr>
          <w:rFonts w:hint="eastAsia" w:ascii="宋体" w:hAnsi="宋体" w:cs="宋体"/>
          <w:color w:val="auto"/>
          <w:sz w:val="24"/>
          <w:szCs w:val="24"/>
          <w:highlight w:val="none"/>
          <w:lang w:val="en-US" w:eastAsia="zh-CN"/>
        </w:rPr>
        <w:t>否</w:t>
      </w:r>
    </w:p>
    <w:p w14:paraId="3C8ECDE9">
      <w:pPr>
        <w:widowControl w:val="0"/>
        <w:adjustRightInd w:val="0"/>
        <w:snapToGrid w:val="0"/>
        <w:spacing w:line="360" w:lineRule="auto"/>
        <w:jc w:val="left"/>
        <w:rPr>
          <w:rFonts w:ascii="宋体" w:hAnsi="宋体" w:cs="宋体"/>
          <w:b/>
          <w:color w:val="auto"/>
          <w:sz w:val="28"/>
          <w:szCs w:val="28"/>
          <w:highlight w:val="none"/>
        </w:rPr>
      </w:pPr>
      <w:r>
        <w:rPr>
          <w:rFonts w:hint="eastAsia" w:ascii="宋体" w:hAnsi="宋体" w:cs="宋体"/>
          <w:b/>
          <w:color w:val="auto"/>
          <w:sz w:val="28"/>
          <w:szCs w:val="28"/>
          <w:highlight w:val="none"/>
        </w:rPr>
        <w:t>二、申请人的资格要求：</w:t>
      </w:r>
    </w:p>
    <w:p w14:paraId="7D0E9E89">
      <w:pPr>
        <w:widowControl w:val="0"/>
        <w:adjustRightInd w:val="0"/>
        <w:snapToGrid w:val="0"/>
        <w:spacing w:line="360" w:lineRule="auto"/>
        <w:ind w:firstLine="540" w:firstLineChars="225"/>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1. 满足《中华人民共和国政府采购法》第二十二条规定； </w:t>
      </w:r>
    </w:p>
    <w:p w14:paraId="4718BD47">
      <w:pPr>
        <w:widowControl w:val="0"/>
        <w:adjustRightInd w:val="0"/>
        <w:snapToGrid w:val="0"/>
        <w:spacing w:line="360" w:lineRule="auto"/>
        <w:ind w:firstLine="540" w:firstLineChars="225"/>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 落实政府采购政策需满足的资格要求：无专项资格要求。</w:t>
      </w:r>
    </w:p>
    <w:p w14:paraId="5E2284D8">
      <w:pPr>
        <w:widowControl w:val="0"/>
        <w:adjustRightInd w:val="0"/>
        <w:snapToGrid w:val="0"/>
        <w:spacing w:line="360" w:lineRule="auto"/>
        <w:ind w:firstLine="540" w:firstLineChars="225"/>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3. 本项目的特定资格要求：</w:t>
      </w:r>
    </w:p>
    <w:p w14:paraId="16A13E1B">
      <w:pPr>
        <w:widowControl w:val="0"/>
        <w:adjustRightInd w:val="0"/>
        <w:snapToGrid w:val="0"/>
        <w:spacing w:line="360" w:lineRule="auto"/>
        <w:ind w:firstLine="540" w:firstLineChars="225"/>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3.1 满足《中华人民共和国政府采购法》第二十二条规定的供应商基础性资格要求；供应商自行承诺并承担后果，承诺书不实的，按《政府采购法》有关提供虚假材料的有关规定给予处罚。 </w:t>
      </w:r>
    </w:p>
    <w:p w14:paraId="5F043996">
      <w:pPr>
        <w:widowControl w:val="0"/>
        <w:adjustRightInd w:val="0"/>
        <w:snapToGrid w:val="0"/>
        <w:spacing w:line="360" w:lineRule="auto"/>
        <w:ind w:firstLine="540" w:firstLineChars="225"/>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3.2资格要求的其他规定 </w:t>
      </w:r>
    </w:p>
    <w:p w14:paraId="082C6D39">
      <w:pPr>
        <w:widowControl w:val="0"/>
        <w:adjustRightInd w:val="0"/>
        <w:snapToGrid w:val="0"/>
        <w:spacing w:line="360" w:lineRule="auto"/>
        <w:ind w:firstLine="540" w:firstLineChars="225"/>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 xml:space="preserve">）供应商应当无不良信用记录。(在“信用中国”网站的“失信被执行人”和“重大税收违法失信主体”及“中国政府采购网”网站的“政府采购严重违法失信行为记录名单”均未列入)；供应商递交《响应文件》后，采购人或者采购代理机构将按以上信用信息查询渠道在解密《响应文件》之前对参加本项目的供应商信用记录进行查询，供应商有上述任一不良信用记录的，其投标将被拒绝、为无效投标。查询的网页内容将以截图或者拍照作为证据留存。 </w:t>
      </w:r>
    </w:p>
    <w:p w14:paraId="2AEEF70E">
      <w:pPr>
        <w:widowControl w:val="0"/>
        <w:adjustRightInd w:val="0"/>
        <w:snapToGrid w:val="0"/>
        <w:spacing w:line="360" w:lineRule="auto"/>
        <w:ind w:firstLine="540" w:firstLineChars="225"/>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）单位负责人为同一人或者存在直接控股、管理关系的不同供应商，不得参加本合同项下的政府采购活动</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供应商自行承诺并承担后果，承诺书不实的，按《政府采购法》有关提供虚假材料的有关规定给予处罚</w:t>
      </w:r>
      <w:r>
        <w:rPr>
          <w:rFonts w:hint="eastAsia" w:ascii="宋体" w:hAnsi="宋体" w:cs="宋体"/>
          <w:color w:val="auto"/>
          <w:sz w:val="24"/>
          <w:szCs w:val="24"/>
          <w:highlight w:val="none"/>
          <w:lang w:eastAsia="zh-CN"/>
        </w:rPr>
        <w:t>。</w:t>
      </w:r>
    </w:p>
    <w:p w14:paraId="7D473450">
      <w:pPr>
        <w:widowControl w:val="0"/>
        <w:adjustRightInd w:val="0"/>
        <w:snapToGrid w:val="0"/>
        <w:spacing w:line="360" w:lineRule="auto"/>
        <w:ind w:firstLine="540" w:firstLineChars="225"/>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）为本采购项目提供整体设计、规范编制或者项目管理、监理、检测等服务的供应商，不得再参加本采购项目</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 xml:space="preserve">供应商自行承诺并承担后果，承诺书不实的，按《政府采购法》有关提供虚假材料的有关规定给予处罚。 </w:t>
      </w:r>
    </w:p>
    <w:p w14:paraId="61964427">
      <w:pPr>
        <w:widowControl w:val="0"/>
        <w:adjustRightInd w:val="0"/>
        <w:snapToGrid w:val="0"/>
        <w:spacing w:line="360" w:lineRule="auto"/>
        <w:ind w:firstLine="540" w:firstLineChars="225"/>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3.3项目的</w:t>
      </w:r>
      <w:r>
        <w:rPr>
          <w:rFonts w:hint="eastAsia" w:ascii="宋体" w:hAnsi="宋体" w:cs="宋体"/>
          <w:color w:val="auto"/>
          <w:sz w:val="24"/>
          <w:szCs w:val="24"/>
          <w:highlight w:val="none"/>
          <w:lang w:val="en-US" w:eastAsia="zh-CN"/>
        </w:rPr>
        <w:t>其他</w:t>
      </w:r>
      <w:r>
        <w:rPr>
          <w:rFonts w:hint="eastAsia" w:ascii="宋体" w:hAnsi="宋体" w:cs="宋体"/>
          <w:color w:val="auto"/>
          <w:sz w:val="24"/>
          <w:szCs w:val="24"/>
          <w:highlight w:val="none"/>
        </w:rPr>
        <w:t xml:space="preserve">特定资格要求： </w:t>
      </w:r>
    </w:p>
    <w:p w14:paraId="08FBB56C">
      <w:pPr>
        <w:widowControl w:val="0"/>
        <w:adjustRightInd w:val="0"/>
        <w:snapToGrid w:val="0"/>
        <w:spacing w:line="360" w:lineRule="auto"/>
        <w:ind w:firstLine="540" w:firstLineChars="225"/>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 xml:space="preserve">）资格证明材料（文件）应附于响应文件中并经供应商电子签章。供应商对资格证明文件真实性有效合规承担责任，提供虚假材料的为无效投标并将进一步追究其责任。 </w:t>
      </w:r>
    </w:p>
    <w:p w14:paraId="691AEBAD">
      <w:pPr>
        <w:widowControl w:val="0"/>
        <w:adjustRightInd w:val="0"/>
        <w:snapToGrid w:val="0"/>
        <w:spacing w:line="360" w:lineRule="auto"/>
        <w:ind w:firstLine="540" w:firstLineChars="225"/>
        <w:jc w:val="left"/>
        <w:rPr>
          <w:rFonts w:ascii="宋体" w:hAnsi="宋体" w:cs="宋体"/>
          <w:b/>
          <w:color w:val="auto"/>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）本项目采取资格后审，由磋商小组进行文件审查，未按要求逐一提供、或资格审查不合格的为无效投标，供应商应自负其风险费用。</w:t>
      </w:r>
    </w:p>
    <w:p w14:paraId="0722BCCC">
      <w:pPr>
        <w:widowControl w:val="0"/>
        <w:adjustRightInd w:val="0"/>
        <w:snapToGrid w:val="0"/>
        <w:spacing w:line="360" w:lineRule="auto"/>
        <w:jc w:val="left"/>
        <w:rPr>
          <w:rFonts w:ascii="宋体" w:hAnsi="宋体" w:cs="宋体"/>
          <w:b/>
          <w:color w:val="auto"/>
          <w:sz w:val="28"/>
          <w:szCs w:val="28"/>
          <w:highlight w:val="none"/>
        </w:rPr>
      </w:pPr>
      <w:r>
        <w:rPr>
          <w:rFonts w:hint="eastAsia" w:ascii="宋体" w:hAnsi="宋体" w:cs="宋体"/>
          <w:b/>
          <w:color w:val="auto"/>
          <w:sz w:val="28"/>
          <w:szCs w:val="28"/>
          <w:highlight w:val="none"/>
        </w:rPr>
        <w:t>三、获取采购文件：</w:t>
      </w:r>
    </w:p>
    <w:p w14:paraId="24B6F217">
      <w:pPr>
        <w:widowControl w:val="0"/>
        <w:adjustRightInd w:val="0"/>
        <w:snapToGrid w:val="0"/>
        <w:spacing w:line="360" w:lineRule="auto"/>
        <w:ind w:firstLine="540" w:firstLineChars="225"/>
        <w:jc w:val="left"/>
        <w:rPr>
          <w:rFonts w:ascii="宋体" w:hAnsi="宋体" w:cs="宋体"/>
          <w:color w:val="auto"/>
          <w:sz w:val="24"/>
          <w:szCs w:val="24"/>
          <w:highlight w:val="none"/>
        </w:rPr>
      </w:pPr>
      <w:r>
        <w:rPr>
          <w:rFonts w:hint="eastAsia" w:ascii="宋体" w:hAnsi="宋体" w:cs="宋体"/>
          <w:color w:val="auto"/>
          <w:sz w:val="24"/>
          <w:szCs w:val="24"/>
          <w:highlight w:val="none"/>
        </w:rPr>
        <w:t>1、时间：</w:t>
      </w:r>
      <w:r>
        <w:rPr>
          <w:rFonts w:hint="eastAsia" w:ascii="宋体" w:hAnsi="宋体" w:cs="宋体"/>
          <w:color w:val="auto"/>
          <w:sz w:val="24"/>
          <w:szCs w:val="24"/>
          <w:highlight w:val="none"/>
          <w:lang w:val="en-US" w:eastAsia="zh-CN"/>
        </w:rPr>
        <w:t>2025</w:t>
      </w:r>
      <w:r>
        <w:rPr>
          <w:rFonts w:hint="eastAsia" w:ascii="宋体" w:hAnsi="宋体" w:cs="宋体"/>
          <w:color w:val="auto"/>
          <w:sz w:val="24"/>
          <w:szCs w:val="24"/>
          <w:highlight w:val="none"/>
        </w:rPr>
        <w:t>年</w:t>
      </w:r>
      <w:r>
        <w:rPr>
          <w:rFonts w:hint="eastAsia" w:ascii="宋体" w:hAnsi="宋体" w:cs="宋体"/>
          <w:color w:val="auto"/>
          <w:sz w:val="24"/>
          <w:szCs w:val="24"/>
          <w:highlight w:val="none"/>
          <w:lang w:val="en-US" w:eastAsia="zh-CN"/>
        </w:rPr>
        <w:t>06</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12</w:t>
      </w:r>
      <w:r>
        <w:rPr>
          <w:rFonts w:hint="eastAsia" w:ascii="宋体" w:hAnsi="宋体" w:cs="宋体"/>
          <w:color w:val="auto"/>
          <w:sz w:val="24"/>
          <w:szCs w:val="24"/>
          <w:highlight w:val="none"/>
        </w:rPr>
        <w:t>日至202</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年</w:t>
      </w:r>
      <w:r>
        <w:rPr>
          <w:rFonts w:hint="eastAsia" w:ascii="宋体" w:hAnsi="宋体" w:cs="宋体"/>
          <w:color w:val="auto"/>
          <w:sz w:val="24"/>
          <w:szCs w:val="24"/>
          <w:highlight w:val="none"/>
          <w:lang w:val="en-US" w:eastAsia="zh-CN"/>
        </w:rPr>
        <w:t>06</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18</w:t>
      </w:r>
      <w:r>
        <w:rPr>
          <w:rFonts w:hint="eastAsia" w:ascii="宋体" w:hAnsi="宋体" w:cs="宋体"/>
          <w:color w:val="auto"/>
          <w:sz w:val="24"/>
          <w:szCs w:val="24"/>
          <w:highlight w:val="none"/>
        </w:rPr>
        <w:t>日，每天上午00：00至12：00，下午12：00至23：59（北京时间，法定节假日除外）</w:t>
      </w:r>
    </w:p>
    <w:p w14:paraId="7CB58A1A">
      <w:pPr>
        <w:widowControl w:val="0"/>
        <w:adjustRightInd w:val="0"/>
        <w:snapToGrid w:val="0"/>
        <w:spacing w:line="360" w:lineRule="auto"/>
        <w:ind w:firstLine="540" w:firstLineChars="225"/>
        <w:jc w:val="left"/>
        <w:rPr>
          <w:rFonts w:ascii="宋体" w:hAnsi="宋体" w:cs="宋体"/>
          <w:color w:val="auto"/>
          <w:sz w:val="24"/>
          <w:szCs w:val="24"/>
          <w:highlight w:val="none"/>
        </w:rPr>
      </w:pPr>
      <w:r>
        <w:rPr>
          <w:rFonts w:hint="eastAsia" w:ascii="宋体" w:hAnsi="宋体" w:cs="宋体"/>
          <w:color w:val="auto"/>
          <w:sz w:val="24"/>
          <w:szCs w:val="24"/>
          <w:highlight w:val="none"/>
        </w:rPr>
        <w:t>2、地点：登陆安阳市公共资源交易平台（http://ggzy.anyang.gov.cn/），完成用户注册后、凭企业数字证书点击“</w:t>
      </w:r>
      <w:r>
        <w:rPr>
          <w:rFonts w:hint="eastAsia" w:ascii="宋体" w:hAnsi="宋体" w:cs="宋体"/>
          <w:color w:val="auto"/>
          <w:sz w:val="24"/>
          <w:szCs w:val="24"/>
          <w:highlight w:val="none"/>
          <w:lang w:val="en-US" w:eastAsia="zh-CN"/>
        </w:rPr>
        <w:t>交易主体登录</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进入</w:t>
      </w:r>
      <w:r>
        <w:rPr>
          <w:rFonts w:hint="eastAsia" w:ascii="宋体" w:hAnsi="宋体" w:cs="宋体"/>
          <w:color w:val="auto"/>
          <w:sz w:val="24"/>
          <w:szCs w:val="24"/>
          <w:highlight w:val="none"/>
        </w:rPr>
        <w:t>系统，获取电子版《磋商文件》及其它资料。</w:t>
      </w:r>
    </w:p>
    <w:p w14:paraId="50CF1A9A">
      <w:pPr>
        <w:widowControl w:val="0"/>
        <w:adjustRightInd w:val="0"/>
        <w:snapToGrid w:val="0"/>
        <w:spacing w:line="360" w:lineRule="auto"/>
        <w:ind w:firstLine="540" w:firstLineChars="225"/>
        <w:jc w:val="left"/>
        <w:rPr>
          <w:rFonts w:ascii="宋体" w:hAnsi="宋体" w:cs="宋体"/>
          <w:color w:val="auto"/>
          <w:sz w:val="24"/>
          <w:szCs w:val="24"/>
          <w:highlight w:val="none"/>
        </w:rPr>
      </w:pPr>
      <w:r>
        <w:rPr>
          <w:rFonts w:hint="eastAsia" w:ascii="宋体" w:hAnsi="宋体" w:cs="宋体"/>
          <w:color w:val="auto"/>
          <w:sz w:val="24"/>
          <w:szCs w:val="24"/>
          <w:highlight w:val="none"/>
        </w:rPr>
        <w:t>3、方式：网上下载</w:t>
      </w:r>
    </w:p>
    <w:p w14:paraId="669B4B6F">
      <w:pPr>
        <w:widowControl w:val="0"/>
        <w:adjustRightInd w:val="0"/>
        <w:snapToGrid w:val="0"/>
        <w:spacing w:line="360" w:lineRule="auto"/>
        <w:ind w:firstLine="540" w:firstLineChars="225"/>
        <w:jc w:val="left"/>
        <w:rPr>
          <w:rFonts w:ascii="宋体" w:hAnsi="宋体" w:cs="宋体"/>
          <w:color w:val="auto"/>
          <w:sz w:val="24"/>
          <w:szCs w:val="24"/>
          <w:highlight w:val="none"/>
        </w:rPr>
      </w:pPr>
      <w:r>
        <w:rPr>
          <w:rFonts w:hint="eastAsia" w:ascii="宋体" w:hAnsi="宋体" w:cs="宋体"/>
          <w:color w:val="auto"/>
          <w:sz w:val="24"/>
          <w:szCs w:val="24"/>
          <w:highlight w:val="none"/>
        </w:rPr>
        <w:t>4、售价：0元</w:t>
      </w:r>
    </w:p>
    <w:p w14:paraId="005E7235">
      <w:pPr>
        <w:widowControl w:val="0"/>
        <w:adjustRightInd w:val="0"/>
        <w:snapToGrid w:val="0"/>
        <w:spacing w:line="360" w:lineRule="auto"/>
        <w:jc w:val="left"/>
        <w:rPr>
          <w:rFonts w:ascii="宋体" w:hAnsi="宋体" w:cs="宋体"/>
          <w:b/>
          <w:color w:val="auto"/>
          <w:sz w:val="28"/>
          <w:szCs w:val="28"/>
          <w:highlight w:val="none"/>
        </w:rPr>
      </w:pPr>
      <w:r>
        <w:rPr>
          <w:rFonts w:hint="eastAsia" w:ascii="宋体" w:hAnsi="宋体" w:cs="宋体"/>
          <w:b/>
          <w:color w:val="auto"/>
          <w:sz w:val="28"/>
          <w:szCs w:val="28"/>
          <w:highlight w:val="none"/>
        </w:rPr>
        <w:t>四、响应文件提交：</w:t>
      </w:r>
    </w:p>
    <w:p w14:paraId="2D7CE3DC">
      <w:pPr>
        <w:widowControl w:val="0"/>
        <w:adjustRightInd w:val="0"/>
        <w:snapToGrid w:val="0"/>
        <w:spacing w:line="360" w:lineRule="auto"/>
        <w:ind w:firstLine="540" w:firstLineChars="225"/>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1.截止时间：</w:t>
      </w:r>
      <w:r>
        <w:rPr>
          <w:rFonts w:hint="eastAsia" w:ascii="宋体" w:hAnsi="宋体" w:cs="宋体"/>
          <w:color w:val="auto"/>
          <w:sz w:val="24"/>
          <w:szCs w:val="24"/>
          <w:highlight w:val="none"/>
        </w:rPr>
        <w:t>202</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年</w:t>
      </w:r>
      <w:r>
        <w:rPr>
          <w:rFonts w:hint="eastAsia" w:ascii="宋体" w:hAnsi="宋体" w:cs="宋体"/>
          <w:color w:val="auto"/>
          <w:sz w:val="24"/>
          <w:szCs w:val="24"/>
          <w:highlight w:val="none"/>
          <w:lang w:val="en-US" w:eastAsia="zh-CN"/>
        </w:rPr>
        <w:t>06</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24</w:t>
      </w:r>
      <w:r>
        <w:rPr>
          <w:rFonts w:hint="eastAsia" w:ascii="宋体" w:hAnsi="宋体" w:cs="宋体"/>
          <w:color w:val="auto"/>
          <w:sz w:val="24"/>
          <w:szCs w:val="24"/>
          <w:highlight w:val="none"/>
        </w:rPr>
        <w:t>日09时00分</w:t>
      </w:r>
      <w:r>
        <w:rPr>
          <w:rFonts w:hint="eastAsia" w:ascii="宋体" w:hAnsi="宋体" w:cs="宋体"/>
          <w:color w:val="auto"/>
          <w:sz w:val="24"/>
          <w:szCs w:val="24"/>
          <w:highlight w:val="none"/>
        </w:rPr>
        <w:t xml:space="preserve">（北京时间） </w:t>
      </w:r>
    </w:p>
    <w:p w14:paraId="3A80EDB6">
      <w:pPr>
        <w:widowControl w:val="0"/>
        <w:adjustRightInd w:val="0"/>
        <w:snapToGrid w:val="0"/>
        <w:spacing w:line="360" w:lineRule="auto"/>
        <w:ind w:firstLine="540" w:firstLineChars="225"/>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2.地点：投标人登录安阳市公共资源交易中心网站，点击“交易主体登录”，选择所投项目，上传密封后的电子响应文件。加密电子响应文件逾期上传，采购人不予受理。</w:t>
      </w:r>
    </w:p>
    <w:p w14:paraId="4B74D1B4">
      <w:pPr>
        <w:widowControl w:val="0"/>
        <w:adjustRightInd w:val="0"/>
        <w:snapToGrid w:val="0"/>
        <w:spacing w:line="360" w:lineRule="auto"/>
        <w:jc w:val="left"/>
        <w:rPr>
          <w:rFonts w:hint="eastAsia" w:ascii="宋体" w:hAnsi="宋体" w:cs="宋体"/>
          <w:b/>
          <w:color w:val="auto"/>
          <w:sz w:val="28"/>
          <w:szCs w:val="28"/>
          <w:highlight w:val="none"/>
        </w:rPr>
      </w:pPr>
      <w:r>
        <w:rPr>
          <w:rFonts w:hint="eastAsia" w:ascii="宋体" w:hAnsi="宋体" w:cs="宋体"/>
          <w:b/>
          <w:color w:val="auto"/>
          <w:sz w:val="28"/>
          <w:szCs w:val="28"/>
          <w:highlight w:val="none"/>
        </w:rPr>
        <w:t>五、响应文件开启：</w:t>
      </w:r>
    </w:p>
    <w:p w14:paraId="6E29B303">
      <w:pPr>
        <w:widowControl w:val="0"/>
        <w:adjustRightInd w:val="0"/>
        <w:snapToGrid w:val="0"/>
        <w:spacing w:line="360" w:lineRule="auto"/>
        <w:ind w:firstLine="540" w:firstLineChars="225"/>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1.时间：</w:t>
      </w:r>
      <w:r>
        <w:rPr>
          <w:rFonts w:hint="eastAsia" w:ascii="宋体" w:hAnsi="宋体" w:cs="宋体"/>
          <w:color w:val="auto"/>
          <w:sz w:val="24"/>
          <w:szCs w:val="24"/>
          <w:highlight w:val="none"/>
        </w:rPr>
        <w:t>202</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年</w:t>
      </w:r>
      <w:r>
        <w:rPr>
          <w:rFonts w:hint="eastAsia" w:ascii="宋体" w:hAnsi="宋体" w:cs="宋体"/>
          <w:color w:val="auto"/>
          <w:sz w:val="24"/>
          <w:szCs w:val="24"/>
          <w:highlight w:val="none"/>
          <w:lang w:val="en-US" w:eastAsia="zh-CN"/>
        </w:rPr>
        <w:t>06</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24</w:t>
      </w:r>
      <w:r>
        <w:rPr>
          <w:rFonts w:hint="eastAsia" w:ascii="宋体" w:hAnsi="宋体" w:cs="宋体"/>
          <w:color w:val="auto"/>
          <w:sz w:val="24"/>
          <w:szCs w:val="24"/>
          <w:highlight w:val="none"/>
        </w:rPr>
        <w:t>日09时00分</w:t>
      </w:r>
      <w:r>
        <w:rPr>
          <w:rFonts w:hint="eastAsia" w:ascii="宋体" w:hAnsi="宋体" w:cs="宋体"/>
          <w:color w:val="auto"/>
          <w:sz w:val="24"/>
          <w:szCs w:val="24"/>
          <w:highlight w:val="none"/>
        </w:rPr>
        <w:t xml:space="preserve">（北京时间） </w:t>
      </w:r>
    </w:p>
    <w:p w14:paraId="763F6EC2">
      <w:pPr>
        <w:widowControl w:val="0"/>
        <w:adjustRightInd w:val="0"/>
        <w:snapToGrid w:val="0"/>
        <w:spacing w:line="360" w:lineRule="auto"/>
        <w:ind w:firstLine="540" w:firstLineChars="225"/>
        <w:jc w:val="left"/>
        <w:rPr>
          <w:rFonts w:ascii="宋体" w:hAnsi="宋体" w:cs="宋体"/>
          <w:color w:val="auto"/>
          <w:sz w:val="24"/>
          <w:szCs w:val="24"/>
          <w:highlight w:val="none"/>
        </w:rPr>
      </w:pPr>
      <w:r>
        <w:rPr>
          <w:rFonts w:hint="eastAsia" w:ascii="宋体" w:hAnsi="宋体" w:cs="宋体"/>
          <w:color w:val="auto"/>
          <w:sz w:val="24"/>
          <w:szCs w:val="24"/>
          <w:highlight w:val="none"/>
        </w:rPr>
        <w:t>2.地点：安阳市公共资源交易中心五楼集中</w:t>
      </w:r>
      <w:r>
        <w:rPr>
          <w:rFonts w:hint="eastAsia" w:ascii="宋体" w:hAnsi="宋体" w:cs="宋体"/>
          <w:color w:val="auto"/>
          <w:sz w:val="24"/>
          <w:szCs w:val="24"/>
          <w:highlight w:val="none"/>
        </w:rPr>
        <w:t>开标大厅</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室</w:t>
      </w:r>
      <w:r>
        <w:rPr>
          <w:rFonts w:hint="eastAsia" w:ascii="宋体" w:hAnsi="宋体" w:cs="宋体"/>
          <w:color w:val="auto"/>
          <w:sz w:val="24"/>
          <w:szCs w:val="24"/>
          <w:highlight w:val="none"/>
        </w:rPr>
        <w:t>。本项目采用“远程不见面”开标方式，投标人须提前进入安阳市公共资源交易中心网站“不见面开标大厅”，进行开标操作和响应文件的解密。</w:t>
      </w:r>
    </w:p>
    <w:p w14:paraId="30C0453D">
      <w:pPr>
        <w:widowControl w:val="0"/>
        <w:adjustRightInd w:val="0"/>
        <w:snapToGrid w:val="0"/>
        <w:spacing w:line="360" w:lineRule="auto"/>
        <w:jc w:val="left"/>
        <w:rPr>
          <w:rFonts w:ascii="宋体" w:hAnsi="宋体" w:cs="宋体"/>
          <w:b/>
          <w:color w:val="auto"/>
          <w:sz w:val="28"/>
          <w:szCs w:val="28"/>
          <w:highlight w:val="none"/>
        </w:rPr>
      </w:pPr>
      <w:r>
        <w:rPr>
          <w:rFonts w:hint="eastAsia" w:ascii="宋体" w:hAnsi="宋体" w:cs="宋体"/>
          <w:b/>
          <w:color w:val="auto"/>
          <w:sz w:val="28"/>
          <w:szCs w:val="28"/>
          <w:highlight w:val="none"/>
        </w:rPr>
        <w:t>六、发布公告的媒介及公告期限：</w:t>
      </w:r>
    </w:p>
    <w:p w14:paraId="53A6D588">
      <w:pPr>
        <w:widowControl w:val="0"/>
        <w:adjustRightInd w:val="0"/>
        <w:snapToGrid w:val="0"/>
        <w:spacing w:line="360" w:lineRule="auto"/>
        <w:ind w:firstLine="540" w:firstLineChars="225"/>
        <w:rPr>
          <w:rFonts w:ascii="宋体" w:hAnsi="宋体" w:cs="宋体"/>
          <w:color w:val="auto"/>
          <w:sz w:val="24"/>
          <w:szCs w:val="24"/>
          <w:highlight w:val="none"/>
        </w:rPr>
      </w:pPr>
      <w:r>
        <w:rPr>
          <w:rFonts w:hint="eastAsia" w:ascii="宋体" w:hAnsi="宋体" w:cs="宋体"/>
          <w:color w:val="auto"/>
          <w:sz w:val="24"/>
          <w:szCs w:val="24"/>
          <w:highlight w:val="none"/>
        </w:rPr>
        <w:t>本次招标公告在《河南省政府采购网》</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《安阳市政府采购网》、《安阳市公共资源交易中心网》</w:t>
      </w:r>
      <w:r>
        <w:rPr>
          <w:rFonts w:hint="eastAsia" w:ascii="宋体" w:hAnsi="宋体" w:cs="宋体"/>
          <w:color w:val="auto"/>
          <w:sz w:val="24"/>
          <w:szCs w:val="24"/>
          <w:highlight w:val="none"/>
          <w:lang w:val="en-US" w:eastAsia="zh-CN"/>
        </w:rPr>
        <w:t>上</w:t>
      </w:r>
      <w:r>
        <w:rPr>
          <w:rFonts w:hint="eastAsia" w:ascii="宋体" w:hAnsi="宋体" w:cs="宋体"/>
          <w:color w:val="auto"/>
          <w:sz w:val="24"/>
          <w:szCs w:val="24"/>
          <w:highlight w:val="none"/>
        </w:rPr>
        <w:t>发布。公告期限为三个工作日。</w:t>
      </w:r>
    </w:p>
    <w:p w14:paraId="2F5D2211">
      <w:pPr>
        <w:widowControl w:val="0"/>
        <w:adjustRightInd w:val="0"/>
        <w:snapToGrid w:val="0"/>
        <w:spacing w:line="360" w:lineRule="auto"/>
        <w:jc w:val="left"/>
        <w:rPr>
          <w:rFonts w:ascii="宋体" w:hAnsi="宋体" w:cs="宋体"/>
          <w:b/>
          <w:color w:val="auto"/>
          <w:sz w:val="28"/>
          <w:szCs w:val="28"/>
          <w:highlight w:val="none"/>
        </w:rPr>
      </w:pPr>
      <w:r>
        <w:rPr>
          <w:rFonts w:hint="eastAsia" w:ascii="宋体" w:hAnsi="宋体" w:cs="宋体"/>
          <w:b/>
          <w:color w:val="auto"/>
          <w:sz w:val="28"/>
          <w:szCs w:val="28"/>
          <w:highlight w:val="none"/>
        </w:rPr>
        <w:t>七、其他补充事宜：</w:t>
      </w:r>
    </w:p>
    <w:p w14:paraId="65D52888">
      <w:pPr>
        <w:widowControl w:val="0"/>
        <w:adjustRightInd w:val="0"/>
        <w:snapToGrid w:val="0"/>
        <w:spacing w:line="360" w:lineRule="auto"/>
        <w:ind w:firstLine="540" w:firstLineChars="225"/>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1.政府采购合同融资</w:t>
      </w:r>
    </w:p>
    <w:p w14:paraId="011C620E">
      <w:pPr>
        <w:widowControl w:val="0"/>
        <w:adjustRightInd w:val="0"/>
        <w:snapToGrid w:val="0"/>
        <w:spacing w:line="360" w:lineRule="auto"/>
        <w:ind w:firstLine="540" w:firstLineChars="225"/>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根据豫财购〔2017〕10号和安财购〔2017〕7号文要求，参加政府采购项目的中小微企业供应商，持中标（成交）通知书可向金融机构申请合同融资，详情请登录安阳市政府采购网（http：//anyang.hngp.gov.cn/anyang），进入网站飘窗或业务指南窗口了解金融机构提供的融资服务内容。</w:t>
      </w:r>
    </w:p>
    <w:p w14:paraId="6897A5BB">
      <w:pPr>
        <w:widowControl w:val="0"/>
        <w:adjustRightInd w:val="0"/>
        <w:snapToGrid w:val="0"/>
        <w:spacing w:line="360" w:lineRule="auto"/>
        <w:ind w:firstLine="540" w:firstLineChars="225"/>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项目落实的政府采购政策：强制节能产品强制采购、节能产品及环境标志产品优先采购、促进中小企业发展扶持政策、进口产品政策、信息安全产品、社会信用体系建设、促进残疾人就业、支持监狱企业发展等。</w:t>
      </w:r>
    </w:p>
    <w:p w14:paraId="0B27069E">
      <w:pPr>
        <w:widowControl w:val="0"/>
        <w:adjustRightInd w:val="0"/>
        <w:snapToGrid w:val="0"/>
        <w:spacing w:line="360" w:lineRule="auto"/>
        <w:ind w:firstLine="540" w:firstLineChars="225"/>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3.交易系统</w:t>
      </w:r>
    </w:p>
    <w:p w14:paraId="41FAD62E">
      <w:pPr>
        <w:keepNext w:val="0"/>
        <w:keepLines w:val="0"/>
        <w:pageBreakBefore w:val="0"/>
        <w:widowControl w:val="0"/>
        <w:kinsoku/>
        <w:wordWrap w:val="0"/>
        <w:overflowPunct/>
        <w:topLinePunct w:val="0"/>
        <w:autoSpaceDE/>
        <w:autoSpaceDN/>
        <w:bidi w:val="0"/>
        <w:adjustRightInd w:val="0"/>
        <w:snapToGrid w:val="0"/>
        <w:spacing w:line="360" w:lineRule="auto"/>
        <w:ind w:firstLine="540" w:firstLineChars="225"/>
        <w:jc w:val="left"/>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3.1供应商下载采购文件前需进入安阳市公共资源交易中心网站（http://ggzy.anyang.gov.cn/），进行注册。</w:t>
      </w:r>
    </w:p>
    <w:p w14:paraId="64841529">
      <w:pPr>
        <w:widowControl w:val="0"/>
        <w:adjustRightInd w:val="0"/>
        <w:snapToGrid w:val="0"/>
        <w:spacing w:line="360" w:lineRule="auto"/>
        <w:ind w:firstLine="540" w:firstLineChars="225"/>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3.2本项目采用“远程不见面”方式进行，供应商需提前办理CA数字证书及电子签章。</w:t>
      </w:r>
    </w:p>
    <w:p w14:paraId="4EF8F162">
      <w:pPr>
        <w:widowControl w:val="0"/>
        <w:adjustRightInd w:val="0"/>
        <w:snapToGrid w:val="0"/>
        <w:spacing w:line="360" w:lineRule="auto"/>
        <w:jc w:val="left"/>
        <w:rPr>
          <w:rFonts w:ascii="宋体" w:hAnsi="宋体" w:cs="宋体"/>
          <w:b/>
          <w:color w:val="auto"/>
          <w:sz w:val="28"/>
          <w:szCs w:val="28"/>
          <w:highlight w:val="none"/>
        </w:rPr>
      </w:pPr>
      <w:bookmarkStart w:id="1" w:name="_Toc35393627"/>
      <w:bookmarkStart w:id="2" w:name="_Toc35393796"/>
      <w:bookmarkStart w:id="3" w:name="_Toc28359085"/>
      <w:bookmarkStart w:id="4" w:name="_Toc28359008"/>
      <w:r>
        <w:rPr>
          <w:rFonts w:hint="eastAsia" w:ascii="宋体" w:hAnsi="宋体" w:cs="宋体"/>
          <w:b/>
          <w:color w:val="auto"/>
          <w:sz w:val="28"/>
          <w:szCs w:val="28"/>
          <w:highlight w:val="none"/>
        </w:rPr>
        <w:t>八、凡对本次招标提出询问，请按照以下方式联系</w:t>
      </w:r>
      <w:bookmarkEnd w:id="1"/>
      <w:bookmarkEnd w:id="2"/>
      <w:bookmarkEnd w:id="3"/>
      <w:bookmarkEnd w:id="4"/>
      <w:r>
        <w:rPr>
          <w:rFonts w:hint="eastAsia" w:ascii="宋体" w:hAnsi="宋体" w:cs="宋体"/>
          <w:b/>
          <w:color w:val="auto"/>
          <w:sz w:val="28"/>
          <w:szCs w:val="28"/>
          <w:highlight w:val="none"/>
        </w:rPr>
        <w:t>：</w:t>
      </w:r>
    </w:p>
    <w:p w14:paraId="696F737B">
      <w:pPr>
        <w:widowControl w:val="0"/>
        <w:adjustRightInd w:val="0"/>
        <w:snapToGrid w:val="0"/>
        <w:spacing w:line="360" w:lineRule="auto"/>
        <w:ind w:firstLine="540" w:firstLineChars="225"/>
        <w:jc w:val="left"/>
        <w:rPr>
          <w:rFonts w:ascii="宋体" w:hAnsi="宋体" w:cs="宋体"/>
          <w:color w:val="auto"/>
          <w:sz w:val="24"/>
          <w:szCs w:val="24"/>
          <w:highlight w:val="none"/>
        </w:rPr>
      </w:pPr>
      <w:r>
        <w:rPr>
          <w:rFonts w:hint="eastAsia" w:ascii="宋体" w:hAnsi="宋体" w:cs="宋体"/>
          <w:color w:val="auto"/>
          <w:sz w:val="24"/>
          <w:szCs w:val="24"/>
          <w:highlight w:val="none"/>
        </w:rPr>
        <w:t>1、采购人信息</w:t>
      </w:r>
    </w:p>
    <w:p w14:paraId="7304C24E">
      <w:pPr>
        <w:widowControl w:val="0"/>
        <w:adjustRightInd w:val="0"/>
        <w:snapToGrid w:val="0"/>
        <w:spacing w:line="360" w:lineRule="auto"/>
        <w:ind w:firstLine="1020" w:firstLineChars="425"/>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名称：</w:t>
      </w:r>
      <w:r>
        <w:rPr>
          <w:rFonts w:hint="eastAsia" w:ascii="宋体" w:hAnsi="宋体" w:cs="宋体"/>
          <w:color w:val="auto"/>
          <w:sz w:val="24"/>
          <w:szCs w:val="24"/>
          <w:highlight w:val="none"/>
          <w:lang w:eastAsia="zh-CN"/>
        </w:rPr>
        <w:t>安阳市体育发展服务中心</w:t>
      </w:r>
    </w:p>
    <w:p w14:paraId="752B1B95">
      <w:pPr>
        <w:widowControl w:val="0"/>
        <w:adjustRightInd w:val="0"/>
        <w:snapToGrid w:val="0"/>
        <w:spacing w:line="360" w:lineRule="auto"/>
        <w:ind w:firstLine="1020" w:firstLineChars="425"/>
        <w:jc w:val="left"/>
        <w:rPr>
          <w:rFonts w:ascii="宋体" w:hAnsi="宋体" w:cs="宋体"/>
          <w:color w:val="auto"/>
          <w:sz w:val="24"/>
          <w:szCs w:val="24"/>
          <w:highlight w:val="none"/>
        </w:rPr>
      </w:pPr>
      <w:r>
        <w:rPr>
          <w:rFonts w:hint="eastAsia" w:ascii="宋体" w:hAnsi="宋体" w:cs="宋体"/>
          <w:color w:val="auto"/>
          <w:sz w:val="24"/>
          <w:szCs w:val="24"/>
          <w:highlight w:val="none"/>
        </w:rPr>
        <w:t>地址：河南省安阳市</w:t>
      </w:r>
      <w:r>
        <w:rPr>
          <w:rFonts w:hint="eastAsia" w:ascii="宋体" w:hAnsi="宋体" w:cs="宋体"/>
          <w:color w:val="auto"/>
          <w:sz w:val="24"/>
          <w:szCs w:val="24"/>
          <w:highlight w:val="none"/>
          <w:lang w:val="en-US" w:eastAsia="zh-CN"/>
        </w:rPr>
        <w:t>商都路与安钢大道交叉口</w:t>
      </w:r>
      <w:r>
        <w:rPr>
          <w:rFonts w:hint="eastAsia" w:ascii="宋体" w:hAnsi="宋体" w:cs="宋体"/>
          <w:color w:val="auto"/>
          <w:sz w:val="24"/>
          <w:szCs w:val="24"/>
          <w:highlight w:val="none"/>
        </w:rPr>
        <w:t xml:space="preserve">   　</w:t>
      </w:r>
    </w:p>
    <w:p w14:paraId="4956A609">
      <w:pPr>
        <w:widowControl w:val="0"/>
        <w:adjustRightInd w:val="0"/>
        <w:snapToGrid w:val="0"/>
        <w:spacing w:line="360" w:lineRule="auto"/>
        <w:ind w:firstLine="1020" w:firstLineChars="425"/>
        <w:jc w:val="left"/>
        <w:rPr>
          <w:rFonts w:ascii="宋体" w:hAnsi="宋体" w:cs="宋体"/>
          <w:color w:val="auto"/>
          <w:sz w:val="24"/>
          <w:szCs w:val="24"/>
          <w:highlight w:val="none"/>
        </w:rPr>
      </w:pPr>
      <w:r>
        <w:rPr>
          <w:rFonts w:hint="eastAsia" w:ascii="宋体" w:hAnsi="宋体" w:cs="宋体"/>
          <w:color w:val="auto"/>
          <w:sz w:val="24"/>
          <w:szCs w:val="24"/>
          <w:highlight w:val="none"/>
        </w:rPr>
        <w:t>联系人：</w:t>
      </w:r>
      <w:r>
        <w:rPr>
          <w:rFonts w:hint="eastAsia" w:ascii="宋体" w:hAnsi="宋体" w:cs="宋体"/>
          <w:color w:val="auto"/>
          <w:sz w:val="24"/>
          <w:szCs w:val="24"/>
          <w:highlight w:val="none"/>
          <w:lang w:val="en-US" w:eastAsia="zh-CN"/>
        </w:rPr>
        <w:t>李勇</w:t>
      </w:r>
      <w:r>
        <w:rPr>
          <w:rFonts w:hint="eastAsia" w:ascii="宋体" w:hAnsi="宋体" w:cs="宋体"/>
          <w:color w:val="auto"/>
          <w:sz w:val="24"/>
          <w:szCs w:val="24"/>
          <w:highlight w:val="none"/>
        </w:rPr>
        <w:t xml:space="preserve">    </w:t>
      </w:r>
    </w:p>
    <w:p w14:paraId="374F2EDF">
      <w:pPr>
        <w:widowControl w:val="0"/>
        <w:adjustRightInd w:val="0"/>
        <w:snapToGrid w:val="0"/>
        <w:spacing w:line="360" w:lineRule="auto"/>
        <w:ind w:firstLine="1020" w:firstLineChars="425"/>
        <w:jc w:val="left"/>
        <w:rPr>
          <w:rFonts w:ascii="宋体" w:hAnsi="宋体" w:cs="宋体"/>
          <w:color w:val="auto"/>
          <w:sz w:val="24"/>
          <w:szCs w:val="24"/>
          <w:highlight w:val="none"/>
        </w:rPr>
      </w:pPr>
      <w:r>
        <w:rPr>
          <w:rFonts w:hint="eastAsia" w:ascii="宋体" w:hAnsi="宋体" w:cs="宋体"/>
          <w:color w:val="auto"/>
          <w:sz w:val="24"/>
          <w:szCs w:val="24"/>
          <w:highlight w:val="none"/>
        </w:rPr>
        <w:t>联系方式：</w:t>
      </w:r>
      <w:r>
        <w:rPr>
          <w:rFonts w:hint="eastAsia" w:ascii="宋体" w:hAnsi="宋体" w:cs="宋体"/>
          <w:color w:val="auto"/>
          <w:sz w:val="24"/>
          <w:szCs w:val="24"/>
          <w:highlight w:val="none"/>
          <w:lang w:val="en-US" w:eastAsia="zh-CN"/>
        </w:rPr>
        <w:t>13703728637</w:t>
      </w:r>
      <w:r>
        <w:rPr>
          <w:rFonts w:hint="eastAsia" w:ascii="宋体" w:hAnsi="宋体" w:cs="宋体"/>
          <w:color w:val="auto"/>
          <w:sz w:val="24"/>
          <w:szCs w:val="24"/>
          <w:highlight w:val="none"/>
        </w:rPr>
        <w:t xml:space="preserve">　      </w:t>
      </w:r>
      <w:bookmarkStart w:id="5" w:name="_Toc28359086"/>
      <w:bookmarkStart w:id="6" w:name="_Toc28359009"/>
    </w:p>
    <w:p w14:paraId="4778E46F">
      <w:pPr>
        <w:widowControl w:val="0"/>
        <w:adjustRightInd w:val="0"/>
        <w:snapToGrid w:val="0"/>
        <w:spacing w:line="360" w:lineRule="auto"/>
        <w:ind w:firstLine="540" w:firstLineChars="225"/>
        <w:jc w:val="left"/>
        <w:rPr>
          <w:rFonts w:ascii="宋体" w:hAnsi="宋体" w:cs="宋体"/>
          <w:color w:val="auto"/>
          <w:sz w:val="24"/>
          <w:szCs w:val="24"/>
          <w:highlight w:val="none"/>
        </w:rPr>
      </w:pPr>
      <w:r>
        <w:rPr>
          <w:rFonts w:hint="eastAsia" w:ascii="宋体" w:hAnsi="宋体" w:cs="宋体"/>
          <w:color w:val="auto"/>
          <w:sz w:val="24"/>
          <w:szCs w:val="24"/>
          <w:highlight w:val="none"/>
        </w:rPr>
        <w:t>2、采购代理机构信息</w:t>
      </w:r>
      <w:bookmarkEnd w:id="5"/>
      <w:bookmarkEnd w:id="6"/>
    </w:p>
    <w:p w14:paraId="26F11CE2">
      <w:pPr>
        <w:widowControl w:val="0"/>
        <w:adjustRightInd w:val="0"/>
        <w:snapToGrid w:val="0"/>
        <w:spacing w:line="360" w:lineRule="auto"/>
        <w:ind w:firstLine="1020" w:firstLineChars="425"/>
        <w:jc w:val="left"/>
        <w:rPr>
          <w:rFonts w:ascii="宋体" w:hAnsi="宋体" w:cs="宋体"/>
          <w:color w:val="auto"/>
          <w:sz w:val="24"/>
          <w:szCs w:val="24"/>
          <w:highlight w:val="none"/>
        </w:rPr>
      </w:pPr>
      <w:r>
        <w:rPr>
          <w:rFonts w:hint="eastAsia" w:ascii="宋体" w:hAnsi="宋体" w:cs="宋体"/>
          <w:color w:val="auto"/>
          <w:sz w:val="24"/>
          <w:szCs w:val="24"/>
          <w:highlight w:val="none"/>
        </w:rPr>
        <w:t>名称：</w:t>
      </w:r>
      <w:r>
        <w:rPr>
          <w:rFonts w:hint="eastAsia" w:ascii="宋体" w:hAnsi="宋体" w:cs="宋体"/>
          <w:color w:val="auto"/>
          <w:sz w:val="24"/>
          <w:szCs w:val="24"/>
          <w:highlight w:val="none"/>
          <w:lang w:eastAsia="zh-CN"/>
        </w:rPr>
        <w:t>诚安工程管理有限公司</w:t>
      </w:r>
      <w:r>
        <w:rPr>
          <w:rFonts w:hint="eastAsia" w:ascii="宋体" w:hAnsi="宋体" w:cs="宋体"/>
          <w:color w:val="auto"/>
          <w:sz w:val="24"/>
          <w:szCs w:val="24"/>
          <w:highlight w:val="none"/>
        </w:rPr>
        <w:t xml:space="preserve">  　</w:t>
      </w:r>
    </w:p>
    <w:p w14:paraId="129EC11A">
      <w:pPr>
        <w:widowControl w:val="0"/>
        <w:adjustRightInd w:val="0"/>
        <w:snapToGrid w:val="0"/>
        <w:spacing w:line="360" w:lineRule="auto"/>
        <w:ind w:firstLine="1020" w:firstLineChars="425"/>
        <w:jc w:val="left"/>
        <w:rPr>
          <w:rFonts w:ascii="宋体" w:hAnsi="宋体" w:cs="宋体"/>
          <w:color w:val="auto"/>
          <w:sz w:val="24"/>
          <w:szCs w:val="24"/>
          <w:highlight w:val="none"/>
        </w:rPr>
      </w:pPr>
      <w:r>
        <w:rPr>
          <w:rFonts w:hint="eastAsia" w:ascii="宋体" w:hAnsi="宋体" w:cs="宋体"/>
          <w:color w:val="auto"/>
          <w:sz w:val="24"/>
          <w:szCs w:val="24"/>
          <w:highlight w:val="none"/>
        </w:rPr>
        <w:t>地址：安阳市眼科医院东20米路南　</w:t>
      </w:r>
    </w:p>
    <w:p w14:paraId="731CB756">
      <w:pPr>
        <w:widowControl w:val="0"/>
        <w:adjustRightInd w:val="0"/>
        <w:snapToGrid w:val="0"/>
        <w:spacing w:line="360" w:lineRule="auto"/>
        <w:ind w:firstLine="1020" w:firstLineChars="425"/>
        <w:jc w:val="left"/>
        <w:rPr>
          <w:rFonts w:ascii="宋体" w:hAnsi="宋体" w:cs="宋体"/>
          <w:color w:val="auto"/>
          <w:sz w:val="24"/>
          <w:szCs w:val="24"/>
          <w:highlight w:val="none"/>
        </w:rPr>
      </w:pPr>
      <w:r>
        <w:rPr>
          <w:rFonts w:hint="eastAsia" w:ascii="宋体" w:hAnsi="宋体" w:cs="宋体"/>
          <w:color w:val="auto"/>
          <w:sz w:val="24"/>
          <w:szCs w:val="24"/>
          <w:highlight w:val="none"/>
        </w:rPr>
        <w:t>联系人：</w:t>
      </w:r>
      <w:r>
        <w:rPr>
          <w:rFonts w:hint="eastAsia" w:ascii="宋体" w:hAnsi="宋体" w:cs="宋体"/>
          <w:color w:val="auto"/>
          <w:sz w:val="24"/>
          <w:szCs w:val="24"/>
          <w:highlight w:val="none"/>
          <w:lang w:val="en-US" w:eastAsia="zh-CN"/>
        </w:rPr>
        <w:t>尚艳利</w:t>
      </w:r>
      <w:r>
        <w:rPr>
          <w:rFonts w:hint="eastAsia" w:ascii="宋体" w:hAnsi="宋体" w:cs="宋体"/>
          <w:color w:val="auto"/>
          <w:sz w:val="24"/>
          <w:szCs w:val="24"/>
          <w:highlight w:val="none"/>
        </w:rPr>
        <w:t xml:space="preserve"> </w:t>
      </w:r>
    </w:p>
    <w:p w14:paraId="0E38CE36">
      <w:pPr>
        <w:widowControl w:val="0"/>
        <w:adjustRightInd w:val="0"/>
        <w:snapToGrid w:val="0"/>
        <w:spacing w:line="360" w:lineRule="auto"/>
        <w:ind w:firstLine="1020" w:firstLineChars="425"/>
        <w:jc w:val="left"/>
        <w:rPr>
          <w:rFonts w:ascii="宋体" w:hAnsi="宋体" w:cs="宋体"/>
          <w:color w:val="auto"/>
          <w:sz w:val="24"/>
          <w:szCs w:val="24"/>
          <w:highlight w:val="none"/>
        </w:rPr>
      </w:pPr>
      <w:r>
        <w:rPr>
          <w:rFonts w:hint="eastAsia" w:ascii="宋体" w:hAnsi="宋体" w:cs="宋体"/>
          <w:color w:val="auto"/>
          <w:sz w:val="24"/>
          <w:szCs w:val="24"/>
          <w:highlight w:val="none"/>
        </w:rPr>
        <w:t>联系方式：</w:t>
      </w:r>
      <w:bookmarkStart w:id="7" w:name="_Toc28359010"/>
      <w:bookmarkStart w:id="8" w:name="_Toc28359087"/>
      <w:r>
        <w:rPr>
          <w:rFonts w:hint="eastAsia" w:ascii="宋体" w:hAnsi="宋体" w:cs="宋体"/>
          <w:color w:val="auto"/>
          <w:sz w:val="24"/>
          <w:szCs w:val="24"/>
          <w:highlight w:val="none"/>
          <w:lang w:val="en-US" w:eastAsia="zh-CN"/>
        </w:rPr>
        <w:t>16637205537</w:t>
      </w:r>
      <w:r>
        <w:rPr>
          <w:rFonts w:hint="eastAsia" w:ascii="宋体" w:hAnsi="宋体" w:cs="宋体"/>
          <w:color w:val="auto"/>
          <w:sz w:val="24"/>
          <w:szCs w:val="24"/>
          <w:highlight w:val="none"/>
        </w:rPr>
        <w:t xml:space="preserve"> 　</w:t>
      </w:r>
    </w:p>
    <w:p w14:paraId="729F72A3">
      <w:pPr>
        <w:widowControl w:val="0"/>
        <w:adjustRightInd w:val="0"/>
        <w:snapToGrid w:val="0"/>
        <w:spacing w:line="360" w:lineRule="auto"/>
        <w:ind w:firstLine="540" w:firstLineChars="225"/>
        <w:jc w:val="left"/>
        <w:rPr>
          <w:rFonts w:ascii="宋体" w:hAnsi="宋体" w:cs="宋体"/>
          <w:color w:val="auto"/>
          <w:sz w:val="24"/>
          <w:szCs w:val="24"/>
          <w:highlight w:val="none"/>
        </w:rPr>
      </w:pPr>
      <w:r>
        <w:rPr>
          <w:rFonts w:hint="eastAsia" w:ascii="宋体" w:hAnsi="宋体" w:cs="宋体"/>
          <w:color w:val="auto"/>
          <w:sz w:val="24"/>
          <w:szCs w:val="24"/>
          <w:highlight w:val="none"/>
        </w:rPr>
        <w:t>3、项目联系方式</w:t>
      </w:r>
      <w:bookmarkEnd w:id="7"/>
      <w:bookmarkEnd w:id="8"/>
    </w:p>
    <w:p w14:paraId="276A7521">
      <w:pPr>
        <w:widowControl w:val="0"/>
        <w:adjustRightInd w:val="0"/>
        <w:snapToGrid w:val="0"/>
        <w:spacing w:line="360" w:lineRule="auto"/>
        <w:ind w:firstLine="1020" w:firstLineChars="425"/>
        <w:jc w:val="left"/>
        <w:rPr>
          <w:rFonts w:ascii="宋体" w:hAnsi="宋体" w:cs="宋体"/>
          <w:color w:val="auto"/>
          <w:sz w:val="24"/>
          <w:szCs w:val="24"/>
          <w:highlight w:val="none"/>
        </w:rPr>
      </w:pPr>
      <w:r>
        <w:rPr>
          <w:rFonts w:hint="eastAsia" w:ascii="宋体" w:hAnsi="宋体" w:cs="宋体"/>
          <w:color w:val="auto"/>
          <w:sz w:val="24"/>
          <w:szCs w:val="24"/>
          <w:highlight w:val="none"/>
        </w:rPr>
        <w:t>联系人：</w:t>
      </w:r>
      <w:r>
        <w:rPr>
          <w:rFonts w:hint="eastAsia" w:ascii="宋体" w:hAnsi="宋体" w:cs="宋体"/>
          <w:color w:val="auto"/>
          <w:sz w:val="24"/>
          <w:szCs w:val="24"/>
          <w:highlight w:val="none"/>
          <w:lang w:val="en-US" w:eastAsia="zh-CN"/>
        </w:rPr>
        <w:t>尚艳利</w:t>
      </w:r>
      <w:r>
        <w:rPr>
          <w:rFonts w:hint="eastAsia" w:ascii="宋体" w:hAnsi="宋体" w:cs="宋体"/>
          <w:color w:val="auto"/>
          <w:sz w:val="24"/>
          <w:szCs w:val="24"/>
          <w:highlight w:val="none"/>
        </w:rPr>
        <w:t xml:space="preserve"> </w:t>
      </w:r>
    </w:p>
    <w:p w14:paraId="3EFFF812">
      <w:pPr>
        <w:widowControl w:val="0"/>
        <w:adjustRightInd w:val="0"/>
        <w:snapToGrid w:val="0"/>
        <w:spacing w:line="360" w:lineRule="auto"/>
        <w:ind w:firstLine="1020" w:firstLineChars="425"/>
        <w:jc w:val="left"/>
        <w:rPr>
          <w:rFonts w:ascii="宋体" w:hAnsi="宋体" w:cs="宋体"/>
          <w:b/>
          <w:color w:val="auto"/>
          <w:sz w:val="28"/>
          <w:szCs w:val="28"/>
          <w:highlight w:val="none"/>
        </w:rPr>
      </w:pPr>
      <w:r>
        <w:rPr>
          <w:rFonts w:hint="eastAsia" w:ascii="宋体" w:hAnsi="宋体" w:cs="宋体"/>
          <w:color w:val="auto"/>
          <w:sz w:val="24"/>
          <w:szCs w:val="24"/>
          <w:highlight w:val="none"/>
        </w:rPr>
        <w:t>联系方式：</w:t>
      </w:r>
      <w:r>
        <w:rPr>
          <w:rFonts w:hint="eastAsia" w:ascii="宋体" w:hAnsi="宋体" w:cs="宋体"/>
          <w:color w:val="auto"/>
          <w:sz w:val="24"/>
          <w:szCs w:val="24"/>
          <w:highlight w:val="none"/>
          <w:lang w:val="en-US" w:eastAsia="zh-CN"/>
        </w:rPr>
        <w:t>16637205537</w:t>
      </w:r>
      <w:r>
        <w:rPr>
          <w:rFonts w:hint="eastAsia" w:ascii="宋体" w:hAnsi="宋体" w:cs="宋体"/>
          <w:color w:val="auto"/>
          <w:sz w:val="24"/>
          <w:szCs w:val="24"/>
          <w:highlight w:val="none"/>
        </w:rPr>
        <w:t xml:space="preserve"> 　</w:t>
      </w:r>
    </w:p>
    <w:p w14:paraId="5FF5CC05">
      <w:pPr>
        <w:widowControl w:val="0"/>
        <w:tabs>
          <w:tab w:val="left" w:pos="39"/>
          <w:tab w:val="left" w:pos="96"/>
        </w:tabs>
        <w:snapToGrid w:val="0"/>
        <w:spacing w:line="360" w:lineRule="auto"/>
        <w:ind w:firstLine="540" w:firstLineChars="225"/>
        <w:rPr>
          <w:rFonts w:ascii="宋体" w:hAnsi="宋体" w:cs="宋体"/>
          <w:color w:val="auto"/>
          <w:sz w:val="24"/>
          <w:szCs w:val="24"/>
          <w:highlight w:val="none"/>
        </w:rPr>
      </w:pPr>
    </w:p>
    <w:p w14:paraId="2895E95E">
      <w:pPr>
        <w:widowControl w:val="0"/>
        <w:tabs>
          <w:tab w:val="left" w:pos="39"/>
          <w:tab w:val="left" w:pos="96"/>
        </w:tabs>
        <w:snapToGrid w:val="0"/>
        <w:spacing w:line="276" w:lineRule="auto"/>
        <w:ind w:firstLine="630" w:firstLineChars="225"/>
        <w:rPr>
          <w:rFonts w:ascii="宋体" w:hAnsi="宋体" w:cs="宋体"/>
          <w:color w:val="auto"/>
          <w:sz w:val="24"/>
          <w:szCs w:val="24"/>
          <w:highlight w:val="none"/>
        </w:rPr>
      </w:pPr>
      <w:r>
        <w:rPr>
          <w:rFonts w:hint="eastAsia" w:ascii="宋体" w:hAnsi="宋体" w:cs="宋体"/>
          <w:color w:val="auto"/>
          <w:sz w:val="28"/>
          <w:szCs w:val="28"/>
          <w:highlight w:val="none"/>
        </w:rPr>
        <w:br w:type="page"/>
      </w:r>
    </w:p>
    <w:p w14:paraId="5FA69C3A">
      <w:pPr>
        <w:widowControl w:val="0"/>
        <w:snapToGrid w:val="0"/>
        <w:spacing w:line="360" w:lineRule="auto"/>
        <w:jc w:val="center"/>
        <w:outlineLvl w:val="0"/>
        <w:rPr>
          <w:rFonts w:ascii="宋体" w:hAnsi="宋体" w:cs="宋体"/>
          <w:color w:val="auto"/>
          <w:sz w:val="36"/>
          <w:szCs w:val="36"/>
          <w:highlight w:val="none"/>
        </w:rPr>
      </w:pPr>
      <w:bookmarkStart w:id="9" w:name="_Toc83372538"/>
      <w:r>
        <w:rPr>
          <w:rFonts w:hint="eastAsia" w:ascii="宋体" w:hAnsi="宋体" w:cs="宋体"/>
          <w:b/>
          <w:color w:val="auto"/>
          <w:sz w:val="36"/>
          <w:szCs w:val="36"/>
          <w:highlight w:val="none"/>
        </w:rPr>
        <w:t>第二章  采购项目清单及技术要求</w:t>
      </w:r>
      <w:bookmarkEnd w:id="9"/>
    </w:p>
    <w:p w14:paraId="215E5042">
      <w:pPr>
        <w:widowControl w:val="0"/>
        <w:snapToGrid w:val="0"/>
        <w:spacing w:line="276" w:lineRule="auto"/>
        <w:jc w:val="center"/>
        <w:rPr>
          <w:rFonts w:ascii="宋体" w:hAnsi="宋体" w:cs="宋体"/>
          <w:b/>
          <w:color w:val="auto"/>
          <w:sz w:val="24"/>
          <w:szCs w:val="24"/>
          <w:highlight w:val="none"/>
        </w:rPr>
      </w:pPr>
    </w:p>
    <w:p w14:paraId="2CEA75C2">
      <w:pPr>
        <w:widowControl w:val="0"/>
        <w:snapToGrid w:val="0"/>
        <w:spacing w:line="360" w:lineRule="auto"/>
        <w:ind w:firstLine="422" w:firstLineChars="150"/>
        <w:jc w:val="left"/>
        <w:outlineLvl w:val="1"/>
        <w:rPr>
          <w:rFonts w:ascii="宋体" w:hAnsi="宋体" w:cs="宋体"/>
          <w:b/>
          <w:color w:val="auto"/>
          <w:sz w:val="28"/>
          <w:highlight w:val="none"/>
        </w:rPr>
      </w:pPr>
      <w:bookmarkStart w:id="10" w:name="_Toc83372539"/>
      <w:r>
        <w:rPr>
          <w:rFonts w:hint="eastAsia" w:ascii="宋体" w:hAnsi="宋体" w:cs="宋体"/>
          <w:b/>
          <w:color w:val="auto"/>
          <w:sz w:val="28"/>
          <w:highlight w:val="none"/>
        </w:rPr>
        <w:t>1. 采购项目、标段（包）划分、磋商报价</w:t>
      </w:r>
      <w:bookmarkEnd w:id="10"/>
    </w:p>
    <w:p w14:paraId="4A795BE1">
      <w:pPr>
        <w:widowControl w:val="0"/>
        <w:snapToGrid w:val="0"/>
        <w:spacing w:line="360" w:lineRule="auto"/>
        <w:ind w:firstLine="482" w:firstLineChars="200"/>
        <w:jc w:val="left"/>
        <w:rPr>
          <w:rFonts w:hint="eastAsia" w:ascii="宋体" w:hAnsi="宋体" w:eastAsia="宋体" w:cs="宋体"/>
          <w:color w:val="auto"/>
          <w:sz w:val="24"/>
          <w:szCs w:val="24"/>
          <w:highlight w:val="none"/>
          <w:lang w:eastAsia="zh-CN"/>
        </w:rPr>
      </w:pPr>
      <w:r>
        <w:rPr>
          <w:rFonts w:hint="eastAsia" w:ascii="宋体" w:hAnsi="宋体" w:cs="宋体"/>
          <w:b/>
          <w:color w:val="auto"/>
          <w:sz w:val="24"/>
          <w:szCs w:val="24"/>
          <w:highlight w:val="none"/>
        </w:rPr>
        <w:t>1.1 采购项目名称</w:t>
      </w: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安阳市体育发展服务中心场馆改造提升（设备购置）项目</w:t>
      </w:r>
    </w:p>
    <w:p w14:paraId="5F3661F5">
      <w:pPr>
        <w:widowControl w:val="0"/>
        <w:snapToGrid w:val="0"/>
        <w:spacing w:line="360" w:lineRule="auto"/>
        <w:ind w:firstLine="482" w:firstLineChars="200"/>
        <w:jc w:val="left"/>
        <w:rPr>
          <w:rFonts w:ascii="宋体" w:hAnsi="宋体" w:cs="宋体"/>
          <w:color w:val="auto"/>
          <w:sz w:val="24"/>
          <w:szCs w:val="24"/>
          <w:highlight w:val="none"/>
        </w:rPr>
      </w:pPr>
      <w:r>
        <w:rPr>
          <w:rFonts w:hint="eastAsia" w:ascii="宋体" w:hAnsi="宋体" w:cs="宋体"/>
          <w:b/>
          <w:color w:val="auto"/>
          <w:sz w:val="24"/>
          <w:szCs w:val="24"/>
          <w:highlight w:val="none"/>
        </w:rPr>
        <w:t>1.2 标段（包）划分及其</w:t>
      </w:r>
      <w:r>
        <w:rPr>
          <w:rFonts w:hint="eastAsia" w:ascii="宋体" w:hAnsi="宋体" w:cs="宋体"/>
          <w:b/>
          <w:color w:val="auto"/>
          <w:sz w:val="24"/>
          <w:szCs w:val="24"/>
          <w:highlight w:val="none"/>
          <w:lang w:eastAsia="zh-CN"/>
        </w:rPr>
        <w:t>合同履行期限</w:t>
      </w:r>
      <w:r>
        <w:rPr>
          <w:rFonts w:hint="eastAsia" w:ascii="宋体" w:hAnsi="宋体" w:cs="宋体"/>
          <w:b/>
          <w:color w:val="auto"/>
          <w:sz w:val="24"/>
          <w:szCs w:val="24"/>
          <w:highlight w:val="none"/>
        </w:rPr>
        <w:t>交验地点</w:t>
      </w:r>
      <w:r>
        <w:rPr>
          <w:rFonts w:hint="eastAsia" w:ascii="宋体" w:hAnsi="宋体" w:cs="宋体"/>
          <w:color w:val="auto"/>
          <w:sz w:val="24"/>
          <w:szCs w:val="24"/>
          <w:highlight w:val="none"/>
        </w:rPr>
        <w:t>：本次采购项目划分为1个标段（包）。</w:t>
      </w:r>
    </w:p>
    <w:tbl>
      <w:tblPr>
        <w:tblStyle w:val="22"/>
        <w:tblW w:w="94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2"/>
        <w:gridCol w:w="1843"/>
        <w:gridCol w:w="2639"/>
        <w:gridCol w:w="1769"/>
        <w:gridCol w:w="1474"/>
      </w:tblGrid>
      <w:tr w14:paraId="23168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9427" w:type="dxa"/>
            <w:gridSpan w:val="5"/>
            <w:vAlign w:val="center"/>
          </w:tcPr>
          <w:p w14:paraId="57BA92FC">
            <w:pPr>
              <w:widowControl w:val="0"/>
              <w:snapToGrid w:val="0"/>
              <w:spacing w:line="240" w:lineRule="auto"/>
              <w:jc w:val="center"/>
              <w:rPr>
                <w:rFonts w:ascii="宋体" w:hAnsi="宋体" w:cs="宋体"/>
                <w:b/>
                <w:color w:val="auto"/>
                <w:sz w:val="24"/>
                <w:szCs w:val="24"/>
                <w:highlight w:val="none"/>
              </w:rPr>
            </w:pPr>
            <w:r>
              <w:rPr>
                <w:rFonts w:hint="eastAsia" w:ascii="宋体" w:hAnsi="宋体" w:cs="宋体"/>
                <w:b/>
                <w:color w:val="auto"/>
                <w:sz w:val="24"/>
                <w:szCs w:val="24"/>
                <w:highlight w:val="none"/>
              </w:rPr>
              <w:t>标段（包）一览表</w:t>
            </w:r>
          </w:p>
        </w:tc>
      </w:tr>
      <w:tr w14:paraId="20033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702" w:type="dxa"/>
            <w:vAlign w:val="center"/>
          </w:tcPr>
          <w:p w14:paraId="1C1DC3F3">
            <w:pPr>
              <w:widowControl w:val="0"/>
              <w:snapToGrid w:val="0"/>
              <w:spacing w:line="240" w:lineRule="auto"/>
              <w:jc w:val="center"/>
              <w:rPr>
                <w:rFonts w:ascii="宋体" w:hAnsi="宋体" w:cs="宋体"/>
                <w:b/>
                <w:color w:val="auto"/>
                <w:sz w:val="24"/>
                <w:szCs w:val="24"/>
                <w:highlight w:val="none"/>
              </w:rPr>
            </w:pPr>
            <w:r>
              <w:rPr>
                <w:rFonts w:hint="eastAsia" w:ascii="宋体" w:hAnsi="宋体" w:cs="宋体"/>
                <w:b/>
                <w:color w:val="auto"/>
                <w:sz w:val="24"/>
                <w:szCs w:val="24"/>
                <w:highlight w:val="none"/>
              </w:rPr>
              <w:t>项目名称</w:t>
            </w:r>
          </w:p>
        </w:tc>
        <w:tc>
          <w:tcPr>
            <w:tcW w:w="1843" w:type="dxa"/>
            <w:vAlign w:val="center"/>
          </w:tcPr>
          <w:p w14:paraId="51886C73">
            <w:pPr>
              <w:widowControl w:val="0"/>
              <w:snapToGrid w:val="0"/>
              <w:spacing w:line="240" w:lineRule="auto"/>
              <w:jc w:val="center"/>
              <w:rPr>
                <w:rFonts w:ascii="宋体" w:hAnsi="宋体" w:cs="宋体"/>
                <w:b/>
                <w:color w:val="auto"/>
                <w:sz w:val="24"/>
                <w:szCs w:val="24"/>
                <w:highlight w:val="none"/>
              </w:rPr>
            </w:pPr>
            <w:r>
              <w:rPr>
                <w:rFonts w:hint="eastAsia" w:ascii="宋体" w:hAnsi="宋体" w:cs="宋体"/>
                <w:b/>
                <w:color w:val="auto"/>
                <w:sz w:val="24"/>
                <w:szCs w:val="24"/>
                <w:highlight w:val="none"/>
              </w:rPr>
              <w:t>标段（包）名称</w:t>
            </w:r>
          </w:p>
        </w:tc>
        <w:tc>
          <w:tcPr>
            <w:tcW w:w="2639" w:type="dxa"/>
            <w:vAlign w:val="center"/>
          </w:tcPr>
          <w:p w14:paraId="436F1FB4">
            <w:pPr>
              <w:widowControl w:val="0"/>
              <w:snapToGrid w:val="0"/>
              <w:spacing w:line="240" w:lineRule="auto"/>
              <w:jc w:val="center"/>
              <w:rPr>
                <w:rFonts w:ascii="宋体" w:hAnsi="宋体" w:cs="宋体"/>
                <w:b/>
                <w:color w:val="auto"/>
                <w:sz w:val="24"/>
                <w:szCs w:val="24"/>
                <w:highlight w:val="none"/>
              </w:rPr>
            </w:pPr>
            <w:r>
              <w:rPr>
                <w:rFonts w:hint="eastAsia" w:ascii="宋体" w:hAnsi="宋体" w:cs="宋体"/>
                <w:b/>
                <w:color w:val="auto"/>
                <w:sz w:val="24"/>
                <w:szCs w:val="24"/>
                <w:highlight w:val="none"/>
              </w:rPr>
              <w:t>标段（包）内容（范围）</w:t>
            </w:r>
          </w:p>
        </w:tc>
        <w:tc>
          <w:tcPr>
            <w:tcW w:w="1769" w:type="dxa"/>
            <w:vAlign w:val="center"/>
          </w:tcPr>
          <w:p w14:paraId="328AE5B5">
            <w:pPr>
              <w:widowControl w:val="0"/>
              <w:snapToGrid w:val="0"/>
              <w:spacing w:line="240" w:lineRule="auto"/>
              <w:jc w:val="center"/>
              <w:rPr>
                <w:rFonts w:ascii="宋体" w:hAnsi="宋体" w:cs="宋体"/>
                <w:b/>
                <w:color w:val="auto"/>
                <w:sz w:val="24"/>
                <w:szCs w:val="24"/>
                <w:highlight w:val="none"/>
              </w:rPr>
            </w:pPr>
            <w:r>
              <w:rPr>
                <w:rFonts w:hint="eastAsia" w:ascii="宋体" w:hAnsi="宋体" w:cs="宋体"/>
                <w:b/>
                <w:color w:val="auto"/>
                <w:sz w:val="24"/>
                <w:szCs w:val="24"/>
                <w:highlight w:val="none"/>
              </w:rPr>
              <w:t>合同履行期限</w:t>
            </w:r>
          </w:p>
          <w:p w14:paraId="35A0B822">
            <w:pPr>
              <w:widowControl w:val="0"/>
              <w:snapToGrid w:val="0"/>
              <w:spacing w:line="240" w:lineRule="auto"/>
              <w:jc w:val="center"/>
              <w:rPr>
                <w:rFonts w:ascii="宋体" w:hAnsi="宋体" w:cs="宋体"/>
                <w:b/>
                <w:color w:val="auto"/>
                <w:sz w:val="24"/>
                <w:szCs w:val="24"/>
                <w:highlight w:val="none"/>
              </w:rPr>
            </w:pPr>
            <w:r>
              <w:rPr>
                <w:rFonts w:hint="eastAsia" w:ascii="宋体" w:hAnsi="宋体" w:cs="宋体"/>
                <w:b/>
                <w:color w:val="auto"/>
                <w:sz w:val="24"/>
                <w:szCs w:val="24"/>
                <w:highlight w:val="none"/>
              </w:rPr>
              <w:t>（交验期）</w:t>
            </w:r>
          </w:p>
        </w:tc>
        <w:tc>
          <w:tcPr>
            <w:tcW w:w="1474" w:type="dxa"/>
            <w:vAlign w:val="center"/>
          </w:tcPr>
          <w:p w14:paraId="19B59470">
            <w:pPr>
              <w:widowControl w:val="0"/>
              <w:snapToGrid w:val="0"/>
              <w:spacing w:line="240" w:lineRule="auto"/>
              <w:jc w:val="center"/>
              <w:rPr>
                <w:rFonts w:ascii="宋体" w:hAnsi="宋体" w:cs="宋体"/>
                <w:b/>
                <w:color w:val="auto"/>
                <w:sz w:val="24"/>
                <w:szCs w:val="24"/>
                <w:highlight w:val="none"/>
              </w:rPr>
            </w:pPr>
            <w:r>
              <w:rPr>
                <w:rFonts w:hint="eastAsia" w:ascii="宋体" w:hAnsi="宋体" w:cs="宋体"/>
                <w:b/>
                <w:color w:val="auto"/>
                <w:sz w:val="24"/>
                <w:szCs w:val="24"/>
                <w:highlight w:val="none"/>
              </w:rPr>
              <w:t>交验地点</w:t>
            </w:r>
          </w:p>
        </w:tc>
      </w:tr>
      <w:tr w14:paraId="47841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6" w:hRule="atLeast"/>
          <w:jc w:val="center"/>
        </w:trPr>
        <w:tc>
          <w:tcPr>
            <w:tcW w:w="1702" w:type="dxa"/>
            <w:vAlign w:val="center"/>
          </w:tcPr>
          <w:p w14:paraId="00CD6A25">
            <w:pPr>
              <w:widowControl w:val="0"/>
              <w:adjustRightInd w:val="0"/>
              <w:snapToGrid w:val="0"/>
              <w:spacing w:line="240" w:lineRule="auto"/>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安阳市体育发展服务中心场馆改造提升（设备购置）项目</w:t>
            </w:r>
          </w:p>
        </w:tc>
        <w:tc>
          <w:tcPr>
            <w:tcW w:w="1843" w:type="dxa"/>
            <w:vAlign w:val="center"/>
          </w:tcPr>
          <w:p w14:paraId="03AAB4D0">
            <w:pPr>
              <w:widowControl w:val="0"/>
              <w:adjustRightInd w:val="0"/>
              <w:snapToGrid w:val="0"/>
              <w:spacing w:line="24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同项目名称</w:t>
            </w:r>
          </w:p>
        </w:tc>
        <w:tc>
          <w:tcPr>
            <w:tcW w:w="2639" w:type="dxa"/>
            <w:vAlign w:val="center"/>
          </w:tcPr>
          <w:p w14:paraId="067B04BA">
            <w:pPr>
              <w:widowControl w:val="0"/>
              <w:adjustRightInd w:val="0"/>
              <w:snapToGrid w:val="0"/>
              <w:spacing w:line="24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见“第二章第2条：标段（包）内容（范围）及基本技术要求”</w:t>
            </w:r>
          </w:p>
        </w:tc>
        <w:tc>
          <w:tcPr>
            <w:tcW w:w="1769" w:type="dxa"/>
            <w:vAlign w:val="center"/>
          </w:tcPr>
          <w:p w14:paraId="6BEF61F3">
            <w:pPr>
              <w:widowControl w:val="0"/>
              <w:adjustRightInd w:val="0"/>
              <w:snapToGrid w:val="0"/>
              <w:spacing w:line="240" w:lineRule="auto"/>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合同签订日起</w:t>
            </w:r>
            <w:r>
              <w:rPr>
                <w:rFonts w:hint="eastAsia" w:ascii="宋体" w:hAnsi="宋体" w:cs="宋体"/>
                <w:color w:val="auto"/>
                <w:sz w:val="24"/>
                <w:szCs w:val="24"/>
                <w:highlight w:val="none"/>
                <w:lang w:val="en-US" w:eastAsia="zh-CN"/>
              </w:rPr>
              <w:t>60</w:t>
            </w:r>
            <w:r>
              <w:rPr>
                <w:rFonts w:hint="eastAsia" w:ascii="宋体" w:hAnsi="宋体" w:cs="宋体"/>
                <w:color w:val="auto"/>
                <w:sz w:val="24"/>
                <w:szCs w:val="24"/>
                <w:highlight w:val="none"/>
                <w:lang w:eastAsia="zh-CN"/>
              </w:rPr>
              <w:t>日内</w:t>
            </w:r>
          </w:p>
        </w:tc>
        <w:tc>
          <w:tcPr>
            <w:tcW w:w="1474" w:type="dxa"/>
            <w:vAlign w:val="center"/>
          </w:tcPr>
          <w:p w14:paraId="2BCBC739">
            <w:pPr>
              <w:widowControl w:val="0"/>
              <w:adjustRightInd w:val="0"/>
              <w:snapToGrid w:val="0"/>
              <w:spacing w:line="24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采购人指定地点</w:t>
            </w:r>
          </w:p>
        </w:tc>
      </w:tr>
    </w:tbl>
    <w:p w14:paraId="09552AD1">
      <w:pPr>
        <w:spacing w:line="560" w:lineRule="exact"/>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1.3 磋商报价（价格构成）</w:t>
      </w:r>
    </w:p>
    <w:p w14:paraId="0845CAEA">
      <w:pPr>
        <w:widowControl w:val="0"/>
        <w:snapToGrid w:val="0"/>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1.3.1 供应商的磋商报价应为达到正常使用条件下的</w:t>
      </w:r>
      <w:r>
        <w:rPr>
          <w:rFonts w:hint="eastAsia" w:ascii="宋体" w:hAnsi="宋体" w:cs="宋体"/>
          <w:color w:val="auto"/>
          <w:sz w:val="24"/>
          <w:szCs w:val="24"/>
          <w:highlight w:val="none"/>
          <w:lang w:val="en-US" w:eastAsia="zh-CN"/>
        </w:rPr>
        <w:t>供货</w:t>
      </w:r>
      <w:r>
        <w:rPr>
          <w:rFonts w:hint="eastAsia" w:ascii="宋体" w:hAnsi="宋体" w:cs="宋体"/>
          <w:color w:val="auto"/>
          <w:sz w:val="24"/>
          <w:szCs w:val="24"/>
          <w:highlight w:val="none"/>
        </w:rPr>
        <w:t>完工交验价，包括产品价款、相关税款、备品备件价、易损件价、专用工具价、售后及技术服务费、知识产权（如有）、保险（如需）、货物包装、安装调试费及运送到安阳地区指定地点的运杂费、装卸费等与采购项目相关的、必须的款项及费用（包括未列明而完成交验所必须的所有设备、材料、工具、费用）。成交价格在成交合同范围内固定不变。</w:t>
      </w:r>
    </w:p>
    <w:p w14:paraId="4C13D18E">
      <w:pPr>
        <w:widowControl w:val="0"/>
        <w:snapToGrid w:val="0"/>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1.3.2 本次竞争性磋商共二次报价（含系统中开标一览表报价共二次价格磋商）。磋商小组未对《磋商文件》作优化变更增加的，磋商中的报价均不应超过前次报价，供应商擅自调高报价的，磋商小组将按二次报价中的最低报价作为有效报价。供应商拒绝接受上述意见的，磋商小组将视为变相在提交《响应文件》截止时间后撤回《响应文件》，并评定其为无效投标，依据磋商文件“第三章</w:t>
      </w:r>
      <w:r>
        <w:rPr>
          <w:rFonts w:hint="eastAsia" w:ascii="宋体" w:hAnsi="宋体" w:cs="宋体"/>
          <w:color w:val="auto"/>
          <w:sz w:val="24"/>
          <w:szCs w:val="22"/>
          <w:highlight w:val="none"/>
        </w:rPr>
        <w:t>3.5.5 违背承诺的责任追究措施</w:t>
      </w:r>
      <w:r>
        <w:rPr>
          <w:rFonts w:hint="eastAsia" w:ascii="宋体" w:hAnsi="宋体" w:cs="宋体"/>
          <w:color w:val="auto"/>
          <w:sz w:val="24"/>
          <w:szCs w:val="24"/>
          <w:highlight w:val="none"/>
        </w:rPr>
        <w:t>”，供应商</w:t>
      </w:r>
      <w:r>
        <w:rPr>
          <w:rFonts w:hint="eastAsia" w:ascii="宋体" w:hAnsi="宋体" w:cs="宋体"/>
          <w:color w:val="auto"/>
          <w:sz w:val="24"/>
          <w:szCs w:val="22"/>
          <w:highlight w:val="none"/>
        </w:rPr>
        <w:t>承担相应法律责任及违约责任。</w:t>
      </w:r>
    </w:p>
    <w:p w14:paraId="606E8FAF">
      <w:pPr>
        <w:widowControl w:val="0"/>
        <w:snapToGrid w:val="0"/>
        <w:spacing w:line="360" w:lineRule="auto"/>
        <w:ind w:firstLine="482" w:firstLineChars="200"/>
        <w:jc w:val="left"/>
        <w:rPr>
          <w:rFonts w:ascii="宋体" w:hAnsi="宋体" w:cs="宋体"/>
          <w:b/>
          <w:color w:val="auto"/>
          <w:sz w:val="24"/>
          <w:szCs w:val="24"/>
          <w:highlight w:val="none"/>
        </w:rPr>
      </w:pPr>
      <w:r>
        <w:rPr>
          <w:rFonts w:hint="eastAsia" w:ascii="宋体" w:hAnsi="宋体" w:cs="宋体"/>
          <w:b/>
          <w:color w:val="auto"/>
          <w:sz w:val="24"/>
          <w:szCs w:val="24"/>
          <w:highlight w:val="none"/>
        </w:rPr>
        <w:t>价格磋商规则详见第四章“评审办法”第“3.4.7 价格磋商”条款。</w:t>
      </w:r>
    </w:p>
    <w:p w14:paraId="47C7ECF1">
      <w:pPr>
        <w:widowControl w:val="0"/>
        <w:snapToGrid w:val="0"/>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1.3.3 如供应商的磋商报价未超过预算金额（见竞争性磋商公告1.4）的供应商不足三家的，该标段（包）做废标处理。</w:t>
      </w:r>
    </w:p>
    <w:p w14:paraId="01B4DD65">
      <w:pPr>
        <w:widowControl w:val="0"/>
        <w:snapToGrid w:val="0"/>
        <w:spacing w:line="360" w:lineRule="auto"/>
        <w:ind w:firstLine="480" w:firstLineChars="200"/>
        <w:jc w:val="left"/>
        <w:rPr>
          <w:rFonts w:ascii="宋体" w:hAnsi="宋体" w:cs="宋体"/>
          <w:b/>
          <w:color w:val="auto"/>
          <w:sz w:val="28"/>
          <w:highlight w:val="none"/>
        </w:rPr>
      </w:pPr>
      <w:r>
        <w:rPr>
          <w:rFonts w:hint="eastAsia" w:ascii="宋体" w:hAnsi="宋体" w:cs="宋体"/>
          <w:color w:val="auto"/>
          <w:sz w:val="24"/>
          <w:szCs w:val="24"/>
          <w:highlight w:val="none"/>
        </w:rPr>
        <w:t>1.3.4 遵循第三章供应商须知3.7.5项规定。</w:t>
      </w:r>
    </w:p>
    <w:p w14:paraId="09760D1A">
      <w:pPr>
        <w:spacing w:line="360" w:lineRule="auto"/>
        <w:ind w:firstLine="562" w:firstLineChars="200"/>
        <w:outlineLvl w:val="1"/>
        <w:rPr>
          <w:rFonts w:ascii="宋体" w:hAnsi="宋体" w:cs="宋体"/>
          <w:b/>
          <w:color w:val="auto"/>
          <w:sz w:val="28"/>
          <w:highlight w:val="none"/>
        </w:rPr>
      </w:pPr>
      <w:bookmarkStart w:id="11" w:name="_Toc83372540"/>
      <w:r>
        <w:rPr>
          <w:rFonts w:hint="eastAsia" w:ascii="宋体" w:hAnsi="宋体" w:cs="宋体"/>
          <w:b/>
          <w:color w:val="auto"/>
          <w:sz w:val="28"/>
          <w:highlight w:val="none"/>
        </w:rPr>
        <w:t>2. 标段（包）内容（范围）及基本技术要求</w:t>
      </w:r>
      <w:bookmarkEnd w:id="11"/>
    </w:p>
    <w:p w14:paraId="0C24507D">
      <w:pPr>
        <w:spacing w:line="360" w:lineRule="auto"/>
        <w:ind w:firstLine="482" w:firstLineChars="200"/>
        <w:rPr>
          <w:rFonts w:ascii="宋体" w:hAnsi="宋体" w:cs="宋体"/>
          <w:color w:val="auto"/>
          <w:sz w:val="24"/>
          <w:szCs w:val="24"/>
          <w:highlight w:val="none"/>
        </w:rPr>
      </w:pPr>
      <w:r>
        <w:rPr>
          <w:rFonts w:hint="eastAsia" w:ascii="宋体" w:hAnsi="宋体" w:cs="宋体"/>
          <w:b/>
          <w:color w:val="auto"/>
          <w:sz w:val="24"/>
          <w:szCs w:val="24"/>
          <w:highlight w:val="none"/>
        </w:rPr>
        <w:t>2.1 总体技术（方案）要求及标段（包）内容（范围）：</w:t>
      </w:r>
      <w:r>
        <w:rPr>
          <w:rFonts w:hint="eastAsia" w:ascii="宋体" w:hAnsi="宋体" w:cs="宋体"/>
          <w:color w:val="auto"/>
          <w:sz w:val="24"/>
          <w:szCs w:val="24"/>
          <w:highlight w:val="none"/>
        </w:rPr>
        <w:t>详见下述2.4款</w:t>
      </w:r>
    </w:p>
    <w:p w14:paraId="036AA4AA">
      <w:pPr>
        <w:adjustRightInd w:val="0"/>
        <w:snapToGrid w:val="0"/>
        <w:spacing w:before="120" w:beforeLines="50"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2.2 项目落实的政府采购政策（法规标准条款）</w:t>
      </w:r>
    </w:p>
    <w:p w14:paraId="3F880956">
      <w:pPr>
        <w:widowControl w:val="0"/>
        <w:adjustRightInd w:val="0"/>
        <w:snapToGrid w:val="0"/>
        <w:spacing w:before="120" w:beforeLines="5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2.2.1 台式计算机</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便携式计算机</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平板式微型计算机</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激光打印机</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针式打印机</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液晶显示器</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制冷压缩机</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空调机组</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专用制冷</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空调设备</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镇流器</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空调机</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电热水器</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普通照明用自镇流荧光灯</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普通照明用双端荧光灯</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电视设备</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视频监控设备</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便器</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水嘴等品目为政府强制采购节能产品（如遇国家有关政府主管部门调整，以调整后最新的节能产品政府采购品目清单为准）。如采购人所采购的设备涉及政府强制采购节能产品，供应商提供的产品必须具有国家确定的认证机构出具的、处于有效期之内的节能产品认证证书，并提供证明材料，否则视为无效投标。</w:t>
      </w:r>
    </w:p>
    <w:p w14:paraId="0308C128">
      <w:pPr>
        <w:widowControl w:val="0"/>
        <w:adjustRightInd w:val="0"/>
        <w:snapToGrid w:val="0"/>
        <w:spacing w:before="120" w:beforeLines="5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如采购人所采购的设备不涉及政府强制采购节能产品的，供应商提供的产品中属于节能产品/环境标志产品政府采购品目清单中优先采购的，应提供国家确定的认证机构出具的、处于有效期之内的节能产品/环境标志产品认证证书复印件，同等条件下，享受节能产品及环境标志产品优先采购政策。同等条件是指，采用综合评分法的项目，供应商综合得分一致、价格得分一致；采用最低评标价法的项目，供应商最终报价一致。</w:t>
      </w:r>
    </w:p>
    <w:p w14:paraId="380BDE31">
      <w:pPr>
        <w:widowControl w:val="0"/>
        <w:adjustRightInd w:val="0"/>
        <w:snapToGrid w:val="0"/>
        <w:spacing w:before="120" w:beforeLines="5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2.2.2 同等条件下，获得节能产品认证证书或环境标志产品认证证书的产品或贫困地区产品优先采购。</w:t>
      </w:r>
    </w:p>
    <w:p w14:paraId="3DEBD111">
      <w:pPr>
        <w:widowControl w:val="0"/>
        <w:adjustRightInd w:val="0"/>
        <w:snapToGrid w:val="0"/>
        <w:spacing w:before="120" w:beforeLines="50"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2.2.</w:t>
      </w:r>
      <w:r>
        <w:rPr>
          <w:rFonts w:hint="eastAsia" w:ascii="宋体" w:hAnsi="宋体" w:cs="宋体"/>
          <w:color w:val="auto"/>
          <w:sz w:val="24"/>
          <w:szCs w:val="24"/>
          <w:highlight w:val="none"/>
          <w:lang w:val="en-US" w:eastAsia="zh-CN"/>
        </w:rPr>
        <w:t>3本次采购不允许进口产品参加。</w:t>
      </w:r>
    </w:p>
    <w:p w14:paraId="36061377">
      <w:pPr>
        <w:widowControl w:val="0"/>
        <w:adjustRightInd w:val="0"/>
        <w:snapToGrid w:val="0"/>
        <w:spacing w:before="120" w:beforeLines="5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2.2.</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 xml:space="preserve"> 信息安全产品须通过国家信息安全认证中心认证，计算机产品须预装正版操作系统软件。</w:t>
      </w:r>
    </w:p>
    <w:p w14:paraId="0D6B88BB">
      <w:pPr>
        <w:widowControl w:val="0"/>
        <w:adjustRightInd w:val="0"/>
        <w:snapToGrid w:val="0"/>
        <w:spacing w:before="120" w:beforeLines="5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2.2.</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 xml:space="preserve"> 促进中小企业发展扶持政策：见第四章“评审办法”第4条。</w:t>
      </w:r>
    </w:p>
    <w:p w14:paraId="0B0247BE">
      <w:pPr>
        <w:widowControl w:val="0"/>
        <w:adjustRightInd w:val="0"/>
        <w:snapToGrid w:val="0"/>
        <w:spacing w:before="120" w:beforeLines="5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2.2.</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 xml:space="preserve"> 政府采购支持监狱企业发展</w:t>
      </w:r>
    </w:p>
    <w:p w14:paraId="79455D6C">
      <w:pPr>
        <w:widowControl w:val="0"/>
        <w:adjustRightInd w:val="0"/>
        <w:snapToGrid w:val="0"/>
        <w:spacing w:before="120" w:beforeLines="5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2.2.</w:t>
      </w:r>
      <w:r>
        <w:rPr>
          <w:rFonts w:hint="eastAsia" w:ascii="宋体" w:hAnsi="宋体" w:cs="宋体"/>
          <w:color w:val="auto"/>
          <w:sz w:val="24"/>
          <w:szCs w:val="24"/>
          <w:highlight w:val="none"/>
          <w:lang w:val="en-US" w:eastAsia="zh-CN"/>
        </w:rPr>
        <w:t>7</w:t>
      </w:r>
      <w:r>
        <w:rPr>
          <w:rFonts w:hint="eastAsia" w:ascii="宋体" w:hAnsi="宋体" w:cs="宋体"/>
          <w:color w:val="auto"/>
          <w:sz w:val="24"/>
          <w:szCs w:val="24"/>
          <w:highlight w:val="none"/>
        </w:rPr>
        <w:t xml:space="preserve"> 促进残疾人就业：见第四章“评审办法”第4条。</w:t>
      </w:r>
    </w:p>
    <w:p w14:paraId="4B969974">
      <w:pPr>
        <w:widowControl w:val="0"/>
        <w:adjustRightInd w:val="0"/>
        <w:snapToGrid w:val="0"/>
        <w:spacing w:before="120" w:beforeLines="5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2.2.</w:t>
      </w:r>
      <w:r>
        <w:rPr>
          <w:rFonts w:hint="eastAsia" w:ascii="宋体" w:hAnsi="宋体" w:cs="宋体"/>
          <w:color w:val="auto"/>
          <w:sz w:val="24"/>
          <w:szCs w:val="24"/>
          <w:highlight w:val="none"/>
          <w:lang w:val="en-US" w:eastAsia="zh-CN"/>
        </w:rPr>
        <w:t>8</w:t>
      </w:r>
      <w:r>
        <w:rPr>
          <w:rFonts w:hint="eastAsia" w:ascii="宋体" w:hAnsi="宋体" w:cs="宋体"/>
          <w:color w:val="auto"/>
          <w:sz w:val="24"/>
          <w:szCs w:val="24"/>
          <w:highlight w:val="none"/>
        </w:rPr>
        <w:t xml:space="preserve"> 所供产品有环保政策要求的，应符合相关环保法律政策要求。</w:t>
      </w:r>
    </w:p>
    <w:p w14:paraId="50A62AA7">
      <w:pPr>
        <w:adjustRightInd w:val="0"/>
        <w:snapToGrid w:val="0"/>
        <w:spacing w:before="120" w:beforeLines="50"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2.3 采购标的需执行的国家相关标准、行业标准、地方标准或者其他标准、规范</w:t>
      </w:r>
    </w:p>
    <w:p w14:paraId="1903BAB7">
      <w:pPr>
        <w:widowControl w:val="0"/>
        <w:adjustRightInd w:val="0"/>
        <w:snapToGrid w:val="0"/>
        <w:spacing w:before="120" w:beforeLines="5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供应商所报响应产品应为全新产品且符合国家质量标准、部颁标准及行业规范的要求，符合国家各项强制性规范及安全标准，响应产品不应与第三方存在知识产权权属问题；供应商应本着服务客户、为客户着想的宗旨，来完善产品及技术要求未尽事宜，不得以《磋商文件》未列明事项为由，来降低响应产品的质量。</w:t>
      </w:r>
    </w:p>
    <w:p w14:paraId="3F93368D">
      <w:pPr>
        <w:adjustRightInd w:val="0"/>
        <w:snapToGrid w:val="0"/>
        <w:spacing w:before="120" w:beforeLines="50" w:line="360" w:lineRule="auto"/>
        <w:ind w:firstLine="482" w:firstLineChars="200"/>
        <w:rPr>
          <w:rFonts w:ascii="宋体" w:hAnsi="宋体" w:cs="宋体"/>
          <w:color w:val="auto"/>
          <w:sz w:val="24"/>
          <w:szCs w:val="24"/>
          <w:highlight w:val="none"/>
        </w:rPr>
      </w:pPr>
      <w:r>
        <w:rPr>
          <w:rFonts w:hint="eastAsia" w:ascii="宋体" w:hAnsi="宋体" w:cs="宋体"/>
          <w:b/>
          <w:color w:val="auto"/>
          <w:sz w:val="24"/>
          <w:szCs w:val="24"/>
          <w:highlight w:val="none"/>
        </w:rPr>
        <w:t>2.4 具体技术要求及标段（包）内容（范围）</w:t>
      </w:r>
    </w:p>
    <w:tbl>
      <w:tblPr>
        <w:tblStyle w:val="23"/>
        <w:tblW w:w="94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5"/>
        <w:gridCol w:w="756"/>
        <w:gridCol w:w="6814"/>
        <w:gridCol w:w="718"/>
        <w:gridCol w:w="706"/>
      </w:tblGrid>
      <w:tr w14:paraId="7655F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5" w:type="dxa"/>
            <w:vAlign w:val="center"/>
          </w:tcPr>
          <w:p w14:paraId="26C1F9DA">
            <w:pPr>
              <w:keepLines/>
              <w:widowControl/>
              <w:wordWrap w:val="0"/>
              <w:topLinePun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756" w:type="dxa"/>
            <w:vAlign w:val="center"/>
          </w:tcPr>
          <w:p w14:paraId="022205E3">
            <w:pPr>
              <w:keepLines/>
              <w:widowControl/>
              <w:wordWrap w:val="0"/>
              <w:topLinePun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设备名称</w:t>
            </w:r>
          </w:p>
        </w:tc>
        <w:tc>
          <w:tcPr>
            <w:tcW w:w="6814" w:type="dxa"/>
            <w:vAlign w:val="center"/>
          </w:tcPr>
          <w:p w14:paraId="68B740CD">
            <w:pPr>
              <w:keepLines/>
              <w:widowControl/>
              <w:wordWrap w:val="0"/>
              <w:topLinePun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技术要求</w:t>
            </w:r>
          </w:p>
        </w:tc>
        <w:tc>
          <w:tcPr>
            <w:tcW w:w="718" w:type="dxa"/>
            <w:vAlign w:val="center"/>
          </w:tcPr>
          <w:p w14:paraId="47D20804">
            <w:pPr>
              <w:keepLines/>
              <w:widowControl/>
              <w:wordWrap w:val="0"/>
              <w:topLinePun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数量</w:t>
            </w:r>
          </w:p>
        </w:tc>
        <w:tc>
          <w:tcPr>
            <w:tcW w:w="706" w:type="dxa"/>
            <w:vAlign w:val="center"/>
          </w:tcPr>
          <w:p w14:paraId="1135466F">
            <w:pPr>
              <w:keepLines/>
              <w:widowControl/>
              <w:wordWrap w:val="0"/>
              <w:topLinePunct/>
              <w:jc w:val="center"/>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行业划分</w:t>
            </w:r>
          </w:p>
        </w:tc>
      </w:tr>
      <w:tr w14:paraId="3516E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469" w:type="dxa"/>
            <w:gridSpan w:val="5"/>
            <w:vAlign w:val="center"/>
          </w:tcPr>
          <w:p w14:paraId="1FEC6DEF">
            <w:pPr>
              <w:keepLines/>
              <w:widowControl/>
              <w:wordWrap w:val="0"/>
              <w:topLinePun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一、显示设备</w:t>
            </w:r>
          </w:p>
        </w:tc>
      </w:tr>
      <w:tr w14:paraId="28AA9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5" w:type="dxa"/>
            <w:vAlign w:val="center"/>
          </w:tcPr>
          <w:p w14:paraId="7B71C186">
            <w:pPr>
              <w:keepLines/>
              <w:widowControl/>
              <w:wordWrap w:val="0"/>
              <w:topLinePun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756" w:type="dxa"/>
            <w:vAlign w:val="center"/>
          </w:tcPr>
          <w:p w14:paraId="56873713">
            <w:pPr>
              <w:keepLines/>
              <w:wordWrap w:val="0"/>
              <w:topLinePunct/>
              <w:jc w:val="left"/>
              <w:rPr>
                <w:rFonts w:hint="eastAsia" w:ascii="宋体" w:hAnsi="宋体" w:eastAsia="宋体" w:cs="宋体"/>
                <w:color w:val="auto"/>
                <w:spacing w:val="-2"/>
                <w:sz w:val="21"/>
                <w:szCs w:val="21"/>
                <w:highlight w:val="none"/>
                <w:u w:color="000000"/>
                <w:lang w:val="en-US" w:eastAsia="zh-CN" w:bidi="ar-SA"/>
              </w:rPr>
            </w:pPr>
            <w:r>
              <w:rPr>
                <w:rFonts w:hint="eastAsia" w:ascii="宋体" w:hAnsi="宋体" w:cs="宋体"/>
                <w:color w:val="auto"/>
                <w:spacing w:val="-2"/>
                <w:szCs w:val="21"/>
                <w:highlight w:val="none"/>
              </w:rPr>
              <w:t>显示设备</w:t>
            </w:r>
          </w:p>
        </w:tc>
        <w:tc>
          <w:tcPr>
            <w:tcW w:w="6814" w:type="dxa"/>
            <w:vAlign w:val="center"/>
          </w:tcPr>
          <w:p w14:paraId="7C64A110">
            <w:pPr>
              <w:keepLines/>
              <w:wordWrap w:val="0"/>
              <w:topLinePunct/>
              <w:jc w:val="left"/>
              <w:rPr>
                <w:rFonts w:hint="eastAsia" w:ascii="宋体" w:hAnsi="宋体" w:cs="宋体"/>
                <w:color w:val="auto"/>
                <w:spacing w:val="-2"/>
                <w:szCs w:val="21"/>
                <w:highlight w:val="none"/>
              </w:rPr>
            </w:pPr>
            <w:r>
              <w:rPr>
                <w:rFonts w:hint="eastAsia" w:ascii="宋体" w:hAnsi="宋体" w:cs="宋体"/>
                <w:color w:val="auto"/>
                <w:spacing w:val="-2"/>
                <w:szCs w:val="21"/>
                <w:highlight w:val="none"/>
              </w:rPr>
              <w:t>1、名称：LED显示屏；</w:t>
            </w:r>
          </w:p>
          <w:p w14:paraId="5527A59A">
            <w:pPr>
              <w:keepLines/>
              <w:wordWrap w:val="0"/>
              <w:topLinePunct/>
              <w:jc w:val="left"/>
              <w:rPr>
                <w:rFonts w:hint="eastAsia" w:ascii="宋体" w:hAnsi="宋体" w:cs="宋体"/>
                <w:color w:val="auto"/>
                <w:spacing w:val="-2"/>
                <w:szCs w:val="21"/>
                <w:highlight w:val="none"/>
              </w:rPr>
            </w:pPr>
            <w:r>
              <w:rPr>
                <w:rFonts w:hint="eastAsia" w:ascii="宋体" w:hAnsi="宋体" w:cs="宋体"/>
                <w:color w:val="auto"/>
                <w:spacing w:val="-2"/>
                <w:szCs w:val="21"/>
                <w:highlight w:val="none"/>
              </w:rPr>
              <w:t>2、尺寸：10.24*2.88m；</w:t>
            </w:r>
          </w:p>
          <w:p w14:paraId="43863719">
            <w:pPr>
              <w:keepLines/>
              <w:wordWrap w:val="0"/>
              <w:topLinePunct/>
              <w:jc w:val="left"/>
              <w:rPr>
                <w:rFonts w:hint="eastAsia" w:ascii="宋体" w:hAnsi="宋体" w:cs="宋体"/>
                <w:color w:val="auto"/>
                <w:spacing w:val="-2"/>
                <w:szCs w:val="21"/>
                <w:highlight w:val="none"/>
              </w:rPr>
            </w:pPr>
            <w:r>
              <w:rPr>
                <w:rFonts w:hint="eastAsia" w:ascii="宋体" w:hAnsi="宋体" w:cs="宋体"/>
                <w:color w:val="auto"/>
                <w:spacing w:val="-2"/>
                <w:szCs w:val="21"/>
                <w:highlight w:val="none"/>
              </w:rPr>
              <w:t>3、分辨率：4096*1152；</w:t>
            </w:r>
          </w:p>
          <w:p w14:paraId="573F7D11">
            <w:pPr>
              <w:keepLines/>
              <w:wordWrap w:val="0"/>
              <w:topLinePunct/>
              <w:jc w:val="left"/>
              <w:rPr>
                <w:rFonts w:hint="eastAsia" w:ascii="宋体" w:hAnsi="宋体" w:cs="宋体"/>
                <w:color w:val="auto"/>
                <w:spacing w:val="-2"/>
                <w:szCs w:val="21"/>
                <w:highlight w:val="none"/>
              </w:rPr>
            </w:pPr>
            <w:r>
              <w:rPr>
                <w:rFonts w:hint="eastAsia" w:ascii="宋体" w:hAnsi="宋体" w:cs="宋体"/>
                <w:color w:val="auto"/>
                <w:spacing w:val="-2"/>
                <w:szCs w:val="21"/>
                <w:highlight w:val="none"/>
              </w:rPr>
              <w:t>4、像数点间距≤ 2.5mm；</w:t>
            </w:r>
          </w:p>
          <w:p w14:paraId="7ED018EE">
            <w:pPr>
              <w:keepLines/>
              <w:wordWrap w:val="0"/>
              <w:topLinePunct/>
              <w:jc w:val="left"/>
              <w:rPr>
                <w:rFonts w:hint="eastAsia" w:ascii="宋体" w:hAnsi="宋体" w:cs="宋体"/>
                <w:color w:val="auto"/>
                <w:spacing w:val="-2"/>
                <w:szCs w:val="21"/>
                <w:highlight w:val="none"/>
              </w:rPr>
            </w:pPr>
            <w:r>
              <w:rPr>
                <w:rFonts w:hint="eastAsia" w:ascii="宋体" w:hAnsi="宋体" w:cs="宋体"/>
                <w:color w:val="auto"/>
                <w:spacing w:val="-2"/>
                <w:szCs w:val="21"/>
                <w:highlight w:val="none"/>
              </w:rPr>
              <w:t>5、单元板分辨率： ≥8192 Dots；</w:t>
            </w:r>
          </w:p>
          <w:p w14:paraId="43AD8919">
            <w:pPr>
              <w:keepLines/>
              <w:wordWrap w:val="0"/>
              <w:topLinePunct/>
              <w:jc w:val="left"/>
              <w:rPr>
                <w:rFonts w:hint="eastAsia" w:ascii="宋体" w:hAnsi="宋体" w:cs="宋体"/>
                <w:color w:val="auto"/>
                <w:spacing w:val="-2"/>
                <w:szCs w:val="21"/>
                <w:highlight w:val="none"/>
              </w:rPr>
            </w:pPr>
            <w:r>
              <w:rPr>
                <w:rFonts w:hint="eastAsia" w:ascii="宋体" w:hAnsi="宋体" w:cs="宋体"/>
                <w:color w:val="auto"/>
                <w:spacing w:val="-2"/>
                <w:szCs w:val="21"/>
                <w:highlight w:val="none"/>
              </w:rPr>
              <w:t>6、刷新率：≥3840 Hz,支持通过配套控制软件调节刷新率设置选项；</w:t>
            </w:r>
          </w:p>
          <w:p w14:paraId="719B9F21">
            <w:pPr>
              <w:keepLines/>
              <w:wordWrap w:val="0"/>
              <w:topLinePunct/>
              <w:jc w:val="left"/>
              <w:rPr>
                <w:rFonts w:hint="eastAsia" w:ascii="宋体" w:hAnsi="宋体" w:cs="宋体"/>
                <w:color w:val="auto"/>
                <w:spacing w:val="-2"/>
                <w:szCs w:val="21"/>
                <w:highlight w:val="none"/>
              </w:rPr>
            </w:pPr>
            <w:r>
              <w:rPr>
                <w:rFonts w:hint="eastAsia" w:ascii="宋体" w:hAnsi="宋体" w:cs="宋体"/>
                <w:color w:val="auto"/>
                <w:spacing w:val="-2"/>
                <w:szCs w:val="21"/>
                <w:highlight w:val="none"/>
              </w:rPr>
              <w:t>7、像素构成：1R 、1G、1B；</w:t>
            </w:r>
          </w:p>
          <w:p w14:paraId="6A84EF08">
            <w:pPr>
              <w:keepLines/>
              <w:wordWrap w:val="0"/>
              <w:topLinePunct/>
              <w:jc w:val="left"/>
              <w:rPr>
                <w:rFonts w:hint="eastAsia" w:ascii="宋体" w:hAnsi="宋体" w:cs="宋体"/>
                <w:color w:val="auto"/>
                <w:spacing w:val="-2"/>
                <w:szCs w:val="21"/>
                <w:highlight w:val="none"/>
              </w:rPr>
            </w:pPr>
            <w:r>
              <w:rPr>
                <w:rFonts w:hint="eastAsia" w:ascii="宋体" w:hAnsi="宋体" w:cs="宋体"/>
                <w:color w:val="auto"/>
                <w:spacing w:val="-2"/>
                <w:szCs w:val="21"/>
                <w:highlight w:val="none"/>
              </w:rPr>
              <w:t>8、为确保屏体的安全性，要求LED显示屏所使用的PCB和套件(底壳、面罩)防火阻燃达V-0 等级；</w:t>
            </w:r>
          </w:p>
          <w:p w14:paraId="01B58FEA">
            <w:pPr>
              <w:keepLines/>
              <w:wordWrap w:val="0"/>
              <w:topLinePunct/>
              <w:jc w:val="left"/>
              <w:rPr>
                <w:rFonts w:hint="eastAsia" w:ascii="宋体" w:hAnsi="宋体" w:cs="宋体"/>
                <w:color w:val="auto"/>
                <w:spacing w:val="-2"/>
                <w:szCs w:val="21"/>
                <w:highlight w:val="none"/>
              </w:rPr>
            </w:pPr>
            <w:r>
              <w:rPr>
                <w:rFonts w:hint="eastAsia" w:ascii="宋体" w:hAnsi="宋体" w:cs="宋体"/>
                <w:color w:val="auto"/>
                <w:spacing w:val="-2"/>
                <w:szCs w:val="21"/>
                <w:highlight w:val="none"/>
              </w:rPr>
              <w:t>9、驱动方式：恒流驱动；</w:t>
            </w:r>
          </w:p>
          <w:p w14:paraId="29DD2835">
            <w:pPr>
              <w:keepLines/>
              <w:wordWrap w:val="0"/>
              <w:topLinePunct/>
              <w:jc w:val="left"/>
              <w:rPr>
                <w:rFonts w:hint="eastAsia" w:ascii="宋体" w:hAnsi="宋体" w:cs="宋体"/>
                <w:color w:val="auto"/>
                <w:spacing w:val="-2"/>
                <w:szCs w:val="21"/>
                <w:highlight w:val="none"/>
              </w:rPr>
            </w:pPr>
            <w:r>
              <w:rPr>
                <w:rFonts w:hint="eastAsia" w:ascii="宋体" w:hAnsi="宋体" w:cs="宋体"/>
                <w:color w:val="auto"/>
                <w:spacing w:val="-2"/>
                <w:szCs w:val="21"/>
                <w:highlight w:val="none"/>
              </w:rPr>
              <w:t>10、屏幕水平视角 ≥170度；</w:t>
            </w:r>
          </w:p>
          <w:p w14:paraId="3F14ED9D">
            <w:pPr>
              <w:keepLines/>
              <w:wordWrap w:val="0"/>
              <w:topLinePunct/>
              <w:jc w:val="left"/>
              <w:rPr>
                <w:rFonts w:hint="eastAsia" w:ascii="宋体" w:hAnsi="宋体" w:cs="宋体"/>
                <w:color w:val="auto"/>
                <w:spacing w:val="-2"/>
                <w:szCs w:val="21"/>
                <w:highlight w:val="none"/>
              </w:rPr>
            </w:pPr>
            <w:r>
              <w:rPr>
                <w:rFonts w:hint="eastAsia" w:ascii="宋体" w:hAnsi="宋体" w:cs="宋体"/>
                <w:color w:val="auto"/>
                <w:spacing w:val="-2"/>
                <w:szCs w:val="21"/>
                <w:highlight w:val="none"/>
              </w:rPr>
              <w:t>11、屏幕垂直视角 ≥170度；</w:t>
            </w:r>
          </w:p>
          <w:p w14:paraId="118222D0">
            <w:pPr>
              <w:keepLines/>
              <w:wordWrap w:val="0"/>
              <w:topLinePunct/>
              <w:jc w:val="left"/>
              <w:rPr>
                <w:rFonts w:hint="eastAsia" w:ascii="宋体" w:hAnsi="宋体" w:cs="宋体"/>
                <w:color w:val="auto"/>
                <w:spacing w:val="-2"/>
                <w:szCs w:val="21"/>
                <w:highlight w:val="none"/>
              </w:rPr>
            </w:pPr>
            <w:r>
              <w:rPr>
                <w:rFonts w:hint="eastAsia" w:ascii="宋体" w:hAnsi="宋体" w:cs="宋体"/>
                <w:color w:val="auto"/>
                <w:spacing w:val="-2"/>
                <w:szCs w:val="21"/>
                <w:highlight w:val="none"/>
              </w:rPr>
              <w:t>12、使用环境：室内；</w:t>
            </w:r>
          </w:p>
          <w:p w14:paraId="40B19A90">
            <w:pPr>
              <w:keepLines/>
              <w:wordWrap w:val="0"/>
              <w:topLinePunct/>
              <w:jc w:val="left"/>
              <w:rPr>
                <w:rFonts w:hint="eastAsia" w:ascii="宋体" w:hAnsi="宋体" w:cs="宋体"/>
                <w:color w:val="auto"/>
                <w:spacing w:val="-2"/>
                <w:szCs w:val="21"/>
                <w:highlight w:val="none"/>
              </w:rPr>
            </w:pPr>
            <w:r>
              <w:rPr>
                <w:rFonts w:hint="eastAsia" w:ascii="宋体" w:hAnsi="宋体" w:cs="宋体"/>
                <w:color w:val="auto"/>
                <w:spacing w:val="-2"/>
                <w:szCs w:val="21"/>
                <w:highlight w:val="none"/>
              </w:rPr>
              <w:t>13、灰度等级≥14 bit,</w:t>
            </w:r>
            <w:r>
              <w:rPr>
                <w:rFonts w:hint="eastAsia" w:ascii="宋体" w:hAnsi="宋体" w:cs="宋体"/>
                <w:color w:val="auto"/>
                <w:spacing w:val="-2"/>
                <w:szCs w:val="21"/>
                <w:highlight w:val="none"/>
              </w:rPr>
              <w:t>红绿蓝各256级，可达16384级；</w:t>
            </w:r>
            <w:r>
              <w:rPr>
                <w:rFonts w:hint="eastAsia" w:ascii="宋体" w:hAnsi="宋体" w:cs="宋体"/>
                <w:color w:val="auto"/>
                <w:spacing w:val="-2"/>
                <w:szCs w:val="21"/>
                <w:highlight w:val="none"/>
              </w:rPr>
              <w:t>采用E PWM灰阶控制技术提升低灰视觉效果，100%亮度时，14bit灰度；70%亮度，14bit灰度；50%亮度，14bit灰度；20%亮度，12bit灰度，显示画面无单列或单行像素失控现象；支持0-100%亮度时，8-14bits灰度自定义设置；</w:t>
            </w:r>
          </w:p>
          <w:p w14:paraId="7E43D586">
            <w:pPr>
              <w:keepLines/>
              <w:wordWrap w:val="0"/>
              <w:topLinePunct/>
              <w:jc w:val="left"/>
              <w:rPr>
                <w:rFonts w:hint="eastAsia" w:ascii="宋体" w:hAnsi="宋体" w:cs="宋体"/>
                <w:color w:val="auto"/>
                <w:spacing w:val="-2"/>
                <w:szCs w:val="21"/>
                <w:highlight w:val="none"/>
              </w:rPr>
            </w:pPr>
            <w:r>
              <w:rPr>
                <w:rFonts w:hint="eastAsia" w:ascii="宋体" w:hAnsi="宋体" w:cs="宋体"/>
                <w:color w:val="auto"/>
                <w:spacing w:val="-2"/>
                <w:szCs w:val="21"/>
                <w:highlight w:val="none"/>
              </w:rPr>
              <w:t>14、峰值功耗≤300W/m²;平均功耗≤120W/m²；</w:t>
            </w:r>
          </w:p>
          <w:p w14:paraId="3FDDE08B">
            <w:pPr>
              <w:keepLines/>
              <w:wordWrap w:val="0"/>
              <w:topLinePunct/>
              <w:jc w:val="left"/>
              <w:rPr>
                <w:rFonts w:hint="eastAsia" w:ascii="宋体" w:hAnsi="宋体" w:cs="宋体"/>
                <w:color w:val="auto"/>
                <w:spacing w:val="-2"/>
                <w:szCs w:val="21"/>
                <w:highlight w:val="none"/>
              </w:rPr>
            </w:pPr>
            <w:r>
              <w:rPr>
                <w:rFonts w:hint="eastAsia" w:ascii="宋体" w:hAnsi="宋体" w:cs="宋体"/>
                <w:color w:val="auto"/>
                <w:spacing w:val="-2"/>
                <w:szCs w:val="21"/>
                <w:highlight w:val="none"/>
              </w:rPr>
              <w:t>15、供电电源：在4.2*(1±10%)VDC～4.5*(1±10%)VDC范围内能正 常工作；</w:t>
            </w:r>
          </w:p>
          <w:p w14:paraId="554AD498">
            <w:pPr>
              <w:keepLines/>
              <w:wordWrap w:val="0"/>
              <w:topLinePunct/>
              <w:jc w:val="left"/>
              <w:rPr>
                <w:rFonts w:hint="eastAsia" w:ascii="宋体" w:hAnsi="宋体" w:cs="宋体"/>
                <w:color w:val="auto"/>
                <w:spacing w:val="-2"/>
                <w:szCs w:val="21"/>
                <w:highlight w:val="none"/>
              </w:rPr>
            </w:pPr>
            <w:r>
              <w:rPr>
                <w:rFonts w:hint="eastAsia" w:ascii="宋体" w:hAnsi="宋体" w:cs="宋体"/>
                <w:color w:val="auto"/>
                <w:spacing w:val="-2"/>
                <w:szCs w:val="21"/>
                <w:highlight w:val="none"/>
              </w:rPr>
              <w:t>16、输入电压：支持宽压输入在96-264VAC,支持窄压输入在200-240VAC,在该范围内能正常工作；</w:t>
            </w:r>
          </w:p>
          <w:p w14:paraId="5CB72382">
            <w:pPr>
              <w:keepLines/>
              <w:wordWrap w:val="0"/>
              <w:topLinePunct/>
              <w:jc w:val="left"/>
              <w:rPr>
                <w:rFonts w:hint="eastAsia" w:ascii="宋体" w:hAnsi="宋体" w:cs="宋体"/>
                <w:color w:val="auto"/>
                <w:spacing w:val="-2"/>
                <w:szCs w:val="21"/>
                <w:highlight w:val="none"/>
              </w:rPr>
            </w:pPr>
            <w:r>
              <w:rPr>
                <w:rFonts w:hint="eastAsia" w:ascii="宋体" w:hAnsi="宋体" w:cs="宋体"/>
                <w:color w:val="auto"/>
                <w:spacing w:val="-2"/>
                <w:szCs w:val="21"/>
                <w:highlight w:val="none"/>
              </w:rPr>
              <w:t>17、显示颜色43980亿种；换帧频率≥60帧/秒；</w:t>
            </w:r>
          </w:p>
          <w:p w14:paraId="4D4F4C59">
            <w:pPr>
              <w:keepLines/>
              <w:wordWrap w:val="0"/>
              <w:topLinePunct/>
              <w:jc w:val="left"/>
              <w:rPr>
                <w:rFonts w:hint="eastAsia" w:ascii="宋体" w:hAnsi="宋体" w:cs="宋体"/>
                <w:color w:val="auto"/>
                <w:spacing w:val="-2"/>
                <w:szCs w:val="21"/>
                <w:highlight w:val="none"/>
              </w:rPr>
            </w:pPr>
            <w:r>
              <w:rPr>
                <w:rFonts w:hint="eastAsia" w:ascii="宋体" w:hAnsi="宋体" w:cs="宋体"/>
                <w:color w:val="auto"/>
                <w:spacing w:val="-2"/>
                <w:szCs w:val="21"/>
                <w:highlight w:val="none"/>
              </w:rPr>
              <w:t>18、色温800K-18000K可调；</w:t>
            </w:r>
          </w:p>
          <w:p w14:paraId="09541C6B">
            <w:pPr>
              <w:keepLines/>
              <w:wordWrap w:val="0"/>
              <w:topLinePunct/>
              <w:jc w:val="left"/>
              <w:rPr>
                <w:rFonts w:ascii="宋体" w:hAnsi="宋体" w:cs="宋体"/>
                <w:color w:val="auto"/>
                <w:spacing w:val="-2"/>
                <w:szCs w:val="21"/>
                <w:highlight w:val="none"/>
              </w:rPr>
            </w:pPr>
            <w:r>
              <w:rPr>
                <w:rFonts w:hint="eastAsia" w:ascii="宋体" w:hAnsi="宋体" w:cs="宋体"/>
                <w:color w:val="auto"/>
                <w:spacing w:val="-2"/>
                <w:szCs w:val="21"/>
                <w:highlight w:val="none"/>
              </w:rPr>
              <w:t>19、配套线材电源、接收卡、软件等均以含在单价内。</w:t>
            </w:r>
          </w:p>
          <w:p w14:paraId="1061BDD5">
            <w:pPr>
              <w:keepLines/>
              <w:wordWrap w:val="0"/>
              <w:topLinePunct/>
              <w:jc w:val="left"/>
              <w:rPr>
                <w:rFonts w:hint="eastAsia" w:ascii="宋体" w:hAnsi="宋体" w:cs="宋体"/>
                <w:color w:val="auto"/>
                <w:spacing w:val="-2"/>
                <w:szCs w:val="21"/>
                <w:highlight w:val="none"/>
              </w:rPr>
            </w:pPr>
            <w:r>
              <w:rPr>
                <w:rFonts w:hint="eastAsia" w:ascii="宋体" w:hAnsi="宋体" w:cs="宋体"/>
                <w:color w:val="auto"/>
                <w:spacing w:val="-2"/>
                <w:szCs w:val="21"/>
                <w:highlight w:val="none"/>
              </w:rPr>
              <w:t>20、按GB/T10125-2012 人造气氛腐馆试验-盐雾试验 相关规定进行试验，在盐溶液PH值7±0.5,浓度 (5 ± 0.1) %NaCL、温度35±1℃的条件下，连续进行168h 喷雾。</w:t>
            </w:r>
          </w:p>
          <w:p w14:paraId="4EA90BA7">
            <w:pPr>
              <w:keepLines/>
              <w:wordWrap w:val="0"/>
              <w:topLinePunct/>
              <w:jc w:val="left"/>
              <w:rPr>
                <w:rFonts w:hint="eastAsia" w:ascii="宋体" w:hAnsi="宋体" w:cs="宋体"/>
                <w:color w:val="auto"/>
                <w:spacing w:val="-2"/>
                <w:szCs w:val="21"/>
                <w:highlight w:val="none"/>
              </w:rPr>
            </w:pPr>
            <w:r>
              <w:rPr>
                <w:rFonts w:hint="eastAsia" w:ascii="宋体" w:hAnsi="宋体" w:cs="宋体"/>
                <w:color w:val="auto"/>
                <w:spacing w:val="-2"/>
                <w:szCs w:val="21"/>
                <w:highlight w:val="none"/>
              </w:rPr>
              <w:t>样机初始检测:实验,进试验前样机干净、无油污、整体无明 无临时性保护层和其它弊病。</w:t>
            </w:r>
          </w:p>
          <w:p w14:paraId="41163A37">
            <w:pPr>
              <w:keepLines/>
              <w:wordWrap w:val="0"/>
              <w:topLinePunct/>
              <w:jc w:val="left"/>
              <w:rPr>
                <w:rFonts w:hint="eastAsia" w:ascii="宋体" w:hAnsi="宋体" w:cs="宋体"/>
                <w:color w:val="auto"/>
                <w:spacing w:val="-2"/>
                <w:szCs w:val="21"/>
                <w:highlight w:val="none"/>
              </w:rPr>
            </w:pPr>
            <w:r>
              <w:rPr>
                <w:rFonts w:hint="eastAsia" w:ascii="宋体" w:hAnsi="宋体" w:cs="宋体"/>
                <w:color w:val="auto"/>
                <w:spacing w:val="-2"/>
                <w:szCs w:val="21"/>
                <w:highlight w:val="none"/>
              </w:rPr>
              <w:t>样机放置:试验样机表面与垂直方向成倾斜角，互相不重叠、不接触。</w:t>
            </w:r>
          </w:p>
          <w:p w14:paraId="2C29A92F">
            <w:pPr>
              <w:keepLines/>
              <w:wordWrap w:val="0"/>
              <w:topLinePunct/>
              <w:jc w:val="left"/>
              <w:rPr>
                <w:rFonts w:hint="eastAsia" w:ascii="宋体" w:hAnsi="宋体" w:cs="宋体"/>
                <w:color w:val="auto"/>
                <w:spacing w:val="-2"/>
                <w:szCs w:val="21"/>
                <w:highlight w:val="none"/>
              </w:rPr>
            </w:pPr>
            <w:r>
              <w:rPr>
                <w:rFonts w:hint="eastAsia" w:ascii="宋体" w:hAnsi="宋体" w:cs="宋体"/>
                <w:color w:val="auto"/>
                <w:spacing w:val="-2"/>
                <w:szCs w:val="21"/>
                <w:highlight w:val="none"/>
              </w:rPr>
              <w:t>样机恢复:试验结束后，用流动水(低于 35℃)洗去试验样品表面盐沉积物，再在蒸馏水中漂洗，然后在标准大气条件下恢复 1-2 小时，最后对样品进行检查。</w:t>
            </w:r>
          </w:p>
          <w:p w14:paraId="26E417E9">
            <w:pPr>
              <w:rPr>
                <w:color w:val="auto"/>
                <w:highlight w:val="none"/>
              </w:rPr>
            </w:pPr>
            <w:r>
              <w:rPr>
                <w:rFonts w:hint="eastAsia" w:ascii="宋体" w:hAnsi="宋体" w:cs="宋体"/>
                <w:color w:val="auto"/>
                <w:spacing w:val="-2"/>
                <w:szCs w:val="21"/>
                <w:highlight w:val="none"/>
              </w:rPr>
              <w:t>盐雾等级:10级</w:t>
            </w:r>
            <w:r>
              <w:rPr>
                <w:rFonts w:hint="eastAsia"/>
                <w:color w:val="auto"/>
                <w:highlight w:val="none"/>
              </w:rPr>
              <w:t>（提供第三方检测机构出具的CNAS、 CMA、ilac-MRA的检测报告原件扫描件）</w:t>
            </w:r>
          </w:p>
          <w:p w14:paraId="0FF64909">
            <w:pPr>
              <w:rPr>
                <w:color w:val="auto"/>
                <w:highlight w:val="none"/>
              </w:rPr>
            </w:pPr>
            <w:r>
              <w:rPr>
                <w:rFonts w:hint="eastAsia" w:ascii="宋体" w:hAnsi="宋体" w:cs="宋体"/>
                <w:color w:val="auto"/>
                <w:spacing w:val="-2"/>
                <w:szCs w:val="21"/>
                <w:highlight w:val="none"/>
              </w:rPr>
              <w:t>21、采用网线传导加扰技术;使用时无需配置，接上电源后即可实现各端口的网线传导加扰，防止传输信息的失泄密及防止劫持相关设备。</w:t>
            </w:r>
            <w:r>
              <w:rPr>
                <w:rFonts w:hint="eastAsia"/>
                <w:color w:val="auto"/>
                <w:highlight w:val="none"/>
              </w:rPr>
              <w:t>（提供第三方检测机构出具的CNAS、 CMA、ilac-MRA的检测报告原件扫描件 ）</w:t>
            </w:r>
          </w:p>
          <w:p w14:paraId="3DDC197F">
            <w:pPr>
              <w:rPr>
                <w:rFonts w:hint="eastAsia" w:ascii="宋体" w:hAnsi="宋体" w:eastAsia="宋体" w:cs="宋体"/>
                <w:color w:val="auto"/>
                <w:spacing w:val="-2"/>
                <w:sz w:val="21"/>
                <w:szCs w:val="21"/>
                <w:highlight w:val="none"/>
                <w:u w:color="000000"/>
                <w:lang w:val="en-US" w:eastAsia="zh-CN" w:bidi="ar-SA"/>
              </w:rPr>
            </w:pPr>
            <w:r>
              <w:rPr>
                <w:rFonts w:hint="eastAsia" w:ascii="宋体" w:hAnsi="宋体" w:cs="宋体"/>
                <w:color w:val="auto"/>
                <w:spacing w:val="-2"/>
                <w:szCs w:val="21"/>
                <w:highlight w:val="none"/>
              </w:rPr>
              <w:t>22、</w:t>
            </w:r>
            <w:r>
              <w:rPr>
                <w:rFonts w:hint="eastAsia"/>
                <w:color w:val="auto"/>
                <w:highlight w:val="none"/>
              </w:rPr>
              <w:t>光生物安全及蓝光危害评估：符合IEC/TR62778-2014要求;通过GB/T-20145-2006蓝光危害评估；符合IEC62471要求，为无危险类别；LED光源的光谱辐亮度与蓝光危害函数 B(λ)加权积分后的能量(蓝光加权辐亮度 LB) 不超过0.5W.m¯².sr¯1，可防让人眼视网膜长期受到蓝光辐射产生的视网膜光化学损伤，LED显示屏符合光生物安全或蓝光危害检测标准要求（提供第三方检测机构出具的CNAS、 CMA、ilac-MRA的检测报告原件扫描件 ）</w:t>
            </w:r>
          </w:p>
        </w:tc>
        <w:tc>
          <w:tcPr>
            <w:tcW w:w="718" w:type="dxa"/>
            <w:vAlign w:val="center"/>
          </w:tcPr>
          <w:p w14:paraId="0AE727D7">
            <w:pPr>
              <w:keepLines/>
              <w:widowControl/>
              <w:wordWrap w:val="0"/>
              <w:topLinePun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59㎡</w:t>
            </w:r>
          </w:p>
        </w:tc>
        <w:tc>
          <w:tcPr>
            <w:tcW w:w="706" w:type="dxa"/>
            <w:vAlign w:val="center"/>
          </w:tcPr>
          <w:p w14:paraId="77CF17E3">
            <w:pPr>
              <w:keepLines/>
              <w:widowControl/>
              <w:wordWrap w:val="0"/>
              <w:topLinePun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工业</w:t>
            </w:r>
          </w:p>
        </w:tc>
      </w:tr>
      <w:tr w14:paraId="51305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5" w:type="dxa"/>
            <w:vAlign w:val="center"/>
          </w:tcPr>
          <w:p w14:paraId="55C13416">
            <w:pPr>
              <w:keepLines/>
              <w:widowControl/>
              <w:wordWrap w:val="0"/>
              <w:topLinePunct/>
              <w:jc w:val="center"/>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2</w:t>
            </w:r>
          </w:p>
        </w:tc>
        <w:tc>
          <w:tcPr>
            <w:tcW w:w="756" w:type="dxa"/>
            <w:vAlign w:val="center"/>
          </w:tcPr>
          <w:p w14:paraId="4FA15FA1">
            <w:pPr>
              <w:keepLines/>
              <w:wordWrap w:val="0"/>
              <w:topLinePunct/>
              <w:jc w:val="left"/>
              <w:rPr>
                <w:rFonts w:hint="eastAsia" w:ascii="宋体" w:hAnsi="宋体" w:eastAsia="宋体" w:cs="宋体"/>
                <w:color w:val="auto"/>
                <w:spacing w:val="-2"/>
                <w:sz w:val="21"/>
                <w:szCs w:val="21"/>
                <w:highlight w:val="none"/>
                <w:u w:color="000000"/>
                <w:lang w:val="en-US" w:eastAsia="zh-CN" w:bidi="ar-SA"/>
              </w:rPr>
            </w:pPr>
            <w:r>
              <w:rPr>
                <w:rFonts w:hint="eastAsia" w:ascii="宋体" w:hAnsi="宋体" w:cs="宋体"/>
                <w:color w:val="auto"/>
                <w:spacing w:val="-2"/>
                <w:szCs w:val="21"/>
                <w:highlight w:val="none"/>
              </w:rPr>
              <w:t>视频系统设备</w:t>
            </w:r>
          </w:p>
        </w:tc>
        <w:tc>
          <w:tcPr>
            <w:tcW w:w="6814" w:type="dxa"/>
            <w:vAlign w:val="center"/>
          </w:tcPr>
          <w:p w14:paraId="03C0D844">
            <w:pPr>
              <w:keepLines/>
              <w:wordWrap w:val="0"/>
              <w:topLinePunct/>
              <w:jc w:val="left"/>
              <w:rPr>
                <w:rFonts w:hint="eastAsia" w:ascii="宋体" w:hAnsi="宋体" w:cs="宋体"/>
                <w:color w:val="auto"/>
                <w:spacing w:val="-2"/>
                <w:szCs w:val="21"/>
                <w:highlight w:val="none"/>
              </w:rPr>
            </w:pPr>
            <w:r>
              <w:rPr>
                <w:rFonts w:hint="eastAsia" w:ascii="宋体" w:hAnsi="宋体" w:cs="宋体"/>
                <w:color w:val="auto"/>
                <w:spacing w:val="-2"/>
                <w:szCs w:val="21"/>
                <w:highlight w:val="none"/>
              </w:rPr>
              <w:t>专业级的LED显示屏控制器，其除了显示屏控制外还具有功能强大的前端视频处理功能。以优秀的图像质量和灵活的图像控制极大地满足了媒体行业的需求。其产品特性如下：</w:t>
            </w:r>
          </w:p>
          <w:p w14:paraId="20180FEC">
            <w:pPr>
              <w:keepLines/>
              <w:wordWrap w:val="0"/>
              <w:topLinePunct/>
              <w:jc w:val="left"/>
              <w:rPr>
                <w:rFonts w:hint="eastAsia" w:ascii="宋体" w:hAnsi="宋体" w:cs="宋体"/>
                <w:color w:val="auto"/>
                <w:spacing w:val="-2"/>
                <w:szCs w:val="21"/>
                <w:highlight w:val="none"/>
              </w:rPr>
            </w:pPr>
            <w:r>
              <w:rPr>
                <w:rFonts w:hint="eastAsia" w:ascii="宋体" w:hAnsi="宋体" w:cs="宋体"/>
                <w:color w:val="auto"/>
                <w:spacing w:val="-2"/>
                <w:szCs w:val="21"/>
                <w:highlight w:val="none"/>
              </w:rPr>
              <w:t>1、支持1路DP 1.4、1路HDMI 2.0输入；</w:t>
            </w:r>
          </w:p>
          <w:p w14:paraId="483A0E70">
            <w:pPr>
              <w:keepLines/>
              <w:wordWrap w:val="0"/>
              <w:topLinePunct/>
              <w:jc w:val="left"/>
              <w:rPr>
                <w:rFonts w:hint="eastAsia" w:ascii="宋体" w:hAnsi="宋体" w:cs="宋体"/>
                <w:color w:val="auto"/>
                <w:spacing w:val="-2"/>
                <w:szCs w:val="21"/>
                <w:highlight w:val="none"/>
              </w:rPr>
            </w:pPr>
            <w:r>
              <w:rPr>
                <w:rFonts w:hint="eastAsia" w:ascii="宋体" w:hAnsi="宋体" w:cs="宋体"/>
                <w:color w:val="auto"/>
                <w:spacing w:val="-2"/>
                <w:szCs w:val="21"/>
                <w:highlight w:val="none"/>
              </w:rPr>
              <w:t>2、支持2路HDMI 1.4和2路DVI输入；</w:t>
            </w:r>
          </w:p>
          <w:p w14:paraId="1840454C">
            <w:pPr>
              <w:keepLines/>
              <w:wordWrap w:val="0"/>
              <w:topLinePunct/>
              <w:jc w:val="left"/>
              <w:rPr>
                <w:rFonts w:hint="eastAsia" w:ascii="宋体" w:hAnsi="宋体" w:cs="宋体"/>
                <w:color w:val="auto"/>
                <w:spacing w:val="-2"/>
                <w:szCs w:val="21"/>
                <w:highlight w:val="none"/>
              </w:rPr>
            </w:pPr>
            <w:r>
              <w:rPr>
                <w:rFonts w:hint="eastAsia" w:ascii="宋体" w:hAnsi="宋体" w:cs="宋体"/>
                <w:color w:val="auto"/>
                <w:spacing w:val="-2"/>
                <w:szCs w:val="21"/>
                <w:highlight w:val="none"/>
              </w:rPr>
              <w:t>3、支持最大带载1048万像素，最宽16384像素，或最高8192像素；</w:t>
            </w:r>
          </w:p>
          <w:p w14:paraId="4EA44109">
            <w:pPr>
              <w:keepLines/>
              <w:wordWrap w:val="0"/>
              <w:topLinePunct/>
              <w:jc w:val="left"/>
              <w:rPr>
                <w:rFonts w:hint="eastAsia" w:ascii="宋体" w:hAnsi="宋体" w:cs="宋体"/>
                <w:color w:val="auto"/>
                <w:spacing w:val="-2"/>
                <w:szCs w:val="21"/>
                <w:highlight w:val="none"/>
              </w:rPr>
            </w:pPr>
            <w:r>
              <w:rPr>
                <w:rFonts w:hint="eastAsia" w:ascii="宋体" w:hAnsi="宋体" w:cs="宋体"/>
                <w:color w:val="auto"/>
                <w:spacing w:val="-2"/>
                <w:szCs w:val="21"/>
                <w:highlight w:val="none"/>
              </w:rPr>
              <w:t>4、支持最大输入分辨率4096×2160@60Hz,支持自定义分辨率设置；</w:t>
            </w:r>
          </w:p>
          <w:p w14:paraId="75A47299">
            <w:pPr>
              <w:keepLines/>
              <w:wordWrap w:val="0"/>
              <w:topLinePunct/>
              <w:jc w:val="left"/>
              <w:rPr>
                <w:rFonts w:hint="eastAsia" w:ascii="宋体" w:hAnsi="宋体" w:cs="宋体"/>
                <w:color w:val="auto"/>
                <w:spacing w:val="-2"/>
                <w:szCs w:val="21"/>
                <w:highlight w:val="none"/>
              </w:rPr>
            </w:pPr>
            <w:r>
              <w:rPr>
                <w:rFonts w:hint="eastAsia" w:ascii="宋体" w:hAnsi="宋体" w:cs="宋体"/>
                <w:color w:val="auto"/>
                <w:spacing w:val="-2"/>
                <w:szCs w:val="21"/>
                <w:highlight w:val="none"/>
              </w:rPr>
              <w:t>5、支持16路千兆网口输出；</w:t>
            </w:r>
          </w:p>
          <w:p w14:paraId="2AD1188E">
            <w:pPr>
              <w:keepLines/>
              <w:wordWrap w:val="0"/>
              <w:topLinePunct/>
              <w:jc w:val="left"/>
              <w:rPr>
                <w:rFonts w:hint="eastAsia" w:ascii="宋体" w:hAnsi="宋体" w:cs="宋体"/>
                <w:color w:val="auto"/>
                <w:spacing w:val="-2"/>
                <w:szCs w:val="21"/>
                <w:highlight w:val="none"/>
              </w:rPr>
            </w:pPr>
            <w:r>
              <w:rPr>
                <w:rFonts w:hint="eastAsia" w:ascii="宋体" w:hAnsi="宋体" w:cs="宋体"/>
                <w:color w:val="auto"/>
                <w:spacing w:val="-2"/>
                <w:szCs w:val="21"/>
                <w:highlight w:val="none"/>
              </w:rPr>
              <w:t>6、支持对视频信号任意切换，裁剪,拼接，缩放；</w:t>
            </w:r>
          </w:p>
          <w:p w14:paraId="391988A2">
            <w:pPr>
              <w:keepLines/>
              <w:wordWrap w:val="0"/>
              <w:topLinePunct/>
              <w:jc w:val="left"/>
              <w:rPr>
                <w:rFonts w:hint="eastAsia" w:ascii="宋体" w:hAnsi="宋体" w:cs="宋体"/>
                <w:color w:val="auto"/>
                <w:spacing w:val="-2"/>
                <w:szCs w:val="21"/>
                <w:highlight w:val="none"/>
              </w:rPr>
            </w:pPr>
            <w:r>
              <w:rPr>
                <w:rFonts w:hint="eastAsia" w:ascii="宋体" w:hAnsi="宋体" w:cs="宋体"/>
                <w:color w:val="auto"/>
                <w:spacing w:val="-2"/>
                <w:szCs w:val="21"/>
                <w:highlight w:val="none"/>
              </w:rPr>
              <w:t>7、支持6画面显示,位置，大小可自由调节；</w:t>
            </w:r>
          </w:p>
          <w:p w14:paraId="653446FC">
            <w:pPr>
              <w:keepLines/>
              <w:wordWrap w:val="0"/>
              <w:topLinePunct/>
              <w:jc w:val="left"/>
              <w:rPr>
                <w:rFonts w:hint="eastAsia" w:ascii="宋体" w:hAnsi="宋体" w:cs="宋体"/>
                <w:color w:val="auto"/>
                <w:spacing w:val="-2"/>
                <w:szCs w:val="21"/>
                <w:highlight w:val="none"/>
              </w:rPr>
            </w:pPr>
            <w:r>
              <w:rPr>
                <w:rFonts w:hint="eastAsia" w:ascii="宋体" w:hAnsi="宋体" w:cs="宋体"/>
                <w:color w:val="auto"/>
                <w:spacing w:val="-2"/>
                <w:szCs w:val="21"/>
                <w:highlight w:val="none"/>
              </w:rPr>
              <w:t>8、支持精确颜色管理，调整显示屏色域；</w:t>
            </w:r>
          </w:p>
          <w:p w14:paraId="0BC3ABA0">
            <w:pPr>
              <w:keepLines/>
              <w:wordWrap w:val="0"/>
              <w:topLinePunct/>
              <w:jc w:val="left"/>
              <w:rPr>
                <w:rFonts w:hint="eastAsia" w:ascii="宋体" w:hAnsi="宋体" w:cs="宋体"/>
                <w:color w:val="auto"/>
                <w:spacing w:val="-2"/>
                <w:szCs w:val="21"/>
                <w:highlight w:val="none"/>
              </w:rPr>
            </w:pPr>
            <w:r>
              <w:rPr>
                <w:rFonts w:hint="eastAsia" w:ascii="宋体" w:hAnsi="宋体" w:cs="宋体"/>
                <w:color w:val="auto"/>
                <w:spacing w:val="-2"/>
                <w:szCs w:val="21"/>
                <w:highlight w:val="none"/>
              </w:rPr>
              <w:t>9、支持视频同步锁相技术；</w:t>
            </w:r>
          </w:p>
          <w:p w14:paraId="366C8447">
            <w:pPr>
              <w:keepLines/>
              <w:wordWrap w:val="0"/>
              <w:topLinePunct/>
              <w:jc w:val="left"/>
              <w:rPr>
                <w:rFonts w:hint="eastAsia" w:ascii="宋体" w:hAnsi="宋体" w:cs="宋体"/>
                <w:color w:val="auto"/>
                <w:spacing w:val="-2"/>
                <w:szCs w:val="21"/>
                <w:highlight w:val="none"/>
              </w:rPr>
            </w:pPr>
            <w:r>
              <w:rPr>
                <w:rFonts w:hint="eastAsia" w:ascii="宋体" w:hAnsi="宋体" w:cs="宋体"/>
                <w:color w:val="auto"/>
                <w:spacing w:val="-2"/>
                <w:szCs w:val="21"/>
                <w:highlight w:val="none"/>
              </w:rPr>
              <w:t>10、支持独立音频输入输出；</w:t>
            </w:r>
          </w:p>
          <w:p w14:paraId="0A4BB6B0">
            <w:pPr>
              <w:keepLines/>
              <w:wordWrap w:val="0"/>
              <w:topLinePunct/>
              <w:jc w:val="left"/>
              <w:rPr>
                <w:rFonts w:hint="eastAsia" w:ascii="宋体" w:hAnsi="宋体" w:cs="宋体"/>
                <w:color w:val="auto"/>
                <w:spacing w:val="-2"/>
                <w:szCs w:val="21"/>
                <w:highlight w:val="none"/>
              </w:rPr>
            </w:pPr>
            <w:r>
              <w:rPr>
                <w:rFonts w:hint="eastAsia" w:ascii="宋体" w:hAnsi="宋体" w:cs="宋体"/>
                <w:color w:val="auto"/>
                <w:spacing w:val="-2"/>
                <w:szCs w:val="21"/>
                <w:highlight w:val="none"/>
              </w:rPr>
              <w:t>11、支持HDMI和DP 音频解析输出；</w:t>
            </w:r>
          </w:p>
          <w:p w14:paraId="74F3478A">
            <w:pPr>
              <w:keepLines/>
              <w:wordWrap w:val="0"/>
              <w:topLinePunct/>
              <w:jc w:val="left"/>
              <w:rPr>
                <w:rFonts w:hint="eastAsia" w:ascii="宋体" w:hAnsi="宋体" w:cs="宋体"/>
                <w:color w:val="auto"/>
                <w:spacing w:val="-2"/>
                <w:szCs w:val="21"/>
                <w:highlight w:val="none"/>
              </w:rPr>
            </w:pPr>
            <w:r>
              <w:rPr>
                <w:rFonts w:hint="eastAsia" w:ascii="宋体" w:hAnsi="宋体" w:cs="宋体"/>
                <w:color w:val="auto"/>
                <w:spacing w:val="-2"/>
                <w:szCs w:val="21"/>
                <w:highlight w:val="none"/>
              </w:rPr>
              <w:t>12、支持LAN口控制；</w:t>
            </w:r>
          </w:p>
          <w:p w14:paraId="4C5C8AD0">
            <w:pPr>
              <w:keepLines/>
              <w:wordWrap w:val="0"/>
              <w:topLinePunct/>
              <w:jc w:val="left"/>
              <w:rPr>
                <w:rFonts w:hint="eastAsia" w:ascii="宋体" w:hAnsi="宋体" w:cs="宋体"/>
                <w:color w:val="auto"/>
                <w:spacing w:val="-2"/>
                <w:szCs w:val="21"/>
                <w:highlight w:val="none"/>
              </w:rPr>
            </w:pPr>
            <w:r>
              <w:rPr>
                <w:rFonts w:hint="eastAsia" w:ascii="宋体" w:hAnsi="宋体" w:cs="宋体"/>
                <w:color w:val="auto"/>
                <w:spacing w:val="-2"/>
                <w:szCs w:val="21"/>
                <w:highlight w:val="none"/>
              </w:rPr>
              <w:t>13、支持手机端APP控制；</w:t>
            </w:r>
          </w:p>
          <w:p w14:paraId="6E932A39">
            <w:pPr>
              <w:keepLines/>
              <w:wordWrap w:val="0"/>
              <w:topLinePunct/>
              <w:jc w:val="left"/>
              <w:rPr>
                <w:rFonts w:hint="eastAsia" w:ascii="宋体" w:hAnsi="宋体" w:cs="宋体"/>
                <w:color w:val="auto"/>
                <w:spacing w:val="-2"/>
                <w:szCs w:val="21"/>
                <w:highlight w:val="none"/>
              </w:rPr>
            </w:pPr>
            <w:r>
              <w:rPr>
                <w:rFonts w:hint="eastAsia" w:ascii="宋体" w:hAnsi="宋体" w:cs="宋体"/>
                <w:color w:val="auto"/>
                <w:spacing w:val="-2"/>
                <w:szCs w:val="21"/>
                <w:highlight w:val="none"/>
              </w:rPr>
              <w:t>14、支持RS232串口协议控制；</w:t>
            </w:r>
          </w:p>
          <w:p w14:paraId="20DE7AE1">
            <w:pPr>
              <w:keepLines/>
              <w:wordWrap w:val="0"/>
              <w:topLinePunct/>
              <w:jc w:val="left"/>
              <w:rPr>
                <w:rFonts w:hint="eastAsia" w:ascii="宋体" w:hAnsi="宋体" w:cs="宋体"/>
                <w:color w:val="auto"/>
                <w:spacing w:val="-2"/>
                <w:szCs w:val="21"/>
                <w:highlight w:val="none"/>
              </w:rPr>
            </w:pPr>
            <w:r>
              <w:rPr>
                <w:rFonts w:hint="eastAsia" w:ascii="宋体" w:hAnsi="宋体" w:cs="宋体"/>
                <w:color w:val="auto"/>
                <w:spacing w:val="-2"/>
                <w:szCs w:val="21"/>
                <w:highlight w:val="none"/>
              </w:rPr>
              <w:t>15、支持HDCP协议的高带宽数字内容；</w:t>
            </w:r>
          </w:p>
          <w:p w14:paraId="4F439C28">
            <w:pPr>
              <w:keepLines/>
              <w:wordWrap w:val="0"/>
              <w:topLinePunct/>
              <w:jc w:val="left"/>
              <w:rPr>
                <w:rFonts w:hint="eastAsia" w:ascii="宋体" w:hAnsi="宋体" w:cs="宋体"/>
                <w:color w:val="auto"/>
                <w:spacing w:val="-2"/>
                <w:szCs w:val="21"/>
                <w:highlight w:val="none"/>
              </w:rPr>
            </w:pPr>
            <w:r>
              <w:rPr>
                <w:rFonts w:hint="eastAsia" w:ascii="宋体" w:hAnsi="宋体" w:cs="宋体"/>
                <w:color w:val="auto"/>
                <w:spacing w:val="-2"/>
                <w:szCs w:val="21"/>
                <w:highlight w:val="none"/>
              </w:rPr>
              <w:t>16、支持亮度和色温调节；</w:t>
            </w:r>
          </w:p>
          <w:p w14:paraId="60F5BD48">
            <w:pPr>
              <w:keepLines/>
              <w:wordWrap w:val="0"/>
              <w:topLinePunct/>
              <w:jc w:val="left"/>
              <w:rPr>
                <w:rFonts w:hint="eastAsia" w:ascii="宋体" w:hAnsi="宋体" w:cs="宋体"/>
                <w:color w:val="auto"/>
                <w:spacing w:val="-2"/>
                <w:szCs w:val="21"/>
                <w:highlight w:val="none"/>
              </w:rPr>
            </w:pPr>
            <w:r>
              <w:rPr>
                <w:rFonts w:hint="eastAsia" w:ascii="宋体" w:hAnsi="宋体" w:cs="宋体"/>
                <w:color w:val="auto"/>
                <w:spacing w:val="-2"/>
                <w:szCs w:val="21"/>
                <w:highlight w:val="none"/>
              </w:rPr>
              <w:t>17、支持HDCP协议的高带宽数字内容保护技术；</w:t>
            </w:r>
          </w:p>
          <w:p w14:paraId="4A84B660">
            <w:pPr>
              <w:keepLines/>
              <w:wordWrap w:val="0"/>
              <w:topLinePunct/>
              <w:jc w:val="left"/>
              <w:rPr>
                <w:rFonts w:hint="eastAsia" w:ascii="宋体" w:hAnsi="宋体" w:eastAsia="宋体" w:cs="宋体"/>
                <w:color w:val="auto"/>
                <w:spacing w:val="-2"/>
                <w:sz w:val="21"/>
                <w:szCs w:val="21"/>
                <w:highlight w:val="none"/>
                <w:u w:color="000000"/>
                <w:lang w:val="en-US" w:eastAsia="zh-CN" w:bidi="ar-SA"/>
              </w:rPr>
            </w:pPr>
            <w:r>
              <w:rPr>
                <w:rFonts w:hint="eastAsia" w:ascii="宋体" w:hAnsi="宋体" w:cs="宋体"/>
                <w:color w:val="auto"/>
                <w:spacing w:val="-2"/>
                <w:szCs w:val="21"/>
                <w:highlight w:val="none"/>
              </w:rPr>
              <w:t>18、支持亮度和色温调节。</w:t>
            </w:r>
          </w:p>
        </w:tc>
        <w:tc>
          <w:tcPr>
            <w:tcW w:w="718" w:type="dxa"/>
            <w:vAlign w:val="center"/>
          </w:tcPr>
          <w:p w14:paraId="47AD203D">
            <w:pPr>
              <w:keepLines/>
              <w:widowControl/>
              <w:wordWrap w:val="0"/>
              <w:topLinePunct/>
              <w:jc w:val="center"/>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1台</w:t>
            </w:r>
          </w:p>
        </w:tc>
        <w:tc>
          <w:tcPr>
            <w:tcW w:w="706" w:type="dxa"/>
            <w:vAlign w:val="center"/>
          </w:tcPr>
          <w:p w14:paraId="3C5928FF">
            <w:pPr>
              <w:keepLines/>
              <w:widowControl/>
              <w:wordWrap w:val="0"/>
              <w:topLinePunct/>
              <w:jc w:val="center"/>
              <w:rPr>
                <w:rFonts w:hint="eastAsia" w:ascii="宋体" w:hAnsi="宋体" w:eastAsia="宋体" w:cs="宋体"/>
                <w:color w:val="auto"/>
                <w:spacing w:val="-2"/>
                <w:sz w:val="21"/>
                <w:szCs w:val="21"/>
                <w:highlight w:val="none"/>
              </w:rPr>
            </w:pPr>
            <w:r>
              <w:rPr>
                <w:rFonts w:hint="eastAsia" w:ascii="宋体" w:hAnsi="宋体" w:eastAsia="宋体" w:cs="宋体"/>
                <w:color w:val="auto"/>
                <w:sz w:val="21"/>
                <w:szCs w:val="21"/>
                <w:highlight w:val="none"/>
                <w:lang w:val="en-US" w:eastAsia="zh-CN"/>
              </w:rPr>
              <w:t>工业</w:t>
            </w:r>
          </w:p>
        </w:tc>
      </w:tr>
      <w:tr w14:paraId="655B8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5" w:type="dxa"/>
            <w:vAlign w:val="center"/>
          </w:tcPr>
          <w:p w14:paraId="0BE89119">
            <w:pPr>
              <w:keepLines/>
              <w:widowControl/>
              <w:wordWrap w:val="0"/>
              <w:topLinePun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756" w:type="dxa"/>
            <w:shd w:val="clear" w:color="auto" w:fill="auto"/>
            <w:vAlign w:val="center"/>
          </w:tcPr>
          <w:p w14:paraId="445690A2">
            <w:pPr>
              <w:keepLines/>
              <w:widowControl/>
              <w:wordWrap w:val="0"/>
              <w:topLinePunct/>
              <w:jc w:val="center"/>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屏体框架</w:t>
            </w:r>
          </w:p>
        </w:tc>
        <w:tc>
          <w:tcPr>
            <w:tcW w:w="6814" w:type="dxa"/>
            <w:shd w:val="clear" w:color="auto" w:fill="auto"/>
            <w:vAlign w:val="center"/>
          </w:tcPr>
          <w:p w14:paraId="5058D0B1">
            <w:pPr>
              <w:keepLines/>
              <w:widowControl/>
              <w:wordWrap w:val="0"/>
              <w:topLinePunct/>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1、定制框架不锈钢拉丝包边。</w:t>
            </w:r>
          </w:p>
        </w:tc>
        <w:tc>
          <w:tcPr>
            <w:tcW w:w="718" w:type="dxa"/>
            <w:shd w:val="clear" w:color="auto" w:fill="auto"/>
            <w:vAlign w:val="center"/>
          </w:tcPr>
          <w:p w14:paraId="41A914F9">
            <w:pPr>
              <w:keepLines/>
              <w:widowControl/>
              <w:wordWrap w:val="0"/>
              <w:topLinePunct/>
              <w:jc w:val="center"/>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59</w:t>
            </w:r>
            <w:r>
              <w:rPr>
                <w:rFonts w:hint="eastAsia" w:ascii="宋体" w:hAnsi="宋体" w:eastAsia="宋体" w:cs="宋体"/>
                <w:color w:val="auto"/>
                <w:spacing w:val="-1"/>
                <w:sz w:val="21"/>
                <w:szCs w:val="21"/>
                <w:highlight w:val="none"/>
              </w:rPr>
              <w:t>㎡</w:t>
            </w:r>
          </w:p>
        </w:tc>
        <w:tc>
          <w:tcPr>
            <w:tcW w:w="706" w:type="dxa"/>
            <w:shd w:val="clear" w:color="auto" w:fill="auto"/>
            <w:vAlign w:val="center"/>
          </w:tcPr>
          <w:p w14:paraId="2A195125">
            <w:pPr>
              <w:keepLines/>
              <w:widowControl/>
              <w:wordWrap w:val="0"/>
              <w:topLinePunct/>
              <w:jc w:val="center"/>
              <w:rPr>
                <w:rFonts w:hint="eastAsia" w:ascii="宋体" w:hAnsi="宋体" w:eastAsia="宋体" w:cs="宋体"/>
                <w:color w:val="auto"/>
                <w:spacing w:val="-6"/>
                <w:sz w:val="21"/>
                <w:szCs w:val="21"/>
                <w:highlight w:val="none"/>
              </w:rPr>
            </w:pPr>
            <w:r>
              <w:rPr>
                <w:rFonts w:hint="eastAsia" w:ascii="宋体" w:hAnsi="宋体" w:eastAsia="宋体" w:cs="宋体"/>
                <w:color w:val="auto"/>
                <w:sz w:val="21"/>
                <w:szCs w:val="21"/>
                <w:highlight w:val="none"/>
                <w:lang w:val="en-US" w:eastAsia="zh-CN"/>
              </w:rPr>
              <w:t>工业</w:t>
            </w:r>
          </w:p>
        </w:tc>
      </w:tr>
      <w:tr w14:paraId="2EC16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5" w:type="dxa"/>
            <w:vAlign w:val="center"/>
          </w:tcPr>
          <w:p w14:paraId="38CDC5ED">
            <w:pPr>
              <w:keepLines/>
              <w:widowControl/>
              <w:wordWrap w:val="0"/>
              <w:topLinePun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756" w:type="dxa"/>
            <w:shd w:val="clear" w:color="auto" w:fill="auto"/>
            <w:vAlign w:val="center"/>
          </w:tcPr>
          <w:p w14:paraId="73B9AAB7">
            <w:pPr>
              <w:keepLines/>
              <w:widowControl/>
              <w:wordWrap w:val="0"/>
              <w:topLinePunct/>
              <w:jc w:val="center"/>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智能配电柜</w:t>
            </w:r>
          </w:p>
        </w:tc>
        <w:tc>
          <w:tcPr>
            <w:tcW w:w="6814" w:type="dxa"/>
            <w:shd w:val="clear" w:color="auto" w:fill="auto"/>
          </w:tcPr>
          <w:p w14:paraId="1EC662FD">
            <w:pPr>
              <w:keepLines/>
              <w:widowControl/>
              <w:wordWrap w:val="0"/>
              <w:topLinePunct/>
              <w:jc w:val="left"/>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名称：显示屏配电柜</w:t>
            </w:r>
          </w:p>
          <w:p w14:paraId="36C452A6">
            <w:pPr>
              <w:keepLines/>
              <w:widowControl/>
              <w:wordWrap w:val="0"/>
              <w:topLinePunct/>
              <w:jc w:val="left"/>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1、防护功能：具有防静电、抗震动、防电磁干扰；2、具有电源过压、过流、断电保护、分布上电措施；</w:t>
            </w:r>
          </w:p>
          <w:p w14:paraId="74DCA020">
            <w:pPr>
              <w:keepLines/>
              <w:widowControl/>
              <w:wordWrap w:val="0"/>
              <w:topLinePunct/>
              <w:jc w:val="left"/>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3、具备实体按键、电脑远控多种控制方式；</w:t>
            </w:r>
          </w:p>
          <w:p w14:paraId="5F65D58E">
            <w:pPr>
              <w:keepLines/>
              <w:widowControl/>
              <w:wordWrap w:val="0"/>
              <w:topLinePunct/>
              <w:jc w:val="left"/>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4、具备单台、集群管理功能，采用RS485有线以太网远程通信端口，在局域网内任意一台电脑进行控制；</w:t>
            </w:r>
          </w:p>
          <w:p w14:paraId="3E59083E">
            <w:pPr>
              <w:keepLines/>
              <w:widowControl/>
              <w:wordWrap w:val="0"/>
              <w:topLinePunct/>
              <w:jc w:val="left"/>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5、具备通过PLC软件实现实时温度、湿度监测，实时烟雾监测，高温、高湿、烟雾告警自动断电；</w:t>
            </w:r>
          </w:p>
          <w:p w14:paraId="53E1B831">
            <w:pPr>
              <w:keepLines/>
              <w:widowControl/>
              <w:wordWrap w:val="0"/>
              <w:topLinePunct/>
              <w:jc w:val="left"/>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6、具备触发告警后，电脑自动强制弹屏提示，PLC模块、电脑蜂鸣器长鸣多种告警方式；</w:t>
            </w:r>
          </w:p>
          <w:p w14:paraId="6245F6A0">
            <w:pPr>
              <w:keepLines/>
              <w:widowControl/>
              <w:wordWrap w:val="0"/>
              <w:topLinePunct/>
              <w:jc w:val="left"/>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7、具备继电器回路整体上下电，也可通过PLC软件单独控制每个接触器的上下电；</w:t>
            </w:r>
          </w:p>
          <w:p w14:paraId="6D2F0280">
            <w:pPr>
              <w:keepLines/>
              <w:widowControl/>
              <w:wordWrap w:val="0"/>
              <w:topLinePunct/>
              <w:jc w:val="left"/>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8、内置避雷器，具有避雷防雷功能；</w:t>
            </w:r>
          </w:p>
        </w:tc>
        <w:tc>
          <w:tcPr>
            <w:tcW w:w="718" w:type="dxa"/>
            <w:shd w:val="clear" w:color="auto" w:fill="auto"/>
            <w:vAlign w:val="center"/>
          </w:tcPr>
          <w:p w14:paraId="0139B27B">
            <w:pPr>
              <w:keepLines/>
              <w:widowControl/>
              <w:wordWrap w:val="0"/>
              <w:topLinePun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1台</w:t>
            </w:r>
          </w:p>
        </w:tc>
        <w:tc>
          <w:tcPr>
            <w:tcW w:w="706" w:type="dxa"/>
            <w:shd w:val="clear" w:color="auto" w:fill="auto"/>
            <w:vAlign w:val="center"/>
          </w:tcPr>
          <w:p w14:paraId="6EFE62D0">
            <w:pPr>
              <w:keepLines/>
              <w:widowControl/>
              <w:wordWrap w:val="0"/>
              <w:topLinePun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工业</w:t>
            </w:r>
          </w:p>
        </w:tc>
      </w:tr>
      <w:tr w14:paraId="044D3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475" w:type="dxa"/>
            <w:vAlign w:val="center"/>
          </w:tcPr>
          <w:p w14:paraId="144A7D37">
            <w:pPr>
              <w:keepLines/>
              <w:widowControl/>
              <w:wordWrap w:val="0"/>
              <w:topLinePun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756" w:type="dxa"/>
            <w:shd w:val="clear" w:color="auto" w:fill="auto"/>
            <w:vAlign w:val="center"/>
          </w:tcPr>
          <w:p w14:paraId="40449DB3">
            <w:pPr>
              <w:keepLines/>
              <w:widowControl/>
              <w:wordWrap w:val="0"/>
              <w:topLinePunct/>
              <w:jc w:val="center"/>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软件</w:t>
            </w:r>
          </w:p>
        </w:tc>
        <w:tc>
          <w:tcPr>
            <w:tcW w:w="6814" w:type="dxa"/>
            <w:shd w:val="clear" w:color="auto" w:fill="auto"/>
          </w:tcPr>
          <w:p w14:paraId="4E588B71">
            <w:pPr>
              <w:keepLines/>
              <w:widowControl/>
              <w:wordWrap w:val="0"/>
              <w:topLinePunct/>
              <w:jc w:val="left"/>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名称：视频播放软件</w:t>
            </w:r>
          </w:p>
          <w:p w14:paraId="2D4F8C3B">
            <w:pPr>
              <w:keepLines/>
              <w:widowControl/>
              <w:wordWrap w:val="0"/>
              <w:topLinePunct/>
              <w:jc w:val="left"/>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1、支持Nova全系列产品的升级维护，支持在线升级；</w:t>
            </w:r>
          </w:p>
          <w:p w14:paraId="6D5F04BC">
            <w:pPr>
              <w:keepLines/>
              <w:widowControl/>
              <w:wordWrap w:val="0"/>
              <w:topLinePunct/>
              <w:jc w:val="left"/>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2、支持Nova全系列产品控制，可通过软件下发具体的的参数，支持串口、网口等多种控制方式；</w:t>
            </w:r>
          </w:p>
          <w:p w14:paraId="1983C54F">
            <w:pPr>
              <w:keepLines/>
              <w:widowControl/>
              <w:wordWrap w:val="0"/>
              <w:topLinePunct/>
              <w:jc w:val="left"/>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3、支持监控功能：显示屏包含发送卡，工作状态、DVI状态、网口及硬件连接状态；箱体包含接收卡电压，温度、工作状态；</w:t>
            </w:r>
          </w:p>
          <w:p w14:paraId="6344D200">
            <w:pPr>
              <w:keepLines/>
              <w:widowControl/>
              <w:wordWrap w:val="0"/>
              <w:topLinePunct/>
              <w:jc w:val="left"/>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4、通过监控卡可以监控以下信息，烟雾报警，箱门报警，湿度检测，风扇转速检查，排线连接检测，工作电压及工作状态；</w:t>
            </w:r>
          </w:p>
          <w:p w14:paraId="6DFA9E3D">
            <w:pPr>
              <w:keepLines/>
              <w:widowControl/>
              <w:wordWrap w:val="0"/>
              <w:topLinePunct/>
              <w:jc w:val="left"/>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5、显示屏亮度监控及亮度日志功能，支持控制屏幕亮度；支持亮度调节日志记录；支持亮度监控及告警；支持光探头状态监控；</w:t>
            </w:r>
          </w:p>
          <w:p w14:paraId="19C93E6D">
            <w:pPr>
              <w:keepLines/>
              <w:widowControl/>
              <w:wordWrap w:val="0"/>
              <w:topLinePunct/>
              <w:jc w:val="left"/>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6、显示屏点检功能，可执行显示屏进行坏点检测，检测具体的坏点数量；</w:t>
            </w:r>
          </w:p>
          <w:p w14:paraId="32A1B68D">
            <w:pPr>
              <w:keepLines/>
              <w:widowControl/>
              <w:wordWrap w:val="0"/>
              <w:topLinePunct/>
              <w:jc w:val="left"/>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7、通过多功能卡可以实现显示屏的定时断上电、外接音箱设备及光探头亮度调节；</w:t>
            </w:r>
          </w:p>
          <w:p w14:paraId="5352D700">
            <w:pPr>
              <w:keepLines/>
              <w:widowControl/>
              <w:wordWrap w:val="0"/>
              <w:topLinePunct/>
              <w:jc w:val="left"/>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8、支持联机校正功能，可搭配Nova同步发送系列对屏体进行校正；</w:t>
            </w:r>
          </w:p>
          <w:p w14:paraId="3D14C26C">
            <w:pPr>
              <w:keepLines/>
              <w:widowControl/>
              <w:wordWrap w:val="0"/>
              <w:topLinePunct/>
              <w:jc w:val="left"/>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9、支持画质引擎，搭配诺瓦指定接收卡，实现22bit技术及色彩管理功能实现；</w:t>
            </w:r>
          </w:p>
          <w:p w14:paraId="378676EC">
            <w:pPr>
              <w:keepLines/>
              <w:widowControl/>
              <w:wordWrap w:val="0"/>
              <w:topLinePunct/>
              <w:jc w:val="left"/>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10、支持误码率检测；</w:t>
            </w:r>
          </w:p>
          <w:p w14:paraId="7ED387C8">
            <w:pPr>
              <w:keepLines/>
              <w:widowControl/>
              <w:wordWrap w:val="0"/>
              <w:topLinePunct/>
              <w:jc w:val="left"/>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11、支持预存画面及断开网线显示一帧画面；</w:t>
            </w:r>
          </w:p>
          <w:p w14:paraId="6DAA28B0">
            <w:pPr>
              <w:keepLines/>
              <w:widowControl/>
              <w:wordWrap w:val="0"/>
              <w:topLinePunct/>
              <w:jc w:val="left"/>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12、支持显示屏亮暗线调功能；</w:t>
            </w:r>
          </w:p>
          <w:p w14:paraId="4F5264FE">
            <w:pPr>
              <w:keepLines/>
              <w:widowControl/>
              <w:wordWrap w:val="0"/>
              <w:topLinePunct/>
              <w:jc w:val="left"/>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13、支持异形箱体构造、异形显示屏连接、拉伸、打散、扇形转换功能，改善异形屏显示错位丢点问题。</w:t>
            </w:r>
          </w:p>
        </w:tc>
        <w:tc>
          <w:tcPr>
            <w:tcW w:w="718" w:type="dxa"/>
            <w:shd w:val="clear" w:color="auto" w:fill="auto"/>
            <w:vAlign w:val="center"/>
          </w:tcPr>
          <w:p w14:paraId="0BC1567D">
            <w:pPr>
              <w:keepLines/>
              <w:widowControl/>
              <w:wordWrap w:val="0"/>
              <w:topLinePun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1套</w:t>
            </w:r>
          </w:p>
        </w:tc>
        <w:tc>
          <w:tcPr>
            <w:tcW w:w="706" w:type="dxa"/>
            <w:shd w:val="clear" w:color="auto" w:fill="auto"/>
            <w:vAlign w:val="center"/>
          </w:tcPr>
          <w:p w14:paraId="7E7EFAD6">
            <w:pPr>
              <w:keepLines/>
              <w:widowControl/>
              <w:wordWrap w:val="0"/>
              <w:topLinePun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软件和信息技术服务业</w:t>
            </w:r>
          </w:p>
        </w:tc>
      </w:tr>
      <w:tr w14:paraId="0C54F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5" w:type="dxa"/>
            <w:vAlign w:val="center"/>
          </w:tcPr>
          <w:p w14:paraId="3E1D210B">
            <w:pPr>
              <w:keepLines/>
              <w:widowControl/>
              <w:wordWrap w:val="0"/>
              <w:topLinePun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756" w:type="dxa"/>
            <w:shd w:val="clear" w:color="auto" w:fill="auto"/>
            <w:vAlign w:val="center"/>
          </w:tcPr>
          <w:p w14:paraId="5E98A4A1">
            <w:pPr>
              <w:keepLines/>
              <w:widowControl/>
              <w:wordWrap w:val="0"/>
              <w:topLinePunct/>
              <w:jc w:val="center"/>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视频系统调试</w:t>
            </w:r>
          </w:p>
        </w:tc>
        <w:tc>
          <w:tcPr>
            <w:tcW w:w="6814" w:type="dxa"/>
            <w:shd w:val="clear" w:color="auto" w:fill="auto"/>
            <w:vAlign w:val="center"/>
          </w:tcPr>
          <w:p w14:paraId="7FE9F5CF">
            <w:pPr>
              <w:keepLines/>
              <w:widowControl/>
              <w:wordWrap w:val="0"/>
              <w:topLinePunct/>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视频系统 调试</w:t>
            </w:r>
          </w:p>
        </w:tc>
        <w:tc>
          <w:tcPr>
            <w:tcW w:w="718" w:type="dxa"/>
            <w:shd w:val="clear" w:color="auto" w:fill="auto"/>
            <w:vAlign w:val="center"/>
          </w:tcPr>
          <w:p w14:paraId="54BF3010">
            <w:pPr>
              <w:keepLines/>
              <w:widowControl/>
              <w:wordWrap w:val="0"/>
              <w:topLinePunct/>
              <w:jc w:val="center"/>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1项</w:t>
            </w:r>
          </w:p>
        </w:tc>
        <w:tc>
          <w:tcPr>
            <w:tcW w:w="706" w:type="dxa"/>
            <w:shd w:val="clear" w:color="auto" w:fill="auto"/>
            <w:vAlign w:val="center"/>
          </w:tcPr>
          <w:p w14:paraId="30D3FD12">
            <w:pPr>
              <w:keepLines/>
              <w:widowControl/>
              <w:wordWrap w:val="0"/>
              <w:topLinePunct/>
              <w:jc w:val="center"/>
              <w:rPr>
                <w:rFonts w:hint="eastAsia" w:ascii="宋体" w:hAnsi="宋体" w:eastAsia="宋体" w:cs="宋体"/>
                <w:color w:val="auto"/>
                <w:spacing w:val="-3"/>
                <w:sz w:val="21"/>
                <w:szCs w:val="21"/>
                <w:highlight w:val="none"/>
              </w:rPr>
            </w:pPr>
            <w:r>
              <w:rPr>
                <w:rFonts w:hint="eastAsia" w:ascii="宋体" w:hAnsi="宋体" w:eastAsia="宋体" w:cs="宋体"/>
                <w:color w:val="auto"/>
                <w:sz w:val="21"/>
                <w:szCs w:val="21"/>
                <w:highlight w:val="none"/>
                <w:lang w:val="en-US" w:eastAsia="zh-CN"/>
              </w:rPr>
              <w:t>软件和信息技术服务业</w:t>
            </w:r>
          </w:p>
        </w:tc>
      </w:tr>
      <w:tr w14:paraId="1E46E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5" w:type="dxa"/>
            <w:vAlign w:val="center"/>
          </w:tcPr>
          <w:p w14:paraId="07E725CD">
            <w:pPr>
              <w:keepLines/>
              <w:widowControl/>
              <w:wordWrap w:val="0"/>
              <w:topLinePun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756" w:type="dxa"/>
            <w:shd w:val="clear" w:color="auto" w:fill="auto"/>
            <w:vAlign w:val="center"/>
          </w:tcPr>
          <w:p w14:paraId="4D747D42">
            <w:pPr>
              <w:keepLines/>
              <w:widowControl/>
              <w:wordWrap w:val="0"/>
              <w:topLinePunct/>
              <w:jc w:val="center"/>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拆除原有显示屏</w:t>
            </w:r>
          </w:p>
        </w:tc>
        <w:tc>
          <w:tcPr>
            <w:tcW w:w="6814" w:type="dxa"/>
            <w:shd w:val="clear" w:color="auto" w:fill="auto"/>
            <w:vAlign w:val="center"/>
          </w:tcPr>
          <w:p w14:paraId="00EF834B">
            <w:pPr>
              <w:keepLines/>
              <w:widowControl/>
              <w:wordWrap w:val="0"/>
              <w:topLinePunct/>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1、拆除原有显示屏</w:t>
            </w:r>
          </w:p>
          <w:p w14:paraId="5D4BA64F">
            <w:pPr>
              <w:keepLines/>
              <w:widowControl/>
              <w:wordWrap w:val="0"/>
              <w:topLinePunct/>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2、运至甲方指定地点</w:t>
            </w:r>
          </w:p>
        </w:tc>
        <w:tc>
          <w:tcPr>
            <w:tcW w:w="718" w:type="dxa"/>
            <w:shd w:val="clear" w:color="auto" w:fill="auto"/>
            <w:vAlign w:val="center"/>
          </w:tcPr>
          <w:p w14:paraId="4E919AE4">
            <w:pPr>
              <w:keepLines/>
              <w:widowControl/>
              <w:wordWrap w:val="0"/>
              <w:topLinePunct/>
              <w:jc w:val="center"/>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59</w:t>
            </w:r>
            <w:r>
              <w:rPr>
                <w:rFonts w:hint="eastAsia" w:ascii="宋体" w:hAnsi="宋体" w:eastAsia="宋体" w:cs="宋体"/>
                <w:color w:val="auto"/>
                <w:spacing w:val="-1"/>
                <w:sz w:val="21"/>
                <w:szCs w:val="21"/>
                <w:highlight w:val="none"/>
              </w:rPr>
              <w:t>㎡</w:t>
            </w:r>
          </w:p>
        </w:tc>
        <w:tc>
          <w:tcPr>
            <w:tcW w:w="706" w:type="dxa"/>
            <w:shd w:val="clear" w:color="auto" w:fill="auto"/>
            <w:vAlign w:val="center"/>
          </w:tcPr>
          <w:p w14:paraId="6F7F411A">
            <w:pPr>
              <w:keepLines/>
              <w:widowControl/>
              <w:wordWrap w:val="0"/>
              <w:topLinePunct/>
              <w:jc w:val="center"/>
              <w:rPr>
                <w:rFonts w:hint="eastAsia" w:ascii="宋体" w:hAnsi="宋体" w:eastAsia="宋体" w:cs="宋体"/>
                <w:color w:val="auto"/>
                <w:spacing w:val="-6"/>
                <w:sz w:val="21"/>
                <w:szCs w:val="21"/>
                <w:highlight w:val="none"/>
              </w:rPr>
            </w:pPr>
            <w:r>
              <w:rPr>
                <w:rFonts w:hint="eastAsia" w:ascii="宋体" w:hAnsi="宋体" w:eastAsia="宋体" w:cs="宋体"/>
                <w:color w:val="auto"/>
                <w:sz w:val="21"/>
                <w:szCs w:val="21"/>
                <w:highlight w:val="none"/>
                <w:lang w:val="en-US" w:eastAsia="zh-CN"/>
              </w:rPr>
              <w:t>软件和信息技术服务业</w:t>
            </w:r>
          </w:p>
        </w:tc>
      </w:tr>
      <w:tr w14:paraId="6F398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5" w:type="dxa"/>
            <w:vAlign w:val="center"/>
          </w:tcPr>
          <w:p w14:paraId="787EA816">
            <w:pPr>
              <w:keepLines/>
              <w:widowControl/>
              <w:wordWrap w:val="0"/>
              <w:topLinePun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756" w:type="dxa"/>
            <w:vAlign w:val="center"/>
          </w:tcPr>
          <w:p w14:paraId="066EC2B5">
            <w:pPr>
              <w:keepLines/>
              <w:widowControl/>
              <w:wordWrap w:val="0"/>
              <w:topLinePun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计算机</w:t>
            </w:r>
          </w:p>
        </w:tc>
        <w:tc>
          <w:tcPr>
            <w:tcW w:w="6814" w:type="dxa"/>
            <w:vAlign w:val="center"/>
          </w:tcPr>
          <w:p w14:paraId="0821A938">
            <w:pPr>
              <w:keepLines/>
              <w:widowControl/>
              <w:wordWrap w:val="0"/>
              <w:topLinePun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1、名称：控制电脑</w:t>
            </w:r>
          </w:p>
          <w:p w14:paraId="1295825D">
            <w:pPr>
              <w:keepLines/>
              <w:widowControl/>
              <w:wordWrap w:val="0"/>
              <w:topLinePun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2、主板：不低于Intel  770系列芯片组，主板与整机同品牌； </w:t>
            </w:r>
          </w:p>
          <w:p w14:paraId="3337E072">
            <w:pPr>
              <w:keepLines/>
              <w:widowControl/>
              <w:wordWrap w:val="0"/>
              <w:topLinePun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3、CPU：不低于13代Intel酷睿 I5-13500；</w:t>
            </w:r>
          </w:p>
          <w:p w14:paraId="16967295">
            <w:pPr>
              <w:keepLines/>
              <w:widowControl/>
              <w:wordWrap w:val="0"/>
              <w:topLinePun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4、内存：≥16G DDR4   2933；</w:t>
            </w:r>
          </w:p>
          <w:p w14:paraId="2E481D40">
            <w:pPr>
              <w:keepLines/>
              <w:widowControl/>
              <w:wordWrap w:val="0"/>
              <w:topLinePun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5、硬盘：≥256G M.2 PCIe NVMe固态硬盘+1T SATA；</w:t>
            </w:r>
          </w:p>
          <w:p w14:paraId="1E673F4F">
            <w:pPr>
              <w:keepLines/>
              <w:widowControl/>
              <w:wordWrap w:val="0"/>
              <w:topLinePun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6、系统：出厂预装Windows 11 操作系统；</w:t>
            </w:r>
          </w:p>
          <w:p w14:paraId="33A1D416">
            <w:pPr>
              <w:keepLines/>
              <w:widowControl/>
              <w:wordWrap w:val="0"/>
              <w:topLinePun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7、声卡：集成声卡； </w:t>
            </w:r>
          </w:p>
          <w:p w14:paraId="335A2A23">
            <w:pPr>
              <w:keepLines/>
              <w:widowControl/>
              <w:wordWrap w:val="0"/>
              <w:topLinePun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应用：配备原厂增霸卡，具有网络（增量）拷贝、断电续传、分区拷贝、网络故障定位、批量网络备份，具有网络传输过程数据加密功能（须提供功能截图），全图形化界面并支持鼠标操作，支持任意机器作为主机对整个机房维护、支持DHCP环境、支持不同的系统分配不同的IP、禁止USB或者光驱启动；支持网络传输故障定位具有BIOS保护芯片，可以自动恢复被恶意篡改的BIOS，保证设备连续使用、支持系统自动还原、同时支持GPT分区和MBR分区、自动修改IP和计算机名、硬盘保护、断点续传、远程唤醒、远程重启、远程锁定、远程关机、千兆网络传输速度最大可以达到7GB/分钟或以上、支持多硬盘、可以从底层控制U盘和光驱等设备的使用，防止病毒带入；</w:t>
            </w:r>
          </w:p>
          <w:p w14:paraId="371005D7">
            <w:pPr>
              <w:keepLines/>
              <w:widowControl/>
              <w:wordWrap w:val="0"/>
              <w:topLinePun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 接口：≥7个原生USB端口+1个USB-C，其中前置最少5个，具有USB接口接触电流不大于20uA认证；≥1个PCIex16、1个PCI、1个PCIex1、2个M.2扩展槽，标配串口，标配HDMI+DP接口；</w:t>
            </w:r>
          </w:p>
          <w:p w14:paraId="5B7721D4">
            <w:pPr>
              <w:keepLines/>
              <w:widowControl/>
              <w:wordWrap w:val="0"/>
              <w:topLinePun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10、显卡：≥4G独立显卡；</w:t>
            </w:r>
          </w:p>
          <w:p w14:paraId="03F7E1A8">
            <w:pPr>
              <w:keepLines/>
              <w:widowControl/>
              <w:wordWrap w:val="0"/>
              <w:topLinePun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★11、机箱：≥15.6升标准机箱，免工具维护，机箱标配线缆锁</w:t>
            </w:r>
            <w:r>
              <w:rPr>
                <w:rFonts w:hint="eastAsia" w:ascii="宋体" w:hAnsi="宋体" w:cs="宋体"/>
                <w:color w:val="auto"/>
                <w:sz w:val="21"/>
                <w:szCs w:val="21"/>
                <w:highlight w:val="none"/>
                <w:lang w:val="en-US" w:eastAsia="zh-CN"/>
              </w:rPr>
              <w:t>和音响</w:t>
            </w:r>
            <w:r>
              <w:rPr>
                <w:rFonts w:hint="eastAsia" w:ascii="宋体" w:hAnsi="宋体" w:eastAsia="宋体" w:cs="宋体"/>
                <w:color w:val="auto"/>
                <w:sz w:val="21"/>
                <w:szCs w:val="21"/>
                <w:highlight w:val="none"/>
              </w:rPr>
              <w:t>；</w:t>
            </w:r>
          </w:p>
          <w:p w14:paraId="04A54F12">
            <w:pPr>
              <w:keepLines/>
              <w:widowControl/>
              <w:wordWrap w:val="0"/>
              <w:topLinePun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12、电源：≤180W防雷击节能电源，具有国家典型能耗不低于92%认证；</w:t>
            </w:r>
          </w:p>
          <w:p w14:paraId="1418B974">
            <w:pPr>
              <w:keepLines/>
              <w:widowControl/>
              <w:wordWrap w:val="0"/>
              <w:topLinePun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13、键鼠：USB键盘和USB鼠标；</w:t>
            </w:r>
          </w:p>
          <w:p w14:paraId="1DE5F488">
            <w:pPr>
              <w:keepLines/>
              <w:widowControl/>
              <w:wordWrap w:val="0"/>
              <w:topLinePun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★14、显示器：≥同品牌23.8寸液晶显示器，1920*1080分辨率，标配VGA+HDMI接口；具有批量色彩校准及分屏四画面单独显示功能；具有独立的显示器密码管理功能，没有密码即使换了主机也不能正常显示；</w:t>
            </w:r>
          </w:p>
          <w:p w14:paraId="1CF7A491">
            <w:pPr>
              <w:keepLines/>
              <w:widowControl/>
              <w:wordWrap w:val="0"/>
              <w:topLinePun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15、★服务：提供生产厂商整机（含显示器和键鼠）三年免费上门保修服务承诺，所有配置须出厂标配，可通过官方400电话查询配置和服务时效，厂商在当地有售后服务站，并提供官网截图；</w:t>
            </w:r>
          </w:p>
        </w:tc>
        <w:tc>
          <w:tcPr>
            <w:tcW w:w="718" w:type="dxa"/>
            <w:shd w:val="clear" w:color="auto" w:fill="auto"/>
            <w:vAlign w:val="center"/>
          </w:tcPr>
          <w:p w14:paraId="22769204">
            <w:pPr>
              <w:keepLines/>
              <w:widowControl/>
              <w:wordWrap w:val="0"/>
              <w:topLinePun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1台</w:t>
            </w:r>
          </w:p>
        </w:tc>
        <w:tc>
          <w:tcPr>
            <w:tcW w:w="706" w:type="dxa"/>
            <w:shd w:val="clear" w:color="auto" w:fill="auto"/>
            <w:vAlign w:val="center"/>
          </w:tcPr>
          <w:p w14:paraId="08BDB4B4">
            <w:pPr>
              <w:keepLines/>
              <w:widowControl/>
              <w:wordWrap w:val="0"/>
              <w:topLinePun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工业</w:t>
            </w:r>
          </w:p>
        </w:tc>
      </w:tr>
      <w:tr w14:paraId="6D00D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5" w:type="dxa"/>
            <w:vAlign w:val="center"/>
          </w:tcPr>
          <w:p w14:paraId="7D93ED27">
            <w:pPr>
              <w:keepLines/>
              <w:widowControl/>
              <w:wordWrap w:val="0"/>
              <w:topLinePun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756" w:type="dxa"/>
            <w:vAlign w:val="center"/>
          </w:tcPr>
          <w:p w14:paraId="590B6E72">
            <w:pPr>
              <w:spacing w:before="96" w:line="220" w:lineRule="auto"/>
              <w:ind w:left="12"/>
              <w:jc w:val="center"/>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措施项目及</w:t>
            </w:r>
            <w:r>
              <w:rPr>
                <w:rFonts w:hint="eastAsia" w:ascii="宋体" w:hAnsi="宋体" w:eastAsia="宋体" w:cs="宋体"/>
                <w:color w:val="auto"/>
                <w:spacing w:val="-1"/>
                <w:sz w:val="21"/>
                <w:szCs w:val="21"/>
                <w:highlight w:val="none"/>
              </w:rPr>
              <w:t>脚手架搭拆</w:t>
            </w:r>
          </w:p>
        </w:tc>
        <w:tc>
          <w:tcPr>
            <w:tcW w:w="6814" w:type="dxa"/>
            <w:vAlign w:val="center"/>
          </w:tcPr>
          <w:p w14:paraId="77008EB4">
            <w:pPr>
              <w:keepLines/>
              <w:widowControl/>
              <w:wordWrap w:val="0"/>
              <w:topLinePunct/>
              <w:jc w:val="center"/>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安全措施脚手架搭拆</w:t>
            </w:r>
          </w:p>
        </w:tc>
        <w:tc>
          <w:tcPr>
            <w:tcW w:w="718" w:type="dxa"/>
            <w:vAlign w:val="center"/>
          </w:tcPr>
          <w:p w14:paraId="0FB71480">
            <w:pPr>
              <w:keepLines/>
              <w:widowControl/>
              <w:wordWrap w:val="0"/>
              <w:topLinePun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1项</w:t>
            </w:r>
          </w:p>
        </w:tc>
        <w:tc>
          <w:tcPr>
            <w:tcW w:w="706" w:type="dxa"/>
            <w:vAlign w:val="center"/>
          </w:tcPr>
          <w:p w14:paraId="4CEC764F">
            <w:pPr>
              <w:keepLines/>
              <w:widowControl/>
              <w:wordWrap w:val="0"/>
              <w:topLinePun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租赁和商务服务业</w:t>
            </w:r>
          </w:p>
        </w:tc>
      </w:tr>
      <w:tr w14:paraId="48A94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469" w:type="dxa"/>
            <w:gridSpan w:val="5"/>
            <w:vAlign w:val="center"/>
          </w:tcPr>
          <w:p w14:paraId="5A5A8634">
            <w:pPr>
              <w:keepLines/>
              <w:widowControl/>
              <w:wordWrap w:val="0"/>
              <w:topLinePun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二、音响设备：</w:t>
            </w:r>
          </w:p>
        </w:tc>
      </w:tr>
      <w:tr w14:paraId="37952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475" w:type="dxa"/>
            <w:vAlign w:val="center"/>
          </w:tcPr>
          <w:p w14:paraId="3421AB94">
            <w:pPr>
              <w:keepLines/>
              <w:widowControl/>
              <w:wordWrap w:val="0"/>
              <w:topLinePun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756" w:type="dxa"/>
            <w:vAlign w:val="center"/>
          </w:tcPr>
          <w:p w14:paraId="73A316C2">
            <w:pPr>
              <w:keepLines/>
              <w:widowControl/>
              <w:wordWrap w:val="0"/>
              <w:topLinePunct/>
              <w:jc w:val="center"/>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主扩声线性阵列</w:t>
            </w:r>
            <w:r>
              <w:rPr>
                <w:rFonts w:hint="eastAsia" w:ascii="宋体" w:hAnsi="宋体" w:eastAsia="宋体" w:cs="宋体"/>
                <w:color w:val="auto"/>
                <w:spacing w:val="-2"/>
                <w:sz w:val="21"/>
                <w:szCs w:val="21"/>
                <w:highlight w:val="none"/>
              </w:rPr>
              <w:t>音箱</w:t>
            </w:r>
          </w:p>
        </w:tc>
        <w:tc>
          <w:tcPr>
            <w:tcW w:w="6814" w:type="dxa"/>
          </w:tcPr>
          <w:p w14:paraId="3B1FC8A5">
            <w:pPr>
              <w:spacing w:before="55" w:line="195" w:lineRule="auto"/>
              <w:ind w:left="14" w:firstLine="19"/>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lang w:val="en-US" w:eastAsia="zh-CN"/>
              </w:rPr>
              <w:t>1、</w:t>
            </w:r>
            <w:r>
              <w:rPr>
                <w:rFonts w:hint="eastAsia" w:ascii="宋体" w:hAnsi="宋体" w:eastAsia="宋体" w:cs="宋体"/>
                <w:color w:val="auto"/>
                <w:spacing w:val="-1"/>
                <w:sz w:val="21"/>
                <w:szCs w:val="21"/>
                <w:highlight w:val="none"/>
              </w:rPr>
              <w:t>频率响应：≤</w:t>
            </w:r>
            <w:r>
              <w:rPr>
                <w:rFonts w:hint="eastAsia" w:ascii="宋体" w:hAnsi="宋体" w:cs="宋体"/>
                <w:color w:val="auto"/>
                <w:spacing w:val="-1"/>
                <w:sz w:val="21"/>
                <w:szCs w:val="21"/>
                <w:highlight w:val="none"/>
                <w:lang w:val="en-US" w:eastAsia="zh-CN"/>
              </w:rPr>
              <w:t>60</w:t>
            </w:r>
            <w:r>
              <w:rPr>
                <w:rFonts w:hint="eastAsia" w:ascii="宋体" w:hAnsi="宋体" w:eastAsia="宋体" w:cs="宋体"/>
                <w:color w:val="auto"/>
                <w:spacing w:val="3"/>
                <w:sz w:val="21"/>
                <w:szCs w:val="21"/>
                <w:highlight w:val="none"/>
              </w:rPr>
              <w:t xml:space="preserve"> </w:t>
            </w:r>
            <w:r>
              <w:rPr>
                <w:rFonts w:hint="eastAsia" w:ascii="宋体" w:hAnsi="宋体" w:eastAsia="宋体" w:cs="宋体"/>
                <w:color w:val="auto"/>
                <w:spacing w:val="-2"/>
                <w:sz w:val="21"/>
                <w:szCs w:val="21"/>
                <w:highlight w:val="none"/>
              </w:rPr>
              <w:t>Hz-≥</w:t>
            </w:r>
            <w:r>
              <w:rPr>
                <w:rFonts w:hint="eastAsia" w:ascii="宋体" w:hAnsi="宋体" w:cs="宋体"/>
                <w:color w:val="auto"/>
                <w:spacing w:val="-2"/>
                <w:sz w:val="21"/>
                <w:szCs w:val="21"/>
                <w:highlight w:val="none"/>
                <w:lang w:val="en-US" w:eastAsia="zh-CN"/>
              </w:rPr>
              <w:t>20</w:t>
            </w:r>
            <w:r>
              <w:rPr>
                <w:rFonts w:hint="eastAsia" w:ascii="宋体" w:hAnsi="宋体" w:eastAsia="宋体" w:cs="宋体"/>
                <w:color w:val="auto"/>
                <w:spacing w:val="-2"/>
                <w:sz w:val="21"/>
                <w:szCs w:val="21"/>
                <w:highlight w:val="none"/>
              </w:rPr>
              <w:t>KHz;</w:t>
            </w:r>
          </w:p>
          <w:p w14:paraId="64EDBF62">
            <w:pPr>
              <w:spacing w:line="197" w:lineRule="auto"/>
              <w:ind w:left="14"/>
              <w:rPr>
                <w:rFonts w:hint="eastAsia" w:ascii="宋体" w:hAnsi="宋体" w:eastAsia="宋体" w:cs="宋体"/>
                <w:color w:val="auto"/>
                <w:sz w:val="21"/>
                <w:szCs w:val="21"/>
                <w:highlight w:val="none"/>
              </w:rPr>
            </w:pPr>
            <w:r>
              <w:rPr>
                <w:rFonts w:hint="eastAsia" w:ascii="宋体" w:hAnsi="宋体" w:eastAsia="宋体" w:cs="宋体"/>
                <w:color w:val="auto"/>
                <w:spacing w:val="16"/>
                <w:sz w:val="21"/>
                <w:szCs w:val="21"/>
                <w:highlight w:val="none"/>
                <w:lang w:val="en-US" w:eastAsia="zh-CN"/>
              </w:rPr>
              <w:t>2、</w:t>
            </w:r>
            <w:r>
              <w:rPr>
                <w:rFonts w:hint="eastAsia" w:ascii="宋体" w:hAnsi="宋体" w:eastAsia="宋体" w:cs="宋体"/>
                <w:color w:val="auto"/>
                <w:spacing w:val="16"/>
                <w:sz w:val="21"/>
                <w:szCs w:val="21"/>
                <w:highlight w:val="none"/>
              </w:rPr>
              <w:t>额定阻抗：8Ω;</w:t>
            </w:r>
          </w:p>
          <w:p w14:paraId="41A0EA55">
            <w:pPr>
              <w:spacing w:line="184" w:lineRule="auto"/>
              <w:ind w:left="14" w:right="6"/>
              <w:rPr>
                <w:rFonts w:hint="eastAsia" w:ascii="宋体" w:hAnsi="宋体" w:eastAsia="宋体" w:cs="宋体"/>
                <w:color w:val="auto"/>
                <w:spacing w:val="-2"/>
                <w:sz w:val="21"/>
                <w:szCs w:val="21"/>
                <w:highlight w:val="none"/>
                <w:lang w:eastAsia="zh-CN"/>
              </w:rPr>
            </w:pPr>
            <w:r>
              <w:rPr>
                <w:rFonts w:hint="eastAsia" w:ascii="宋体" w:hAnsi="宋体" w:eastAsia="宋体" w:cs="宋体"/>
                <w:color w:val="auto"/>
                <w:spacing w:val="9"/>
                <w:sz w:val="21"/>
                <w:szCs w:val="21"/>
                <w:highlight w:val="none"/>
                <w:lang w:val="en-US" w:eastAsia="zh-CN"/>
              </w:rPr>
              <w:t>3、</w:t>
            </w:r>
            <w:r>
              <w:rPr>
                <w:rFonts w:hint="eastAsia" w:ascii="宋体" w:hAnsi="宋体" w:eastAsia="宋体" w:cs="宋体"/>
                <w:color w:val="auto"/>
                <w:spacing w:val="9"/>
                <w:sz w:val="21"/>
                <w:szCs w:val="21"/>
                <w:highlight w:val="none"/>
                <w:lang w:eastAsia="zh-CN"/>
              </w:rPr>
              <w:t>★</w:t>
            </w:r>
            <w:r>
              <w:rPr>
                <w:rFonts w:hint="eastAsia" w:ascii="宋体" w:hAnsi="宋体" w:eastAsia="宋体" w:cs="宋体"/>
                <w:color w:val="auto"/>
                <w:spacing w:val="9"/>
                <w:sz w:val="21"/>
                <w:szCs w:val="21"/>
                <w:highlight w:val="none"/>
              </w:rPr>
              <w:t>额定功率：≥40</w:t>
            </w:r>
            <w:r>
              <w:rPr>
                <w:rFonts w:hint="eastAsia" w:ascii="宋体" w:hAnsi="宋体" w:eastAsia="宋体" w:cs="宋体"/>
                <w:color w:val="auto"/>
                <w:spacing w:val="-2"/>
                <w:sz w:val="21"/>
                <w:szCs w:val="21"/>
                <w:highlight w:val="none"/>
              </w:rPr>
              <w:t>0W</w:t>
            </w:r>
            <w:r>
              <w:rPr>
                <w:rFonts w:hint="eastAsia" w:ascii="宋体" w:hAnsi="宋体" w:eastAsia="宋体" w:cs="宋体"/>
                <w:color w:val="auto"/>
                <w:spacing w:val="4"/>
                <w:sz w:val="21"/>
                <w:szCs w:val="21"/>
                <w:highlight w:val="none"/>
                <w:lang w:eastAsia="zh-CN"/>
              </w:rPr>
              <w:t>;</w:t>
            </w:r>
          </w:p>
          <w:p w14:paraId="214C171F">
            <w:pPr>
              <w:spacing w:line="184" w:lineRule="auto"/>
              <w:ind w:left="14" w:right="6"/>
              <w:rPr>
                <w:rFonts w:hint="eastAsia" w:ascii="宋体" w:hAnsi="宋体" w:cs="宋体"/>
                <w:color w:val="auto"/>
                <w:spacing w:val="9"/>
                <w:sz w:val="21"/>
                <w:szCs w:val="21"/>
                <w:highlight w:val="none"/>
                <w:lang w:val="en-US" w:eastAsia="zh-CN"/>
              </w:rPr>
            </w:pPr>
            <w:r>
              <w:rPr>
                <w:rFonts w:hint="eastAsia" w:ascii="宋体" w:hAnsi="宋体" w:cs="宋体"/>
                <w:color w:val="auto"/>
                <w:spacing w:val="-2"/>
                <w:sz w:val="21"/>
                <w:szCs w:val="21"/>
                <w:highlight w:val="none"/>
                <w:lang w:val="en-US" w:eastAsia="zh-CN"/>
              </w:rPr>
              <w:t>4、峰值功率：</w:t>
            </w:r>
            <w:r>
              <w:rPr>
                <w:rFonts w:hint="eastAsia" w:ascii="宋体" w:hAnsi="宋体" w:eastAsia="宋体" w:cs="宋体"/>
                <w:color w:val="auto"/>
                <w:spacing w:val="9"/>
                <w:sz w:val="21"/>
                <w:szCs w:val="21"/>
                <w:highlight w:val="none"/>
              </w:rPr>
              <w:t>≥</w:t>
            </w:r>
            <w:r>
              <w:rPr>
                <w:rFonts w:hint="eastAsia" w:ascii="宋体" w:hAnsi="宋体" w:cs="宋体"/>
                <w:color w:val="auto"/>
                <w:spacing w:val="9"/>
                <w:sz w:val="21"/>
                <w:szCs w:val="21"/>
                <w:highlight w:val="none"/>
                <w:lang w:val="en-US" w:eastAsia="zh-CN"/>
              </w:rPr>
              <w:t>1600W</w:t>
            </w:r>
            <w:r>
              <w:rPr>
                <w:rFonts w:hint="eastAsia" w:ascii="宋体" w:hAnsi="宋体" w:eastAsia="宋体" w:cs="宋体"/>
                <w:color w:val="auto"/>
                <w:spacing w:val="4"/>
                <w:sz w:val="21"/>
                <w:szCs w:val="21"/>
                <w:highlight w:val="none"/>
                <w:lang w:eastAsia="zh-CN"/>
              </w:rPr>
              <w:t>;</w:t>
            </w:r>
          </w:p>
          <w:p w14:paraId="159ED23F">
            <w:pPr>
              <w:spacing w:line="184" w:lineRule="auto"/>
              <w:ind w:left="14" w:right="6"/>
              <w:rPr>
                <w:rFonts w:hint="default" w:ascii="宋体" w:hAnsi="宋体" w:cs="宋体"/>
                <w:color w:val="auto"/>
                <w:spacing w:val="9"/>
                <w:sz w:val="21"/>
                <w:szCs w:val="21"/>
                <w:highlight w:val="none"/>
                <w:lang w:val="en-US" w:eastAsia="zh-CN"/>
              </w:rPr>
            </w:pPr>
            <w:r>
              <w:rPr>
                <w:rFonts w:hint="eastAsia" w:ascii="宋体" w:hAnsi="宋体" w:cs="宋体"/>
                <w:color w:val="auto"/>
                <w:spacing w:val="9"/>
                <w:sz w:val="21"/>
                <w:szCs w:val="21"/>
                <w:highlight w:val="none"/>
                <w:lang w:val="en-US" w:eastAsia="zh-CN"/>
              </w:rPr>
              <w:t>5、高音H:25.4芯</w:t>
            </w:r>
            <w:r>
              <w:rPr>
                <w:rFonts w:hint="eastAsia" w:ascii="宋体" w:hAnsi="宋体" w:eastAsia="宋体" w:cs="宋体"/>
                <w:color w:val="auto"/>
                <w:spacing w:val="4"/>
                <w:sz w:val="21"/>
                <w:szCs w:val="21"/>
                <w:highlight w:val="none"/>
                <w:lang w:eastAsia="zh-CN"/>
              </w:rPr>
              <w:t>;</w:t>
            </w:r>
            <w:r>
              <w:rPr>
                <w:rFonts w:hint="eastAsia" w:ascii="宋体" w:hAnsi="宋体" w:cs="宋体"/>
                <w:color w:val="auto"/>
                <w:spacing w:val="9"/>
                <w:sz w:val="21"/>
                <w:szCs w:val="21"/>
                <w:highlight w:val="none"/>
                <w:lang w:val="en-US" w:eastAsia="zh-CN"/>
              </w:rPr>
              <w:t>低音L:49.5芯</w:t>
            </w:r>
            <w:r>
              <w:rPr>
                <w:rFonts w:hint="eastAsia" w:ascii="宋体" w:hAnsi="宋体" w:eastAsia="宋体" w:cs="宋体"/>
                <w:color w:val="auto"/>
                <w:spacing w:val="4"/>
                <w:sz w:val="21"/>
                <w:szCs w:val="21"/>
                <w:highlight w:val="none"/>
                <w:lang w:eastAsia="zh-CN"/>
              </w:rPr>
              <w:t>;</w:t>
            </w:r>
          </w:p>
          <w:p w14:paraId="22796B89">
            <w:pPr>
              <w:spacing w:line="183" w:lineRule="auto"/>
              <w:jc w:val="both"/>
              <w:rPr>
                <w:rFonts w:hint="eastAsia" w:ascii="宋体" w:hAnsi="宋体" w:eastAsia="宋体" w:cs="宋体"/>
                <w:color w:val="auto"/>
                <w:spacing w:val="4"/>
                <w:sz w:val="21"/>
                <w:szCs w:val="21"/>
                <w:highlight w:val="none"/>
                <w:lang w:eastAsia="zh-CN"/>
              </w:rPr>
            </w:pPr>
            <w:r>
              <w:rPr>
                <w:rFonts w:hint="eastAsia" w:ascii="宋体" w:hAnsi="宋体" w:cs="宋体"/>
                <w:color w:val="auto"/>
                <w:spacing w:val="1"/>
                <w:sz w:val="21"/>
                <w:szCs w:val="21"/>
                <w:highlight w:val="none"/>
                <w:lang w:val="en-US" w:eastAsia="zh-CN"/>
              </w:rPr>
              <w:t>6</w:t>
            </w:r>
            <w:r>
              <w:rPr>
                <w:rFonts w:hint="eastAsia" w:ascii="宋体" w:hAnsi="宋体" w:eastAsia="宋体" w:cs="宋体"/>
                <w:color w:val="auto"/>
                <w:spacing w:val="1"/>
                <w:sz w:val="21"/>
                <w:szCs w:val="21"/>
                <w:highlight w:val="none"/>
                <w:lang w:val="en-US" w:eastAsia="zh-CN"/>
              </w:rPr>
              <w:t>、</w:t>
            </w:r>
            <w:r>
              <w:rPr>
                <w:rFonts w:hint="eastAsia" w:ascii="宋体" w:hAnsi="宋体" w:eastAsia="宋体" w:cs="宋体"/>
                <w:color w:val="auto"/>
                <w:spacing w:val="1"/>
                <w:sz w:val="21"/>
                <w:szCs w:val="21"/>
                <w:highlight w:val="none"/>
              </w:rPr>
              <w:t>指向性：水平</w:t>
            </w:r>
            <w:r>
              <w:rPr>
                <w:rFonts w:hint="eastAsia" w:ascii="宋体" w:hAnsi="宋体" w:eastAsia="宋体" w:cs="宋体"/>
                <w:color w:val="auto"/>
                <w:spacing w:val="1"/>
                <w:sz w:val="21"/>
                <w:szCs w:val="21"/>
                <w:highlight w:val="none"/>
                <w:lang w:val="en-US" w:eastAsia="zh-CN"/>
              </w:rPr>
              <w:t>120</w:t>
            </w:r>
            <w:r>
              <w:rPr>
                <w:rFonts w:hint="eastAsia" w:ascii="宋体" w:hAnsi="宋体" w:eastAsia="宋体" w:cs="宋体"/>
                <w:color w:val="auto"/>
                <w:spacing w:val="1"/>
                <w:sz w:val="21"/>
                <w:szCs w:val="21"/>
                <w:highlight w:val="none"/>
              </w:rPr>
              <w:t>°</w:t>
            </w:r>
            <w:r>
              <w:rPr>
                <w:rFonts w:hint="eastAsia" w:ascii="宋体" w:hAnsi="宋体" w:eastAsia="宋体" w:cs="宋体"/>
                <w:color w:val="auto"/>
                <w:spacing w:val="4"/>
                <w:sz w:val="21"/>
                <w:szCs w:val="21"/>
                <w:highlight w:val="none"/>
              </w:rPr>
              <w:t>,垂直10°</w:t>
            </w:r>
            <w:r>
              <w:rPr>
                <w:rFonts w:hint="eastAsia" w:ascii="宋体" w:hAnsi="宋体" w:eastAsia="宋体" w:cs="宋体"/>
                <w:color w:val="auto"/>
                <w:spacing w:val="4"/>
                <w:sz w:val="21"/>
                <w:szCs w:val="21"/>
                <w:highlight w:val="none"/>
                <w:lang w:eastAsia="zh-CN"/>
              </w:rPr>
              <w:t>；吊挂角度：0°1°2°</w:t>
            </w:r>
          </w:p>
          <w:p w14:paraId="69C679A1">
            <w:pPr>
              <w:spacing w:line="183" w:lineRule="auto"/>
              <w:jc w:val="both"/>
              <w:rPr>
                <w:rFonts w:hint="eastAsia" w:ascii="宋体" w:hAnsi="宋体" w:eastAsia="宋体" w:cs="宋体"/>
                <w:color w:val="auto"/>
                <w:spacing w:val="4"/>
                <w:sz w:val="21"/>
                <w:szCs w:val="21"/>
                <w:highlight w:val="none"/>
                <w:lang w:eastAsia="zh-CN"/>
              </w:rPr>
            </w:pPr>
            <w:r>
              <w:rPr>
                <w:rFonts w:hint="eastAsia" w:ascii="宋体" w:hAnsi="宋体" w:eastAsia="宋体" w:cs="宋体"/>
                <w:color w:val="auto"/>
                <w:spacing w:val="4"/>
                <w:sz w:val="21"/>
                <w:szCs w:val="21"/>
                <w:highlight w:val="none"/>
                <w:lang w:eastAsia="zh-CN"/>
              </w:rPr>
              <w:t>3°4°5°6°7°8°9°10°;</w:t>
            </w:r>
          </w:p>
          <w:p w14:paraId="3DC4A528">
            <w:pPr>
              <w:spacing w:line="183" w:lineRule="auto"/>
              <w:jc w:val="both"/>
              <w:rPr>
                <w:rFonts w:hint="eastAsia" w:ascii="宋体" w:hAnsi="宋体" w:eastAsia="宋体" w:cs="宋体"/>
                <w:color w:val="auto"/>
                <w:sz w:val="21"/>
                <w:szCs w:val="21"/>
                <w:highlight w:val="none"/>
              </w:rPr>
            </w:pPr>
            <w:r>
              <w:rPr>
                <w:rFonts w:hint="eastAsia" w:ascii="宋体" w:hAnsi="宋体" w:cs="宋体"/>
                <w:color w:val="auto"/>
                <w:spacing w:val="4"/>
                <w:sz w:val="21"/>
                <w:szCs w:val="21"/>
                <w:highlight w:val="none"/>
                <w:lang w:val="en-US" w:eastAsia="zh-CN"/>
              </w:rPr>
              <w:t>7</w:t>
            </w:r>
            <w:r>
              <w:rPr>
                <w:rFonts w:hint="eastAsia" w:ascii="宋体" w:hAnsi="宋体" w:eastAsia="宋体" w:cs="宋体"/>
                <w:color w:val="auto"/>
                <w:spacing w:val="4"/>
                <w:sz w:val="21"/>
                <w:szCs w:val="21"/>
                <w:highlight w:val="none"/>
                <w:lang w:val="en-US" w:eastAsia="zh-CN"/>
              </w:rPr>
              <w:t>、</w:t>
            </w:r>
            <w:r>
              <w:rPr>
                <w:rFonts w:hint="eastAsia" w:ascii="宋体" w:hAnsi="宋体" w:eastAsia="宋体" w:cs="宋体"/>
                <w:color w:val="auto"/>
                <w:spacing w:val="-2"/>
                <w:sz w:val="21"/>
                <w:szCs w:val="21"/>
                <w:highlight w:val="none"/>
              </w:rPr>
              <w:t>低音单元配置：≥</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rPr>
              <w:t>8"×2;高音单元配置：≥ 1"×2;</w:t>
            </w:r>
          </w:p>
          <w:p w14:paraId="73ED7A93">
            <w:pPr>
              <w:spacing w:before="1" w:line="190" w:lineRule="auto"/>
              <w:ind w:left="14"/>
              <w:rPr>
                <w:rFonts w:hint="eastAsia" w:ascii="宋体" w:hAnsi="宋体" w:eastAsia="宋体" w:cs="宋体"/>
                <w:color w:val="auto"/>
                <w:sz w:val="21"/>
                <w:szCs w:val="21"/>
                <w:highlight w:val="none"/>
              </w:rPr>
            </w:pPr>
            <w:r>
              <w:rPr>
                <w:rFonts w:hint="eastAsia" w:ascii="宋体" w:hAnsi="宋体" w:cs="宋体"/>
                <w:color w:val="auto"/>
                <w:spacing w:val="11"/>
                <w:sz w:val="21"/>
                <w:szCs w:val="21"/>
                <w:highlight w:val="none"/>
                <w:lang w:val="en-US" w:eastAsia="zh-CN"/>
              </w:rPr>
              <w:t>8</w:t>
            </w:r>
            <w:r>
              <w:rPr>
                <w:rFonts w:hint="eastAsia" w:ascii="宋体" w:hAnsi="宋体" w:eastAsia="宋体" w:cs="宋体"/>
                <w:color w:val="auto"/>
                <w:spacing w:val="11"/>
                <w:sz w:val="21"/>
                <w:szCs w:val="21"/>
                <w:highlight w:val="none"/>
                <w:lang w:val="en-US" w:eastAsia="zh-CN"/>
              </w:rPr>
              <w:t>、</w:t>
            </w:r>
            <w:r>
              <w:rPr>
                <w:rFonts w:hint="eastAsia" w:ascii="宋体" w:hAnsi="宋体" w:eastAsia="宋体" w:cs="宋体"/>
                <w:color w:val="auto"/>
                <w:spacing w:val="11"/>
                <w:sz w:val="21"/>
                <w:szCs w:val="21"/>
                <w:highlight w:val="none"/>
                <w:lang w:eastAsia="zh-CN"/>
              </w:rPr>
              <w:t>★</w:t>
            </w:r>
            <w:r>
              <w:rPr>
                <w:rFonts w:hint="eastAsia" w:ascii="宋体" w:hAnsi="宋体" w:eastAsia="宋体" w:cs="宋体"/>
                <w:color w:val="auto"/>
                <w:spacing w:val="11"/>
                <w:sz w:val="21"/>
                <w:szCs w:val="21"/>
                <w:highlight w:val="none"/>
              </w:rPr>
              <w:t>最大声压级：≥</w:t>
            </w:r>
            <w:r>
              <w:rPr>
                <w:rFonts w:hint="eastAsia" w:ascii="宋体" w:hAnsi="宋体" w:eastAsia="宋体" w:cs="宋体"/>
                <w:color w:val="auto"/>
                <w:sz w:val="21"/>
                <w:szCs w:val="21"/>
                <w:highlight w:val="none"/>
                <w:lang w:val="en-US" w:eastAsia="zh-CN"/>
              </w:rPr>
              <w:t>137</w:t>
            </w:r>
            <w:r>
              <w:rPr>
                <w:rFonts w:hint="eastAsia" w:ascii="宋体" w:hAnsi="宋体" w:eastAsia="宋体" w:cs="宋体"/>
                <w:color w:val="auto"/>
                <w:sz w:val="21"/>
                <w:szCs w:val="21"/>
                <w:highlight w:val="none"/>
              </w:rPr>
              <w:t>dB</w:t>
            </w:r>
            <w:r>
              <w:rPr>
                <w:rFonts w:hint="eastAsia" w:ascii="宋体" w:hAnsi="宋体" w:eastAsia="宋体" w:cs="宋体"/>
                <w:color w:val="auto"/>
                <w:sz w:val="21"/>
                <w:szCs w:val="21"/>
                <w:highlight w:val="none"/>
              </w:rPr>
              <w:t>;</w:t>
            </w:r>
          </w:p>
          <w:p w14:paraId="15F5045B">
            <w:pPr>
              <w:spacing w:before="1" w:line="190" w:lineRule="auto"/>
              <w:ind w:left="14"/>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★总谐波失真：≤7%(250Hz-6300Hz)（报告中附：失真曲线图）</w:t>
            </w:r>
            <w:r>
              <w:rPr>
                <w:rFonts w:hint="eastAsia" w:ascii="宋体" w:hAnsi="宋体" w:eastAsia="宋体" w:cs="宋体"/>
                <w:color w:val="auto"/>
                <w:sz w:val="21"/>
                <w:szCs w:val="21"/>
                <w:highlight w:val="none"/>
                <w:lang w:eastAsia="zh-CN"/>
              </w:rPr>
              <w:t>。</w:t>
            </w:r>
          </w:p>
          <w:p w14:paraId="592D2EE4">
            <w:pPr>
              <w:spacing w:before="1" w:line="190" w:lineRule="auto"/>
              <w:ind w:left="14"/>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以上带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的要求</w:t>
            </w:r>
            <w:r>
              <w:rPr>
                <w:rFonts w:hint="eastAsia" w:ascii="宋体" w:hAnsi="宋体" w:eastAsia="宋体" w:cs="宋体"/>
                <w:color w:val="auto"/>
                <w:sz w:val="21"/>
                <w:szCs w:val="21"/>
                <w:highlight w:val="none"/>
              </w:rPr>
              <w:t>提供第三方检测机构出具的CNAS</w:t>
            </w:r>
            <w:r>
              <w:rPr>
                <w:rFonts w:hint="eastAsia" w:ascii="宋体" w:hAnsi="宋体" w:eastAsia="宋体" w:cs="宋体"/>
                <w:color w:val="auto"/>
                <w:sz w:val="21"/>
                <w:szCs w:val="21"/>
                <w:highlight w:val="none"/>
                <w:lang w:val="en-US" w:eastAsia="zh-CN"/>
              </w:rPr>
              <w:t>标识或</w:t>
            </w:r>
            <w:r>
              <w:rPr>
                <w:rFonts w:hint="eastAsia" w:ascii="宋体" w:hAnsi="宋体" w:eastAsia="宋体" w:cs="宋体"/>
                <w:color w:val="auto"/>
                <w:sz w:val="21"/>
                <w:szCs w:val="21"/>
                <w:highlight w:val="none"/>
              </w:rPr>
              <w:t>CMA</w:t>
            </w:r>
            <w:r>
              <w:rPr>
                <w:rFonts w:hint="eastAsia" w:ascii="宋体" w:hAnsi="宋体" w:eastAsia="宋体" w:cs="宋体"/>
                <w:color w:val="auto"/>
                <w:sz w:val="21"/>
                <w:szCs w:val="21"/>
                <w:highlight w:val="none"/>
                <w:lang w:val="en-US" w:eastAsia="zh-CN"/>
              </w:rPr>
              <w:t>标识</w:t>
            </w:r>
            <w:r>
              <w:rPr>
                <w:rFonts w:hint="eastAsia" w:ascii="宋体" w:hAnsi="宋体" w:eastAsia="宋体" w:cs="宋体"/>
                <w:color w:val="auto"/>
                <w:sz w:val="21"/>
                <w:szCs w:val="21"/>
                <w:highlight w:val="none"/>
              </w:rPr>
              <w:t>的检测报告</w:t>
            </w:r>
            <w:r>
              <w:rPr>
                <w:rFonts w:hint="eastAsia" w:ascii="宋体" w:hAnsi="宋体" w:eastAsia="宋体" w:cs="宋体"/>
                <w:color w:val="auto"/>
                <w:sz w:val="21"/>
                <w:szCs w:val="21"/>
                <w:highlight w:val="none"/>
                <w:lang w:val="en-US" w:eastAsia="zh-CN"/>
              </w:rPr>
              <w:t>原件扫描件</w:t>
            </w:r>
            <w:r>
              <w:rPr>
                <w:rFonts w:hint="eastAsia" w:ascii="宋体" w:hAnsi="宋体" w:eastAsia="宋体" w:cs="宋体"/>
                <w:color w:val="auto"/>
                <w:spacing w:val="2"/>
                <w:sz w:val="21"/>
                <w:szCs w:val="21"/>
                <w:highlight w:val="none"/>
                <w:lang w:eastAsia="zh-CN"/>
              </w:rPr>
              <w:t>。</w:t>
            </w:r>
          </w:p>
          <w:p w14:paraId="60625994">
            <w:pPr>
              <w:spacing w:before="1" w:line="190" w:lineRule="auto"/>
              <w:rPr>
                <w:rFonts w:hint="eastAsia" w:ascii="宋体" w:hAnsi="宋体" w:eastAsia="宋体" w:cs="宋体"/>
                <w:color w:val="auto"/>
                <w:spacing w:val="11"/>
                <w:sz w:val="21"/>
                <w:szCs w:val="21"/>
                <w:highlight w:val="none"/>
              </w:rPr>
            </w:pPr>
            <w:r>
              <w:rPr>
                <w:rFonts w:hint="eastAsia" w:ascii="宋体" w:hAnsi="宋体" w:eastAsia="宋体" w:cs="宋体"/>
                <w:color w:val="auto"/>
                <w:spacing w:val="2"/>
                <w:sz w:val="21"/>
                <w:szCs w:val="21"/>
                <w:highlight w:val="none"/>
              </w:rPr>
              <w:t>(含所需线</w:t>
            </w:r>
            <w:r>
              <w:rPr>
                <w:rFonts w:hint="eastAsia" w:ascii="宋体" w:hAnsi="宋体" w:eastAsia="宋体" w:cs="宋体"/>
                <w:color w:val="auto"/>
                <w:spacing w:val="10"/>
                <w:sz w:val="21"/>
                <w:szCs w:val="21"/>
                <w:highlight w:val="none"/>
              </w:rPr>
              <w:t>材，吊</w:t>
            </w:r>
            <w:r>
              <w:rPr>
                <w:rFonts w:hint="eastAsia" w:ascii="宋体" w:hAnsi="宋体" w:eastAsia="宋体" w:cs="宋体"/>
                <w:color w:val="auto"/>
                <w:spacing w:val="10"/>
                <w:sz w:val="21"/>
                <w:szCs w:val="21"/>
                <w:highlight w:val="none"/>
              </w:rPr>
              <w:t>架、备件、</w:t>
            </w:r>
            <w:r>
              <w:rPr>
                <w:rFonts w:hint="eastAsia" w:ascii="宋体" w:hAnsi="宋体" w:eastAsia="宋体" w:cs="宋体"/>
                <w:color w:val="auto"/>
                <w:spacing w:val="3"/>
                <w:sz w:val="21"/>
                <w:szCs w:val="21"/>
                <w:highlight w:val="none"/>
              </w:rPr>
              <w:t>旧设备拆除，配套</w:t>
            </w:r>
            <w:r>
              <w:rPr>
                <w:rFonts w:hint="eastAsia" w:ascii="宋体" w:hAnsi="宋体" w:eastAsia="宋体" w:cs="宋体"/>
                <w:color w:val="auto"/>
                <w:spacing w:val="-6"/>
                <w:sz w:val="21"/>
                <w:szCs w:val="21"/>
                <w:highlight w:val="none"/>
              </w:rPr>
              <w:t>的改造装修费用</w:t>
            </w:r>
            <w:r>
              <w:rPr>
                <w:rFonts w:hint="eastAsia" w:ascii="宋体" w:hAnsi="宋体" w:eastAsia="宋体" w:cs="宋体"/>
                <w:color w:val="auto"/>
                <w:sz w:val="21"/>
                <w:szCs w:val="21"/>
                <w:highlight w:val="none"/>
              </w:rPr>
              <w:t>)</w:t>
            </w:r>
          </w:p>
        </w:tc>
        <w:tc>
          <w:tcPr>
            <w:tcW w:w="718" w:type="dxa"/>
            <w:vAlign w:val="center"/>
          </w:tcPr>
          <w:p w14:paraId="7F63856E">
            <w:pPr>
              <w:spacing w:before="1" w:line="190" w:lineRule="auto"/>
              <w:ind w:left="1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20个</w:t>
            </w:r>
          </w:p>
        </w:tc>
        <w:tc>
          <w:tcPr>
            <w:tcW w:w="706" w:type="dxa"/>
            <w:vAlign w:val="center"/>
          </w:tcPr>
          <w:p w14:paraId="1C11BAC4">
            <w:pPr>
              <w:spacing w:before="1" w:line="190" w:lineRule="auto"/>
              <w:ind w:left="14"/>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工业</w:t>
            </w:r>
          </w:p>
        </w:tc>
      </w:tr>
      <w:tr w14:paraId="4D5CD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5" w:type="dxa"/>
            <w:vAlign w:val="center"/>
          </w:tcPr>
          <w:p w14:paraId="1150E35F">
            <w:pPr>
              <w:keepLines/>
              <w:widowControl/>
              <w:wordWrap w:val="0"/>
              <w:topLinePun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756" w:type="dxa"/>
            <w:shd w:val="clear" w:color="auto" w:fill="auto"/>
            <w:vAlign w:val="center"/>
          </w:tcPr>
          <w:p w14:paraId="3BD3D37A">
            <w:pPr>
              <w:keepLines/>
              <w:widowControl/>
              <w:wordWrap w:val="0"/>
              <w:topLinePunct/>
              <w:jc w:val="center"/>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线性阵列次低音音箱</w:t>
            </w:r>
          </w:p>
        </w:tc>
        <w:tc>
          <w:tcPr>
            <w:tcW w:w="6814" w:type="dxa"/>
            <w:shd w:val="clear" w:color="auto" w:fill="auto"/>
          </w:tcPr>
          <w:p w14:paraId="0294251A">
            <w:pPr>
              <w:spacing w:before="55" w:line="190" w:lineRule="auto"/>
              <w:ind w:left="14" w:right="107"/>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lang w:val="en-US" w:eastAsia="zh-CN"/>
              </w:rPr>
              <w:t>1、</w:t>
            </w:r>
            <w:r>
              <w:rPr>
                <w:rFonts w:hint="eastAsia" w:ascii="宋体" w:hAnsi="宋体" w:eastAsia="宋体" w:cs="宋体"/>
                <w:color w:val="auto"/>
                <w:spacing w:val="-1"/>
                <w:sz w:val="21"/>
                <w:szCs w:val="21"/>
                <w:highlight w:val="none"/>
              </w:rPr>
              <w:t>频率响应：</w:t>
            </w:r>
            <w:r>
              <w:rPr>
                <w:rFonts w:hint="eastAsia" w:ascii="宋体" w:hAnsi="宋体" w:eastAsia="宋体" w:cs="宋体"/>
                <w:color w:val="auto"/>
                <w:spacing w:val="-1"/>
                <w:sz w:val="21"/>
                <w:szCs w:val="21"/>
                <w:highlight w:val="none"/>
                <w:lang w:val="en-US" w:eastAsia="zh-CN"/>
              </w:rPr>
              <w:t>30</w:t>
            </w:r>
            <w:r>
              <w:rPr>
                <w:rFonts w:hint="eastAsia" w:ascii="宋体" w:hAnsi="宋体" w:eastAsia="宋体" w:cs="宋体"/>
                <w:color w:val="auto"/>
                <w:spacing w:val="-1"/>
                <w:sz w:val="21"/>
                <w:szCs w:val="21"/>
                <w:highlight w:val="none"/>
              </w:rPr>
              <w:t>Hz-</w:t>
            </w:r>
            <w:r>
              <w:rPr>
                <w:rFonts w:hint="eastAsia" w:ascii="宋体" w:hAnsi="宋体" w:eastAsia="宋体" w:cs="宋体"/>
                <w:color w:val="auto"/>
                <w:spacing w:val="1"/>
                <w:sz w:val="21"/>
                <w:szCs w:val="21"/>
                <w:highlight w:val="none"/>
              </w:rPr>
              <w:t xml:space="preserve"> </w:t>
            </w:r>
            <w:r>
              <w:rPr>
                <w:rFonts w:hint="eastAsia" w:ascii="宋体" w:hAnsi="宋体" w:eastAsia="宋体" w:cs="宋体"/>
                <w:color w:val="auto"/>
                <w:spacing w:val="-2"/>
                <w:sz w:val="21"/>
                <w:szCs w:val="21"/>
                <w:highlight w:val="none"/>
                <w:lang w:val="en-US" w:eastAsia="zh-CN"/>
              </w:rPr>
              <w:t>160</w:t>
            </w:r>
            <w:r>
              <w:rPr>
                <w:rFonts w:hint="eastAsia" w:ascii="宋体" w:hAnsi="宋体" w:eastAsia="宋体" w:cs="宋体"/>
                <w:color w:val="auto"/>
                <w:spacing w:val="-2"/>
                <w:sz w:val="21"/>
                <w:szCs w:val="21"/>
                <w:highlight w:val="none"/>
              </w:rPr>
              <w:t>Hz</w:t>
            </w:r>
            <w:r>
              <w:rPr>
                <w:rFonts w:hint="eastAsia" w:ascii="宋体" w:hAnsi="宋体" w:eastAsia="宋体" w:cs="宋体"/>
                <w:color w:val="auto"/>
                <w:spacing w:val="-2"/>
                <w:sz w:val="21"/>
                <w:szCs w:val="21"/>
                <w:highlight w:val="none"/>
              </w:rPr>
              <w:t>;</w:t>
            </w:r>
          </w:p>
          <w:p w14:paraId="0223FF5A">
            <w:pPr>
              <w:spacing w:line="195" w:lineRule="auto"/>
              <w:ind w:left="14"/>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lang w:val="en-US" w:eastAsia="zh-CN"/>
              </w:rPr>
              <w:t>2、</w:t>
            </w:r>
            <w:r>
              <w:rPr>
                <w:rFonts w:hint="eastAsia" w:ascii="宋体" w:hAnsi="宋体" w:eastAsia="宋体" w:cs="宋体"/>
                <w:color w:val="auto"/>
                <w:spacing w:val="3"/>
                <w:sz w:val="21"/>
                <w:szCs w:val="21"/>
                <w:highlight w:val="none"/>
              </w:rPr>
              <w:t>额定阻抗：8</w:t>
            </w:r>
            <w:r>
              <w:rPr>
                <w:rFonts w:hint="eastAsia" w:ascii="宋体" w:hAnsi="宋体" w:eastAsia="宋体" w:cs="宋体"/>
                <w:color w:val="auto"/>
                <w:spacing w:val="3"/>
                <w:sz w:val="21"/>
                <w:szCs w:val="21"/>
                <w:highlight w:val="none"/>
                <w:lang w:val="en-US" w:eastAsia="zh-CN"/>
              </w:rPr>
              <w:t>Ω</w:t>
            </w:r>
            <w:r>
              <w:rPr>
                <w:rFonts w:hint="eastAsia" w:ascii="宋体" w:hAnsi="宋体" w:eastAsia="宋体" w:cs="宋体"/>
                <w:color w:val="auto"/>
                <w:spacing w:val="3"/>
                <w:sz w:val="21"/>
                <w:szCs w:val="21"/>
                <w:highlight w:val="none"/>
              </w:rPr>
              <w:t>;</w:t>
            </w:r>
          </w:p>
          <w:p w14:paraId="12F10ABA">
            <w:pPr>
              <w:spacing w:line="219" w:lineRule="auto"/>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额定功率：≥</w:t>
            </w:r>
            <w:r>
              <w:rPr>
                <w:rFonts w:hint="eastAsia" w:ascii="宋体" w:hAnsi="宋体" w:eastAsia="宋体" w:cs="宋体"/>
                <w:color w:val="auto"/>
                <w:sz w:val="21"/>
                <w:szCs w:val="21"/>
                <w:highlight w:val="none"/>
                <w:lang w:val="en-US" w:eastAsia="zh-CN"/>
              </w:rPr>
              <w:t>700</w:t>
            </w:r>
            <w:r>
              <w:rPr>
                <w:rFonts w:hint="eastAsia" w:ascii="宋体" w:hAnsi="宋体" w:eastAsia="宋体" w:cs="宋体"/>
                <w:color w:val="auto"/>
                <w:sz w:val="21"/>
                <w:szCs w:val="21"/>
                <w:highlight w:val="none"/>
                <w:lang w:val="en-US" w:eastAsia="zh-CN"/>
              </w:rPr>
              <w:t>w；</w:t>
            </w:r>
          </w:p>
          <w:p w14:paraId="762D3E78">
            <w:pPr>
              <w:spacing w:line="184" w:lineRule="auto"/>
              <w:ind w:left="14" w:right="6"/>
              <w:rPr>
                <w:rFonts w:hint="eastAsia" w:ascii="宋体" w:hAnsi="宋体" w:cs="宋体"/>
                <w:color w:val="auto"/>
                <w:spacing w:val="9"/>
                <w:sz w:val="21"/>
                <w:szCs w:val="21"/>
                <w:highlight w:val="none"/>
                <w:lang w:val="en-US" w:eastAsia="zh-CN"/>
              </w:rPr>
            </w:pPr>
            <w:r>
              <w:rPr>
                <w:rFonts w:hint="eastAsia" w:ascii="宋体" w:hAnsi="宋体" w:cs="宋体"/>
                <w:color w:val="auto"/>
                <w:spacing w:val="-2"/>
                <w:sz w:val="21"/>
                <w:szCs w:val="21"/>
                <w:highlight w:val="none"/>
                <w:lang w:val="en-US" w:eastAsia="zh-CN"/>
              </w:rPr>
              <w:t>4、最大功率：</w:t>
            </w:r>
            <w:r>
              <w:rPr>
                <w:rFonts w:hint="eastAsia" w:ascii="宋体" w:hAnsi="宋体" w:eastAsia="宋体" w:cs="宋体"/>
                <w:color w:val="auto"/>
                <w:spacing w:val="9"/>
                <w:sz w:val="21"/>
                <w:szCs w:val="21"/>
                <w:highlight w:val="none"/>
              </w:rPr>
              <w:t>≥</w:t>
            </w:r>
            <w:r>
              <w:rPr>
                <w:rFonts w:hint="eastAsia" w:ascii="宋体" w:hAnsi="宋体" w:cs="宋体"/>
                <w:color w:val="auto"/>
                <w:spacing w:val="9"/>
                <w:sz w:val="21"/>
                <w:szCs w:val="21"/>
                <w:highlight w:val="none"/>
                <w:lang w:val="en-US" w:eastAsia="zh-CN"/>
              </w:rPr>
              <w:t>2400W</w:t>
            </w:r>
            <w:r>
              <w:rPr>
                <w:rFonts w:hint="eastAsia" w:ascii="宋体" w:hAnsi="宋体" w:eastAsia="宋体" w:cs="宋体"/>
                <w:color w:val="auto"/>
                <w:spacing w:val="4"/>
                <w:sz w:val="21"/>
                <w:szCs w:val="21"/>
                <w:highlight w:val="none"/>
                <w:lang w:eastAsia="zh-CN"/>
              </w:rPr>
              <w:t>;</w:t>
            </w:r>
          </w:p>
          <w:p w14:paraId="21D6DCF7">
            <w:pPr>
              <w:spacing w:line="219" w:lineRule="auto"/>
              <w:jc w:val="both"/>
              <w:rPr>
                <w:rFonts w:hint="eastAsia" w:ascii="宋体" w:hAnsi="宋体" w:eastAsia="宋体" w:cs="宋体"/>
                <w:color w:val="auto"/>
                <w:sz w:val="21"/>
                <w:szCs w:val="21"/>
                <w:highlight w:val="none"/>
                <w:lang w:eastAsia="zh-CN"/>
              </w:rPr>
            </w:pPr>
            <w:r>
              <w:rPr>
                <w:rFonts w:hint="eastAsia" w:ascii="宋体" w:hAnsi="宋体" w:cs="宋体"/>
                <w:color w:val="auto"/>
                <w:spacing w:val="1"/>
                <w:sz w:val="21"/>
                <w:szCs w:val="21"/>
                <w:highlight w:val="none"/>
                <w:lang w:val="en-US" w:eastAsia="zh-CN"/>
              </w:rPr>
              <w:t>5</w:t>
            </w:r>
            <w:r>
              <w:rPr>
                <w:rFonts w:hint="eastAsia" w:ascii="宋体" w:hAnsi="宋体" w:eastAsia="宋体" w:cs="宋体"/>
                <w:color w:val="auto"/>
                <w:spacing w:val="1"/>
                <w:sz w:val="21"/>
                <w:szCs w:val="21"/>
                <w:highlight w:val="none"/>
                <w:lang w:val="en-US" w:eastAsia="zh-CN"/>
              </w:rPr>
              <w:t>、</w:t>
            </w:r>
            <w:r>
              <w:rPr>
                <w:rFonts w:hint="eastAsia" w:ascii="宋体" w:hAnsi="宋体" w:eastAsia="宋体" w:cs="宋体"/>
                <w:color w:val="auto"/>
                <w:spacing w:val="1"/>
                <w:sz w:val="21"/>
                <w:szCs w:val="21"/>
                <w:highlight w:val="none"/>
              </w:rPr>
              <w:t>最大声压级：≥</w:t>
            </w:r>
            <w:r>
              <w:rPr>
                <w:rFonts w:hint="eastAsia" w:ascii="宋体" w:hAnsi="宋体" w:eastAsia="宋体" w:cs="宋体"/>
                <w:color w:val="auto"/>
                <w:spacing w:val="5"/>
                <w:sz w:val="21"/>
                <w:szCs w:val="21"/>
                <w:highlight w:val="none"/>
              </w:rPr>
              <w:t xml:space="preserve"> </w:t>
            </w:r>
            <w:r>
              <w:rPr>
                <w:rFonts w:hint="eastAsia" w:ascii="宋体" w:hAnsi="宋体" w:cs="宋体"/>
                <w:color w:val="auto"/>
                <w:spacing w:val="5"/>
                <w:sz w:val="21"/>
                <w:szCs w:val="21"/>
                <w:highlight w:val="none"/>
                <w:lang w:val="en-US" w:eastAsia="zh-CN"/>
              </w:rPr>
              <w:t>133</w:t>
            </w:r>
            <w:r>
              <w:rPr>
                <w:rFonts w:hint="eastAsia" w:ascii="宋体" w:hAnsi="宋体" w:eastAsia="宋体" w:cs="宋体"/>
                <w:color w:val="auto"/>
                <w:spacing w:val="-2"/>
                <w:sz w:val="21"/>
                <w:szCs w:val="21"/>
                <w:highlight w:val="none"/>
              </w:rPr>
              <w:t>dB</w:t>
            </w:r>
            <w:r>
              <w:rPr>
                <w:rFonts w:hint="eastAsia" w:ascii="宋体" w:hAnsi="宋体" w:eastAsia="宋体" w:cs="宋体"/>
                <w:color w:val="auto"/>
                <w:spacing w:val="-2"/>
                <w:sz w:val="21"/>
                <w:szCs w:val="21"/>
                <w:highlight w:val="none"/>
                <w:lang w:eastAsia="zh-CN"/>
              </w:rPr>
              <w:t>；</w:t>
            </w:r>
          </w:p>
          <w:p w14:paraId="2F41F117">
            <w:pPr>
              <w:spacing w:before="2" w:line="184" w:lineRule="auto"/>
              <w:ind w:left="14" w:right="20"/>
              <w:rPr>
                <w:rFonts w:hint="eastAsia" w:ascii="宋体" w:hAnsi="宋体" w:eastAsia="宋体" w:cs="宋体"/>
                <w:color w:val="auto"/>
                <w:spacing w:val="-3"/>
                <w:sz w:val="21"/>
                <w:szCs w:val="21"/>
                <w:highlight w:val="none"/>
              </w:rPr>
            </w:pPr>
            <w:r>
              <w:rPr>
                <w:rFonts w:hint="eastAsia" w:ascii="宋体" w:hAnsi="宋体" w:cs="宋体"/>
                <w:color w:val="auto"/>
                <w:spacing w:val="-1"/>
                <w:sz w:val="21"/>
                <w:szCs w:val="21"/>
                <w:highlight w:val="none"/>
                <w:lang w:val="en-US" w:eastAsia="zh-CN"/>
              </w:rPr>
              <w:t>6</w:t>
            </w:r>
            <w:r>
              <w:rPr>
                <w:rFonts w:hint="eastAsia" w:ascii="宋体" w:hAnsi="宋体" w:eastAsia="宋体" w:cs="宋体"/>
                <w:color w:val="auto"/>
                <w:spacing w:val="-1"/>
                <w:sz w:val="21"/>
                <w:szCs w:val="21"/>
                <w:highlight w:val="none"/>
                <w:lang w:val="en-US" w:eastAsia="zh-CN"/>
              </w:rPr>
              <w:t>、</w:t>
            </w:r>
            <w:r>
              <w:rPr>
                <w:rFonts w:hint="eastAsia" w:ascii="宋体" w:hAnsi="宋体" w:eastAsia="宋体" w:cs="宋体"/>
                <w:color w:val="auto"/>
                <w:spacing w:val="-1"/>
                <w:sz w:val="21"/>
                <w:szCs w:val="21"/>
                <w:highlight w:val="none"/>
              </w:rPr>
              <w:t>低音单元配置：</w:t>
            </w:r>
            <w:r>
              <w:rPr>
                <w:rFonts w:hint="eastAsia" w:ascii="宋体" w:hAnsi="宋体" w:eastAsia="宋体" w:cs="宋体"/>
                <w:color w:val="auto"/>
                <w:spacing w:val="-1"/>
                <w:sz w:val="21"/>
                <w:szCs w:val="21"/>
                <w:highlight w:val="none"/>
                <w:lang w:val="en-US" w:eastAsia="zh-CN"/>
              </w:rPr>
              <w:t>18</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3"/>
                <w:sz w:val="21"/>
                <w:szCs w:val="21"/>
                <w:highlight w:val="none"/>
              </w:rPr>
              <w:t>"×1;</w:t>
            </w:r>
          </w:p>
          <w:p w14:paraId="0D07C68A">
            <w:pPr>
              <w:spacing w:before="1" w:line="190" w:lineRule="auto"/>
              <w:ind w:left="14"/>
              <w:rPr>
                <w:rFonts w:hint="eastAsia" w:ascii="宋体" w:hAnsi="宋体" w:eastAsia="宋体" w:cs="宋体"/>
                <w:color w:val="auto"/>
                <w:sz w:val="21"/>
                <w:szCs w:val="21"/>
                <w:highlight w:val="none"/>
                <w:lang w:eastAsia="zh-CN"/>
              </w:rPr>
            </w:pPr>
            <w:r>
              <w:rPr>
                <w:rFonts w:hint="eastAsia" w:ascii="宋体" w:hAnsi="宋体" w:cs="宋体"/>
                <w:color w:val="auto"/>
                <w:spacing w:val="-2"/>
                <w:sz w:val="21"/>
                <w:szCs w:val="21"/>
                <w:highlight w:val="none"/>
                <w:lang w:val="en-US" w:eastAsia="zh-CN"/>
              </w:rPr>
              <w:t>7</w:t>
            </w:r>
            <w:r>
              <w:rPr>
                <w:rFonts w:hint="eastAsia" w:ascii="宋体" w:hAnsi="宋体" w:eastAsia="宋体" w:cs="宋体"/>
                <w:color w:val="auto"/>
                <w:spacing w:val="-2"/>
                <w:sz w:val="21"/>
                <w:szCs w:val="21"/>
                <w:highlight w:val="none"/>
                <w:lang w:val="en-US" w:eastAsia="zh-CN"/>
              </w:rPr>
              <w:t>、</w:t>
            </w:r>
            <w:r>
              <w:rPr>
                <w:rFonts w:hint="eastAsia" w:ascii="宋体" w:hAnsi="宋体" w:eastAsia="宋体" w:cs="宋体"/>
                <w:color w:val="auto"/>
                <w:spacing w:val="3"/>
                <w:sz w:val="21"/>
                <w:szCs w:val="21"/>
                <w:highlight w:val="none"/>
                <w:lang w:val="en-US" w:eastAsia="zh-CN"/>
              </w:rPr>
              <w:t>★总谐波失真：≤3%(30Hz-160Hz)</w:t>
            </w:r>
            <w:r>
              <w:rPr>
                <w:rFonts w:hint="eastAsia" w:ascii="宋体" w:hAnsi="宋体" w:eastAsia="宋体" w:cs="宋体"/>
                <w:color w:val="auto"/>
                <w:sz w:val="21"/>
                <w:szCs w:val="21"/>
                <w:highlight w:val="none"/>
              </w:rPr>
              <w:t>（报告中附：失真曲线图）</w:t>
            </w:r>
            <w:r>
              <w:rPr>
                <w:rFonts w:hint="eastAsia" w:ascii="宋体" w:hAnsi="宋体" w:eastAsia="宋体" w:cs="宋体"/>
                <w:color w:val="auto"/>
                <w:sz w:val="21"/>
                <w:szCs w:val="21"/>
                <w:highlight w:val="none"/>
                <w:lang w:eastAsia="zh-CN"/>
              </w:rPr>
              <w:t>。</w:t>
            </w:r>
          </w:p>
          <w:p w14:paraId="32EF10A3">
            <w:pPr>
              <w:spacing w:before="1" w:line="190" w:lineRule="auto"/>
              <w:ind w:left="14"/>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以上带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的要求</w:t>
            </w:r>
            <w:r>
              <w:rPr>
                <w:rFonts w:hint="eastAsia" w:ascii="宋体" w:hAnsi="宋体" w:eastAsia="宋体" w:cs="宋体"/>
                <w:color w:val="auto"/>
                <w:sz w:val="21"/>
                <w:szCs w:val="21"/>
                <w:highlight w:val="none"/>
              </w:rPr>
              <w:t>提供第三方检测机构出具的CNAS</w:t>
            </w:r>
            <w:r>
              <w:rPr>
                <w:rFonts w:hint="eastAsia" w:ascii="宋体" w:hAnsi="宋体" w:eastAsia="宋体" w:cs="宋体"/>
                <w:color w:val="auto"/>
                <w:sz w:val="21"/>
                <w:szCs w:val="21"/>
                <w:highlight w:val="none"/>
                <w:lang w:val="en-US" w:eastAsia="zh-CN"/>
              </w:rPr>
              <w:t>标识或</w:t>
            </w:r>
            <w:r>
              <w:rPr>
                <w:rFonts w:hint="eastAsia" w:ascii="宋体" w:hAnsi="宋体" w:eastAsia="宋体" w:cs="宋体"/>
                <w:color w:val="auto"/>
                <w:sz w:val="21"/>
                <w:szCs w:val="21"/>
                <w:highlight w:val="none"/>
              </w:rPr>
              <w:t>CMA</w:t>
            </w:r>
            <w:r>
              <w:rPr>
                <w:rFonts w:hint="eastAsia" w:ascii="宋体" w:hAnsi="宋体" w:eastAsia="宋体" w:cs="宋体"/>
                <w:color w:val="auto"/>
                <w:sz w:val="21"/>
                <w:szCs w:val="21"/>
                <w:highlight w:val="none"/>
                <w:lang w:val="en-US" w:eastAsia="zh-CN"/>
              </w:rPr>
              <w:t>标识</w:t>
            </w:r>
            <w:r>
              <w:rPr>
                <w:rFonts w:hint="eastAsia" w:ascii="宋体" w:hAnsi="宋体" w:eastAsia="宋体" w:cs="宋体"/>
                <w:color w:val="auto"/>
                <w:sz w:val="21"/>
                <w:szCs w:val="21"/>
                <w:highlight w:val="none"/>
              </w:rPr>
              <w:t>的检测报告</w:t>
            </w:r>
            <w:r>
              <w:rPr>
                <w:rFonts w:hint="eastAsia" w:ascii="宋体" w:hAnsi="宋体" w:eastAsia="宋体" w:cs="宋体"/>
                <w:color w:val="auto"/>
                <w:sz w:val="21"/>
                <w:szCs w:val="21"/>
                <w:highlight w:val="none"/>
                <w:lang w:val="en-US" w:eastAsia="zh-CN"/>
              </w:rPr>
              <w:t>原件扫描件</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lang w:eastAsia="zh-CN"/>
              </w:rPr>
              <w:t>。</w:t>
            </w:r>
          </w:p>
          <w:p w14:paraId="01F37F34">
            <w:pPr>
              <w:spacing w:before="4" w:line="197" w:lineRule="auto"/>
              <w:ind w:left="14"/>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(含所需线</w:t>
            </w:r>
            <w:r>
              <w:rPr>
                <w:rFonts w:hint="eastAsia" w:ascii="宋体" w:hAnsi="宋体" w:eastAsia="宋体" w:cs="宋体"/>
                <w:color w:val="auto"/>
                <w:spacing w:val="10"/>
                <w:sz w:val="21"/>
                <w:szCs w:val="21"/>
                <w:highlight w:val="none"/>
              </w:rPr>
              <w:t>材，吊</w:t>
            </w:r>
            <w:r>
              <w:rPr>
                <w:rFonts w:hint="eastAsia" w:ascii="宋体" w:hAnsi="宋体" w:eastAsia="宋体" w:cs="宋体"/>
                <w:color w:val="auto"/>
                <w:spacing w:val="10"/>
                <w:sz w:val="21"/>
                <w:szCs w:val="21"/>
                <w:highlight w:val="none"/>
              </w:rPr>
              <w:t>架、备件、</w:t>
            </w:r>
            <w:r>
              <w:rPr>
                <w:rFonts w:hint="eastAsia" w:ascii="宋体" w:hAnsi="宋体" w:eastAsia="宋体" w:cs="宋体"/>
                <w:color w:val="auto"/>
                <w:spacing w:val="3"/>
                <w:sz w:val="21"/>
                <w:szCs w:val="21"/>
                <w:highlight w:val="none"/>
              </w:rPr>
              <w:t>旧设备拆除，配套</w:t>
            </w:r>
            <w:r>
              <w:rPr>
                <w:rFonts w:hint="eastAsia" w:ascii="宋体" w:hAnsi="宋体" w:eastAsia="宋体" w:cs="宋体"/>
                <w:color w:val="auto"/>
                <w:spacing w:val="-6"/>
                <w:sz w:val="21"/>
                <w:szCs w:val="21"/>
                <w:highlight w:val="none"/>
              </w:rPr>
              <w:t>的改造装修费用</w:t>
            </w:r>
            <w:r>
              <w:rPr>
                <w:rFonts w:hint="eastAsia" w:ascii="宋体" w:hAnsi="宋体" w:eastAsia="宋体" w:cs="宋体"/>
                <w:color w:val="auto"/>
                <w:sz w:val="21"/>
                <w:szCs w:val="21"/>
                <w:highlight w:val="none"/>
              </w:rPr>
              <w:t>)</w:t>
            </w:r>
          </w:p>
        </w:tc>
        <w:tc>
          <w:tcPr>
            <w:tcW w:w="718" w:type="dxa"/>
            <w:shd w:val="clear" w:color="auto" w:fill="auto"/>
            <w:vAlign w:val="center"/>
          </w:tcPr>
          <w:p w14:paraId="03004208">
            <w:pPr>
              <w:spacing w:before="56" w:line="219"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10</w:t>
            </w:r>
            <w:r>
              <w:rPr>
                <w:rFonts w:hint="eastAsia" w:ascii="宋体" w:hAnsi="宋体" w:eastAsia="宋体" w:cs="宋体"/>
                <w:color w:val="auto"/>
                <w:sz w:val="21"/>
                <w:szCs w:val="21"/>
                <w:highlight w:val="none"/>
              </w:rPr>
              <w:t>个</w:t>
            </w:r>
          </w:p>
        </w:tc>
        <w:tc>
          <w:tcPr>
            <w:tcW w:w="706" w:type="dxa"/>
            <w:shd w:val="clear" w:color="auto" w:fill="auto"/>
            <w:vAlign w:val="center"/>
          </w:tcPr>
          <w:p w14:paraId="6A0B478F">
            <w:pPr>
              <w:spacing w:before="56" w:line="219" w:lineRule="auto"/>
              <w:jc w:val="center"/>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工业</w:t>
            </w:r>
          </w:p>
        </w:tc>
      </w:tr>
      <w:tr w14:paraId="0DA54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5" w:type="dxa"/>
            <w:vAlign w:val="center"/>
          </w:tcPr>
          <w:p w14:paraId="5CA4FFF6">
            <w:pPr>
              <w:keepLines/>
              <w:widowControl/>
              <w:wordWrap w:val="0"/>
              <w:topLinePun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756" w:type="dxa"/>
            <w:shd w:val="clear" w:color="auto" w:fill="auto"/>
            <w:vAlign w:val="center"/>
          </w:tcPr>
          <w:p w14:paraId="10B1CC72">
            <w:pPr>
              <w:spacing w:before="56" w:line="220" w:lineRule="auto"/>
              <w:ind w:left="2"/>
              <w:jc w:val="center"/>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重低音音箱</w:t>
            </w:r>
          </w:p>
        </w:tc>
        <w:tc>
          <w:tcPr>
            <w:tcW w:w="6814" w:type="dxa"/>
            <w:shd w:val="clear" w:color="auto" w:fill="auto"/>
          </w:tcPr>
          <w:p w14:paraId="3F71F59B">
            <w:pPr>
              <w:spacing w:before="56" w:line="219" w:lineRule="auto"/>
              <w:ind w:left="23"/>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1、频率响应：30Hz-</w:t>
            </w:r>
            <w:r>
              <w:rPr>
                <w:rFonts w:hint="eastAsia" w:ascii="宋体" w:hAnsi="宋体" w:cs="宋体"/>
                <w:color w:val="auto"/>
                <w:spacing w:val="-1"/>
                <w:sz w:val="21"/>
                <w:szCs w:val="21"/>
                <w:highlight w:val="none"/>
                <w:lang w:val="en-US" w:eastAsia="zh-CN"/>
              </w:rPr>
              <w:t>5</w:t>
            </w:r>
            <w:r>
              <w:rPr>
                <w:rFonts w:hint="eastAsia" w:ascii="宋体" w:hAnsi="宋体" w:eastAsia="宋体" w:cs="宋体"/>
                <w:color w:val="auto"/>
                <w:spacing w:val="-1"/>
                <w:sz w:val="21"/>
                <w:szCs w:val="21"/>
                <w:highlight w:val="none"/>
              </w:rPr>
              <w:t>00</w:t>
            </w:r>
            <w:r>
              <w:rPr>
                <w:rFonts w:hint="eastAsia" w:ascii="宋体" w:hAnsi="宋体" w:eastAsia="宋体" w:cs="宋体"/>
                <w:color w:val="auto"/>
                <w:spacing w:val="-2"/>
                <w:position w:val="-2"/>
                <w:sz w:val="21"/>
                <w:szCs w:val="21"/>
                <w:highlight w:val="none"/>
              </w:rPr>
              <w:t>Hz。</w:t>
            </w:r>
          </w:p>
          <w:p w14:paraId="0E60E542">
            <w:pPr>
              <w:spacing w:line="184" w:lineRule="auto"/>
              <w:ind w:left="13"/>
              <w:rPr>
                <w:rFonts w:hint="eastAsia" w:ascii="宋体" w:hAnsi="宋体" w:eastAsia="宋体" w:cs="宋体"/>
                <w:color w:val="auto"/>
                <w:sz w:val="21"/>
                <w:szCs w:val="21"/>
                <w:highlight w:val="none"/>
              </w:rPr>
            </w:pPr>
            <w:r>
              <w:rPr>
                <w:rFonts w:hint="eastAsia" w:ascii="宋体" w:hAnsi="宋体" w:eastAsia="宋体" w:cs="宋体"/>
                <w:color w:val="auto"/>
                <w:spacing w:val="12"/>
                <w:sz w:val="21"/>
                <w:szCs w:val="21"/>
                <w:highlight w:val="none"/>
              </w:rPr>
              <w:t>2、额定阻抗：4Ω。</w:t>
            </w:r>
          </w:p>
          <w:p w14:paraId="53789AF0">
            <w:pPr>
              <w:spacing w:before="1" w:line="190" w:lineRule="auto"/>
              <w:ind w:left="13" w:right="174"/>
              <w:rPr>
                <w:rFonts w:hint="eastAsia" w:ascii="宋体" w:hAnsi="宋体" w:eastAsia="宋体" w:cs="宋体"/>
                <w:color w:val="auto"/>
                <w:sz w:val="21"/>
                <w:szCs w:val="21"/>
                <w:highlight w:val="none"/>
              </w:rPr>
            </w:pPr>
            <w:r>
              <w:rPr>
                <w:rFonts w:hint="eastAsia" w:ascii="宋体" w:hAnsi="宋体" w:eastAsia="宋体" w:cs="宋体"/>
                <w:color w:val="auto"/>
                <w:spacing w:val="13"/>
                <w:sz w:val="21"/>
                <w:szCs w:val="21"/>
                <w:highlight w:val="none"/>
              </w:rPr>
              <w:t>3、额定功率(</w:t>
            </w:r>
            <w:r>
              <w:rPr>
                <w:rFonts w:hint="eastAsia" w:ascii="宋体" w:hAnsi="宋体" w:eastAsia="宋体" w:cs="宋体"/>
                <w:color w:val="auto"/>
                <w:sz w:val="21"/>
                <w:szCs w:val="21"/>
                <w:highlight w:val="none"/>
              </w:rPr>
              <w:t xml:space="preserve">AES </w:t>
            </w:r>
            <w:r>
              <w:rPr>
                <w:rFonts w:hint="eastAsia" w:ascii="宋体" w:hAnsi="宋体" w:eastAsia="宋体" w:cs="宋体"/>
                <w:color w:val="auto"/>
                <w:spacing w:val="-1"/>
                <w:sz w:val="21"/>
                <w:szCs w:val="21"/>
                <w:highlight w:val="none"/>
              </w:rPr>
              <w:t>):≥</w:t>
            </w:r>
            <w:r>
              <w:rPr>
                <w:rFonts w:hint="eastAsia" w:ascii="宋体" w:hAnsi="宋体" w:cs="宋体"/>
                <w:color w:val="auto"/>
                <w:spacing w:val="-1"/>
                <w:sz w:val="21"/>
                <w:szCs w:val="21"/>
                <w:highlight w:val="none"/>
                <w:lang w:val="en-US" w:eastAsia="zh-CN"/>
              </w:rPr>
              <w:t>16</w:t>
            </w:r>
            <w:r>
              <w:rPr>
                <w:rFonts w:hint="eastAsia" w:ascii="宋体" w:hAnsi="宋体" w:eastAsia="宋体" w:cs="宋体"/>
                <w:color w:val="auto"/>
                <w:spacing w:val="-1"/>
                <w:sz w:val="21"/>
                <w:szCs w:val="21"/>
                <w:highlight w:val="none"/>
              </w:rPr>
              <w:t>00W。</w:t>
            </w:r>
          </w:p>
          <w:p w14:paraId="61379F20">
            <w:pPr>
              <w:spacing w:before="1" w:line="195" w:lineRule="auto"/>
              <w:ind w:left="13" w:right="87"/>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4、灵敏度：≥</w:t>
            </w:r>
            <w:r>
              <w:rPr>
                <w:rFonts w:hint="eastAsia" w:ascii="宋体" w:hAnsi="宋体" w:eastAsia="宋体" w:cs="宋体"/>
                <w:color w:val="auto"/>
                <w:spacing w:val="9"/>
                <w:sz w:val="21"/>
                <w:szCs w:val="21"/>
                <w:highlight w:val="none"/>
              </w:rPr>
              <w:t>104</w:t>
            </w:r>
            <w:r>
              <w:rPr>
                <w:rFonts w:hint="eastAsia" w:ascii="宋体" w:hAnsi="宋体" w:eastAsia="宋体" w:cs="宋体"/>
                <w:color w:val="auto"/>
                <w:spacing w:val="4"/>
                <w:sz w:val="21"/>
                <w:szCs w:val="21"/>
                <w:highlight w:val="none"/>
              </w:rPr>
              <w:t xml:space="preserve"> </w:t>
            </w:r>
            <w:r>
              <w:rPr>
                <w:rFonts w:hint="eastAsia" w:ascii="宋体" w:hAnsi="宋体" w:eastAsia="宋体" w:cs="宋体"/>
                <w:color w:val="auto"/>
                <w:spacing w:val="-3"/>
                <w:sz w:val="21"/>
                <w:szCs w:val="21"/>
                <w:highlight w:val="none"/>
              </w:rPr>
              <w:t>dB。</w:t>
            </w:r>
          </w:p>
          <w:p w14:paraId="58EAE509">
            <w:pPr>
              <w:spacing w:before="1" w:line="195" w:lineRule="auto"/>
              <w:ind w:left="13"/>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5、最大声压级：≥</w:t>
            </w:r>
            <w:r>
              <w:rPr>
                <w:rFonts w:hint="eastAsia" w:ascii="宋体" w:hAnsi="宋体" w:eastAsia="宋体" w:cs="宋体"/>
                <w:color w:val="auto"/>
                <w:spacing w:val="5"/>
                <w:sz w:val="21"/>
                <w:szCs w:val="21"/>
                <w:highlight w:val="none"/>
              </w:rPr>
              <w:t xml:space="preserve"> </w:t>
            </w:r>
            <w:r>
              <w:rPr>
                <w:rFonts w:hint="eastAsia" w:ascii="宋体" w:hAnsi="宋体" w:eastAsia="宋体" w:cs="宋体"/>
                <w:color w:val="auto"/>
                <w:spacing w:val="-3"/>
                <w:sz w:val="21"/>
                <w:szCs w:val="21"/>
                <w:highlight w:val="none"/>
              </w:rPr>
              <w:t>136</w:t>
            </w:r>
            <w:r>
              <w:rPr>
                <w:rFonts w:hint="eastAsia" w:ascii="宋体" w:hAnsi="宋体" w:eastAsia="宋体" w:cs="宋体"/>
                <w:color w:val="auto"/>
                <w:spacing w:val="-3"/>
                <w:sz w:val="21"/>
                <w:szCs w:val="21"/>
                <w:highlight w:val="none"/>
              </w:rPr>
              <w:t>dB。</w:t>
            </w:r>
          </w:p>
          <w:p w14:paraId="5D94F2D8">
            <w:pPr>
              <w:spacing w:before="2" w:line="189" w:lineRule="auto"/>
              <w:ind w:left="13" w:firstLine="9"/>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6、低音单元配置：18</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3"/>
                <w:sz w:val="21"/>
                <w:szCs w:val="21"/>
                <w:highlight w:val="none"/>
              </w:rPr>
              <w:t>"×2。</w:t>
            </w:r>
          </w:p>
          <w:p w14:paraId="129F1599">
            <w:pPr>
              <w:spacing w:before="1" w:line="199" w:lineRule="auto"/>
              <w:ind w:left="13" w:right="20"/>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(含所需线</w:t>
            </w:r>
            <w:r>
              <w:rPr>
                <w:rFonts w:hint="eastAsia" w:ascii="宋体" w:hAnsi="宋体" w:eastAsia="宋体" w:cs="宋体"/>
                <w:color w:val="auto"/>
                <w:spacing w:val="10"/>
                <w:sz w:val="21"/>
                <w:szCs w:val="21"/>
                <w:highlight w:val="none"/>
              </w:rPr>
              <w:t>材，吊</w:t>
            </w:r>
            <w:r>
              <w:rPr>
                <w:rFonts w:hint="eastAsia" w:ascii="宋体" w:hAnsi="宋体" w:eastAsia="宋体" w:cs="宋体"/>
                <w:color w:val="auto"/>
                <w:spacing w:val="10"/>
                <w:sz w:val="21"/>
                <w:szCs w:val="21"/>
                <w:highlight w:val="none"/>
              </w:rPr>
              <w:t>架、备件、</w:t>
            </w:r>
            <w:r>
              <w:rPr>
                <w:rFonts w:hint="eastAsia" w:ascii="宋体" w:hAnsi="宋体" w:eastAsia="宋体" w:cs="宋体"/>
                <w:color w:val="auto"/>
                <w:spacing w:val="3"/>
                <w:sz w:val="21"/>
                <w:szCs w:val="21"/>
                <w:highlight w:val="none"/>
              </w:rPr>
              <w:t>旧设备拆除，配套</w:t>
            </w:r>
            <w:r>
              <w:rPr>
                <w:rFonts w:hint="eastAsia" w:ascii="宋体" w:hAnsi="宋体" w:eastAsia="宋体" w:cs="宋体"/>
                <w:color w:val="auto"/>
                <w:spacing w:val="-6"/>
                <w:sz w:val="21"/>
                <w:szCs w:val="21"/>
                <w:highlight w:val="none"/>
              </w:rPr>
              <w:t>的改造装修费用</w:t>
            </w:r>
            <w:r>
              <w:rPr>
                <w:rFonts w:hint="eastAsia" w:ascii="宋体" w:hAnsi="宋体" w:eastAsia="宋体" w:cs="宋体"/>
                <w:color w:val="auto"/>
                <w:sz w:val="21"/>
                <w:szCs w:val="21"/>
                <w:highlight w:val="none"/>
              </w:rPr>
              <w:t>)</w:t>
            </w:r>
          </w:p>
        </w:tc>
        <w:tc>
          <w:tcPr>
            <w:tcW w:w="718" w:type="dxa"/>
            <w:shd w:val="clear" w:color="auto" w:fill="auto"/>
            <w:vAlign w:val="center"/>
          </w:tcPr>
          <w:p w14:paraId="0FACE7AD">
            <w:pPr>
              <w:spacing w:before="55" w:line="219"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4个</w:t>
            </w:r>
          </w:p>
        </w:tc>
        <w:tc>
          <w:tcPr>
            <w:tcW w:w="706" w:type="dxa"/>
            <w:shd w:val="clear" w:color="auto" w:fill="auto"/>
            <w:vAlign w:val="center"/>
          </w:tcPr>
          <w:p w14:paraId="4D52D1FA">
            <w:pPr>
              <w:spacing w:before="55" w:line="219"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lang w:val="en-US" w:eastAsia="zh-CN"/>
              </w:rPr>
              <w:t>工业</w:t>
            </w:r>
          </w:p>
        </w:tc>
      </w:tr>
      <w:tr w14:paraId="16836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5" w:type="dxa"/>
            <w:vAlign w:val="center"/>
          </w:tcPr>
          <w:p w14:paraId="31073EEE">
            <w:pPr>
              <w:keepLines/>
              <w:widowControl/>
              <w:wordWrap w:val="0"/>
              <w:topLinePun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756" w:type="dxa"/>
            <w:shd w:val="clear" w:color="auto" w:fill="auto"/>
            <w:vAlign w:val="center"/>
          </w:tcPr>
          <w:p w14:paraId="64158108">
            <w:pPr>
              <w:spacing w:before="56" w:line="220" w:lineRule="auto"/>
              <w:ind w:left="2"/>
              <w:jc w:val="center"/>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舞台返听音响</w:t>
            </w:r>
          </w:p>
        </w:tc>
        <w:tc>
          <w:tcPr>
            <w:tcW w:w="6814" w:type="dxa"/>
            <w:shd w:val="clear" w:color="auto" w:fill="auto"/>
          </w:tcPr>
          <w:p w14:paraId="58640614">
            <w:pPr>
              <w:spacing w:before="55" w:line="191" w:lineRule="auto"/>
              <w:ind w:left="13" w:right="11" w:firstLine="9"/>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1、频率响应：≤</w:t>
            </w:r>
            <w:r>
              <w:rPr>
                <w:rFonts w:hint="eastAsia" w:ascii="宋体" w:hAnsi="宋体" w:cs="宋体"/>
                <w:color w:val="auto"/>
                <w:spacing w:val="-1"/>
                <w:sz w:val="21"/>
                <w:szCs w:val="21"/>
                <w:highlight w:val="none"/>
                <w:lang w:val="en-US" w:eastAsia="zh-CN"/>
              </w:rPr>
              <w:t>55</w:t>
            </w:r>
            <w:r>
              <w:rPr>
                <w:rFonts w:hint="eastAsia" w:ascii="宋体" w:hAnsi="宋体" w:eastAsia="宋体" w:cs="宋体"/>
                <w:color w:val="auto"/>
                <w:spacing w:val="-1"/>
                <w:sz w:val="21"/>
                <w:szCs w:val="21"/>
                <w:highlight w:val="none"/>
              </w:rPr>
              <w:t>Hz</w:t>
            </w:r>
            <w:r>
              <w:rPr>
                <w:rFonts w:hint="eastAsia" w:ascii="宋体" w:hAnsi="宋体" w:eastAsia="宋体" w:cs="宋体"/>
                <w:color w:val="auto"/>
                <w:spacing w:val="1"/>
                <w:sz w:val="21"/>
                <w:szCs w:val="21"/>
                <w:highlight w:val="none"/>
              </w:rPr>
              <w:t xml:space="preserve"> </w:t>
            </w:r>
            <w:r>
              <w:rPr>
                <w:rFonts w:hint="eastAsia" w:ascii="宋体" w:hAnsi="宋体" w:eastAsia="宋体" w:cs="宋体"/>
                <w:color w:val="auto"/>
                <w:spacing w:val="-1"/>
                <w:sz w:val="21"/>
                <w:szCs w:val="21"/>
                <w:highlight w:val="none"/>
              </w:rPr>
              <w:t>-≥</w:t>
            </w:r>
            <w:r>
              <w:rPr>
                <w:rFonts w:hint="eastAsia" w:ascii="宋体" w:hAnsi="宋体" w:cs="宋体"/>
                <w:color w:val="auto"/>
                <w:spacing w:val="-1"/>
                <w:sz w:val="21"/>
                <w:szCs w:val="21"/>
                <w:highlight w:val="none"/>
                <w:lang w:val="en-US" w:eastAsia="zh-CN"/>
              </w:rPr>
              <w:t>20</w:t>
            </w:r>
            <w:r>
              <w:rPr>
                <w:rFonts w:hint="eastAsia" w:ascii="宋体" w:hAnsi="宋体" w:eastAsia="宋体" w:cs="宋体"/>
                <w:color w:val="auto"/>
                <w:spacing w:val="-1"/>
                <w:sz w:val="21"/>
                <w:szCs w:val="21"/>
                <w:highlight w:val="none"/>
              </w:rPr>
              <w:t>KHz。</w:t>
            </w:r>
          </w:p>
          <w:p w14:paraId="12E7F9C6">
            <w:pPr>
              <w:spacing w:line="220" w:lineRule="auto"/>
              <w:ind w:left="13"/>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2、指向性：</w:t>
            </w:r>
            <w:r>
              <w:rPr>
                <w:rFonts w:hint="eastAsia" w:ascii="宋体" w:hAnsi="宋体" w:eastAsia="宋体" w:cs="宋体"/>
                <w:color w:val="auto"/>
                <w:spacing w:val="-1"/>
                <w:sz w:val="21"/>
                <w:szCs w:val="21"/>
                <w:highlight w:val="none"/>
              </w:rPr>
              <w:t>90°</w:t>
            </w:r>
            <w:r>
              <w:rPr>
                <w:rFonts w:hint="eastAsia" w:ascii="宋体" w:hAnsi="宋体" w:eastAsia="宋体" w:cs="宋体"/>
                <w:color w:val="auto"/>
                <w:spacing w:val="-1"/>
                <w:sz w:val="21"/>
                <w:szCs w:val="21"/>
                <w:highlight w:val="none"/>
              </w:rPr>
              <w:t>×</w:t>
            </w:r>
            <w:r>
              <w:rPr>
                <w:rFonts w:hint="eastAsia" w:ascii="宋体" w:hAnsi="宋体" w:cs="宋体"/>
                <w:color w:val="auto"/>
                <w:spacing w:val="-1"/>
                <w:sz w:val="21"/>
                <w:szCs w:val="21"/>
                <w:highlight w:val="none"/>
                <w:lang w:val="en-US" w:eastAsia="zh-CN"/>
              </w:rPr>
              <w:t>6</w:t>
            </w:r>
            <w:r>
              <w:rPr>
                <w:rFonts w:hint="eastAsia" w:ascii="宋体" w:hAnsi="宋体" w:eastAsia="宋体" w:cs="宋体"/>
                <w:color w:val="auto"/>
                <w:spacing w:val="-1"/>
                <w:sz w:val="21"/>
                <w:szCs w:val="21"/>
                <w:highlight w:val="none"/>
              </w:rPr>
              <w:t>0。</w:t>
            </w:r>
          </w:p>
          <w:p w14:paraId="65985C17">
            <w:pPr>
              <w:spacing w:line="194" w:lineRule="auto"/>
              <w:ind w:left="13"/>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3、额定阻抗：8Ω。</w:t>
            </w:r>
          </w:p>
          <w:p w14:paraId="627CD183">
            <w:pPr>
              <w:spacing w:before="1" w:line="196" w:lineRule="auto"/>
              <w:ind w:left="13" w:right="174"/>
              <w:rPr>
                <w:rFonts w:hint="eastAsia" w:ascii="宋体" w:hAnsi="宋体" w:eastAsia="宋体" w:cs="宋体"/>
                <w:color w:val="auto"/>
                <w:sz w:val="21"/>
                <w:szCs w:val="21"/>
                <w:highlight w:val="none"/>
              </w:rPr>
            </w:pPr>
            <w:r>
              <w:rPr>
                <w:rFonts w:hint="eastAsia" w:ascii="宋体" w:hAnsi="宋体" w:eastAsia="宋体" w:cs="宋体"/>
                <w:color w:val="auto"/>
                <w:spacing w:val="13"/>
                <w:sz w:val="21"/>
                <w:szCs w:val="21"/>
                <w:highlight w:val="none"/>
              </w:rPr>
              <w:t>4、额定功率(</w:t>
            </w:r>
            <w:r>
              <w:rPr>
                <w:rFonts w:hint="eastAsia" w:ascii="宋体" w:hAnsi="宋体" w:eastAsia="宋体" w:cs="宋体"/>
                <w:color w:val="auto"/>
                <w:sz w:val="21"/>
                <w:szCs w:val="21"/>
                <w:highlight w:val="none"/>
              </w:rPr>
              <w:t xml:space="preserve">AES </w:t>
            </w:r>
            <w:r>
              <w:rPr>
                <w:rFonts w:hint="eastAsia" w:ascii="宋体" w:hAnsi="宋体" w:eastAsia="宋体" w:cs="宋体"/>
                <w:color w:val="auto"/>
                <w:spacing w:val="-1"/>
                <w:sz w:val="21"/>
                <w:szCs w:val="21"/>
                <w:highlight w:val="none"/>
              </w:rPr>
              <w:t>):≥</w:t>
            </w:r>
            <w:r>
              <w:rPr>
                <w:rFonts w:hint="eastAsia" w:ascii="宋体" w:hAnsi="宋体" w:cs="宋体"/>
                <w:color w:val="auto"/>
                <w:spacing w:val="-1"/>
                <w:sz w:val="21"/>
                <w:szCs w:val="21"/>
                <w:highlight w:val="none"/>
                <w:lang w:val="en-US" w:eastAsia="zh-CN"/>
              </w:rPr>
              <w:t>45</w:t>
            </w:r>
            <w:r>
              <w:rPr>
                <w:rFonts w:hint="eastAsia" w:ascii="宋体" w:hAnsi="宋体" w:eastAsia="宋体" w:cs="宋体"/>
                <w:color w:val="auto"/>
                <w:spacing w:val="-1"/>
                <w:sz w:val="21"/>
                <w:szCs w:val="21"/>
                <w:highlight w:val="none"/>
              </w:rPr>
              <w:t>0W。</w:t>
            </w:r>
          </w:p>
          <w:p w14:paraId="4EC7D8F8">
            <w:pPr>
              <w:spacing w:line="219" w:lineRule="auto"/>
              <w:ind w:left="13"/>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5、★灵敏度：≥99dB。</w:t>
            </w:r>
          </w:p>
          <w:p w14:paraId="1D48D036">
            <w:pPr>
              <w:spacing w:line="219" w:lineRule="auto"/>
              <w:ind w:left="13"/>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6、最大声压级：≥</w:t>
            </w:r>
            <w:r>
              <w:rPr>
                <w:rFonts w:hint="eastAsia" w:ascii="宋体" w:hAnsi="宋体" w:eastAsia="宋体" w:cs="宋体"/>
                <w:color w:val="auto"/>
                <w:spacing w:val="5"/>
                <w:sz w:val="21"/>
                <w:szCs w:val="21"/>
                <w:highlight w:val="none"/>
              </w:rPr>
              <w:t xml:space="preserve"> </w:t>
            </w:r>
            <w:r>
              <w:rPr>
                <w:rFonts w:hint="eastAsia" w:ascii="宋体" w:hAnsi="宋体" w:cs="宋体"/>
                <w:color w:val="auto"/>
                <w:spacing w:val="-3"/>
                <w:sz w:val="21"/>
                <w:szCs w:val="21"/>
                <w:highlight w:val="none"/>
                <w:lang w:val="en-US" w:eastAsia="zh-CN"/>
              </w:rPr>
              <w:t>128</w:t>
            </w:r>
            <w:r>
              <w:rPr>
                <w:rFonts w:hint="eastAsia" w:ascii="宋体" w:hAnsi="宋体" w:eastAsia="宋体" w:cs="宋体"/>
                <w:color w:val="auto"/>
                <w:spacing w:val="-3"/>
                <w:sz w:val="21"/>
                <w:szCs w:val="21"/>
                <w:highlight w:val="none"/>
              </w:rPr>
              <w:t>dB。</w:t>
            </w:r>
          </w:p>
          <w:p w14:paraId="0C00CE31">
            <w:pPr>
              <w:spacing w:line="195" w:lineRule="auto"/>
              <w:ind w:left="13" w:right="20"/>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7、低音单元配置：12</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3"/>
                <w:sz w:val="21"/>
                <w:szCs w:val="21"/>
                <w:highlight w:val="none"/>
              </w:rPr>
              <w:t>"×1。</w:t>
            </w:r>
          </w:p>
          <w:p w14:paraId="4A566EEE">
            <w:pPr>
              <w:spacing w:before="1" w:line="195" w:lineRule="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8、高频单元配置：</w:t>
            </w:r>
            <w:r>
              <w:rPr>
                <w:rFonts w:hint="eastAsia" w:ascii="宋体" w:hAnsi="宋体" w:cs="宋体"/>
                <w:color w:val="auto"/>
                <w:spacing w:val="1"/>
                <w:sz w:val="21"/>
                <w:szCs w:val="21"/>
                <w:highlight w:val="none"/>
                <w:lang w:val="en-US" w:eastAsia="zh-CN"/>
              </w:rPr>
              <w:t>3</w:t>
            </w:r>
            <w:r>
              <w:rPr>
                <w:rFonts w:hint="eastAsia" w:ascii="宋体" w:hAnsi="宋体" w:eastAsia="宋体" w:cs="宋体"/>
                <w:color w:val="auto"/>
                <w:spacing w:val="1"/>
                <w:sz w:val="21"/>
                <w:szCs w:val="21"/>
                <w:highlight w:val="none"/>
              </w:rPr>
              <w:t>"</w:t>
            </w:r>
            <w:r>
              <w:rPr>
                <w:rFonts w:hint="eastAsia" w:ascii="宋体" w:hAnsi="宋体" w:eastAsia="宋体" w:cs="宋体"/>
                <w:color w:val="auto"/>
                <w:spacing w:val="4"/>
                <w:sz w:val="21"/>
                <w:szCs w:val="21"/>
                <w:highlight w:val="none"/>
              </w:rPr>
              <w:t xml:space="preserve"> </w:t>
            </w:r>
            <w:r>
              <w:rPr>
                <w:rFonts w:hint="eastAsia" w:ascii="宋体" w:hAnsi="宋体" w:eastAsia="宋体" w:cs="宋体"/>
                <w:color w:val="auto"/>
                <w:spacing w:val="-8"/>
                <w:sz w:val="21"/>
                <w:szCs w:val="21"/>
                <w:highlight w:val="none"/>
              </w:rPr>
              <w:t>×1。</w:t>
            </w:r>
          </w:p>
          <w:p w14:paraId="696A98E2">
            <w:pPr>
              <w:spacing w:before="1" w:line="196" w:lineRule="auto"/>
              <w:ind w:left="13" w:firstLine="9"/>
              <w:rPr>
                <w:rFonts w:hint="eastAsia" w:ascii="宋体" w:hAnsi="宋体" w:eastAsia="宋体" w:cs="宋体"/>
                <w:color w:val="auto"/>
                <w:spacing w:val="2"/>
                <w:sz w:val="21"/>
                <w:szCs w:val="21"/>
                <w:highlight w:val="none"/>
              </w:rPr>
            </w:pPr>
            <w:r>
              <w:rPr>
                <w:rFonts w:hint="eastAsia" w:ascii="宋体" w:hAnsi="宋体" w:eastAsia="宋体" w:cs="宋体"/>
                <w:color w:val="auto"/>
                <w:sz w:val="21"/>
                <w:szCs w:val="21"/>
                <w:highlight w:val="none"/>
                <w:lang w:val="en-US" w:eastAsia="zh-CN"/>
              </w:rPr>
              <w:t>以上带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的要求</w:t>
            </w:r>
            <w:r>
              <w:rPr>
                <w:rFonts w:hint="eastAsia" w:ascii="宋体" w:hAnsi="宋体" w:eastAsia="宋体" w:cs="宋体"/>
                <w:color w:val="auto"/>
                <w:sz w:val="21"/>
                <w:szCs w:val="21"/>
                <w:highlight w:val="none"/>
              </w:rPr>
              <w:t>提供第三方检测机构出具的CNAS</w:t>
            </w:r>
            <w:r>
              <w:rPr>
                <w:rFonts w:hint="eastAsia" w:ascii="宋体" w:hAnsi="宋体" w:eastAsia="宋体" w:cs="宋体"/>
                <w:color w:val="auto"/>
                <w:sz w:val="21"/>
                <w:szCs w:val="21"/>
                <w:highlight w:val="none"/>
                <w:lang w:val="en-US" w:eastAsia="zh-CN"/>
              </w:rPr>
              <w:t>标识或</w:t>
            </w:r>
            <w:r>
              <w:rPr>
                <w:rFonts w:hint="eastAsia" w:ascii="宋体" w:hAnsi="宋体" w:eastAsia="宋体" w:cs="宋体"/>
                <w:color w:val="auto"/>
                <w:sz w:val="21"/>
                <w:szCs w:val="21"/>
                <w:highlight w:val="none"/>
              </w:rPr>
              <w:t>CMA</w:t>
            </w:r>
            <w:r>
              <w:rPr>
                <w:rFonts w:hint="eastAsia" w:ascii="宋体" w:hAnsi="宋体" w:eastAsia="宋体" w:cs="宋体"/>
                <w:color w:val="auto"/>
                <w:sz w:val="21"/>
                <w:szCs w:val="21"/>
                <w:highlight w:val="none"/>
                <w:lang w:val="en-US" w:eastAsia="zh-CN"/>
              </w:rPr>
              <w:t>标识</w:t>
            </w:r>
            <w:r>
              <w:rPr>
                <w:rFonts w:hint="eastAsia" w:ascii="宋体" w:hAnsi="宋体" w:eastAsia="宋体" w:cs="宋体"/>
                <w:color w:val="auto"/>
                <w:sz w:val="21"/>
                <w:szCs w:val="21"/>
                <w:highlight w:val="none"/>
              </w:rPr>
              <w:t>的检测报告</w:t>
            </w:r>
            <w:r>
              <w:rPr>
                <w:rFonts w:hint="eastAsia" w:ascii="宋体" w:hAnsi="宋体" w:eastAsia="宋体" w:cs="宋体"/>
                <w:color w:val="auto"/>
                <w:sz w:val="21"/>
                <w:szCs w:val="21"/>
                <w:highlight w:val="none"/>
                <w:lang w:val="en-US" w:eastAsia="zh-CN"/>
              </w:rPr>
              <w:t>原件扫描件</w:t>
            </w:r>
            <w:r>
              <w:rPr>
                <w:rFonts w:hint="eastAsia" w:ascii="宋体" w:hAnsi="宋体" w:eastAsia="宋体" w:cs="宋体"/>
                <w:color w:val="auto"/>
                <w:sz w:val="21"/>
                <w:szCs w:val="21"/>
                <w:highlight w:val="none"/>
              </w:rPr>
              <w:t xml:space="preserve"> </w:t>
            </w:r>
          </w:p>
          <w:p w14:paraId="77B05B43">
            <w:pPr>
              <w:spacing w:before="1" w:line="196" w:lineRule="auto"/>
              <w:ind w:left="13" w:firstLine="9"/>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(含所需线</w:t>
            </w:r>
            <w:r>
              <w:rPr>
                <w:rFonts w:hint="eastAsia" w:ascii="宋体" w:hAnsi="宋体" w:eastAsia="宋体" w:cs="宋体"/>
                <w:color w:val="auto"/>
                <w:spacing w:val="10"/>
                <w:sz w:val="21"/>
                <w:szCs w:val="21"/>
                <w:highlight w:val="none"/>
              </w:rPr>
              <w:t>材，吊</w:t>
            </w:r>
            <w:r>
              <w:rPr>
                <w:rFonts w:hint="eastAsia" w:ascii="宋体" w:hAnsi="宋体" w:eastAsia="宋体" w:cs="宋体"/>
                <w:color w:val="auto"/>
                <w:spacing w:val="10"/>
                <w:sz w:val="21"/>
                <w:szCs w:val="21"/>
                <w:highlight w:val="none"/>
              </w:rPr>
              <w:t>架、备件、</w:t>
            </w:r>
            <w:r>
              <w:rPr>
                <w:rFonts w:hint="eastAsia" w:ascii="宋体" w:hAnsi="宋体" w:eastAsia="宋体" w:cs="宋体"/>
                <w:color w:val="auto"/>
                <w:spacing w:val="3"/>
                <w:sz w:val="21"/>
                <w:szCs w:val="21"/>
                <w:highlight w:val="none"/>
              </w:rPr>
              <w:t>旧设备拆除，配套</w:t>
            </w:r>
            <w:r>
              <w:rPr>
                <w:rFonts w:hint="eastAsia" w:ascii="宋体" w:hAnsi="宋体" w:eastAsia="宋体" w:cs="宋体"/>
                <w:color w:val="auto"/>
                <w:spacing w:val="-6"/>
                <w:sz w:val="21"/>
                <w:szCs w:val="21"/>
                <w:highlight w:val="none"/>
              </w:rPr>
              <w:t>的改造装修费用</w:t>
            </w:r>
            <w:r>
              <w:rPr>
                <w:rFonts w:hint="eastAsia" w:ascii="宋体" w:hAnsi="宋体" w:eastAsia="宋体" w:cs="宋体"/>
                <w:color w:val="auto"/>
                <w:sz w:val="21"/>
                <w:szCs w:val="21"/>
                <w:highlight w:val="none"/>
              </w:rPr>
              <w:t>)</w:t>
            </w:r>
          </w:p>
        </w:tc>
        <w:tc>
          <w:tcPr>
            <w:tcW w:w="718" w:type="dxa"/>
            <w:shd w:val="clear" w:color="auto" w:fill="auto"/>
            <w:vAlign w:val="center"/>
          </w:tcPr>
          <w:p w14:paraId="4A1C81B1">
            <w:pPr>
              <w:spacing w:before="55" w:line="219"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4</w:t>
            </w:r>
            <w:r>
              <w:rPr>
                <w:rFonts w:hint="eastAsia" w:ascii="宋体" w:hAnsi="宋体" w:eastAsia="宋体" w:cs="宋体"/>
                <w:color w:val="auto"/>
                <w:sz w:val="21"/>
                <w:szCs w:val="21"/>
                <w:highlight w:val="none"/>
              </w:rPr>
              <w:t>个</w:t>
            </w:r>
          </w:p>
        </w:tc>
        <w:tc>
          <w:tcPr>
            <w:tcW w:w="706" w:type="dxa"/>
            <w:shd w:val="clear" w:color="auto" w:fill="auto"/>
            <w:vAlign w:val="center"/>
          </w:tcPr>
          <w:p w14:paraId="3EB225F9">
            <w:pPr>
              <w:spacing w:before="55" w:line="219" w:lineRule="auto"/>
              <w:jc w:val="center"/>
              <w:rPr>
                <w:rFonts w:hint="eastAsia" w:ascii="宋体" w:hAnsi="宋体" w:eastAsia="宋体" w:cs="宋体"/>
                <w:color w:val="auto"/>
                <w:spacing w:val="-6"/>
                <w:sz w:val="21"/>
                <w:szCs w:val="21"/>
                <w:highlight w:val="none"/>
              </w:rPr>
            </w:pPr>
            <w:r>
              <w:rPr>
                <w:rFonts w:hint="eastAsia" w:ascii="宋体" w:hAnsi="宋体" w:eastAsia="宋体" w:cs="宋体"/>
                <w:color w:val="auto"/>
                <w:spacing w:val="-5"/>
                <w:sz w:val="21"/>
                <w:szCs w:val="21"/>
                <w:highlight w:val="none"/>
                <w:lang w:val="en-US" w:eastAsia="zh-CN"/>
              </w:rPr>
              <w:t>工业</w:t>
            </w:r>
          </w:p>
        </w:tc>
      </w:tr>
      <w:tr w14:paraId="13218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7" w:hRule="atLeast"/>
          <w:jc w:val="center"/>
        </w:trPr>
        <w:tc>
          <w:tcPr>
            <w:tcW w:w="475" w:type="dxa"/>
            <w:vAlign w:val="center"/>
          </w:tcPr>
          <w:p w14:paraId="7E023D0F">
            <w:pPr>
              <w:keepLines/>
              <w:widowControl/>
              <w:wordWrap w:val="0"/>
              <w:topLinePun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756" w:type="dxa"/>
            <w:shd w:val="clear" w:color="auto" w:fill="auto"/>
            <w:vAlign w:val="center"/>
          </w:tcPr>
          <w:p w14:paraId="386AA111">
            <w:pPr>
              <w:spacing w:before="59" w:line="209" w:lineRule="auto"/>
              <w:ind w:left="11" w:right="3"/>
              <w:jc w:val="center"/>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4通道线阵音箱专</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rPr>
              <w:t>业功放</w:t>
            </w:r>
          </w:p>
        </w:tc>
        <w:tc>
          <w:tcPr>
            <w:tcW w:w="6814" w:type="dxa"/>
            <w:shd w:val="clear" w:color="auto" w:fill="auto"/>
          </w:tcPr>
          <w:p w14:paraId="6A6437BC">
            <w:pPr>
              <w:spacing w:before="49" w:line="222" w:lineRule="auto"/>
              <w:ind w:left="32" w:right="224"/>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1、高效率功放D类线路设计。</w:t>
            </w:r>
          </w:p>
          <w:p w14:paraId="38EAF56D">
            <w:pPr>
              <w:spacing w:line="210" w:lineRule="auto"/>
              <w:ind w:right="199"/>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2、输出功率：8Ω</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3"/>
                <w:sz w:val="21"/>
                <w:szCs w:val="21"/>
                <w:highlight w:val="none"/>
              </w:rPr>
              <w:t>:≥</w:t>
            </w:r>
            <w:r>
              <w:rPr>
                <w:rFonts w:hint="eastAsia" w:ascii="宋体" w:hAnsi="宋体" w:eastAsia="宋体" w:cs="宋体"/>
                <w:color w:val="auto"/>
                <w:spacing w:val="-3"/>
                <w:sz w:val="21"/>
                <w:szCs w:val="21"/>
                <w:highlight w:val="none"/>
              </w:rPr>
              <w:t>1000W</w:t>
            </w:r>
            <w:r>
              <w:rPr>
                <w:rFonts w:hint="eastAsia" w:ascii="宋体" w:hAnsi="宋体" w:eastAsia="宋体" w:cs="宋体"/>
                <w:color w:val="auto"/>
                <w:spacing w:val="-3"/>
                <w:sz w:val="21"/>
                <w:szCs w:val="21"/>
                <w:highlight w:val="none"/>
              </w:rPr>
              <w:t>×4；4Ω</w:t>
            </w:r>
            <w:r>
              <w:rPr>
                <w:rFonts w:hint="eastAsia" w:ascii="宋体" w:hAnsi="宋体" w:eastAsia="宋体" w:cs="宋体"/>
                <w:color w:val="auto"/>
                <w:spacing w:val="-4"/>
                <w:sz w:val="21"/>
                <w:szCs w:val="21"/>
                <w:highlight w:val="none"/>
              </w:rPr>
              <w:t>:≥</w:t>
            </w:r>
            <w:r>
              <w:rPr>
                <w:rFonts w:hint="eastAsia" w:ascii="宋体" w:hAnsi="宋体" w:eastAsia="宋体" w:cs="宋体"/>
                <w:color w:val="auto"/>
                <w:spacing w:val="-4"/>
                <w:sz w:val="21"/>
                <w:szCs w:val="21"/>
                <w:highlight w:val="none"/>
              </w:rPr>
              <w:t>1900W</w:t>
            </w:r>
            <w:r>
              <w:rPr>
                <w:rFonts w:hint="eastAsia" w:ascii="宋体" w:hAnsi="宋体" w:eastAsia="宋体" w:cs="宋体"/>
                <w:color w:val="auto"/>
                <w:spacing w:val="-3"/>
                <w:sz w:val="21"/>
                <w:szCs w:val="21"/>
                <w:highlight w:val="none"/>
              </w:rPr>
              <w:t>×</w:t>
            </w:r>
            <w:r>
              <w:rPr>
                <w:rFonts w:hint="eastAsia" w:ascii="宋体" w:hAnsi="宋体" w:eastAsia="宋体" w:cs="宋体"/>
                <w:color w:val="auto"/>
                <w:spacing w:val="-4"/>
                <w:sz w:val="21"/>
                <w:szCs w:val="21"/>
                <w:highlight w:val="none"/>
              </w:rPr>
              <w:t>4。</w:t>
            </w:r>
          </w:p>
          <w:p w14:paraId="7F2DB122">
            <w:pPr>
              <w:spacing w:line="215" w:lineRule="auto"/>
              <w:ind w:left="32" w:right="181" w:hanging="9"/>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3、频率响应20Hz～20</w:t>
            </w:r>
            <w:r>
              <w:rPr>
                <w:rFonts w:hint="eastAsia" w:ascii="宋体" w:hAnsi="宋体" w:eastAsia="宋体" w:cs="宋体"/>
                <w:color w:val="auto"/>
                <w:spacing w:val="3"/>
                <w:sz w:val="21"/>
                <w:szCs w:val="21"/>
                <w:highlight w:val="none"/>
              </w:rPr>
              <w:t xml:space="preserve"> </w:t>
            </w:r>
            <w:r>
              <w:rPr>
                <w:rFonts w:hint="eastAsia" w:ascii="宋体" w:hAnsi="宋体" w:eastAsia="宋体" w:cs="宋体"/>
                <w:color w:val="auto"/>
                <w:spacing w:val="-3"/>
                <w:sz w:val="21"/>
                <w:szCs w:val="21"/>
                <w:highlight w:val="none"/>
              </w:rPr>
              <w:t>kHz</w:t>
            </w:r>
            <w:r>
              <w:rPr>
                <w:rFonts w:hint="eastAsia" w:ascii="宋体" w:hAnsi="宋体" w:eastAsia="宋体" w:cs="宋体"/>
                <w:color w:val="auto"/>
                <w:spacing w:val="62"/>
                <w:w w:val="101"/>
                <w:sz w:val="21"/>
                <w:szCs w:val="21"/>
                <w:highlight w:val="none"/>
              </w:rPr>
              <w:t xml:space="preserve"> </w:t>
            </w:r>
            <w:r>
              <w:rPr>
                <w:rFonts w:hint="eastAsia" w:ascii="宋体" w:hAnsi="宋体" w:eastAsia="宋体" w:cs="宋体"/>
                <w:color w:val="auto"/>
                <w:spacing w:val="-3"/>
                <w:sz w:val="21"/>
                <w:szCs w:val="21"/>
                <w:highlight w:val="none"/>
              </w:rPr>
              <w:t>±0.35dB。</w:t>
            </w:r>
          </w:p>
          <w:p w14:paraId="3555FDF3">
            <w:pPr>
              <w:spacing w:line="209" w:lineRule="auto"/>
              <w:ind w:left="32" w:right="57" w:hanging="20"/>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4、输</w:t>
            </w:r>
            <w:r>
              <w:rPr>
                <w:rFonts w:hint="eastAsia" w:ascii="宋体" w:hAnsi="宋体" w:eastAsia="宋体" w:cs="宋体"/>
                <w:color w:val="auto"/>
                <w:spacing w:val="-22"/>
                <w:sz w:val="21"/>
                <w:szCs w:val="21"/>
                <w:highlight w:val="none"/>
              </w:rPr>
              <w:t xml:space="preserve"> </w:t>
            </w:r>
            <w:r>
              <w:rPr>
                <w:rFonts w:hint="eastAsia" w:ascii="宋体" w:hAnsi="宋体" w:eastAsia="宋体" w:cs="宋体"/>
                <w:color w:val="auto"/>
                <w:spacing w:val="-9"/>
                <w:sz w:val="21"/>
                <w:szCs w:val="21"/>
                <w:highlight w:val="none"/>
              </w:rPr>
              <w:t>入</w:t>
            </w:r>
            <w:r>
              <w:rPr>
                <w:rFonts w:hint="eastAsia" w:ascii="宋体" w:hAnsi="宋体" w:eastAsia="宋体" w:cs="宋体"/>
                <w:color w:val="auto"/>
                <w:spacing w:val="-14"/>
                <w:sz w:val="21"/>
                <w:szCs w:val="21"/>
                <w:highlight w:val="none"/>
              </w:rPr>
              <w:t xml:space="preserve"> </w:t>
            </w:r>
            <w:r>
              <w:rPr>
                <w:rFonts w:hint="eastAsia" w:ascii="宋体" w:hAnsi="宋体" w:eastAsia="宋体" w:cs="宋体"/>
                <w:color w:val="auto"/>
                <w:spacing w:val="-9"/>
                <w:sz w:val="21"/>
                <w:szCs w:val="21"/>
                <w:highlight w:val="none"/>
              </w:rPr>
              <w:t>阻</w:t>
            </w:r>
            <w:r>
              <w:rPr>
                <w:rFonts w:hint="eastAsia" w:ascii="宋体" w:hAnsi="宋体" w:eastAsia="宋体" w:cs="宋体"/>
                <w:color w:val="auto"/>
                <w:spacing w:val="-25"/>
                <w:sz w:val="21"/>
                <w:szCs w:val="21"/>
                <w:highlight w:val="none"/>
              </w:rPr>
              <w:t xml:space="preserve"> </w:t>
            </w:r>
            <w:r>
              <w:rPr>
                <w:rFonts w:hint="eastAsia" w:ascii="宋体" w:hAnsi="宋体" w:eastAsia="宋体" w:cs="宋体"/>
                <w:color w:val="auto"/>
                <w:spacing w:val="-9"/>
                <w:sz w:val="21"/>
                <w:szCs w:val="21"/>
                <w:highlight w:val="none"/>
              </w:rPr>
              <w:t>抗</w:t>
            </w:r>
            <w:r>
              <w:rPr>
                <w:rFonts w:hint="eastAsia" w:ascii="宋体" w:hAnsi="宋体" w:eastAsia="宋体" w:cs="宋体"/>
                <w:color w:val="auto"/>
                <w:spacing w:val="-23"/>
                <w:sz w:val="21"/>
                <w:szCs w:val="21"/>
                <w:highlight w:val="none"/>
              </w:rPr>
              <w:t>9.5 K</w:t>
            </w:r>
            <w:r>
              <w:rPr>
                <w:rFonts w:hint="eastAsia" w:ascii="宋体" w:hAnsi="宋体" w:eastAsia="宋体" w:cs="宋体"/>
                <w:color w:val="auto"/>
                <w:spacing w:val="5"/>
                <w:sz w:val="21"/>
                <w:szCs w:val="21"/>
                <w:highlight w:val="none"/>
              </w:rPr>
              <w:t>Ω</w:t>
            </w:r>
            <w:r>
              <w:rPr>
                <w:rFonts w:hint="eastAsia" w:ascii="宋体" w:hAnsi="宋体" w:eastAsia="宋体" w:cs="宋体"/>
                <w:color w:val="auto"/>
                <w:spacing w:val="-9"/>
                <w:sz w:val="21"/>
                <w:szCs w:val="21"/>
                <w:highlight w:val="none"/>
              </w:rPr>
              <w:t>((</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1"/>
                <w:sz w:val="21"/>
                <w:szCs w:val="21"/>
                <w:highlight w:val="none"/>
              </w:rPr>
              <w:t>平</w:t>
            </w:r>
            <w:r>
              <w:rPr>
                <w:rFonts w:hint="eastAsia" w:ascii="宋体" w:hAnsi="宋体" w:eastAsia="宋体" w:cs="宋体"/>
                <w:color w:val="auto"/>
                <w:spacing w:val="-17"/>
                <w:sz w:val="21"/>
                <w:szCs w:val="21"/>
                <w:highlight w:val="none"/>
              </w:rPr>
              <w:t xml:space="preserve"> </w:t>
            </w:r>
            <w:r>
              <w:rPr>
                <w:rFonts w:hint="eastAsia" w:ascii="宋体" w:hAnsi="宋体" w:eastAsia="宋体" w:cs="宋体"/>
                <w:color w:val="auto"/>
                <w:spacing w:val="-11"/>
                <w:sz w:val="21"/>
                <w:szCs w:val="21"/>
                <w:highlight w:val="none"/>
              </w:rPr>
              <w:t>衡</w:t>
            </w:r>
            <w:r>
              <w:rPr>
                <w:rFonts w:hint="eastAsia" w:ascii="宋体" w:hAnsi="宋体" w:eastAsia="宋体" w:cs="宋体"/>
                <w:color w:val="auto"/>
                <w:spacing w:val="-20"/>
                <w:sz w:val="21"/>
                <w:szCs w:val="21"/>
                <w:highlight w:val="none"/>
              </w:rPr>
              <w:t xml:space="preserve"> </w:t>
            </w:r>
            <w:r>
              <w:rPr>
                <w:rFonts w:hint="eastAsia" w:ascii="宋体" w:hAnsi="宋体" w:eastAsia="宋体" w:cs="宋体"/>
                <w:color w:val="auto"/>
                <w:spacing w:val="-11"/>
                <w:sz w:val="21"/>
                <w:szCs w:val="21"/>
                <w:highlight w:val="none"/>
              </w:rPr>
              <w:t xml:space="preserve">) 、 4.75 </w:t>
            </w:r>
            <w:r>
              <w:rPr>
                <w:rFonts w:hint="eastAsia" w:ascii="宋体" w:hAnsi="宋体" w:eastAsia="宋体" w:cs="宋体"/>
                <w:color w:val="auto"/>
                <w:spacing w:val="-23"/>
                <w:sz w:val="21"/>
                <w:szCs w:val="21"/>
                <w:highlight w:val="none"/>
              </w:rPr>
              <w:t>K</w:t>
            </w:r>
            <w:r>
              <w:rPr>
                <w:rFonts w:hint="eastAsia" w:ascii="宋体" w:hAnsi="宋体" w:eastAsia="宋体" w:cs="宋体"/>
                <w:color w:val="auto"/>
                <w:spacing w:val="5"/>
                <w:sz w:val="21"/>
                <w:szCs w:val="21"/>
                <w:highlight w:val="none"/>
              </w:rPr>
              <w:t>Ω</w:t>
            </w:r>
            <w:r>
              <w:rPr>
                <w:rFonts w:hint="eastAsia" w:ascii="宋体" w:hAnsi="宋体" w:eastAsia="宋体" w:cs="宋体"/>
                <w:color w:val="auto"/>
                <w:spacing w:val="-9"/>
                <w:sz w:val="21"/>
                <w:szCs w:val="21"/>
                <w:highlight w:val="none"/>
              </w:rPr>
              <w:t>(</w:t>
            </w:r>
            <w:r>
              <w:rPr>
                <w:rFonts w:hint="eastAsia" w:ascii="宋体" w:hAnsi="宋体" w:eastAsia="宋体" w:cs="宋体"/>
                <w:color w:val="auto"/>
                <w:spacing w:val="-11"/>
                <w:sz w:val="21"/>
                <w:szCs w:val="21"/>
                <w:highlight w:val="none"/>
              </w:rPr>
              <w:t>(</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6"/>
                <w:sz w:val="21"/>
                <w:szCs w:val="21"/>
                <w:highlight w:val="none"/>
              </w:rPr>
              <w:t>不平</w:t>
            </w:r>
            <w:r>
              <w:rPr>
                <w:rFonts w:hint="eastAsia" w:ascii="宋体" w:hAnsi="宋体" w:eastAsia="宋体" w:cs="宋体"/>
                <w:color w:val="auto"/>
                <w:spacing w:val="-9"/>
                <w:sz w:val="21"/>
                <w:szCs w:val="21"/>
                <w:highlight w:val="none"/>
              </w:rPr>
              <w:t xml:space="preserve"> </w:t>
            </w:r>
            <w:r>
              <w:rPr>
                <w:rFonts w:hint="eastAsia" w:ascii="宋体" w:hAnsi="宋体" w:eastAsia="宋体" w:cs="宋体"/>
                <w:color w:val="auto"/>
                <w:spacing w:val="-6"/>
                <w:sz w:val="21"/>
                <w:szCs w:val="21"/>
                <w:highlight w:val="none"/>
              </w:rPr>
              <w:t>衡</w:t>
            </w:r>
            <w:r>
              <w:rPr>
                <w:rFonts w:hint="eastAsia" w:ascii="宋体" w:hAnsi="宋体" w:eastAsia="宋体" w:cs="宋体"/>
                <w:color w:val="auto"/>
                <w:spacing w:val="-9"/>
                <w:sz w:val="21"/>
                <w:szCs w:val="21"/>
                <w:highlight w:val="none"/>
              </w:rPr>
              <w:t xml:space="preserve"> </w:t>
            </w:r>
            <w:r>
              <w:rPr>
                <w:rFonts w:hint="eastAsia" w:ascii="宋体" w:hAnsi="宋体" w:eastAsia="宋体" w:cs="宋体"/>
                <w:color w:val="auto"/>
                <w:spacing w:val="-6"/>
                <w:sz w:val="21"/>
                <w:szCs w:val="21"/>
                <w:highlight w:val="none"/>
              </w:rPr>
              <w:t>)</w:t>
            </w:r>
            <w:r>
              <w:rPr>
                <w:rFonts w:hint="eastAsia" w:ascii="宋体" w:hAnsi="宋体" w:eastAsia="宋体" w:cs="宋体"/>
                <w:color w:val="auto"/>
                <w:spacing w:val="15"/>
                <w:sz w:val="21"/>
                <w:szCs w:val="21"/>
                <w:highlight w:val="none"/>
              </w:rPr>
              <w:t>。</w:t>
            </w:r>
          </w:p>
          <w:p w14:paraId="2E1D18CC">
            <w:pPr>
              <w:spacing w:before="11" w:line="219" w:lineRule="auto"/>
              <w:ind w:left="32"/>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5、输入灵敏度：1.4V。</w:t>
            </w:r>
          </w:p>
          <w:p w14:paraId="0785AD24">
            <w:pPr>
              <w:spacing w:before="11" w:line="219" w:lineRule="auto"/>
              <w:ind w:left="32"/>
              <w:rPr>
                <w:rFonts w:hint="eastAsia" w:ascii="宋体" w:hAnsi="宋体" w:eastAsia="宋体" w:cs="宋体"/>
                <w:color w:val="auto"/>
                <w:spacing w:val="-1"/>
                <w:sz w:val="21"/>
                <w:szCs w:val="21"/>
                <w:highlight w:val="none"/>
              </w:rPr>
            </w:pPr>
            <w:r>
              <w:rPr>
                <w:rFonts w:hint="eastAsia" w:ascii="宋体" w:hAnsi="宋体" w:cs="宋体"/>
                <w:color w:val="auto"/>
                <w:spacing w:val="-1"/>
                <w:sz w:val="21"/>
                <w:szCs w:val="21"/>
                <w:highlight w:val="none"/>
                <w:lang w:val="en-US" w:eastAsia="zh-CN"/>
              </w:rPr>
              <w:t>6、</w:t>
            </w:r>
            <w:r>
              <w:rPr>
                <w:rFonts w:hint="eastAsia" w:ascii="宋体" w:hAnsi="宋体" w:eastAsia="宋体" w:cs="宋体"/>
                <w:color w:val="auto"/>
                <w:spacing w:val="-1"/>
                <w:sz w:val="21"/>
                <w:szCs w:val="21"/>
                <w:highlight w:val="none"/>
              </w:rPr>
              <w:t>谐波失真THD&lt;1%</w:t>
            </w:r>
          </w:p>
          <w:p w14:paraId="29F4E353">
            <w:pPr>
              <w:spacing w:before="11" w:line="219" w:lineRule="auto"/>
              <w:ind w:left="32"/>
              <w:rPr>
                <w:rFonts w:hint="eastAsia" w:ascii="宋体" w:hAnsi="宋体" w:eastAsia="宋体" w:cs="宋体"/>
                <w:color w:val="auto"/>
                <w:spacing w:val="-1"/>
                <w:sz w:val="21"/>
                <w:szCs w:val="21"/>
                <w:highlight w:val="none"/>
              </w:rPr>
            </w:pPr>
            <w:r>
              <w:rPr>
                <w:rFonts w:hint="eastAsia" w:ascii="宋体" w:hAnsi="宋体" w:cs="宋体"/>
                <w:color w:val="auto"/>
                <w:spacing w:val="-1"/>
                <w:sz w:val="21"/>
                <w:szCs w:val="21"/>
                <w:highlight w:val="none"/>
                <w:lang w:val="en-US" w:eastAsia="zh-CN"/>
              </w:rPr>
              <w:t>7、</w:t>
            </w:r>
            <w:r>
              <w:rPr>
                <w:rFonts w:hint="eastAsia" w:ascii="宋体" w:hAnsi="宋体" w:eastAsia="宋体" w:cs="宋体"/>
                <w:color w:val="auto"/>
                <w:spacing w:val="-1"/>
                <w:sz w:val="21"/>
                <w:szCs w:val="21"/>
                <w:highlight w:val="none"/>
              </w:rPr>
              <w:t>信噪比≥98dB;</w:t>
            </w:r>
          </w:p>
          <w:p w14:paraId="62B8245B">
            <w:pPr>
              <w:spacing w:before="11" w:line="219" w:lineRule="auto"/>
              <w:ind w:left="32"/>
              <w:rPr>
                <w:rFonts w:hint="eastAsia" w:ascii="宋体" w:hAnsi="宋体" w:eastAsia="宋体" w:cs="宋体"/>
                <w:color w:val="auto"/>
                <w:spacing w:val="-1"/>
                <w:sz w:val="21"/>
                <w:szCs w:val="21"/>
                <w:highlight w:val="none"/>
              </w:rPr>
            </w:pPr>
            <w:r>
              <w:rPr>
                <w:rFonts w:hint="eastAsia" w:ascii="宋体" w:hAnsi="宋体" w:cs="宋体"/>
                <w:color w:val="auto"/>
                <w:spacing w:val="-1"/>
                <w:sz w:val="21"/>
                <w:szCs w:val="21"/>
                <w:highlight w:val="none"/>
                <w:lang w:val="en-US" w:eastAsia="zh-CN"/>
              </w:rPr>
              <w:t>8、</w:t>
            </w:r>
            <w:r>
              <w:rPr>
                <w:rFonts w:hint="eastAsia" w:ascii="宋体" w:hAnsi="宋体" w:eastAsia="宋体" w:cs="宋体"/>
                <w:color w:val="auto"/>
                <w:spacing w:val="-1"/>
                <w:sz w:val="21"/>
                <w:szCs w:val="21"/>
                <w:highlight w:val="none"/>
              </w:rPr>
              <w:t>阻尼系数&gt;250;</w:t>
            </w:r>
          </w:p>
          <w:p w14:paraId="2A58E8A2">
            <w:pPr>
              <w:spacing w:line="207" w:lineRule="auto"/>
              <w:ind w:left="32"/>
              <w:rPr>
                <w:rFonts w:hint="eastAsia" w:ascii="宋体" w:hAnsi="宋体" w:eastAsia="宋体" w:cs="宋体"/>
                <w:color w:val="auto"/>
                <w:sz w:val="21"/>
                <w:szCs w:val="21"/>
                <w:highlight w:val="none"/>
              </w:rPr>
            </w:pPr>
            <w:r>
              <w:rPr>
                <w:rFonts w:hint="eastAsia" w:ascii="宋体" w:hAnsi="宋体" w:cs="宋体"/>
                <w:color w:val="auto"/>
                <w:spacing w:val="-1"/>
                <w:sz w:val="21"/>
                <w:szCs w:val="21"/>
                <w:highlight w:val="none"/>
                <w:lang w:val="en-US" w:eastAsia="zh-CN"/>
              </w:rPr>
              <w:t>9、</w:t>
            </w:r>
            <w:r>
              <w:rPr>
                <w:rFonts w:hint="eastAsia" w:ascii="宋体" w:hAnsi="宋体" w:eastAsia="宋体" w:cs="宋体"/>
                <w:color w:val="auto"/>
                <w:spacing w:val="-8"/>
                <w:sz w:val="21"/>
                <w:szCs w:val="21"/>
                <w:highlight w:val="none"/>
              </w:rPr>
              <w:t>电</w:t>
            </w:r>
            <w:r>
              <w:rPr>
                <w:rFonts w:hint="eastAsia" w:ascii="宋体" w:hAnsi="宋体" w:eastAsia="宋体" w:cs="宋体"/>
                <w:color w:val="auto"/>
                <w:spacing w:val="-27"/>
                <w:sz w:val="21"/>
                <w:szCs w:val="21"/>
                <w:highlight w:val="none"/>
              </w:rPr>
              <w:t xml:space="preserve"> </w:t>
            </w:r>
            <w:r>
              <w:rPr>
                <w:rFonts w:hint="eastAsia" w:ascii="宋体" w:hAnsi="宋体" w:eastAsia="宋体" w:cs="宋体"/>
                <w:color w:val="auto"/>
                <w:spacing w:val="-8"/>
                <w:sz w:val="21"/>
                <w:szCs w:val="21"/>
                <w:highlight w:val="none"/>
              </w:rPr>
              <w:t>压</w:t>
            </w:r>
            <w:r>
              <w:rPr>
                <w:rFonts w:hint="eastAsia" w:ascii="宋体" w:hAnsi="宋体" w:eastAsia="宋体" w:cs="宋体"/>
                <w:color w:val="auto"/>
                <w:spacing w:val="-29"/>
                <w:sz w:val="21"/>
                <w:szCs w:val="21"/>
                <w:highlight w:val="none"/>
              </w:rPr>
              <w:t xml:space="preserve"> </w:t>
            </w:r>
            <w:r>
              <w:rPr>
                <w:rFonts w:hint="eastAsia" w:ascii="宋体" w:hAnsi="宋体" w:eastAsia="宋体" w:cs="宋体"/>
                <w:color w:val="auto"/>
                <w:spacing w:val="-8"/>
                <w:sz w:val="21"/>
                <w:szCs w:val="21"/>
                <w:highlight w:val="none"/>
              </w:rPr>
              <w:t>增</w:t>
            </w:r>
            <w:r>
              <w:rPr>
                <w:rFonts w:hint="eastAsia" w:ascii="宋体" w:hAnsi="宋体" w:eastAsia="宋体" w:cs="宋体"/>
                <w:color w:val="auto"/>
                <w:spacing w:val="-28"/>
                <w:sz w:val="21"/>
                <w:szCs w:val="21"/>
                <w:highlight w:val="none"/>
              </w:rPr>
              <w:t xml:space="preserve"> </w:t>
            </w:r>
            <w:r>
              <w:rPr>
                <w:rFonts w:hint="eastAsia" w:ascii="宋体" w:hAnsi="宋体" w:eastAsia="宋体" w:cs="宋体"/>
                <w:color w:val="auto"/>
                <w:spacing w:val="-8"/>
                <w:sz w:val="21"/>
                <w:szCs w:val="21"/>
                <w:highlight w:val="none"/>
              </w:rPr>
              <w:t>益</w:t>
            </w:r>
            <w:r>
              <w:rPr>
                <w:rFonts w:hint="eastAsia" w:ascii="宋体" w:hAnsi="宋体" w:eastAsia="宋体" w:cs="宋体"/>
                <w:color w:val="auto"/>
                <w:spacing w:val="-26"/>
                <w:sz w:val="21"/>
                <w:szCs w:val="21"/>
                <w:highlight w:val="none"/>
              </w:rPr>
              <w:t xml:space="preserve"> </w:t>
            </w:r>
            <w:r>
              <w:rPr>
                <w:rFonts w:hint="eastAsia" w:ascii="宋体" w:hAnsi="宋体" w:eastAsia="宋体" w:cs="宋体"/>
                <w:color w:val="auto"/>
                <w:spacing w:val="-8"/>
                <w:sz w:val="21"/>
                <w:szCs w:val="21"/>
                <w:highlight w:val="none"/>
              </w:rPr>
              <w:t>36.1</w:t>
            </w:r>
            <w:r>
              <w:rPr>
                <w:rFonts w:hint="eastAsia" w:ascii="宋体" w:hAnsi="宋体" w:eastAsia="宋体" w:cs="宋体"/>
                <w:color w:val="auto"/>
                <w:spacing w:val="-2"/>
                <w:sz w:val="21"/>
                <w:szCs w:val="21"/>
                <w:highlight w:val="none"/>
              </w:rPr>
              <w:t>dB。</w:t>
            </w:r>
          </w:p>
          <w:p w14:paraId="1ABA27B0">
            <w:pPr>
              <w:spacing w:before="5" w:line="216" w:lineRule="auto"/>
              <w:ind w:left="12" w:right="159" w:firstLine="20"/>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(含所需线</w:t>
            </w:r>
            <w:r>
              <w:rPr>
                <w:rFonts w:hint="eastAsia" w:ascii="宋体" w:hAnsi="宋体" w:eastAsia="宋体" w:cs="宋体"/>
                <w:color w:val="auto"/>
                <w:spacing w:val="10"/>
                <w:sz w:val="21"/>
                <w:szCs w:val="21"/>
                <w:highlight w:val="none"/>
              </w:rPr>
              <w:t>材，吊</w:t>
            </w:r>
            <w:r>
              <w:rPr>
                <w:rFonts w:hint="eastAsia" w:ascii="宋体" w:hAnsi="宋体" w:eastAsia="宋体" w:cs="宋体"/>
                <w:color w:val="auto"/>
                <w:spacing w:val="10"/>
                <w:sz w:val="21"/>
                <w:szCs w:val="21"/>
                <w:highlight w:val="none"/>
              </w:rPr>
              <w:t>架、备件、</w:t>
            </w:r>
            <w:r>
              <w:rPr>
                <w:rFonts w:hint="eastAsia" w:ascii="宋体" w:hAnsi="宋体" w:eastAsia="宋体" w:cs="宋体"/>
                <w:color w:val="auto"/>
                <w:spacing w:val="3"/>
                <w:sz w:val="21"/>
                <w:szCs w:val="21"/>
                <w:highlight w:val="none"/>
              </w:rPr>
              <w:t>旧设备拆除，配套</w:t>
            </w:r>
            <w:r>
              <w:rPr>
                <w:rFonts w:hint="eastAsia" w:ascii="宋体" w:hAnsi="宋体" w:eastAsia="宋体" w:cs="宋体"/>
                <w:color w:val="auto"/>
                <w:spacing w:val="-6"/>
                <w:sz w:val="21"/>
                <w:szCs w:val="21"/>
                <w:highlight w:val="none"/>
              </w:rPr>
              <w:t>的改造装修费用</w:t>
            </w:r>
            <w:r>
              <w:rPr>
                <w:rFonts w:hint="eastAsia" w:ascii="宋体" w:hAnsi="宋体" w:eastAsia="宋体" w:cs="宋体"/>
                <w:color w:val="auto"/>
                <w:sz w:val="21"/>
                <w:szCs w:val="21"/>
                <w:highlight w:val="none"/>
              </w:rPr>
              <w:t>)</w:t>
            </w:r>
          </w:p>
        </w:tc>
        <w:tc>
          <w:tcPr>
            <w:tcW w:w="718" w:type="dxa"/>
            <w:shd w:val="clear" w:color="auto" w:fill="auto"/>
            <w:vAlign w:val="center"/>
          </w:tcPr>
          <w:p w14:paraId="060C600C">
            <w:pPr>
              <w:spacing w:before="59" w:line="22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6套</w:t>
            </w:r>
          </w:p>
        </w:tc>
        <w:tc>
          <w:tcPr>
            <w:tcW w:w="706" w:type="dxa"/>
            <w:shd w:val="clear" w:color="auto" w:fill="auto"/>
            <w:vAlign w:val="center"/>
          </w:tcPr>
          <w:p w14:paraId="6A6BD46D">
            <w:pPr>
              <w:spacing w:before="59" w:line="22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lang w:val="en-US" w:eastAsia="zh-CN"/>
              </w:rPr>
              <w:t>工业</w:t>
            </w:r>
          </w:p>
        </w:tc>
      </w:tr>
      <w:tr w14:paraId="1BB6F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7" w:hRule="atLeast"/>
          <w:jc w:val="center"/>
        </w:trPr>
        <w:tc>
          <w:tcPr>
            <w:tcW w:w="475" w:type="dxa"/>
            <w:shd w:val="clear" w:color="auto" w:fill="auto"/>
            <w:vAlign w:val="center"/>
          </w:tcPr>
          <w:p w14:paraId="302FC33A">
            <w:pPr>
              <w:keepLines/>
              <w:widowControl/>
              <w:wordWrap w:val="0"/>
              <w:topLinePun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756" w:type="dxa"/>
            <w:shd w:val="clear" w:color="auto" w:fill="auto"/>
            <w:vAlign w:val="center"/>
          </w:tcPr>
          <w:p w14:paraId="42223F05">
            <w:pPr>
              <w:spacing w:before="59" w:line="209" w:lineRule="auto"/>
              <w:ind w:left="11" w:right="3"/>
              <w:jc w:val="center"/>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线阵次低音音箱功放</w:t>
            </w:r>
          </w:p>
        </w:tc>
        <w:tc>
          <w:tcPr>
            <w:tcW w:w="6814" w:type="dxa"/>
            <w:shd w:val="clear" w:color="auto" w:fill="auto"/>
          </w:tcPr>
          <w:p w14:paraId="4A593C96">
            <w:pPr>
              <w:spacing w:before="49" w:line="222" w:lineRule="auto"/>
              <w:ind w:left="32" w:right="224"/>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1、高效率功放D类线路设计。</w:t>
            </w:r>
          </w:p>
          <w:p w14:paraId="18B1726E">
            <w:pPr>
              <w:spacing w:line="210" w:lineRule="auto"/>
              <w:ind w:right="199"/>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2、输出功率：8Ω</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3"/>
                <w:sz w:val="21"/>
                <w:szCs w:val="21"/>
                <w:highlight w:val="none"/>
              </w:rPr>
              <w:t>:≥</w:t>
            </w:r>
            <w:r>
              <w:rPr>
                <w:rFonts w:hint="eastAsia" w:ascii="宋体" w:hAnsi="宋体" w:eastAsia="宋体" w:cs="宋体"/>
                <w:color w:val="auto"/>
                <w:spacing w:val="-3"/>
                <w:sz w:val="21"/>
                <w:szCs w:val="21"/>
                <w:highlight w:val="none"/>
              </w:rPr>
              <w:t>1000W</w:t>
            </w:r>
            <w:r>
              <w:rPr>
                <w:rFonts w:hint="eastAsia" w:ascii="宋体" w:hAnsi="宋体" w:eastAsia="宋体" w:cs="宋体"/>
                <w:color w:val="auto"/>
                <w:spacing w:val="-3"/>
                <w:sz w:val="21"/>
                <w:szCs w:val="21"/>
                <w:highlight w:val="none"/>
              </w:rPr>
              <w:t>×4；4Ω</w:t>
            </w:r>
            <w:r>
              <w:rPr>
                <w:rFonts w:hint="eastAsia" w:ascii="宋体" w:hAnsi="宋体" w:eastAsia="宋体" w:cs="宋体"/>
                <w:color w:val="auto"/>
                <w:spacing w:val="-4"/>
                <w:sz w:val="21"/>
                <w:szCs w:val="21"/>
                <w:highlight w:val="none"/>
              </w:rPr>
              <w:t>:≥</w:t>
            </w:r>
            <w:r>
              <w:rPr>
                <w:rFonts w:hint="eastAsia" w:ascii="宋体" w:hAnsi="宋体" w:eastAsia="宋体" w:cs="宋体"/>
                <w:color w:val="auto"/>
                <w:spacing w:val="-4"/>
                <w:sz w:val="21"/>
                <w:szCs w:val="21"/>
                <w:highlight w:val="none"/>
              </w:rPr>
              <w:t>1900W</w:t>
            </w:r>
            <w:r>
              <w:rPr>
                <w:rFonts w:hint="eastAsia" w:ascii="宋体" w:hAnsi="宋体" w:eastAsia="宋体" w:cs="宋体"/>
                <w:color w:val="auto"/>
                <w:spacing w:val="-3"/>
                <w:sz w:val="21"/>
                <w:szCs w:val="21"/>
                <w:highlight w:val="none"/>
              </w:rPr>
              <w:t>×</w:t>
            </w:r>
            <w:r>
              <w:rPr>
                <w:rFonts w:hint="eastAsia" w:ascii="宋体" w:hAnsi="宋体" w:eastAsia="宋体" w:cs="宋体"/>
                <w:color w:val="auto"/>
                <w:spacing w:val="-4"/>
                <w:sz w:val="21"/>
                <w:szCs w:val="21"/>
                <w:highlight w:val="none"/>
              </w:rPr>
              <w:t>4。</w:t>
            </w:r>
          </w:p>
          <w:p w14:paraId="0EA1CAF0">
            <w:pPr>
              <w:spacing w:line="215" w:lineRule="auto"/>
              <w:ind w:left="32" w:right="181" w:hanging="9"/>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3、频率响应20Hz～20</w:t>
            </w:r>
            <w:r>
              <w:rPr>
                <w:rFonts w:hint="eastAsia" w:ascii="宋体" w:hAnsi="宋体" w:eastAsia="宋体" w:cs="宋体"/>
                <w:color w:val="auto"/>
                <w:spacing w:val="3"/>
                <w:sz w:val="21"/>
                <w:szCs w:val="21"/>
                <w:highlight w:val="none"/>
              </w:rPr>
              <w:t xml:space="preserve"> </w:t>
            </w:r>
            <w:r>
              <w:rPr>
                <w:rFonts w:hint="eastAsia" w:ascii="宋体" w:hAnsi="宋体" w:eastAsia="宋体" w:cs="宋体"/>
                <w:color w:val="auto"/>
                <w:spacing w:val="-3"/>
                <w:sz w:val="21"/>
                <w:szCs w:val="21"/>
                <w:highlight w:val="none"/>
              </w:rPr>
              <w:t>kHz</w:t>
            </w:r>
            <w:r>
              <w:rPr>
                <w:rFonts w:hint="eastAsia" w:ascii="宋体" w:hAnsi="宋体" w:eastAsia="宋体" w:cs="宋体"/>
                <w:color w:val="auto"/>
                <w:spacing w:val="62"/>
                <w:w w:val="101"/>
                <w:sz w:val="21"/>
                <w:szCs w:val="21"/>
                <w:highlight w:val="none"/>
              </w:rPr>
              <w:t xml:space="preserve"> </w:t>
            </w:r>
            <w:r>
              <w:rPr>
                <w:rFonts w:hint="eastAsia" w:ascii="宋体" w:hAnsi="宋体" w:eastAsia="宋体" w:cs="宋体"/>
                <w:color w:val="auto"/>
                <w:spacing w:val="-3"/>
                <w:sz w:val="21"/>
                <w:szCs w:val="21"/>
                <w:highlight w:val="none"/>
              </w:rPr>
              <w:t>±0.35dB。</w:t>
            </w:r>
          </w:p>
          <w:p w14:paraId="6EF8F6CD">
            <w:pPr>
              <w:spacing w:line="209" w:lineRule="auto"/>
              <w:ind w:left="32" w:right="57" w:hanging="20"/>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4、输</w:t>
            </w:r>
            <w:r>
              <w:rPr>
                <w:rFonts w:hint="eastAsia" w:ascii="宋体" w:hAnsi="宋体" w:eastAsia="宋体" w:cs="宋体"/>
                <w:color w:val="auto"/>
                <w:spacing w:val="-22"/>
                <w:sz w:val="21"/>
                <w:szCs w:val="21"/>
                <w:highlight w:val="none"/>
              </w:rPr>
              <w:t xml:space="preserve"> </w:t>
            </w:r>
            <w:r>
              <w:rPr>
                <w:rFonts w:hint="eastAsia" w:ascii="宋体" w:hAnsi="宋体" w:eastAsia="宋体" w:cs="宋体"/>
                <w:color w:val="auto"/>
                <w:spacing w:val="-9"/>
                <w:sz w:val="21"/>
                <w:szCs w:val="21"/>
                <w:highlight w:val="none"/>
              </w:rPr>
              <w:t>入</w:t>
            </w:r>
            <w:r>
              <w:rPr>
                <w:rFonts w:hint="eastAsia" w:ascii="宋体" w:hAnsi="宋体" w:eastAsia="宋体" w:cs="宋体"/>
                <w:color w:val="auto"/>
                <w:spacing w:val="-14"/>
                <w:sz w:val="21"/>
                <w:szCs w:val="21"/>
                <w:highlight w:val="none"/>
              </w:rPr>
              <w:t xml:space="preserve"> </w:t>
            </w:r>
            <w:r>
              <w:rPr>
                <w:rFonts w:hint="eastAsia" w:ascii="宋体" w:hAnsi="宋体" w:eastAsia="宋体" w:cs="宋体"/>
                <w:color w:val="auto"/>
                <w:spacing w:val="-9"/>
                <w:sz w:val="21"/>
                <w:szCs w:val="21"/>
                <w:highlight w:val="none"/>
              </w:rPr>
              <w:t>阻</w:t>
            </w:r>
            <w:r>
              <w:rPr>
                <w:rFonts w:hint="eastAsia" w:ascii="宋体" w:hAnsi="宋体" w:eastAsia="宋体" w:cs="宋体"/>
                <w:color w:val="auto"/>
                <w:spacing w:val="-25"/>
                <w:sz w:val="21"/>
                <w:szCs w:val="21"/>
                <w:highlight w:val="none"/>
              </w:rPr>
              <w:t xml:space="preserve"> </w:t>
            </w:r>
            <w:r>
              <w:rPr>
                <w:rFonts w:hint="eastAsia" w:ascii="宋体" w:hAnsi="宋体" w:eastAsia="宋体" w:cs="宋体"/>
                <w:color w:val="auto"/>
                <w:spacing w:val="-9"/>
                <w:sz w:val="21"/>
                <w:szCs w:val="21"/>
                <w:highlight w:val="none"/>
              </w:rPr>
              <w:t>抗</w:t>
            </w:r>
            <w:r>
              <w:rPr>
                <w:rFonts w:hint="eastAsia" w:ascii="宋体" w:hAnsi="宋体" w:eastAsia="宋体" w:cs="宋体"/>
                <w:color w:val="auto"/>
                <w:spacing w:val="-23"/>
                <w:sz w:val="21"/>
                <w:szCs w:val="21"/>
                <w:highlight w:val="none"/>
              </w:rPr>
              <w:t>9.5 K</w:t>
            </w:r>
            <w:r>
              <w:rPr>
                <w:rFonts w:hint="eastAsia" w:ascii="宋体" w:hAnsi="宋体" w:eastAsia="宋体" w:cs="宋体"/>
                <w:color w:val="auto"/>
                <w:spacing w:val="5"/>
                <w:sz w:val="21"/>
                <w:szCs w:val="21"/>
                <w:highlight w:val="none"/>
              </w:rPr>
              <w:t>Ω</w:t>
            </w:r>
            <w:r>
              <w:rPr>
                <w:rFonts w:hint="eastAsia" w:ascii="宋体" w:hAnsi="宋体" w:eastAsia="宋体" w:cs="宋体"/>
                <w:color w:val="auto"/>
                <w:spacing w:val="-9"/>
                <w:sz w:val="21"/>
                <w:szCs w:val="21"/>
                <w:highlight w:val="none"/>
              </w:rPr>
              <w:t>((</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1"/>
                <w:sz w:val="21"/>
                <w:szCs w:val="21"/>
                <w:highlight w:val="none"/>
              </w:rPr>
              <w:t>平</w:t>
            </w:r>
            <w:r>
              <w:rPr>
                <w:rFonts w:hint="eastAsia" w:ascii="宋体" w:hAnsi="宋体" w:eastAsia="宋体" w:cs="宋体"/>
                <w:color w:val="auto"/>
                <w:spacing w:val="-17"/>
                <w:sz w:val="21"/>
                <w:szCs w:val="21"/>
                <w:highlight w:val="none"/>
              </w:rPr>
              <w:t xml:space="preserve"> </w:t>
            </w:r>
            <w:r>
              <w:rPr>
                <w:rFonts w:hint="eastAsia" w:ascii="宋体" w:hAnsi="宋体" w:eastAsia="宋体" w:cs="宋体"/>
                <w:color w:val="auto"/>
                <w:spacing w:val="-11"/>
                <w:sz w:val="21"/>
                <w:szCs w:val="21"/>
                <w:highlight w:val="none"/>
              </w:rPr>
              <w:t>衡</w:t>
            </w:r>
            <w:r>
              <w:rPr>
                <w:rFonts w:hint="eastAsia" w:ascii="宋体" w:hAnsi="宋体" w:eastAsia="宋体" w:cs="宋体"/>
                <w:color w:val="auto"/>
                <w:spacing w:val="-20"/>
                <w:sz w:val="21"/>
                <w:szCs w:val="21"/>
                <w:highlight w:val="none"/>
              </w:rPr>
              <w:t xml:space="preserve"> </w:t>
            </w:r>
            <w:r>
              <w:rPr>
                <w:rFonts w:hint="eastAsia" w:ascii="宋体" w:hAnsi="宋体" w:eastAsia="宋体" w:cs="宋体"/>
                <w:color w:val="auto"/>
                <w:spacing w:val="-11"/>
                <w:sz w:val="21"/>
                <w:szCs w:val="21"/>
                <w:highlight w:val="none"/>
              </w:rPr>
              <w:t xml:space="preserve">) 、 4.75 </w:t>
            </w:r>
            <w:r>
              <w:rPr>
                <w:rFonts w:hint="eastAsia" w:ascii="宋体" w:hAnsi="宋体" w:eastAsia="宋体" w:cs="宋体"/>
                <w:color w:val="auto"/>
                <w:spacing w:val="-23"/>
                <w:sz w:val="21"/>
                <w:szCs w:val="21"/>
                <w:highlight w:val="none"/>
              </w:rPr>
              <w:t>K</w:t>
            </w:r>
            <w:r>
              <w:rPr>
                <w:rFonts w:hint="eastAsia" w:ascii="宋体" w:hAnsi="宋体" w:eastAsia="宋体" w:cs="宋体"/>
                <w:color w:val="auto"/>
                <w:spacing w:val="5"/>
                <w:sz w:val="21"/>
                <w:szCs w:val="21"/>
                <w:highlight w:val="none"/>
              </w:rPr>
              <w:t>Ω</w:t>
            </w:r>
            <w:r>
              <w:rPr>
                <w:rFonts w:hint="eastAsia" w:ascii="宋体" w:hAnsi="宋体" w:eastAsia="宋体" w:cs="宋体"/>
                <w:color w:val="auto"/>
                <w:spacing w:val="-9"/>
                <w:sz w:val="21"/>
                <w:szCs w:val="21"/>
                <w:highlight w:val="none"/>
              </w:rPr>
              <w:t>(</w:t>
            </w:r>
            <w:r>
              <w:rPr>
                <w:rFonts w:hint="eastAsia" w:ascii="宋体" w:hAnsi="宋体" w:eastAsia="宋体" w:cs="宋体"/>
                <w:color w:val="auto"/>
                <w:spacing w:val="-11"/>
                <w:sz w:val="21"/>
                <w:szCs w:val="21"/>
                <w:highlight w:val="none"/>
              </w:rPr>
              <w:t>(</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6"/>
                <w:sz w:val="21"/>
                <w:szCs w:val="21"/>
                <w:highlight w:val="none"/>
              </w:rPr>
              <w:t>不平</w:t>
            </w:r>
            <w:r>
              <w:rPr>
                <w:rFonts w:hint="eastAsia" w:ascii="宋体" w:hAnsi="宋体" w:eastAsia="宋体" w:cs="宋体"/>
                <w:color w:val="auto"/>
                <w:spacing w:val="-9"/>
                <w:sz w:val="21"/>
                <w:szCs w:val="21"/>
                <w:highlight w:val="none"/>
              </w:rPr>
              <w:t xml:space="preserve"> </w:t>
            </w:r>
            <w:r>
              <w:rPr>
                <w:rFonts w:hint="eastAsia" w:ascii="宋体" w:hAnsi="宋体" w:eastAsia="宋体" w:cs="宋体"/>
                <w:color w:val="auto"/>
                <w:spacing w:val="-6"/>
                <w:sz w:val="21"/>
                <w:szCs w:val="21"/>
                <w:highlight w:val="none"/>
              </w:rPr>
              <w:t>衡</w:t>
            </w:r>
            <w:r>
              <w:rPr>
                <w:rFonts w:hint="eastAsia" w:ascii="宋体" w:hAnsi="宋体" w:eastAsia="宋体" w:cs="宋体"/>
                <w:color w:val="auto"/>
                <w:spacing w:val="-9"/>
                <w:sz w:val="21"/>
                <w:szCs w:val="21"/>
                <w:highlight w:val="none"/>
              </w:rPr>
              <w:t xml:space="preserve"> </w:t>
            </w:r>
            <w:r>
              <w:rPr>
                <w:rFonts w:hint="eastAsia" w:ascii="宋体" w:hAnsi="宋体" w:eastAsia="宋体" w:cs="宋体"/>
                <w:color w:val="auto"/>
                <w:spacing w:val="-6"/>
                <w:sz w:val="21"/>
                <w:szCs w:val="21"/>
                <w:highlight w:val="none"/>
              </w:rPr>
              <w:t>)</w:t>
            </w:r>
            <w:r>
              <w:rPr>
                <w:rFonts w:hint="eastAsia" w:ascii="宋体" w:hAnsi="宋体" w:eastAsia="宋体" w:cs="宋体"/>
                <w:color w:val="auto"/>
                <w:spacing w:val="15"/>
                <w:sz w:val="21"/>
                <w:szCs w:val="21"/>
                <w:highlight w:val="none"/>
              </w:rPr>
              <w:t>。</w:t>
            </w:r>
          </w:p>
          <w:p w14:paraId="2F9D06A1">
            <w:pPr>
              <w:spacing w:before="11" w:line="219" w:lineRule="auto"/>
              <w:ind w:left="32"/>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5、输入灵敏度：1.4V。</w:t>
            </w:r>
          </w:p>
          <w:p w14:paraId="0652939E">
            <w:pPr>
              <w:spacing w:before="11" w:line="219" w:lineRule="auto"/>
              <w:ind w:left="32"/>
              <w:rPr>
                <w:rFonts w:hint="eastAsia" w:ascii="宋体" w:hAnsi="宋体" w:eastAsia="宋体" w:cs="宋体"/>
                <w:color w:val="auto"/>
                <w:spacing w:val="-1"/>
                <w:sz w:val="21"/>
                <w:szCs w:val="21"/>
                <w:highlight w:val="none"/>
              </w:rPr>
            </w:pPr>
            <w:r>
              <w:rPr>
                <w:rFonts w:hint="eastAsia" w:ascii="宋体" w:hAnsi="宋体" w:cs="宋体"/>
                <w:color w:val="auto"/>
                <w:spacing w:val="-1"/>
                <w:sz w:val="21"/>
                <w:szCs w:val="21"/>
                <w:highlight w:val="none"/>
                <w:lang w:val="en-US" w:eastAsia="zh-CN"/>
              </w:rPr>
              <w:t>6、</w:t>
            </w:r>
            <w:r>
              <w:rPr>
                <w:rFonts w:hint="eastAsia" w:ascii="宋体" w:hAnsi="宋体" w:eastAsia="宋体" w:cs="宋体"/>
                <w:color w:val="auto"/>
                <w:spacing w:val="-1"/>
                <w:sz w:val="21"/>
                <w:szCs w:val="21"/>
                <w:highlight w:val="none"/>
              </w:rPr>
              <w:t>谐波失真THD&lt;1%</w:t>
            </w:r>
          </w:p>
          <w:p w14:paraId="4C6A364B">
            <w:pPr>
              <w:spacing w:before="11" w:line="219" w:lineRule="auto"/>
              <w:ind w:left="32"/>
              <w:rPr>
                <w:rFonts w:hint="eastAsia" w:ascii="宋体" w:hAnsi="宋体" w:eastAsia="宋体" w:cs="宋体"/>
                <w:color w:val="auto"/>
                <w:spacing w:val="-1"/>
                <w:sz w:val="21"/>
                <w:szCs w:val="21"/>
                <w:highlight w:val="none"/>
              </w:rPr>
            </w:pPr>
            <w:r>
              <w:rPr>
                <w:rFonts w:hint="eastAsia" w:ascii="宋体" w:hAnsi="宋体" w:cs="宋体"/>
                <w:color w:val="auto"/>
                <w:spacing w:val="-1"/>
                <w:sz w:val="21"/>
                <w:szCs w:val="21"/>
                <w:highlight w:val="none"/>
                <w:lang w:val="en-US" w:eastAsia="zh-CN"/>
              </w:rPr>
              <w:t>7、</w:t>
            </w:r>
            <w:r>
              <w:rPr>
                <w:rFonts w:hint="eastAsia" w:ascii="宋体" w:hAnsi="宋体" w:eastAsia="宋体" w:cs="宋体"/>
                <w:color w:val="auto"/>
                <w:spacing w:val="-1"/>
                <w:sz w:val="21"/>
                <w:szCs w:val="21"/>
                <w:highlight w:val="none"/>
              </w:rPr>
              <w:t>信噪比≥98dB;</w:t>
            </w:r>
          </w:p>
          <w:p w14:paraId="3D37E1D2">
            <w:pPr>
              <w:spacing w:before="11" w:line="219" w:lineRule="auto"/>
              <w:ind w:left="32"/>
              <w:rPr>
                <w:rFonts w:hint="eastAsia" w:ascii="宋体" w:hAnsi="宋体" w:eastAsia="宋体" w:cs="宋体"/>
                <w:color w:val="auto"/>
                <w:spacing w:val="-1"/>
                <w:sz w:val="21"/>
                <w:szCs w:val="21"/>
                <w:highlight w:val="none"/>
              </w:rPr>
            </w:pPr>
            <w:r>
              <w:rPr>
                <w:rFonts w:hint="eastAsia" w:ascii="宋体" w:hAnsi="宋体" w:cs="宋体"/>
                <w:color w:val="auto"/>
                <w:spacing w:val="-1"/>
                <w:sz w:val="21"/>
                <w:szCs w:val="21"/>
                <w:highlight w:val="none"/>
                <w:lang w:val="en-US" w:eastAsia="zh-CN"/>
              </w:rPr>
              <w:t>8、</w:t>
            </w:r>
            <w:r>
              <w:rPr>
                <w:rFonts w:hint="eastAsia" w:ascii="宋体" w:hAnsi="宋体" w:eastAsia="宋体" w:cs="宋体"/>
                <w:color w:val="auto"/>
                <w:spacing w:val="-1"/>
                <w:sz w:val="21"/>
                <w:szCs w:val="21"/>
                <w:highlight w:val="none"/>
              </w:rPr>
              <w:t>阻尼系数&gt;250;</w:t>
            </w:r>
          </w:p>
          <w:p w14:paraId="0791EF9C">
            <w:pPr>
              <w:spacing w:line="207" w:lineRule="auto"/>
              <w:ind w:left="32"/>
              <w:rPr>
                <w:rFonts w:hint="eastAsia" w:ascii="宋体" w:hAnsi="宋体" w:eastAsia="宋体" w:cs="宋体"/>
                <w:color w:val="auto"/>
                <w:sz w:val="21"/>
                <w:szCs w:val="21"/>
                <w:highlight w:val="none"/>
              </w:rPr>
            </w:pPr>
            <w:r>
              <w:rPr>
                <w:rFonts w:hint="eastAsia" w:ascii="宋体" w:hAnsi="宋体" w:cs="宋体"/>
                <w:color w:val="auto"/>
                <w:spacing w:val="-1"/>
                <w:sz w:val="21"/>
                <w:szCs w:val="21"/>
                <w:highlight w:val="none"/>
                <w:lang w:val="en-US" w:eastAsia="zh-CN"/>
              </w:rPr>
              <w:t>9、</w:t>
            </w:r>
            <w:r>
              <w:rPr>
                <w:rFonts w:hint="eastAsia" w:ascii="宋体" w:hAnsi="宋体" w:eastAsia="宋体" w:cs="宋体"/>
                <w:color w:val="auto"/>
                <w:spacing w:val="-8"/>
                <w:sz w:val="21"/>
                <w:szCs w:val="21"/>
                <w:highlight w:val="none"/>
              </w:rPr>
              <w:t>电</w:t>
            </w:r>
            <w:r>
              <w:rPr>
                <w:rFonts w:hint="eastAsia" w:ascii="宋体" w:hAnsi="宋体" w:eastAsia="宋体" w:cs="宋体"/>
                <w:color w:val="auto"/>
                <w:spacing w:val="-27"/>
                <w:sz w:val="21"/>
                <w:szCs w:val="21"/>
                <w:highlight w:val="none"/>
              </w:rPr>
              <w:t xml:space="preserve"> </w:t>
            </w:r>
            <w:r>
              <w:rPr>
                <w:rFonts w:hint="eastAsia" w:ascii="宋体" w:hAnsi="宋体" w:eastAsia="宋体" w:cs="宋体"/>
                <w:color w:val="auto"/>
                <w:spacing w:val="-8"/>
                <w:sz w:val="21"/>
                <w:szCs w:val="21"/>
                <w:highlight w:val="none"/>
              </w:rPr>
              <w:t>压</w:t>
            </w:r>
            <w:r>
              <w:rPr>
                <w:rFonts w:hint="eastAsia" w:ascii="宋体" w:hAnsi="宋体" w:eastAsia="宋体" w:cs="宋体"/>
                <w:color w:val="auto"/>
                <w:spacing w:val="-29"/>
                <w:sz w:val="21"/>
                <w:szCs w:val="21"/>
                <w:highlight w:val="none"/>
              </w:rPr>
              <w:t xml:space="preserve"> </w:t>
            </w:r>
            <w:r>
              <w:rPr>
                <w:rFonts w:hint="eastAsia" w:ascii="宋体" w:hAnsi="宋体" w:eastAsia="宋体" w:cs="宋体"/>
                <w:color w:val="auto"/>
                <w:spacing w:val="-8"/>
                <w:sz w:val="21"/>
                <w:szCs w:val="21"/>
                <w:highlight w:val="none"/>
              </w:rPr>
              <w:t>增</w:t>
            </w:r>
            <w:r>
              <w:rPr>
                <w:rFonts w:hint="eastAsia" w:ascii="宋体" w:hAnsi="宋体" w:eastAsia="宋体" w:cs="宋体"/>
                <w:color w:val="auto"/>
                <w:spacing w:val="-28"/>
                <w:sz w:val="21"/>
                <w:szCs w:val="21"/>
                <w:highlight w:val="none"/>
              </w:rPr>
              <w:t xml:space="preserve"> </w:t>
            </w:r>
            <w:r>
              <w:rPr>
                <w:rFonts w:hint="eastAsia" w:ascii="宋体" w:hAnsi="宋体" w:eastAsia="宋体" w:cs="宋体"/>
                <w:color w:val="auto"/>
                <w:spacing w:val="-8"/>
                <w:sz w:val="21"/>
                <w:szCs w:val="21"/>
                <w:highlight w:val="none"/>
              </w:rPr>
              <w:t>益</w:t>
            </w:r>
            <w:r>
              <w:rPr>
                <w:rFonts w:hint="eastAsia" w:ascii="宋体" w:hAnsi="宋体" w:eastAsia="宋体" w:cs="宋体"/>
                <w:color w:val="auto"/>
                <w:spacing w:val="-26"/>
                <w:sz w:val="21"/>
                <w:szCs w:val="21"/>
                <w:highlight w:val="none"/>
              </w:rPr>
              <w:t xml:space="preserve"> </w:t>
            </w:r>
            <w:r>
              <w:rPr>
                <w:rFonts w:hint="eastAsia" w:ascii="宋体" w:hAnsi="宋体" w:eastAsia="宋体" w:cs="宋体"/>
                <w:color w:val="auto"/>
                <w:spacing w:val="-8"/>
                <w:sz w:val="21"/>
                <w:szCs w:val="21"/>
                <w:highlight w:val="none"/>
              </w:rPr>
              <w:t>36.1</w:t>
            </w:r>
            <w:r>
              <w:rPr>
                <w:rFonts w:hint="eastAsia" w:ascii="宋体" w:hAnsi="宋体" w:eastAsia="宋体" w:cs="宋体"/>
                <w:color w:val="auto"/>
                <w:spacing w:val="-2"/>
                <w:sz w:val="21"/>
                <w:szCs w:val="21"/>
                <w:highlight w:val="none"/>
              </w:rPr>
              <w:t>dB。</w:t>
            </w:r>
          </w:p>
          <w:p w14:paraId="3EE23009">
            <w:pPr>
              <w:spacing w:before="5" w:line="216" w:lineRule="auto"/>
              <w:ind w:left="12" w:right="159" w:firstLine="20"/>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(含所需线</w:t>
            </w:r>
            <w:r>
              <w:rPr>
                <w:rFonts w:hint="eastAsia" w:ascii="宋体" w:hAnsi="宋体" w:eastAsia="宋体" w:cs="宋体"/>
                <w:color w:val="auto"/>
                <w:spacing w:val="10"/>
                <w:sz w:val="21"/>
                <w:szCs w:val="21"/>
                <w:highlight w:val="none"/>
              </w:rPr>
              <w:t>材，吊</w:t>
            </w:r>
            <w:r>
              <w:rPr>
                <w:rFonts w:hint="eastAsia" w:ascii="宋体" w:hAnsi="宋体" w:eastAsia="宋体" w:cs="宋体"/>
                <w:color w:val="auto"/>
                <w:spacing w:val="10"/>
                <w:sz w:val="21"/>
                <w:szCs w:val="21"/>
                <w:highlight w:val="none"/>
              </w:rPr>
              <w:t>架、备件、</w:t>
            </w:r>
            <w:r>
              <w:rPr>
                <w:rFonts w:hint="eastAsia" w:ascii="宋体" w:hAnsi="宋体" w:eastAsia="宋体" w:cs="宋体"/>
                <w:color w:val="auto"/>
                <w:spacing w:val="3"/>
                <w:sz w:val="21"/>
                <w:szCs w:val="21"/>
                <w:highlight w:val="none"/>
              </w:rPr>
              <w:t>旧设备拆除，配套</w:t>
            </w:r>
            <w:r>
              <w:rPr>
                <w:rFonts w:hint="eastAsia" w:ascii="宋体" w:hAnsi="宋体" w:eastAsia="宋体" w:cs="宋体"/>
                <w:color w:val="auto"/>
                <w:spacing w:val="-6"/>
                <w:sz w:val="21"/>
                <w:szCs w:val="21"/>
                <w:highlight w:val="none"/>
              </w:rPr>
              <w:t>的改造装修费用</w:t>
            </w:r>
            <w:r>
              <w:rPr>
                <w:rFonts w:hint="eastAsia" w:ascii="宋体" w:hAnsi="宋体" w:eastAsia="宋体" w:cs="宋体"/>
                <w:color w:val="auto"/>
                <w:sz w:val="21"/>
                <w:szCs w:val="21"/>
                <w:highlight w:val="none"/>
              </w:rPr>
              <w:t>)</w:t>
            </w:r>
          </w:p>
        </w:tc>
        <w:tc>
          <w:tcPr>
            <w:tcW w:w="718" w:type="dxa"/>
            <w:shd w:val="clear" w:color="auto" w:fill="auto"/>
            <w:vAlign w:val="center"/>
          </w:tcPr>
          <w:p w14:paraId="7D484273">
            <w:pPr>
              <w:spacing w:before="55" w:line="22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3</w:t>
            </w:r>
            <w:r>
              <w:rPr>
                <w:rFonts w:hint="eastAsia" w:ascii="宋体" w:hAnsi="宋体" w:eastAsia="宋体" w:cs="宋体"/>
                <w:color w:val="auto"/>
                <w:sz w:val="21"/>
                <w:szCs w:val="21"/>
                <w:highlight w:val="none"/>
              </w:rPr>
              <w:t>套</w:t>
            </w:r>
          </w:p>
        </w:tc>
        <w:tc>
          <w:tcPr>
            <w:tcW w:w="706" w:type="dxa"/>
            <w:shd w:val="clear" w:color="auto" w:fill="auto"/>
            <w:vAlign w:val="center"/>
          </w:tcPr>
          <w:p w14:paraId="4436EE98">
            <w:pPr>
              <w:spacing w:before="55" w:line="220" w:lineRule="auto"/>
              <w:jc w:val="center"/>
              <w:rPr>
                <w:rFonts w:hint="eastAsia" w:ascii="宋体" w:hAnsi="宋体" w:eastAsia="宋体" w:cs="宋体"/>
                <w:color w:val="auto"/>
                <w:spacing w:val="-11"/>
                <w:sz w:val="21"/>
                <w:szCs w:val="21"/>
                <w:highlight w:val="none"/>
              </w:rPr>
            </w:pPr>
            <w:r>
              <w:rPr>
                <w:rFonts w:hint="eastAsia" w:ascii="宋体" w:hAnsi="宋体" w:eastAsia="宋体" w:cs="宋体"/>
                <w:color w:val="auto"/>
                <w:spacing w:val="-5"/>
                <w:sz w:val="21"/>
                <w:szCs w:val="21"/>
                <w:highlight w:val="none"/>
                <w:lang w:val="en-US" w:eastAsia="zh-CN"/>
              </w:rPr>
              <w:t>工业</w:t>
            </w:r>
          </w:p>
        </w:tc>
      </w:tr>
      <w:tr w14:paraId="66BD7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475" w:type="dxa"/>
            <w:vAlign w:val="center"/>
          </w:tcPr>
          <w:p w14:paraId="54D96761">
            <w:pPr>
              <w:keepLines/>
              <w:widowControl/>
              <w:wordWrap w:val="0"/>
              <w:topLinePun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756" w:type="dxa"/>
            <w:shd w:val="clear" w:color="auto" w:fill="auto"/>
            <w:vAlign w:val="center"/>
          </w:tcPr>
          <w:p w14:paraId="45EEF5FF">
            <w:pPr>
              <w:spacing w:before="59" w:line="209" w:lineRule="auto"/>
              <w:ind w:left="11" w:right="3"/>
              <w:jc w:val="center"/>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线阵重低音音箱功放</w:t>
            </w:r>
          </w:p>
        </w:tc>
        <w:tc>
          <w:tcPr>
            <w:tcW w:w="6814" w:type="dxa"/>
            <w:shd w:val="clear" w:color="auto" w:fill="auto"/>
          </w:tcPr>
          <w:p w14:paraId="41B2415A">
            <w:pPr>
              <w:spacing w:line="238" w:lineRule="auto"/>
              <w:ind w:left="13" w:right="291"/>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1、</w:t>
            </w:r>
            <w:r>
              <w:rPr>
                <w:rFonts w:hint="eastAsia" w:ascii="宋体" w:hAnsi="宋体" w:eastAsia="宋体" w:cs="宋体"/>
                <w:color w:val="auto"/>
                <w:spacing w:val="1"/>
                <w:sz w:val="21"/>
                <w:szCs w:val="21"/>
                <w:highlight w:val="none"/>
              </w:rPr>
              <w:t>高效率功放D类线路设计。</w:t>
            </w:r>
          </w:p>
          <w:p w14:paraId="6C89AE35">
            <w:pPr>
              <w:spacing w:before="3" w:line="228" w:lineRule="auto"/>
              <w:ind w:left="13" w:firstLine="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pacing w:val="4"/>
                <w:sz w:val="21"/>
                <w:szCs w:val="21"/>
                <w:highlight w:val="none"/>
              </w:rPr>
              <w:t>2、★输出功率：8Ω</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3"/>
                <w:sz w:val="21"/>
                <w:szCs w:val="21"/>
                <w:highlight w:val="none"/>
              </w:rPr>
              <w:t>:≥</w:t>
            </w:r>
            <w:r>
              <w:rPr>
                <w:rFonts w:hint="eastAsia" w:ascii="宋体" w:hAnsi="宋体" w:eastAsia="宋体" w:cs="宋体"/>
                <w:color w:val="auto"/>
                <w:spacing w:val="-3"/>
                <w:sz w:val="21"/>
                <w:szCs w:val="21"/>
                <w:highlight w:val="none"/>
              </w:rPr>
              <w:t>1000W</w:t>
            </w:r>
            <w:r>
              <w:rPr>
                <w:rFonts w:hint="eastAsia" w:ascii="宋体" w:hAnsi="宋体" w:eastAsia="宋体" w:cs="宋体"/>
                <w:color w:val="auto"/>
                <w:spacing w:val="-3"/>
                <w:sz w:val="21"/>
                <w:szCs w:val="21"/>
                <w:highlight w:val="none"/>
              </w:rPr>
              <w:t>×2；4Ω:≥</w:t>
            </w:r>
            <w:r>
              <w:rPr>
                <w:rFonts w:hint="eastAsia" w:ascii="宋体" w:hAnsi="宋体" w:eastAsia="宋体" w:cs="宋体"/>
                <w:color w:val="auto"/>
                <w:spacing w:val="-3"/>
                <w:sz w:val="21"/>
                <w:szCs w:val="21"/>
                <w:highlight w:val="none"/>
              </w:rPr>
              <w:t>1700W</w:t>
            </w:r>
            <w:r>
              <w:rPr>
                <w:rFonts w:hint="eastAsia" w:ascii="宋体" w:hAnsi="宋体" w:eastAsia="宋体" w:cs="宋体"/>
                <w:color w:val="auto"/>
                <w:spacing w:val="-3"/>
                <w:sz w:val="21"/>
                <w:szCs w:val="21"/>
                <w:highlight w:val="none"/>
              </w:rPr>
              <w:t>×2</w:t>
            </w:r>
            <w:r>
              <w:rPr>
                <w:rFonts w:hint="eastAsia" w:ascii="宋体" w:hAnsi="宋体" w:eastAsia="宋体" w:cs="宋体"/>
                <w:color w:val="auto"/>
                <w:spacing w:val="-2"/>
                <w:sz w:val="21"/>
                <w:szCs w:val="21"/>
                <w:highlight w:val="none"/>
              </w:rPr>
              <w:t>;</w:t>
            </w:r>
          </w:p>
          <w:p w14:paraId="6973A8E6">
            <w:pPr>
              <w:spacing w:line="238" w:lineRule="auto"/>
              <w:ind w:left="13" w:right="291"/>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3、</w:t>
            </w:r>
            <w:r>
              <w:rPr>
                <w:rFonts w:hint="eastAsia" w:ascii="宋体" w:hAnsi="宋体" w:eastAsia="宋体" w:cs="宋体"/>
                <w:color w:val="auto"/>
                <w:spacing w:val="-1"/>
                <w:sz w:val="21"/>
                <w:szCs w:val="21"/>
                <w:highlight w:val="none"/>
              </w:rPr>
              <w:t>频率响应20Hz～20</w:t>
            </w:r>
            <w:r>
              <w:rPr>
                <w:rFonts w:hint="eastAsia" w:ascii="宋体" w:hAnsi="宋体" w:eastAsia="宋体" w:cs="宋体"/>
                <w:color w:val="auto"/>
                <w:spacing w:val="3"/>
                <w:sz w:val="21"/>
                <w:szCs w:val="21"/>
                <w:highlight w:val="none"/>
              </w:rPr>
              <w:t xml:space="preserve"> </w:t>
            </w:r>
            <w:r>
              <w:rPr>
                <w:rFonts w:hint="eastAsia" w:ascii="宋体" w:hAnsi="宋体" w:eastAsia="宋体" w:cs="宋体"/>
                <w:color w:val="auto"/>
                <w:spacing w:val="-3"/>
                <w:sz w:val="21"/>
                <w:szCs w:val="21"/>
                <w:highlight w:val="none"/>
              </w:rPr>
              <w:t>kHz</w:t>
            </w:r>
            <w:r>
              <w:rPr>
                <w:rFonts w:hint="eastAsia" w:ascii="宋体" w:hAnsi="宋体" w:eastAsia="宋体" w:cs="宋体"/>
                <w:color w:val="auto"/>
                <w:spacing w:val="62"/>
                <w:w w:val="101"/>
                <w:sz w:val="21"/>
                <w:szCs w:val="21"/>
                <w:highlight w:val="none"/>
              </w:rPr>
              <w:t xml:space="preserve"> </w:t>
            </w:r>
            <w:r>
              <w:rPr>
                <w:rFonts w:hint="eastAsia" w:ascii="宋体" w:hAnsi="宋体" w:eastAsia="宋体" w:cs="宋体"/>
                <w:color w:val="auto"/>
                <w:spacing w:val="-3"/>
                <w:sz w:val="21"/>
                <w:szCs w:val="21"/>
                <w:highlight w:val="none"/>
              </w:rPr>
              <w:t>±0.35dB</w:t>
            </w:r>
            <w:r>
              <w:rPr>
                <w:rFonts w:hint="eastAsia" w:ascii="宋体" w:hAnsi="宋体" w:eastAsia="宋体" w:cs="宋体"/>
                <w:color w:val="auto"/>
                <w:spacing w:val="-2"/>
                <w:sz w:val="21"/>
                <w:szCs w:val="21"/>
                <w:highlight w:val="none"/>
              </w:rPr>
              <w:t>;</w:t>
            </w:r>
          </w:p>
          <w:p w14:paraId="3484A8AE">
            <w:pPr>
              <w:spacing w:line="238" w:lineRule="auto"/>
              <w:ind w:left="13" w:right="291"/>
              <w:rPr>
                <w:rFonts w:hint="eastAsia" w:ascii="宋体" w:hAnsi="宋体" w:eastAsia="宋体" w:cs="宋体"/>
                <w:color w:val="auto"/>
                <w:spacing w:val="-6"/>
                <w:sz w:val="21"/>
                <w:szCs w:val="21"/>
                <w:highlight w:val="none"/>
                <w:lang w:eastAsia="zh-CN"/>
              </w:rPr>
            </w:pPr>
            <w:r>
              <w:rPr>
                <w:rFonts w:hint="eastAsia" w:ascii="宋体" w:hAnsi="宋体" w:eastAsia="宋体" w:cs="宋体"/>
                <w:color w:val="auto"/>
                <w:spacing w:val="-3"/>
                <w:sz w:val="21"/>
                <w:szCs w:val="21"/>
                <w:highlight w:val="none"/>
              </w:rPr>
              <w:t>4、</w:t>
            </w:r>
            <w:r>
              <w:rPr>
                <w:rFonts w:hint="eastAsia" w:ascii="宋体" w:hAnsi="宋体" w:eastAsia="宋体" w:cs="宋体"/>
                <w:color w:val="auto"/>
                <w:spacing w:val="-9"/>
                <w:sz w:val="21"/>
                <w:szCs w:val="21"/>
                <w:highlight w:val="none"/>
              </w:rPr>
              <w:t>输</w:t>
            </w:r>
            <w:r>
              <w:rPr>
                <w:rFonts w:hint="eastAsia" w:ascii="宋体" w:hAnsi="宋体" w:eastAsia="宋体" w:cs="宋体"/>
                <w:color w:val="auto"/>
                <w:spacing w:val="-22"/>
                <w:sz w:val="21"/>
                <w:szCs w:val="21"/>
                <w:highlight w:val="none"/>
              </w:rPr>
              <w:t xml:space="preserve"> </w:t>
            </w:r>
            <w:r>
              <w:rPr>
                <w:rFonts w:hint="eastAsia" w:ascii="宋体" w:hAnsi="宋体" w:eastAsia="宋体" w:cs="宋体"/>
                <w:color w:val="auto"/>
                <w:spacing w:val="-9"/>
                <w:sz w:val="21"/>
                <w:szCs w:val="21"/>
                <w:highlight w:val="none"/>
              </w:rPr>
              <w:t>入</w:t>
            </w:r>
            <w:r>
              <w:rPr>
                <w:rFonts w:hint="eastAsia" w:ascii="宋体" w:hAnsi="宋体" w:eastAsia="宋体" w:cs="宋体"/>
                <w:color w:val="auto"/>
                <w:spacing w:val="-14"/>
                <w:sz w:val="21"/>
                <w:szCs w:val="21"/>
                <w:highlight w:val="none"/>
              </w:rPr>
              <w:t xml:space="preserve"> </w:t>
            </w:r>
            <w:r>
              <w:rPr>
                <w:rFonts w:hint="eastAsia" w:ascii="宋体" w:hAnsi="宋体" w:eastAsia="宋体" w:cs="宋体"/>
                <w:color w:val="auto"/>
                <w:spacing w:val="-9"/>
                <w:sz w:val="21"/>
                <w:szCs w:val="21"/>
                <w:highlight w:val="none"/>
              </w:rPr>
              <w:t>阻</w:t>
            </w:r>
            <w:r>
              <w:rPr>
                <w:rFonts w:hint="eastAsia" w:ascii="宋体" w:hAnsi="宋体" w:eastAsia="宋体" w:cs="宋体"/>
                <w:color w:val="auto"/>
                <w:spacing w:val="-25"/>
                <w:sz w:val="21"/>
                <w:szCs w:val="21"/>
                <w:highlight w:val="none"/>
              </w:rPr>
              <w:t xml:space="preserve"> </w:t>
            </w:r>
            <w:r>
              <w:rPr>
                <w:rFonts w:hint="eastAsia" w:ascii="宋体" w:hAnsi="宋体" w:eastAsia="宋体" w:cs="宋体"/>
                <w:color w:val="auto"/>
                <w:spacing w:val="-9"/>
                <w:sz w:val="21"/>
                <w:szCs w:val="21"/>
                <w:highlight w:val="none"/>
              </w:rPr>
              <w:t>抗</w:t>
            </w:r>
            <w:r>
              <w:rPr>
                <w:rFonts w:hint="eastAsia" w:ascii="宋体" w:hAnsi="宋体" w:eastAsia="宋体" w:cs="宋体"/>
                <w:color w:val="auto"/>
                <w:spacing w:val="-23"/>
                <w:sz w:val="21"/>
                <w:szCs w:val="21"/>
                <w:highlight w:val="none"/>
                <w:lang w:val="en-US" w:eastAsia="zh-CN"/>
              </w:rPr>
              <w:t>20</w:t>
            </w:r>
            <w:r>
              <w:rPr>
                <w:rFonts w:hint="eastAsia" w:ascii="宋体" w:hAnsi="宋体" w:eastAsia="宋体" w:cs="宋体"/>
                <w:color w:val="auto"/>
                <w:spacing w:val="-23"/>
                <w:sz w:val="21"/>
                <w:szCs w:val="21"/>
                <w:highlight w:val="none"/>
              </w:rPr>
              <w:t xml:space="preserve"> K</w:t>
            </w:r>
            <w:r>
              <w:rPr>
                <w:rFonts w:hint="eastAsia" w:ascii="宋体" w:hAnsi="宋体" w:eastAsia="宋体" w:cs="宋体"/>
                <w:color w:val="auto"/>
                <w:spacing w:val="5"/>
                <w:sz w:val="21"/>
                <w:szCs w:val="21"/>
                <w:highlight w:val="none"/>
              </w:rPr>
              <w:t>Ω</w:t>
            </w:r>
            <w:r>
              <w:rPr>
                <w:rFonts w:hint="eastAsia" w:ascii="宋体" w:hAnsi="宋体" w:eastAsia="宋体" w:cs="宋体"/>
                <w:color w:val="auto"/>
                <w:spacing w:val="-9"/>
                <w:sz w:val="21"/>
                <w:szCs w:val="21"/>
                <w:highlight w:val="none"/>
              </w:rPr>
              <w:t>(</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1"/>
                <w:sz w:val="21"/>
                <w:szCs w:val="21"/>
                <w:highlight w:val="none"/>
              </w:rPr>
              <w:t>平</w:t>
            </w:r>
            <w:r>
              <w:rPr>
                <w:rFonts w:hint="eastAsia" w:ascii="宋体" w:hAnsi="宋体" w:eastAsia="宋体" w:cs="宋体"/>
                <w:color w:val="auto"/>
                <w:spacing w:val="-17"/>
                <w:sz w:val="21"/>
                <w:szCs w:val="21"/>
                <w:highlight w:val="none"/>
              </w:rPr>
              <w:t xml:space="preserve"> </w:t>
            </w:r>
            <w:r>
              <w:rPr>
                <w:rFonts w:hint="eastAsia" w:ascii="宋体" w:hAnsi="宋体" w:eastAsia="宋体" w:cs="宋体"/>
                <w:color w:val="auto"/>
                <w:spacing w:val="-11"/>
                <w:sz w:val="21"/>
                <w:szCs w:val="21"/>
                <w:highlight w:val="none"/>
              </w:rPr>
              <w:t>衡</w:t>
            </w:r>
            <w:r>
              <w:rPr>
                <w:rFonts w:hint="eastAsia" w:ascii="宋体" w:hAnsi="宋体" w:eastAsia="宋体" w:cs="宋体"/>
                <w:color w:val="auto"/>
                <w:spacing w:val="-20"/>
                <w:sz w:val="21"/>
                <w:szCs w:val="21"/>
                <w:highlight w:val="none"/>
              </w:rPr>
              <w:t xml:space="preserve"> </w:t>
            </w:r>
            <w:r>
              <w:rPr>
                <w:rFonts w:hint="eastAsia" w:ascii="宋体" w:hAnsi="宋体" w:eastAsia="宋体" w:cs="宋体"/>
                <w:color w:val="auto"/>
                <w:spacing w:val="-11"/>
                <w:sz w:val="21"/>
                <w:szCs w:val="21"/>
                <w:highlight w:val="none"/>
              </w:rPr>
              <w:t>)</w:t>
            </w:r>
            <w:r>
              <w:rPr>
                <w:rFonts w:hint="eastAsia" w:ascii="宋体" w:hAnsi="宋体" w:cs="宋体"/>
                <w:color w:val="auto"/>
                <w:spacing w:val="-11"/>
                <w:sz w:val="21"/>
                <w:szCs w:val="21"/>
                <w:highlight w:val="none"/>
                <w:lang w:eastAsia="zh-CN"/>
              </w:rPr>
              <w:t>、10KΩ( 不平衡);</w:t>
            </w:r>
          </w:p>
          <w:p w14:paraId="36B4BD5C">
            <w:pPr>
              <w:spacing w:before="11" w:line="219" w:lineRule="auto"/>
              <w:ind w:left="32"/>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5、谐波失真THD＜1%</w:t>
            </w:r>
            <w:r>
              <w:rPr>
                <w:rFonts w:hint="eastAsia" w:ascii="宋体" w:hAnsi="宋体" w:eastAsia="宋体" w:cs="宋体"/>
                <w:color w:val="auto"/>
                <w:spacing w:val="-2"/>
                <w:sz w:val="21"/>
                <w:szCs w:val="21"/>
                <w:highlight w:val="none"/>
              </w:rPr>
              <w:t>;</w:t>
            </w:r>
          </w:p>
          <w:p w14:paraId="360750EB">
            <w:pPr>
              <w:spacing w:before="11" w:line="219" w:lineRule="auto"/>
              <w:ind w:left="32"/>
              <w:rPr>
                <w:rFonts w:hint="eastAsia" w:ascii="宋体" w:hAnsi="宋体" w:eastAsia="宋体" w:cs="宋体"/>
                <w:color w:val="auto"/>
                <w:spacing w:val="-2"/>
                <w:sz w:val="21"/>
                <w:szCs w:val="21"/>
                <w:highlight w:val="none"/>
              </w:rPr>
            </w:pPr>
            <w:r>
              <w:rPr>
                <w:rFonts w:hint="eastAsia" w:ascii="宋体" w:hAnsi="宋体" w:eastAsia="宋体" w:cs="宋体"/>
                <w:color w:val="auto"/>
                <w:spacing w:val="-1"/>
                <w:sz w:val="21"/>
                <w:szCs w:val="21"/>
                <w:highlight w:val="none"/>
              </w:rPr>
              <w:t>6、信噪比≥103</w:t>
            </w:r>
            <w:r>
              <w:rPr>
                <w:rFonts w:hint="eastAsia" w:ascii="宋体" w:hAnsi="宋体" w:eastAsia="宋体" w:cs="宋体"/>
                <w:color w:val="auto"/>
                <w:spacing w:val="-2"/>
                <w:sz w:val="21"/>
                <w:szCs w:val="21"/>
                <w:highlight w:val="none"/>
              </w:rPr>
              <w:t>dB;</w:t>
            </w:r>
          </w:p>
          <w:p w14:paraId="3D559A87">
            <w:pPr>
              <w:spacing w:before="11" w:line="219" w:lineRule="auto"/>
              <w:ind w:left="32"/>
              <w:rPr>
                <w:rFonts w:hint="eastAsia" w:ascii="宋体" w:hAnsi="宋体" w:eastAsia="宋体" w:cs="宋体"/>
                <w:color w:val="auto"/>
                <w:spacing w:val="-2"/>
                <w:sz w:val="21"/>
                <w:szCs w:val="21"/>
                <w:highlight w:val="none"/>
              </w:rPr>
            </w:pPr>
            <w:r>
              <w:rPr>
                <w:rFonts w:hint="eastAsia" w:ascii="宋体" w:hAnsi="宋体" w:cs="宋体"/>
                <w:color w:val="auto"/>
                <w:spacing w:val="-2"/>
                <w:sz w:val="21"/>
                <w:szCs w:val="21"/>
                <w:highlight w:val="none"/>
                <w:lang w:val="en-US" w:eastAsia="zh-CN"/>
              </w:rPr>
              <w:t>7、</w:t>
            </w:r>
            <w:r>
              <w:rPr>
                <w:rFonts w:hint="eastAsia" w:ascii="宋体" w:hAnsi="宋体" w:eastAsia="宋体" w:cs="宋体"/>
                <w:color w:val="auto"/>
                <w:spacing w:val="-2"/>
                <w:sz w:val="21"/>
                <w:szCs w:val="21"/>
                <w:highlight w:val="none"/>
              </w:rPr>
              <w:t>阻尼系数&gt;250;</w:t>
            </w:r>
          </w:p>
          <w:p w14:paraId="3B8F7AF4">
            <w:pPr>
              <w:spacing w:before="11" w:line="219" w:lineRule="auto"/>
              <w:ind w:left="32"/>
              <w:rPr>
                <w:rFonts w:hint="eastAsia" w:ascii="宋体" w:hAnsi="宋体" w:eastAsia="宋体" w:cs="宋体"/>
                <w:color w:val="auto"/>
                <w:spacing w:val="-2"/>
                <w:sz w:val="21"/>
                <w:szCs w:val="21"/>
                <w:highlight w:val="none"/>
                <w:lang w:eastAsia="zh-CN"/>
              </w:rPr>
            </w:pPr>
            <w:r>
              <w:rPr>
                <w:rFonts w:hint="eastAsia" w:ascii="宋体" w:hAnsi="宋体" w:cs="宋体"/>
                <w:color w:val="auto"/>
                <w:spacing w:val="-2"/>
                <w:sz w:val="21"/>
                <w:szCs w:val="21"/>
                <w:highlight w:val="none"/>
                <w:lang w:val="en-US" w:eastAsia="zh-CN"/>
              </w:rPr>
              <w:t>8、</w:t>
            </w:r>
            <w:r>
              <w:rPr>
                <w:rFonts w:hint="eastAsia" w:ascii="宋体" w:hAnsi="宋体" w:eastAsia="宋体" w:cs="宋体"/>
                <w:color w:val="auto"/>
                <w:spacing w:val="-2"/>
                <w:sz w:val="21"/>
                <w:szCs w:val="21"/>
                <w:highlight w:val="none"/>
              </w:rPr>
              <w:t xml:space="preserve">电压增益35dB </w:t>
            </w:r>
            <w:r>
              <w:rPr>
                <w:rFonts w:hint="eastAsia" w:ascii="宋体" w:hAnsi="宋体" w:cs="宋体"/>
                <w:color w:val="auto"/>
                <w:spacing w:val="-2"/>
                <w:sz w:val="21"/>
                <w:szCs w:val="21"/>
                <w:highlight w:val="none"/>
                <w:lang w:eastAsia="zh-CN"/>
              </w:rPr>
              <w:t>。</w:t>
            </w:r>
          </w:p>
          <w:p w14:paraId="3D004CBB">
            <w:pPr>
              <w:spacing w:before="1" w:line="196" w:lineRule="auto"/>
              <w:rPr>
                <w:rFonts w:hint="eastAsia" w:ascii="宋体" w:hAnsi="宋体" w:eastAsia="宋体" w:cs="宋体"/>
                <w:color w:val="auto"/>
                <w:spacing w:val="-2"/>
                <w:sz w:val="21"/>
                <w:szCs w:val="21"/>
                <w:highlight w:val="none"/>
              </w:rPr>
            </w:pPr>
            <w:r>
              <w:rPr>
                <w:rFonts w:hint="eastAsia" w:ascii="宋体" w:hAnsi="宋体" w:eastAsia="宋体" w:cs="宋体"/>
                <w:color w:val="auto"/>
                <w:sz w:val="21"/>
                <w:szCs w:val="21"/>
                <w:highlight w:val="none"/>
                <w:lang w:val="en-US" w:eastAsia="zh-CN"/>
              </w:rPr>
              <w:t>以上带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的要求</w:t>
            </w:r>
            <w:r>
              <w:rPr>
                <w:rFonts w:hint="eastAsia" w:ascii="宋体" w:hAnsi="宋体" w:eastAsia="宋体" w:cs="宋体"/>
                <w:color w:val="auto"/>
                <w:spacing w:val="-9"/>
                <w:sz w:val="21"/>
                <w:szCs w:val="21"/>
                <w:highlight w:val="none"/>
              </w:rPr>
              <w:t>提</w:t>
            </w:r>
            <w:r>
              <w:rPr>
                <w:rFonts w:hint="eastAsia" w:ascii="宋体" w:hAnsi="宋体" w:eastAsia="宋体" w:cs="宋体"/>
                <w:color w:val="auto"/>
                <w:spacing w:val="-32"/>
                <w:sz w:val="21"/>
                <w:szCs w:val="21"/>
                <w:highlight w:val="none"/>
              </w:rPr>
              <w:t xml:space="preserve"> </w:t>
            </w:r>
            <w:r>
              <w:rPr>
                <w:rFonts w:hint="eastAsia" w:ascii="宋体" w:hAnsi="宋体" w:eastAsia="宋体" w:cs="宋体"/>
                <w:color w:val="auto"/>
                <w:spacing w:val="-9"/>
                <w:sz w:val="21"/>
                <w:szCs w:val="21"/>
                <w:highlight w:val="none"/>
              </w:rPr>
              <w:t>供</w:t>
            </w:r>
            <w:r>
              <w:rPr>
                <w:rFonts w:hint="eastAsia" w:ascii="宋体" w:hAnsi="宋体" w:eastAsia="宋体" w:cs="宋体"/>
                <w:color w:val="auto"/>
                <w:spacing w:val="-29"/>
                <w:sz w:val="21"/>
                <w:szCs w:val="21"/>
                <w:highlight w:val="none"/>
              </w:rPr>
              <w:t xml:space="preserve"> </w:t>
            </w:r>
            <w:r>
              <w:rPr>
                <w:rFonts w:hint="eastAsia" w:ascii="宋体" w:hAnsi="宋体" w:eastAsia="宋体" w:cs="宋体"/>
                <w:color w:val="auto"/>
                <w:spacing w:val="-9"/>
                <w:sz w:val="21"/>
                <w:szCs w:val="21"/>
                <w:highlight w:val="none"/>
              </w:rPr>
              <w:t>强</w:t>
            </w:r>
            <w:r>
              <w:rPr>
                <w:rFonts w:hint="eastAsia" w:ascii="宋体" w:hAnsi="宋体" w:eastAsia="宋体" w:cs="宋体"/>
                <w:color w:val="auto"/>
                <w:spacing w:val="-32"/>
                <w:sz w:val="21"/>
                <w:szCs w:val="21"/>
                <w:highlight w:val="none"/>
              </w:rPr>
              <w:t xml:space="preserve"> </w:t>
            </w:r>
            <w:r>
              <w:rPr>
                <w:rFonts w:hint="eastAsia" w:ascii="宋体" w:hAnsi="宋体" w:eastAsia="宋体" w:cs="宋体"/>
                <w:color w:val="auto"/>
                <w:spacing w:val="-9"/>
                <w:sz w:val="21"/>
                <w:szCs w:val="21"/>
                <w:highlight w:val="none"/>
              </w:rPr>
              <w:t>制</w:t>
            </w:r>
            <w:r>
              <w:rPr>
                <w:rFonts w:hint="eastAsia" w:ascii="宋体" w:hAnsi="宋体" w:eastAsia="宋体" w:cs="宋体"/>
                <w:color w:val="auto"/>
                <w:spacing w:val="-30"/>
                <w:sz w:val="21"/>
                <w:szCs w:val="21"/>
                <w:highlight w:val="none"/>
              </w:rPr>
              <w:t xml:space="preserve"> </w:t>
            </w:r>
            <w:r>
              <w:rPr>
                <w:rFonts w:hint="eastAsia" w:ascii="宋体" w:hAnsi="宋体" w:eastAsia="宋体" w:cs="宋体"/>
                <w:color w:val="auto"/>
                <w:spacing w:val="-9"/>
                <w:sz w:val="21"/>
                <w:szCs w:val="21"/>
                <w:highlight w:val="none"/>
              </w:rPr>
              <w:t>性</w:t>
            </w:r>
            <w:r>
              <w:rPr>
                <w:rFonts w:hint="eastAsia" w:ascii="宋体" w:hAnsi="宋体" w:eastAsia="宋体" w:cs="宋体"/>
                <w:color w:val="auto"/>
                <w:spacing w:val="-33"/>
                <w:sz w:val="21"/>
                <w:szCs w:val="21"/>
                <w:highlight w:val="none"/>
              </w:rPr>
              <w:t xml:space="preserve"> </w:t>
            </w:r>
            <w:r>
              <w:rPr>
                <w:rFonts w:hint="eastAsia" w:ascii="宋体" w:hAnsi="宋体" w:eastAsia="宋体" w:cs="宋体"/>
                <w:color w:val="auto"/>
                <w:spacing w:val="-9"/>
                <w:sz w:val="21"/>
                <w:szCs w:val="21"/>
                <w:highlight w:val="none"/>
              </w:rPr>
              <w:t>C</w:t>
            </w:r>
            <w:r>
              <w:rPr>
                <w:rFonts w:hint="eastAsia" w:ascii="宋体" w:hAnsi="宋体" w:eastAsia="宋体" w:cs="宋体"/>
                <w:color w:val="auto"/>
                <w:spacing w:val="-34"/>
                <w:sz w:val="21"/>
                <w:szCs w:val="21"/>
                <w:highlight w:val="none"/>
              </w:rPr>
              <w:t xml:space="preserve"> </w:t>
            </w:r>
            <w:r>
              <w:rPr>
                <w:rFonts w:hint="eastAsia" w:ascii="宋体" w:hAnsi="宋体" w:eastAsia="宋体" w:cs="宋体"/>
                <w:color w:val="auto"/>
                <w:spacing w:val="-9"/>
                <w:sz w:val="21"/>
                <w:szCs w:val="21"/>
                <w:highlight w:val="none"/>
              </w:rPr>
              <w:t>Q</w:t>
            </w:r>
            <w:r>
              <w:rPr>
                <w:rFonts w:hint="eastAsia" w:ascii="宋体" w:hAnsi="宋体" w:eastAsia="宋体" w:cs="宋体"/>
                <w:color w:val="auto"/>
                <w:spacing w:val="-33"/>
                <w:sz w:val="21"/>
                <w:szCs w:val="21"/>
                <w:highlight w:val="none"/>
              </w:rPr>
              <w:t xml:space="preserve"> </w:t>
            </w:r>
            <w:r>
              <w:rPr>
                <w:rFonts w:hint="eastAsia" w:ascii="宋体" w:hAnsi="宋体" w:eastAsia="宋体" w:cs="宋体"/>
                <w:color w:val="auto"/>
                <w:spacing w:val="-9"/>
                <w:sz w:val="21"/>
                <w:szCs w:val="21"/>
                <w:highlight w:val="none"/>
              </w:rPr>
              <w:t>C</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4"/>
                <w:sz w:val="21"/>
                <w:szCs w:val="21"/>
                <w:highlight w:val="none"/>
              </w:rPr>
              <w:t>认证证书、3C</w:t>
            </w:r>
            <w:r>
              <w:rPr>
                <w:rFonts w:hint="eastAsia" w:ascii="宋体" w:hAnsi="宋体" w:eastAsia="宋体" w:cs="宋体"/>
                <w:color w:val="auto"/>
                <w:spacing w:val="16"/>
                <w:sz w:val="21"/>
                <w:szCs w:val="21"/>
                <w:highlight w:val="none"/>
              </w:rPr>
              <w:t>证书、</w:t>
            </w:r>
            <w:r>
              <w:rPr>
                <w:rFonts w:hint="eastAsia" w:ascii="宋体" w:hAnsi="宋体" w:eastAsia="宋体" w:cs="宋体"/>
                <w:color w:val="auto"/>
                <w:sz w:val="21"/>
                <w:szCs w:val="21"/>
                <w:highlight w:val="none"/>
              </w:rPr>
              <w:t>第三方检测机构出具的CNAS</w:t>
            </w:r>
            <w:r>
              <w:rPr>
                <w:rFonts w:hint="eastAsia" w:ascii="宋体" w:hAnsi="宋体" w:eastAsia="宋体" w:cs="宋体"/>
                <w:color w:val="auto"/>
                <w:sz w:val="21"/>
                <w:szCs w:val="21"/>
                <w:highlight w:val="none"/>
                <w:lang w:val="en-US" w:eastAsia="zh-CN"/>
              </w:rPr>
              <w:t>标识或</w:t>
            </w:r>
            <w:r>
              <w:rPr>
                <w:rFonts w:hint="eastAsia" w:ascii="宋体" w:hAnsi="宋体" w:eastAsia="宋体" w:cs="宋体"/>
                <w:color w:val="auto"/>
                <w:sz w:val="21"/>
                <w:szCs w:val="21"/>
                <w:highlight w:val="none"/>
              </w:rPr>
              <w:t>CMA</w:t>
            </w:r>
            <w:r>
              <w:rPr>
                <w:rFonts w:hint="eastAsia" w:ascii="宋体" w:hAnsi="宋体" w:eastAsia="宋体" w:cs="宋体"/>
                <w:color w:val="auto"/>
                <w:sz w:val="21"/>
                <w:szCs w:val="21"/>
                <w:highlight w:val="none"/>
                <w:lang w:val="en-US" w:eastAsia="zh-CN"/>
              </w:rPr>
              <w:t>标识</w:t>
            </w:r>
            <w:r>
              <w:rPr>
                <w:rFonts w:hint="eastAsia" w:ascii="宋体" w:hAnsi="宋体" w:eastAsia="宋体" w:cs="宋体"/>
                <w:color w:val="auto"/>
                <w:sz w:val="21"/>
                <w:szCs w:val="21"/>
                <w:highlight w:val="none"/>
              </w:rPr>
              <w:t>的检测报告</w:t>
            </w:r>
            <w:r>
              <w:rPr>
                <w:rFonts w:hint="eastAsia" w:ascii="宋体" w:hAnsi="宋体" w:eastAsia="宋体" w:cs="宋体"/>
                <w:color w:val="auto"/>
                <w:sz w:val="21"/>
                <w:szCs w:val="21"/>
                <w:highlight w:val="none"/>
                <w:lang w:val="en-US" w:eastAsia="zh-CN"/>
              </w:rPr>
              <w:t>原件扫描件</w:t>
            </w:r>
            <w:r>
              <w:rPr>
                <w:rFonts w:hint="eastAsia" w:ascii="宋体" w:hAnsi="宋体" w:eastAsia="宋体" w:cs="宋体"/>
                <w:color w:val="auto"/>
                <w:sz w:val="21"/>
                <w:szCs w:val="21"/>
                <w:highlight w:val="none"/>
              </w:rPr>
              <w:t xml:space="preserve"> </w:t>
            </w:r>
          </w:p>
          <w:p w14:paraId="730EDEBC">
            <w:pPr>
              <w:spacing w:before="5" w:line="233" w:lineRule="auto"/>
              <w:ind w:left="13" w:firstLine="39"/>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(含所需线</w:t>
            </w:r>
            <w:r>
              <w:rPr>
                <w:rFonts w:hint="eastAsia" w:ascii="宋体" w:hAnsi="宋体" w:eastAsia="宋体" w:cs="宋体"/>
                <w:color w:val="auto"/>
                <w:spacing w:val="10"/>
                <w:sz w:val="21"/>
                <w:szCs w:val="21"/>
                <w:highlight w:val="none"/>
              </w:rPr>
              <w:t>材，吊</w:t>
            </w:r>
            <w:r>
              <w:rPr>
                <w:rFonts w:hint="eastAsia" w:ascii="宋体" w:hAnsi="宋体" w:eastAsia="宋体" w:cs="宋体"/>
                <w:color w:val="auto"/>
                <w:spacing w:val="10"/>
                <w:sz w:val="21"/>
                <w:szCs w:val="21"/>
                <w:highlight w:val="none"/>
              </w:rPr>
              <w:t>架、备件、</w:t>
            </w:r>
            <w:r>
              <w:rPr>
                <w:rFonts w:hint="eastAsia" w:ascii="宋体" w:hAnsi="宋体" w:eastAsia="宋体" w:cs="宋体"/>
                <w:color w:val="auto"/>
                <w:spacing w:val="3"/>
                <w:sz w:val="21"/>
                <w:szCs w:val="21"/>
                <w:highlight w:val="none"/>
              </w:rPr>
              <w:t>旧设备拆除，配套</w:t>
            </w:r>
            <w:r>
              <w:rPr>
                <w:rFonts w:hint="eastAsia" w:ascii="宋体" w:hAnsi="宋体" w:eastAsia="宋体" w:cs="宋体"/>
                <w:color w:val="auto"/>
                <w:spacing w:val="-6"/>
                <w:sz w:val="21"/>
                <w:szCs w:val="21"/>
                <w:highlight w:val="none"/>
              </w:rPr>
              <w:t>的改造装修费用</w:t>
            </w:r>
            <w:r>
              <w:rPr>
                <w:rFonts w:hint="eastAsia" w:ascii="宋体" w:hAnsi="宋体" w:eastAsia="宋体" w:cs="宋体"/>
                <w:color w:val="auto"/>
                <w:sz w:val="21"/>
                <w:szCs w:val="21"/>
                <w:highlight w:val="none"/>
              </w:rPr>
              <w:t>)</w:t>
            </w:r>
          </w:p>
        </w:tc>
        <w:tc>
          <w:tcPr>
            <w:tcW w:w="718" w:type="dxa"/>
            <w:shd w:val="clear" w:color="auto" w:fill="auto"/>
            <w:vAlign w:val="center"/>
          </w:tcPr>
          <w:p w14:paraId="2C4A003C">
            <w:pPr>
              <w:spacing w:before="55" w:line="22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2套</w:t>
            </w:r>
          </w:p>
        </w:tc>
        <w:tc>
          <w:tcPr>
            <w:tcW w:w="706" w:type="dxa"/>
            <w:shd w:val="clear" w:color="auto" w:fill="auto"/>
            <w:vAlign w:val="center"/>
          </w:tcPr>
          <w:p w14:paraId="1155F81F">
            <w:pPr>
              <w:spacing w:before="55" w:line="22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lang w:val="en-US" w:eastAsia="zh-CN"/>
              </w:rPr>
              <w:t>工业</w:t>
            </w:r>
          </w:p>
        </w:tc>
      </w:tr>
      <w:tr w14:paraId="422BE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5" w:type="dxa"/>
            <w:vAlign w:val="center"/>
          </w:tcPr>
          <w:p w14:paraId="2F302014">
            <w:pPr>
              <w:keepLines/>
              <w:widowControl/>
              <w:wordWrap w:val="0"/>
              <w:topLinePun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756" w:type="dxa"/>
            <w:shd w:val="clear" w:color="auto" w:fill="auto"/>
            <w:vAlign w:val="center"/>
          </w:tcPr>
          <w:p w14:paraId="0A42F0A6">
            <w:pPr>
              <w:spacing w:before="59" w:line="209" w:lineRule="auto"/>
              <w:ind w:left="11" w:right="3"/>
              <w:jc w:val="center"/>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舞台返听音箱功放</w:t>
            </w:r>
          </w:p>
        </w:tc>
        <w:tc>
          <w:tcPr>
            <w:tcW w:w="6814" w:type="dxa"/>
            <w:shd w:val="clear" w:color="auto" w:fill="auto"/>
          </w:tcPr>
          <w:p w14:paraId="1C4AE4AC">
            <w:pPr>
              <w:spacing w:line="238" w:lineRule="auto"/>
              <w:ind w:left="13" w:right="291"/>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1、</w:t>
            </w:r>
            <w:r>
              <w:rPr>
                <w:rFonts w:hint="eastAsia" w:ascii="宋体" w:hAnsi="宋体" w:eastAsia="宋体" w:cs="宋体"/>
                <w:color w:val="auto"/>
                <w:spacing w:val="1"/>
                <w:sz w:val="21"/>
                <w:szCs w:val="21"/>
                <w:highlight w:val="none"/>
              </w:rPr>
              <w:t>高效率功放D类线路设计。</w:t>
            </w:r>
          </w:p>
          <w:p w14:paraId="08574545">
            <w:pPr>
              <w:spacing w:line="196" w:lineRule="auto"/>
              <w:ind w:left="13" w:right="7"/>
              <w:rPr>
                <w:rFonts w:hint="eastAsia" w:ascii="宋体" w:hAnsi="宋体" w:eastAsia="宋体" w:cs="宋体"/>
                <w:color w:val="auto"/>
                <w:spacing w:val="-3"/>
                <w:sz w:val="21"/>
                <w:szCs w:val="21"/>
                <w:highlight w:val="none"/>
              </w:rPr>
            </w:pPr>
            <w:r>
              <w:rPr>
                <w:rFonts w:hint="eastAsia" w:ascii="宋体" w:hAnsi="宋体" w:eastAsia="宋体" w:cs="宋体"/>
                <w:color w:val="auto"/>
                <w:spacing w:val="10"/>
                <w:sz w:val="21"/>
                <w:szCs w:val="21"/>
                <w:highlight w:val="none"/>
              </w:rPr>
              <w:t>2、立体声输出功率</w:t>
            </w:r>
            <w:r>
              <w:rPr>
                <w:rFonts w:hint="eastAsia" w:ascii="宋体" w:hAnsi="宋体" w:eastAsia="宋体" w:cs="宋体"/>
                <w:color w:val="auto"/>
                <w:spacing w:val="6"/>
                <w:sz w:val="21"/>
                <w:szCs w:val="21"/>
                <w:highlight w:val="none"/>
              </w:rPr>
              <w:t>：</w:t>
            </w:r>
            <w:r>
              <w:rPr>
                <w:rFonts w:hint="eastAsia" w:ascii="宋体" w:hAnsi="宋体" w:eastAsia="宋体" w:cs="宋体"/>
                <w:color w:val="auto"/>
                <w:spacing w:val="-3"/>
                <w:sz w:val="21"/>
                <w:szCs w:val="21"/>
                <w:highlight w:val="none"/>
              </w:rPr>
              <w:t>8Ω≥300W×2；4Ω:≥450W×2</w:t>
            </w:r>
            <w:r>
              <w:rPr>
                <w:rFonts w:hint="eastAsia" w:ascii="宋体" w:hAnsi="宋体" w:cs="宋体"/>
                <w:color w:val="auto"/>
                <w:spacing w:val="-3"/>
                <w:sz w:val="21"/>
                <w:szCs w:val="21"/>
                <w:highlight w:val="none"/>
                <w:lang w:eastAsia="zh-CN"/>
              </w:rPr>
              <w:t>；2Ω:≥650W×2</w:t>
            </w:r>
            <w:r>
              <w:rPr>
                <w:rFonts w:hint="eastAsia" w:ascii="宋体" w:hAnsi="宋体" w:eastAsia="宋体" w:cs="宋体"/>
                <w:color w:val="auto"/>
                <w:spacing w:val="-3"/>
                <w:sz w:val="21"/>
                <w:szCs w:val="21"/>
                <w:highlight w:val="none"/>
              </w:rPr>
              <w:t>。</w:t>
            </w:r>
          </w:p>
          <w:p w14:paraId="4697C647">
            <w:pPr>
              <w:spacing w:line="196" w:lineRule="auto"/>
              <w:ind w:left="13" w:right="7"/>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3、桥接功率：8</w:t>
            </w:r>
            <w:r>
              <w:rPr>
                <w:rFonts w:hint="eastAsia" w:ascii="宋体" w:hAnsi="宋体" w:eastAsia="宋体" w:cs="宋体"/>
                <w:color w:val="auto"/>
                <w:spacing w:val="-3"/>
                <w:sz w:val="21"/>
                <w:szCs w:val="21"/>
                <w:highlight w:val="none"/>
              </w:rPr>
              <w:t>Ω</w:t>
            </w:r>
            <w:r>
              <w:rPr>
                <w:rFonts w:hint="eastAsia" w:ascii="宋体" w:hAnsi="宋体" w:eastAsia="宋体" w:cs="宋体"/>
                <w:color w:val="auto"/>
                <w:spacing w:val="3"/>
                <w:sz w:val="21"/>
                <w:szCs w:val="21"/>
                <w:highlight w:val="none"/>
              </w:rPr>
              <w:t>:</w:t>
            </w:r>
            <w:r>
              <w:rPr>
                <w:rFonts w:hint="eastAsia" w:ascii="宋体" w:hAnsi="宋体" w:eastAsia="宋体" w:cs="宋体"/>
                <w:color w:val="auto"/>
                <w:spacing w:val="-2"/>
                <w:sz w:val="21"/>
                <w:szCs w:val="21"/>
                <w:highlight w:val="none"/>
              </w:rPr>
              <w:t>≥900W</w:t>
            </w:r>
            <w:r>
              <w:rPr>
                <w:rFonts w:hint="eastAsia" w:ascii="宋体" w:hAnsi="宋体" w:cs="宋体"/>
                <w:color w:val="auto"/>
                <w:spacing w:val="-2"/>
                <w:sz w:val="21"/>
                <w:szCs w:val="21"/>
                <w:highlight w:val="none"/>
                <w:lang w:eastAsia="zh-CN"/>
              </w:rPr>
              <w:t>；、4Ω:≥1200W</w:t>
            </w:r>
            <w:r>
              <w:rPr>
                <w:rFonts w:hint="eastAsia" w:ascii="宋体" w:hAnsi="宋体" w:eastAsia="宋体" w:cs="宋体"/>
                <w:color w:val="auto"/>
                <w:spacing w:val="-3"/>
                <w:sz w:val="21"/>
                <w:szCs w:val="21"/>
                <w:highlight w:val="none"/>
              </w:rPr>
              <w:t>。</w:t>
            </w:r>
          </w:p>
          <w:p w14:paraId="6A991E67">
            <w:pPr>
              <w:spacing w:before="1" w:line="196" w:lineRule="auto"/>
              <w:ind w:left="13" w:right="86" w:firstLine="9"/>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4、频率响应20</w:t>
            </w:r>
            <w:r>
              <w:rPr>
                <w:rFonts w:hint="eastAsia" w:ascii="宋体" w:hAnsi="宋体" w:eastAsia="宋体" w:cs="宋体"/>
                <w:color w:val="auto"/>
                <w:sz w:val="21"/>
                <w:szCs w:val="21"/>
                <w:highlight w:val="none"/>
              </w:rPr>
              <w:t>Hz</w:t>
            </w:r>
            <w:r>
              <w:rPr>
                <w:rFonts w:hint="eastAsia" w:ascii="宋体" w:hAnsi="宋体" w:eastAsia="宋体" w:cs="宋体"/>
                <w:color w:val="auto"/>
                <w:spacing w:val="8"/>
                <w:sz w:val="21"/>
                <w:szCs w:val="21"/>
                <w:highlight w:val="none"/>
              </w:rPr>
              <w:t>-20</w:t>
            </w:r>
            <w:r>
              <w:rPr>
                <w:rFonts w:hint="eastAsia" w:ascii="宋体" w:hAnsi="宋体" w:eastAsia="宋体" w:cs="宋体"/>
                <w:color w:val="auto"/>
                <w:spacing w:val="5"/>
                <w:sz w:val="21"/>
                <w:szCs w:val="21"/>
                <w:highlight w:val="none"/>
              </w:rPr>
              <w:t xml:space="preserve"> </w:t>
            </w:r>
            <w:r>
              <w:rPr>
                <w:rFonts w:hint="eastAsia" w:ascii="宋体" w:hAnsi="宋体" w:eastAsia="宋体" w:cs="宋体"/>
                <w:color w:val="auto"/>
                <w:spacing w:val="-3"/>
                <w:sz w:val="21"/>
                <w:szCs w:val="21"/>
                <w:highlight w:val="none"/>
              </w:rPr>
              <w:t>kHz ±0.5dB。</w:t>
            </w:r>
          </w:p>
          <w:p w14:paraId="1D859D93">
            <w:pPr>
              <w:spacing w:before="2" w:line="195" w:lineRule="auto"/>
              <w:ind w:left="13" w:right="265" w:firstLine="9"/>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5、输入阻抗20KΩ(</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15"/>
                <w:sz w:val="21"/>
                <w:szCs w:val="21"/>
                <w:highlight w:val="none"/>
              </w:rPr>
              <w:t>平衡)、10KΩ(不平衡)。</w:t>
            </w:r>
          </w:p>
          <w:p w14:paraId="546AEC73">
            <w:pPr>
              <w:spacing w:before="11" w:line="219" w:lineRule="auto"/>
              <w:ind w:left="32"/>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6、谐波失真THD＜</w:t>
            </w:r>
            <w:r>
              <w:rPr>
                <w:rFonts w:hint="eastAsia" w:ascii="宋体" w:hAnsi="宋体" w:eastAsia="宋体" w:cs="宋体"/>
                <w:color w:val="auto"/>
                <w:spacing w:val="-1"/>
                <w:sz w:val="21"/>
                <w:szCs w:val="21"/>
                <w:highlight w:val="none"/>
                <w:lang w:val="en-US" w:eastAsia="zh-CN"/>
              </w:rPr>
              <w:t>0.</w:t>
            </w:r>
            <w:r>
              <w:rPr>
                <w:rFonts w:hint="eastAsia" w:ascii="宋体" w:hAnsi="宋体" w:eastAsia="宋体" w:cs="宋体"/>
                <w:color w:val="auto"/>
                <w:spacing w:val="-1"/>
                <w:sz w:val="21"/>
                <w:szCs w:val="21"/>
                <w:highlight w:val="none"/>
              </w:rPr>
              <w:t>1%。</w:t>
            </w:r>
          </w:p>
          <w:p w14:paraId="655A6E7B">
            <w:pPr>
              <w:spacing w:before="11" w:line="219" w:lineRule="auto"/>
              <w:ind w:left="32"/>
              <w:rPr>
                <w:rFonts w:hint="eastAsia" w:ascii="宋体" w:hAnsi="宋体" w:eastAsia="宋体" w:cs="宋体"/>
                <w:color w:val="auto"/>
                <w:spacing w:val="-2"/>
                <w:sz w:val="21"/>
                <w:szCs w:val="21"/>
                <w:highlight w:val="none"/>
              </w:rPr>
            </w:pPr>
            <w:r>
              <w:rPr>
                <w:rFonts w:hint="eastAsia" w:ascii="宋体" w:hAnsi="宋体" w:eastAsia="宋体" w:cs="宋体"/>
                <w:color w:val="auto"/>
                <w:spacing w:val="-1"/>
                <w:sz w:val="21"/>
                <w:szCs w:val="21"/>
                <w:highlight w:val="none"/>
              </w:rPr>
              <w:t>7、信噪比</w:t>
            </w:r>
            <w:r>
              <w:rPr>
                <w:rFonts w:hint="eastAsia" w:ascii="宋体" w:hAnsi="宋体" w:eastAsia="宋体" w:cs="宋体"/>
                <w:color w:val="auto"/>
                <w:spacing w:val="4"/>
                <w:sz w:val="21"/>
                <w:szCs w:val="21"/>
                <w:highlight w:val="none"/>
              </w:rPr>
              <w:t>＞</w:t>
            </w:r>
            <w:r>
              <w:rPr>
                <w:rFonts w:hint="eastAsia" w:ascii="宋体" w:hAnsi="宋体" w:eastAsia="宋体" w:cs="宋体"/>
                <w:color w:val="auto"/>
                <w:spacing w:val="4"/>
                <w:sz w:val="21"/>
                <w:szCs w:val="21"/>
                <w:highlight w:val="none"/>
              </w:rPr>
              <w:t>100</w:t>
            </w:r>
            <w:r>
              <w:rPr>
                <w:rFonts w:hint="eastAsia" w:ascii="宋体" w:hAnsi="宋体" w:eastAsia="宋体" w:cs="宋体"/>
                <w:color w:val="auto"/>
                <w:sz w:val="21"/>
                <w:szCs w:val="21"/>
                <w:highlight w:val="none"/>
              </w:rPr>
              <w:t>dB</w:t>
            </w:r>
            <w:r>
              <w:rPr>
                <w:rFonts w:hint="eastAsia" w:ascii="宋体" w:hAnsi="宋体" w:eastAsia="宋体" w:cs="宋体"/>
                <w:color w:val="auto"/>
                <w:spacing w:val="-2"/>
                <w:sz w:val="21"/>
                <w:szCs w:val="21"/>
                <w:highlight w:val="none"/>
              </w:rPr>
              <w:t>。</w:t>
            </w:r>
          </w:p>
          <w:p w14:paraId="27BAB5F9">
            <w:pPr>
              <w:spacing w:before="11" w:line="219" w:lineRule="auto"/>
              <w:ind w:left="32"/>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8、阻尼系数＞</w:t>
            </w:r>
            <w:r>
              <w:rPr>
                <w:rFonts w:hint="eastAsia" w:ascii="宋体" w:hAnsi="宋体" w:cs="宋体"/>
                <w:color w:val="auto"/>
                <w:spacing w:val="-2"/>
                <w:sz w:val="21"/>
                <w:szCs w:val="21"/>
                <w:highlight w:val="none"/>
                <w:lang w:val="en-US" w:eastAsia="zh-CN"/>
              </w:rPr>
              <w:t>250</w:t>
            </w:r>
            <w:r>
              <w:rPr>
                <w:rFonts w:hint="eastAsia" w:ascii="宋体" w:hAnsi="宋体" w:eastAsia="宋体" w:cs="宋体"/>
                <w:color w:val="auto"/>
                <w:spacing w:val="-2"/>
                <w:sz w:val="21"/>
                <w:szCs w:val="21"/>
                <w:highlight w:val="none"/>
              </w:rPr>
              <w:t>。</w:t>
            </w:r>
          </w:p>
          <w:p w14:paraId="5A566D5E">
            <w:pPr>
              <w:spacing w:before="11" w:line="219" w:lineRule="auto"/>
              <w:ind w:left="32"/>
              <w:rPr>
                <w:rFonts w:hint="eastAsia" w:ascii="宋体" w:hAnsi="宋体" w:eastAsia="宋体" w:cs="宋体"/>
                <w:color w:val="auto"/>
                <w:spacing w:val="-2"/>
                <w:sz w:val="21"/>
                <w:szCs w:val="21"/>
                <w:highlight w:val="none"/>
              </w:rPr>
            </w:pPr>
            <w:r>
              <w:rPr>
                <w:rFonts w:hint="eastAsia" w:ascii="宋体" w:hAnsi="宋体" w:cs="宋体"/>
                <w:color w:val="auto"/>
                <w:spacing w:val="-2"/>
                <w:sz w:val="21"/>
                <w:szCs w:val="21"/>
                <w:highlight w:val="none"/>
                <w:lang w:val="en-US" w:eastAsia="zh-CN"/>
              </w:rPr>
              <w:t>9、</w:t>
            </w:r>
            <w:r>
              <w:rPr>
                <w:rFonts w:hint="eastAsia" w:ascii="宋体" w:hAnsi="宋体" w:eastAsia="宋体" w:cs="宋体"/>
                <w:color w:val="auto"/>
                <w:spacing w:val="-2"/>
                <w:sz w:val="21"/>
                <w:szCs w:val="21"/>
                <w:highlight w:val="none"/>
              </w:rPr>
              <w:t xml:space="preserve">电压增益35dB </w:t>
            </w:r>
            <w:r>
              <w:rPr>
                <w:rFonts w:hint="eastAsia" w:ascii="宋体" w:hAnsi="宋体" w:cs="宋体"/>
                <w:color w:val="auto"/>
                <w:spacing w:val="-2"/>
                <w:sz w:val="21"/>
                <w:szCs w:val="21"/>
                <w:highlight w:val="none"/>
                <w:lang w:eastAsia="zh-CN"/>
              </w:rPr>
              <w:t>。</w:t>
            </w:r>
          </w:p>
          <w:p w14:paraId="02EFB1A9">
            <w:pPr>
              <w:spacing w:before="1" w:line="200" w:lineRule="auto"/>
              <w:ind w:left="13" w:right="1"/>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(含所需线</w:t>
            </w:r>
            <w:r>
              <w:rPr>
                <w:rFonts w:hint="eastAsia" w:ascii="宋体" w:hAnsi="宋体" w:eastAsia="宋体" w:cs="宋体"/>
                <w:color w:val="auto"/>
                <w:spacing w:val="10"/>
                <w:sz w:val="21"/>
                <w:szCs w:val="21"/>
                <w:highlight w:val="none"/>
              </w:rPr>
              <w:t>材，吊</w:t>
            </w:r>
            <w:r>
              <w:rPr>
                <w:rFonts w:hint="eastAsia" w:ascii="宋体" w:hAnsi="宋体" w:eastAsia="宋体" w:cs="宋体"/>
                <w:color w:val="auto"/>
                <w:spacing w:val="10"/>
                <w:sz w:val="21"/>
                <w:szCs w:val="21"/>
                <w:highlight w:val="none"/>
              </w:rPr>
              <w:t>架、备件、</w:t>
            </w:r>
            <w:r>
              <w:rPr>
                <w:rFonts w:hint="eastAsia" w:ascii="宋体" w:hAnsi="宋体" w:eastAsia="宋体" w:cs="宋体"/>
                <w:color w:val="auto"/>
                <w:spacing w:val="3"/>
                <w:sz w:val="21"/>
                <w:szCs w:val="21"/>
                <w:highlight w:val="none"/>
              </w:rPr>
              <w:t>旧设备拆除，配套</w:t>
            </w:r>
            <w:r>
              <w:rPr>
                <w:rFonts w:hint="eastAsia" w:ascii="宋体" w:hAnsi="宋体" w:eastAsia="宋体" w:cs="宋体"/>
                <w:color w:val="auto"/>
                <w:spacing w:val="-6"/>
                <w:sz w:val="21"/>
                <w:szCs w:val="21"/>
                <w:highlight w:val="none"/>
              </w:rPr>
              <w:t>的改造装修费用</w:t>
            </w:r>
            <w:r>
              <w:rPr>
                <w:rFonts w:hint="eastAsia" w:ascii="宋体" w:hAnsi="宋体" w:eastAsia="宋体" w:cs="宋体"/>
                <w:color w:val="auto"/>
                <w:sz w:val="21"/>
                <w:szCs w:val="21"/>
                <w:highlight w:val="none"/>
              </w:rPr>
              <w:t>)</w:t>
            </w:r>
          </w:p>
        </w:tc>
        <w:tc>
          <w:tcPr>
            <w:tcW w:w="718" w:type="dxa"/>
            <w:shd w:val="clear" w:color="auto" w:fill="auto"/>
            <w:vAlign w:val="center"/>
          </w:tcPr>
          <w:p w14:paraId="3A2349CE">
            <w:pPr>
              <w:spacing w:before="55" w:line="22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4套</w:t>
            </w:r>
          </w:p>
        </w:tc>
        <w:tc>
          <w:tcPr>
            <w:tcW w:w="706" w:type="dxa"/>
            <w:shd w:val="clear" w:color="auto" w:fill="auto"/>
            <w:vAlign w:val="center"/>
          </w:tcPr>
          <w:p w14:paraId="57B967B3">
            <w:pPr>
              <w:spacing w:before="55" w:line="22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lang w:val="en-US" w:eastAsia="zh-CN"/>
              </w:rPr>
              <w:t>工业</w:t>
            </w:r>
          </w:p>
        </w:tc>
      </w:tr>
      <w:tr w14:paraId="066BD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5" w:type="dxa"/>
            <w:vAlign w:val="center"/>
          </w:tcPr>
          <w:p w14:paraId="1B7340C8">
            <w:pPr>
              <w:keepLines/>
              <w:widowControl/>
              <w:wordWrap w:val="0"/>
              <w:topLinePun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756" w:type="dxa"/>
            <w:shd w:val="clear" w:color="auto" w:fill="auto"/>
            <w:vAlign w:val="center"/>
          </w:tcPr>
          <w:p w14:paraId="2C671A6E">
            <w:pPr>
              <w:spacing w:before="52" w:line="219" w:lineRule="auto"/>
              <w:ind w:left="11" w:leftChars="0"/>
              <w:jc w:val="center"/>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数字音频处理器</w:t>
            </w:r>
          </w:p>
        </w:tc>
        <w:tc>
          <w:tcPr>
            <w:tcW w:w="6814" w:type="dxa"/>
            <w:shd w:val="clear" w:color="auto" w:fill="auto"/>
            <w:vAlign w:val="top"/>
          </w:tcPr>
          <w:p w14:paraId="233D1159">
            <w:pPr>
              <w:spacing w:before="2" w:line="195" w:lineRule="auto"/>
              <w:ind w:right="94"/>
              <w:rPr>
                <w:rFonts w:hint="eastAsia" w:ascii="宋体" w:hAnsi="宋体" w:eastAsia="宋体" w:cs="宋体"/>
                <w:color w:val="auto"/>
                <w:spacing w:val="-1"/>
                <w:sz w:val="21"/>
                <w:szCs w:val="21"/>
                <w:highlight w:val="none"/>
                <w:lang w:val="en-US" w:eastAsia="zh-CN"/>
              </w:rPr>
            </w:pPr>
            <w:r>
              <w:rPr>
                <w:rFonts w:hint="eastAsia" w:ascii="宋体" w:hAnsi="宋体" w:eastAsia="宋体" w:cs="宋体"/>
                <w:color w:val="auto"/>
                <w:spacing w:val="-1"/>
                <w:sz w:val="21"/>
                <w:szCs w:val="21"/>
                <w:highlight w:val="none"/>
                <w:lang w:val="en-US" w:eastAsia="zh-CN"/>
              </w:rPr>
              <w:t>1、4进8出数字音频处理器，32位DSP芯片处理 ,96kHz采样率，2 4bit AD/DA转换。</w:t>
            </w:r>
          </w:p>
          <w:p w14:paraId="41B9991F">
            <w:pPr>
              <w:numPr>
                <w:ilvl w:val="0"/>
                <w:numId w:val="2"/>
              </w:numPr>
              <w:spacing w:line="199" w:lineRule="auto"/>
              <w:ind w:left="23" w:right="40" w:hanging="10"/>
              <w:rPr>
                <w:rFonts w:hint="eastAsia" w:ascii="宋体" w:hAnsi="宋体" w:eastAsia="宋体" w:cs="宋体"/>
                <w:color w:val="auto"/>
                <w:spacing w:val="-2"/>
                <w:sz w:val="21"/>
                <w:szCs w:val="21"/>
                <w:highlight w:val="none"/>
                <w:lang w:val="en-US" w:eastAsia="zh-CN"/>
              </w:rPr>
            </w:pPr>
            <w:r>
              <w:rPr>
                <w:rFonts w:hint="eastAsia" w:ascii="宋体" w:hAnsi="宋体" w:eastAsia="宋体" w:cs="宋体"/>
                <w:color w:val="auto"/>
                <w:spacing w:val="-2"/>
                <w:sz w:val="21"/>
                <w:szCs w:val="21"/>
                <w:highlight w:val="none"/>
                <w:lang w:val="en-US" w:eastAsia="zh-CN"/>
              </w:rPr>
              <w:t>★每路输入均有31段图示均衡GEQ+10段PEQ，输出设有10段PEQ。</w:t>
            </w:r>
          </w:p>
          <w:p w14:paraId="0FCBB74F">
            <w:pPr>
              <w:numPr>
                <w:ilvl w:val="0"/>
                <w:numId w:val="2"/>
              </w:numPr>
              <w:spacing w:line="199" w:lineRule="auto"/>
              <w:ind w:left="23" w:right="40" w:hanging="10"/>
              <w:rPr>
                <w:rFonts w:hint="eastAsia" w:ascii="宋体" w:hAnsi="宋体" w:eastAsia="宋体" w:cs="宋体"/>
                <w:color w:val="auto"/>
                <w:spacing w:val="-4"/>
                <w:sz w:val="21"/>
                <w:szCs w:val="21"/>
                <w:highlight w:val="none"/>
                <w:lang w:eastAsia="zh-CN"/>
              </w:rPr>
            </w:pPr>
            <w:r>
              <w:rPr>
                <w:rFonts w:hint="eastAsia" w:ascii="宋体" w:hAnsi="宋体" w:eastAsia="宋体" w:cs="宋体"/>
                <w:color w:val="auto"/>
                <w:spacing w:val="-2"/>
                <w:sz w:val="21"/>
                <w:szCs w:val="21"/>
                <w:highlight w:val="none"/>
                <w:lang w:val="en-US" w:eastAsia="zh-CN"/>
              </w:rPr>
              <w:t>★</w:t>
            </w:r>
            <w:r>
              <w:rPr>
                <w:rFonts w:hint="eastAsia" w:ascii="宋体" w:hAnsi="宋体" w:eastAsia="宋体" w:cs="宋体"/>
                <w:color w:val="auto"/>
                <w:spacing w:val="-4"/>
                <w:sz w:val="21"/>
                <w:szCs w:val="21"/>
                <w:highlight w:val="none"/>
                <w:lang w:eastAsia="zh-CN"/>
              </w:rPr>
              <w:t xml:space="preserve">每路输入/输出通道有独立延时控制，延时值为0-1000ms，精准度0.001ms。 </w:t>
            </w:r>
          </w:p>
          <w:p w14:paraId="76AD575A">
            <w:pPr>
              <w:spacing w:before="1" w:line="197" w:lineRule="auto"/>
              <w:ind w:left="33" w:right="145" w:hanging="10"/>
              <w:rPr>
                <w:rFonts w:hint="eastAsia" w:ascii="宋体" w:hAnsi="宋体" w:cs="宋体"/>
                <w:color w:val="auto"/>
                <w:spacing w:val="-4"/>
                <w:sz w:val="21"/>
                <w:szCs w:val="21"/>
                <w:highlight w:val="none"/>
                <w:lang w:val="en-US" w:eastAsia="zh-CN"/>
              </w:rPr>
            </w:pPr>
            <w:r>
              <w:rPr>
                <w:rFonts w:hint="eastAsia" w:ascii="宋体" w:hAnsi="宋体" w:cs="宋体"/>
                <w:color w:val="auto"/>
                <w:spacing w:val="-4"/>
                <w:sz w:val="21"/>
                <w:szCs w:val="21"/>
                <w:highlight w:val="none"/>
                <w:lang w:val="en-US" w:eastAsia="zh-CN"/>
              </w:rPr>
              <w:t>4、信噪比≥110dB，失真度＜0.01%（Output=0dBu/1KHz）</w:t>
            </w:r>
          </w:p>
          <w:p w14:paraId="60EECC34">
            <w:pPr>
              <w:spacing w:before="1" w:line="197" w:lineRule="auto"/>
              <w:ind w:left="33" w:right="145" w:hanging="10"/>
              <w:rPr>
                <w:rFonts w:hint="eastAsia" w:ascii="宋体" w:hAnsi="宋体" w:cs="宋体"/>
                <w:color w:val="auto"/>
                <w:spacing w:val="-4"/>
                <w:sz w:val="21"/>
                <w:szCs w:val="21"/>
                <w:highlight w:val="none"/>
                <w:lang w:val="en-US" w:eastAsia="zh-CN"/>
              </w:rPr>
            </w:pPr>
            <w:r>
              <w:rPr>
                <w:rFonts w:hint="eastAsia" w:ascii="宋体" w:hAnsi="宋体" w:cs="宋体"/>
                <w:color w:val="auto"/>
                <w:spacing w:val="-4"/>
                <w:sz w:val="21"/>
                <w:szCs w:val="21"/>
                <w:highlight w:val="none"/>
                <w:lang w:val="en-US" w:eastAsia="zh-CN"/>
              </w:rPr>
              <w:t>5、群延时短达2ms，有效改善相移，提升音质表现。</w:t>
            </w:r>
          </w:p>
          <w:p w14:paraId="51445B8D">
            <w:pPr>
              <w:spacing w:before="1" w:line="197" w:lineRule="auto"/>
              <w:ind w:left="33" w:right="145" w:hanging="10"/>
              <w:rPr>
                <w:rFonts w:hint="eastAsia" w:ascii="宋体" w:hAnsi="宋体" w:cs="宋体"/>
                <w:color w:val="auto"/>
                <w:spacing w:val="-4"/>
                <w:sz w:val="21"/>
                <w:szCs w:val="21"/>
                <w:highlight w:val="none"/>
                <w:lang w:val="en-US" w:eastAsia="zh-CN"/>
              </w:rPr>
            </w:pPr>
            <w:r>
              <w:rPr>
                <w:rFonts w:hint="eastAsia" w:ascii="宋体" w:hAnsi="宋体" w:cs="宋体"/>
                <w:color w:val="auto"/>
                <w:spacing w:val="-4"/>
                <w:sz w:val="21"/>
                <w:szCs w:val="21"/>
                <w:highlight w:val="none"/>
                <w:lang w:val="en-US" w:eastAsia="zh-CN"/>
              </w:rPr>
              <w:t>6、配备专业的APP软件和PC软件，可对机器进行全功能调试。</w:t>
            </w:r>
          </w:p>
          <w:p w14:paraId="075ABF4C">
            <w:pPr>
              <w:spacing w:before="1" w:line="197" w:lineRule="auto"/>
              <w:ind w:left="33" w:right="145" w:hanging="10"/>
              <w:rPr>
                <w:rFonts w:hint="eastAsia" w:ascii="宋体" w:hAnsi="宋体" w:cs="宋体"/>
                <w:color w:val="auto"/>
                <w:spacing w:val="-4"/>
                <w:sz w:val="21"/>
                <w:szCs w:val="21"/>
                <w:highlight w:val="none"/>
                <w:lang w:val="en-US" w:eastAsia="zh-CN"/>
              </w:rPr>
            </w:pPr>
            <w:r>
              <w:rPr>
                <w:rFonts w:hint="eastAsia" w:ascii="宋体" w:hAnsi="宋体" w:cs="宋体"/>
                <w:color w:val="auto"/>
                <w:spacing w:val="-4"/>
                <w:sz w:val="21"/>
                <w:szCs w:val="21"/>
                <w:highlight w:val="none"/>
                <w:lang w:val="en-US" w:eastAsia="zh-CN"/>
              </w:rPr>
              <w:t>7、每路输入/输出通道设立单独静音控制。</w:t>
            </w:r>
          </w:p>
          <w:p w14:paraId="02D1D58E">
            <w:pPr>
              <w:spacing w:before="1" w:line="197" w:lineRule="auto"/>
              <w:ind w:left="33" w:right="145" w:hanging="10"/>
              <w:rPr>
                <w:rFonts w:hint="eastAsia" w:ascii="宋体" w:hAnsi="宋体" w:cs="宋体"/>
                <w:color w:val="auto"/>
                <w:spacing w:val="-4"/>
                <w:sz w:val="21"/>
                <w:szCs w:val="21"/>
                <w:highlight w:val="none"/>
                <w:lang w:val="en-US" w:eastAsia="zh-CN"/>
              </w:rPr>
            </w:pPr>
            <w:r>
              <w:rPr>
                <w:rFonts w:hint="eastAsia" w:ascii="宋体" w:hAnsi="宋体" w:cs="宋体"/>
                <w:color w:val="auto"/>
                <w:spacing w:val="-4"/>
                <w:sz w:val="21"/>
                <w:szCs w:val="21"/>
                <w:highlight w:val="none"/>
                <w:lang w:val="en-US" w:eastAsia="zh-CN"/>
              </w:rPr>
              <w:t>8、每个输出通道可单独设置压缩器。</w:t>
            </w:r>
          </w:p>
          <w:p w14:paraId="332C4EC8">
            <w:pPr>
              <w:spacing w:before="1" w:line="197" w:lineRule="auto"/>
              <w:ind w:left="33" w:right="145" w:hanging="10"/>
              <w:rPr>
                <w:rFonts w:hint="eastAsia" w:ascii="宋体" w:hAnsi="宋体" w:cs="宋体"/>
                <w:color w:val="auto"/>
                <w:spacing w:val="-4"/>
                <w:sz w:val="21"/>
                <w:szCs w:val="21"/>
                <w:highlight w:val="none"/>
                <w:lang w:val="en-US" w:eastAsia="zh-CN"/>
              </w:rPr>
            </w:pPr>
            <w:r>
              <w:rPr>
                <w:rFonts w:hint="eastAsia" w:ascii="宋体" w:hAnsi="宋体" w:cs="宋体"/>
                <w:color w:val="auto"/>
                <w:spacing w:val="-4"/>
                <w:sz w:val="21"/>
                <w:szCs w:val="21"/>
                <w:highlight w:val="none"/>
                <w:lang w:val="en-US" w:eastAsia="zh-CN"/>
              </w:rPr>
              <w:t>9、输入输出通道可实现全路由，并可同步多个输出通道联调所有参数以及通道参数拷贝功能。</w:t>
            </w:r>
          </w:p>
          <w:p w14:paraId="49A08BE8">
            <w:pPr>
              <w:spacing w:before="1" w:line="197" w:lineRule="auto"/>
              <w:ind w:left="33" w:right="145" w:hanging="10"/>
              <w:rPr>
                <w:rFonts w:hint="eastAsia" w:ascii="宋体" w:hAnsi="宋体" w:cs="宋体"/>
                <w:color w:val="auto"/>
                <w:spacing w:val="-4"/>
                <w:sz w:val="21"/>
                <w:szCs w:val="21"/>
                <w:highlight w:val="none"/>
                <w:lang w:val="en-US" w:eastAsia="zh-CN"/>
              </w:rPr>
            </w:pPr>
            <w:r>
              <w:rPr>
                <w:rFonts w:hint="eastAsia" w:ascii="宋体" w:hAnsi="宋体" w:cs="宋体"/>
                <w:color w:val="auto"/>
                <w:spacing w:val="-4"/>
                <w:sz w:val="21"/>
                <w:szCs w:val="21"/>
                <w:highlight w:val="none"/>
                <w:lang w:val="en-US" w:eastAsia="zh-CN"/>
              </w:rPr>
              <w:t>10、显示屏可精确显示输入/输出数字电平表、静音、及编辑状态。</w:t>
            </w:r>
          </w:p>
          <w:p w14:paraId="407802F8">
            <w:pPr>
              <w:spacing w:before="1" w:line="197" w:lineRule="auto"/>
              <w:ind w:left="33" w:right="145" w:hanging="10"/>
              <w:rPr>
                <w:rFonts w:hint="eastAsia" w:ascii="宋体" w:hAnsi="宋体" w:cs="宋体"/>
                <w:color w:val="auto"/>
                <w:spacing w:val="-4"/>
                <w:sz w:val="21"/>
                <w:szCs w:val="21"/>
                <w:highlight w:val="none"/>
                <w:lang w:val="en-US" w:eastAsia="zh-CN"/>
              </w:rPr>
            </w:pPr>
            <w:r>
              <w:rPr>
                <w:rFonts w:hint="eastAsia" w:ascii="宋体" w:hAnsi="宋体" w:cs="宋体"/>
                <w:color w:val="auto"/>
                <w:spacing w:val="-4"/>
                <w:sz w:val="21"/>
                <w:szCs w:val="21"/>
                <w:highlight w:val="none"/>
                <w:lang w:val="en-US" w:eastAsia="zh-CN"/>
              </w:rPr>
              <w:t>11、每台机器均可根据用户需要存储，可通过单机或者PC软件存储12种用户程序。</w:t>
            </w:r>
          </w:p>
          <w:p w14:paraId="75375BDE">
            <w:pPr>
              <w:spacing w:before="1" w:line="197" w:lineRule="auto"/>
              <w:ind w:left="33" w:right="145" w:hanging="10"/>
              <w:rPr>
                <w:rFonts w:hint="eastAsia" w:ascii="宋体" w:hAnsi="宋体" w:cs="宋体"/>
                <w:color w:val="auto"/>
                <w:spacing w:val="-4"/>
                <w:sz w:val="21"/>
                <w:szCs w:val="21"/>
                <w:highlight w:val="none"/>
                <w:lang w:val="en-US" w:eastAsia="zh-CN"/>
              </w:rPr>
            </w:pPr>
            <w:r>
              <w:rPr>
                <w:rFonts w:hint="eastAsia" w:ascii="宋体" w:hAnsi="宋体" w:cs="宋体"/>
                <w:color w:val="auto"/>
                <w:spacing w:val="-4"/>
                <w:sz w:val="21"/>
                <w:szCs w:val="21"/>
                <w:highlight w:val="none"/>
                <w:lang w:val="en-US" w:eastAsia="zh-CN"/>
              </w:rPr>
              <w:t>12、提供USB和LAN接口可连接PC客户端。</w:t>
            </w:r>
          </w:p>
          <w:p w14:paraId="41971090">
            <w:pPr>
              <w:spacing w:before="1" w:line="197" w:lineRule="auto"/>
              <w:ind w:left="33" w:right="145" w:hanging="10"/>
              <w:rPr>
                <w:rFonts w:hint="eastAsia" w:ascii="宋体" w:hAnsi="宋体" w:cs="宋体"/>
                <w:color w:val="auto"/>
                <w:spacing w:val="-4"/>
                <w:sz w:val="21"/>
                <w:szCs w:val="21"/>
                <w:highlight w:val="none"/>
                <w:lang w:val="en-US" w:eastAsia="zh-CN"/>
              </w:rPr>
            </w:pPr>
            <w:r>
              <w:rPr>
                <w:rFonts w:hint="eastAsia" w:ascii="宋体" w:hAnsi="宋体" w:cs="宋体"/>
                <w:color w:val="auto"/>
                <w:spacing w:val="-4"/>
                <w:sz w:val="21"/>
                <w:szCs w:val="21"/>
                <w:highlight w:val="none"/>
                <w:lang w:val="en-US" w:eastAsia="zh-CN"/>
              </w:rPr>
              <w:t>13、通过RS485接口，可连接第三方中央控制系统，可连接250台设备，控制距离超1500m。</w:t>
            </w:r>
          </w:p>
          <w:p w14:paraId="7100154E">
            <w:pPr>
              <w:spacing w:before="1" w:line="197" w:lineRule="auto"/>
              <w:ind w:left="33" w:right="145" w:hanging="10"/>
              <w:rPr>
                <w:rFonts w:hint="eastAsia" w:ascii="宋体" w:hAnsi="宋体" w:cs="宋体"/>
                <w:color w:val="auto"/>
                <w:spacing w:val="-4"/>
                <w:sz w:val="21"/>
                <w:szCs w:val="21"/>
                <w:highlight w:val="none"/>
                <w:lang w:val="en-US" w:eastAsia="zh-CN"/>
              </w:rPr>
            </w:pPr>
            <w:r>
              <w:rPr>
                <w:rFonts w:hint="eastAsia" w:ascii="宋体" w:hAnsi="宋体" w:cs="宋体"/>
                <w:color w:val="auto"/>
                <w:spacing w:val="-4"/>
                <w:sz w:val="21"/>
                <w:szCs w:val="21"/>
                <w:highlight w:val="none"/>
                <w:lang w:val="en-US" w:eastAsia="zh-CN"/>
              </w:rPr>
              <w:t>14、输出通道支持信号分频功能，提供IIR和FIR两种算法分频。</w:t>
            </w:r>
          </w:p>
          <w:p w14:paraId="2F1E95A8">
            <w:pPr>
              <w:spacing w:before="1" w:line="197" w:lineRule="auto"/>
              <w:ind w:left="33" w:right="145" w:hanging="10"/>
              <w:rPr>
                <w:rFonts w:hint="eastAsia" w:ascii="宋体" w:hAnsi="宋体" w:cs="宋体"/>
                <w:color w:val="auto"/>
                <w:spacing w:val="-4"/>
                <w:sz w:val="21"/>
                <w:szCs w:val="21"/>
                <w:highlight w:val="none"/>
                <w:lang w:val="en-US" w:eastAsia="zh-CN"/>
              </w:rPr>
            </w:pPr>
            <w:r>
              <w:rPr>
                <w:rFonts w:hint="eastAsia" w:ascii="宋体" w:hAnsi="宋体" w:cs="宋体"/>
                <w:color w:val="auto"/>
                <w:spacing w:val="-4"/>
                <w:sz w:val="21"/>
                <w:szCs w:val="21"/>
                <w:highlight w:val="none"/>
                <w:lang w:val="en-US" w:eastAsia="zh-CN"/>
              </w:rPr>
              <w:t>15、IIR高低通滤波器的斜率均可单独设置，其中贝塞尔，巴特沃斯设置为12dB、18dB、24dB、36dB、48dB每倍频程，林克维茨-瑞莱可设置为12dB、18dB、24dB、36dB、48dB每倍频程。</w:t>
            </w:r>
          </w:p>
          <w:p w14:paraId="28647CE6">
            <w:pPr>
              <w:spacing w:before="1" w:line="197" w:lineRule="auto"/>
              <w:ind w:left="33" w:right="145" w:hanging="10"/>
              <w:rPr>
                <w:rFonts w:hint="eastAsia" w:ascii="宋体" w:hAnsi="宋体" w:cs="宋体"/>
                <w:color w:val="auto"/>
                <w:spacing w:val="-4"/>
                <w:sz w:val="21"/>
                <w:szCs w:val="21"/>
                <w:highlight w:val="none"/>
                <w:lang w:val="en-US" w:eastAsia="zh-CN"/>
              </w:rPr>
            </w:pPr>
            <w:r>
              <w:rPr>
                <w:rFonts w:hint="eastAsia" w:ascii="宋体" w:hAnsi="宋体" w:cs="宋体"/>
                <w:color w:val="auto"/>
                <w:spacing w:val="-4"/>
                <w:sz w:val="21"/>
                <w:szCs w:val="21"/>
                <w:highlight w:val="none"/>
                <w:lang w:val="en-US" w:eastAsia="zh-CN"/>
              </w:rPr>
              <w:t>16、512阶FIR滤波器，支持高通、低通、带通三种模式，窗函数可设置6种类型，分别是Rect、Kaiser、Hanning、Hamming、Blackman、Blackman-Harris。</w:t>
            </w:r>
          </w:p>
          <w:p w14:paraId="1DAEB572">
            <w:pPr>
              <w:spacing w:before="1" w:line="197" w:lineRule="auto"/>
              <w:ind w:left="33" w:right="145" w:hanging="10"/>
              <w:rPr>
                <w:rFonts w:hint="eastAsia" w:ascii="宋体" w:hAnsi="宋体" w:cs="宋体"/>
                <w:color w:val="auto"/>
                <w:spacing w:val="-4"/>
                <w:sz w:val="21"/>
                <w:szCs w:val="21"/>
                <w:highlight w:val="none"/>
                <w:lang w:val="en-US" w:eastAsia="zh-CN"/>
              </w:rPr>
            </w:pPr>
            <w:r>
              <w:rPr>
                <w:rFonts w:hint="eastAsia" w:ascii="宋体" w:hAnsi="宋体" w:cs="宋体"/>
                <w:color w:val="auto"/>
                <w:spacing w:val="-4"/>
                <w:sz w:val="21"/>
                <w:szCs w:val="21"/>
                <w:highlight w:val="none"/>
                <w:lang w:val="en-US" w:eastAsia="zh-CN"/>
              </w:rPr>
              <w:t>17、限幅器门限值：-6~+12dBμ、，步距Step：0.1dBμ，起动时间：3ms-100ms，＜1ms，步距：0.1ms；＞1ms，步距：1ms。</w:t>
            </w:r>
          </w:p>
          <w:p w14:paraId="7BFA4E30">
            <w:pPr>
              <w:spacing w:before="1" w:line="197" w:lineRule="auto"/>
              <w:ind w:left="33" w:right="145" w:hanging="10"/>
              <w:rPr>
                <w:rFonts w:hint="eastAsia" w:ascii="宋体" w:hAnsi="宋体" w:cs="宋体"/>
                <w:color w:val="auto"/>
                <w:spacing w:val="-4"/>
                <w:sz w:val="21"/>
                <w:szCs w:val="21"/>
                <w:highlight w:val="none"/>
                <w:lang w:val="en-US" w:eastAsia="zh-CN"/>
              </w:rPr>
            </w:pPr>
            <w:r>
              <w:rPr>
                <w:rFonts w:hint="eastAsia" w:ascii="宋体" w:hAnsi="宋体" w:cs="宋体"/>
                <w:color w:val="auto"/>
                <w:spacing w:val="-4"/>
                <w:sz w:val="21"/>
                <w:szCs w:val="21"/>
                <w:highlight w:val="none"/>
                <w:lang w:val="en-US" w:eastAsia="zh-CN"/>
              </w:rPr>
              <w:t>18、可通过SYSTEM按键设定密码锁定机器，以防止误操作破坏机器的工作状态。</w:t>
            </w:r>
          </w:p>
          <w:p w14:paraId="5DC4B5CA">
            <w:pPr>
              <w:spacing w:before="1" w:line="197" w:lineRule="auto"/>
              <w:ind w:left="33" w:right="145" w:hanging="1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以上带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的要求</w:t>
            </w:r>
            <w:r>
              <w:rPr>
                <w:rFonts w:hint="eastAsia" w:ascii="宋体" w:hAnsi="宋体" w:eastAsia="宋体" w:cs="宋体"/>
                <w:color w:val="auto"/>
                <w:spacing w:val="9"/>
                <w:sz w:val="21"/>
                <w:szCs w:val="21"/>
                <w:highlight w:val="none"/>
                <w:lang w:val="en-US" w:eastAsia="zh-CN"/>
              </w:rPr>
              <w:t>提供能够佐证相关参数的</w:t>
            </w:r>
            <w:r>
              <w:rPr>
                <w:rFonts w:hint="eastAsia" w:ascii="宋体" w:hAnsi="宋体" w:eastAsia="宋体" w:cs="宋体"/>
                <w:color w:val="auto"/>
                <w:sz w:val="21"/>
                <w:szCs w:val="21"/>
                <w:highlight w:val="none"/>
              </w:rPr>
              <w:t>第三方检测机构出具的CNAS</w:t>
            </w:r>
            <w:r>
              <w:rPr>
                <w:rFonts w:hint="eastAsia" w:ascii="宋体" w:hAnsi="宋体" w:eastAsia="宋体" w:cs="宋体"/>
                <w:color w:val="auto"/>
                <w:sz w:val="21"/>
                <w:szCs w:val="21"/>
                <w:highlight w:val="none"/>
                <w:lang w:val="en-US" w:eastAsia="zh-CN"/>
              </w:rPr>
              <w:t>标识或</w:t>
            </w:r>
            <w:r>
              <w:rPr>
                <w:rFonts w:hint="eastAsia" w:ascii="宋体" w:hAnsi="宋体" w:eastAsia="宋体" w:cs="宋体"/>
                <w:color w:val="auto"/>
                <w:sz w:val="21"/>
                <w:szCs w:val="21"/>
                <w:highlight w:val="none"/>
              </w:rPr>
              <w:t>CMA</w:t>
            </w:r>
            <w:r>
              <w:rPr>
                <w:rFonts w:hint="eastAsia" w:ascii="宋体" w:hAnsi="宋体" w:eastAsia="宋体" w:cs="宋体"/>
                <w:color w:val="auto"/>
                <w:sz w:val="21"/>
                <w:szCs w:val="21"/>
                <w:highlight w:val="none"/>
                <w:lang w:val="en-US" w:eastAsia="zh-CN"/>
              </w:rPr>
              <w:t>标识</w:t>
            </w:r>
            <w:r>
              <w:rPr>
                <w:rFonts w:hint="eastAsia" w:ascii="宋体" w:hAnsi="宋体" w:eastAsia="宋体" w:cs="宋体"/>
                <w:color w:val="auto"/>
                <w:sz w:val="21"/>
                <w:szCs w:val="21"/>
                <w:highlight w:val="none"/>
              </w:rPr>
              <w:t>的检测报告</w:t>
            </w:r>
            <w:r>
              <w:rPr>
                <w:rFonts w:hint="eastAsia" w:ascii="宋体" w:hAnsi="宋体" w:eastAsia="宋体" w:cs="宋体"/>
                <w:color w:val="auto"/>
                <w:sz w:val="21"/>
                <w:szCs w:val="21"/>
                <w:highlight w:val="none"/>
                <w:lang w:val="en-US" w:eastAsia="zh-CN"/>
              </w:rPr>
              <w:t>原件扫描件</w:t>
            </w:r>
            <w:r>
              <w:rPr>
                <w:rFonts w:hint="eastAsia" w:ascii="宋体" w:hAnsi="宋体" w:eastAsia="宋体" w:cs="宋体"/>
                <w:color w:val="auto"/>
                <w:spacing w:val="2"/>
                <w:sz w:val="21"/>
                <w:szCs w:val="21"/>
                <w:highlight w:val="none"/>
              </w:rPr>
              <w:t>)</w:t>
            </w:r>
            <w:r>
              <w:rPr>
                <w:rFonts w:hint="eastAsia" w:ascii="宋体" w:hAnsi="宋体" w:eastAsia="宋体" w:cs="宋体"/>
                <w:color w:val="auto"/>
                <w:spacing w:val="2"/>
                <w:sz w:val="21"/>
                <w:szCs w:val="21"/>
                <w:highlight w:val="none"/>
                <w:lang w:eastAsia="zh-CN"/>
              </w:rPr>
              <w:t>。</w:t>
            </w:r>
          </w:p>
          <w:p w14:paraId="2755F598">
            <w:pPr>
              <w:spacing w:before="1" w:line="221" w:lineRule="auto"/>
              <w:ind w:right="42" w:rightChars="0"/>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(含所需线</w:t>
            </w:r>
            <w:r>
              <w:rPr>
                <w:rFonts w:hint="eastAsia" w:ascii="宋体" w:hAnsi="宋体" w:eastAsia="宋体" w:cs="宋体"/>
                <w:color w:val="auto"/>
                <w:spacing w:val="10"/>
                <w:sz w:val="21"/>
                <w:szCs w:val="21"/>
                <w:highlight w:val="none"/>
              </w:rPr>
              <w:t>材，吊架、备件、</w:t>
            </w:r>
            <w:r>
              <w:rPr>
                <w:rFonts w:hint="eastAsia" w:ascii="宋体" w:hAnsi="宋体" w:eastAsia="宋体" w:cs="宋体"/>
                <w:color w:val="auto"/>
                <w:spacing w:val="3"/>
                <w:sz w:val="21"/>
                <w:szCs w:val="21"/>
                <w:highlight w:val="none"/>
              </w:rPr>
              <w:t>旧设备拆除，配套</w:t>
            </w:r>
            <w:r>
              <w:rPr>
                <w:rFonts w:hint="eastAsia" w:ascii="宋体" w:hAnsi="宋体" w:eastAsia="宋体" w:cs="宋体"/>
                <w:color w:val="auto"/>
                <w:spacing w:val="-6"/>
                <w:sz w:val="21"/>
                <w:szCs w:val="21"/>
                <w:highlight w:val="none"/>
              </w:rPr>
              <w:t>的改造装修费用</w:t>
            </w:r>
            <w:r>
              <w:rPr>
                <w:rFonts w:hint="eastAsia" w:ascii="宋体" w:hAnsi="宋体" w:eastAsia="宋体" w:cs="宋体"/>
                <w:color w:val="auto"/>
                <w:sz w:val="21"/>
                <w:szCs w:val="21"/>
                <w:highlight w:val="none"/>
              </w:rPr>
              <w:t>)</w:t>
            </w:r>
          </w:p>
        </w:tc>
        <w:tc>
          <w:tcPr>
            <w:tcW w:w="718" w:type="dxa"/>
            <w:shd w:val="clear" w:color="auto" w:fill="auto"/>
            <w:vAlign w:val="center"/>
          </w:tcPr>
          <w:p w14:paraId="538656DD">
            <w:pPr>
              <w:spacing w:before="52" w:line="221"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2台</w:t>
            </w:r>
          </w:p>
        </w:tc>
        <w:tc>
          <w:tcPr>
            <w:tcW w:w="706" w:type="dxa"/>
            <w:shd w:val="clear" w:color="auto" w:fill="auto"/>
            <w:vAlign w:val="center"/>
          </w:tcPr>
          <w:p w14:paraId="32F5C45D">
            <w:pPr>
              <w:spacing w:before="52" w:line="221"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lang w:val="en-US" w:eastAsia="zh-CN"/>
              </w:rPr>
              <w:t>工业</w:t>
            </w:r>
          </w:p>
        </w:tc>
      </w:tr>
      <w:tr w14:paraId="724E0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1" w:hRule="atLeast"/>
          <w:jc w:val="center"/>
        </w:trPr>
        <w:tc>
          <w:tcPr>
            <w:tcW w:w="475" w:type="dxa"/>
            <w:vAlign w:val="center"/>
          </w:tcPr>
          <w:p w14:paraId="2BED0899">
            <w:pPr>
              <w:keepLines/>
              <w:widowControl/>
              <w:wordWrap w:val="0"/>
              <w:topLinePun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756" w:type="dxa"/>
            <w:shd w:val="clear" w:color="auto" w:fill="auto"/>
            <w:vAlign w:val="center"/>
          </w:tcPr>
          <w:p w14:paraId="5D1A980A">
            <w:pPr>
              <w:spacing w:before="55" w:line="219" w:lineRule="auto"/>
              <w:ind w:left="11" w:leftChars="0"/>
              <w:jc w:val="center"/>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数字调音台</w:t>
            </w:r>
          </w:p>
        </w:tc>
        <w:tc>
          <w:tcPr>
            <w:tcW w:w="6814" w:type="dxa"/>
            <w:shd w:val="clear" w:color="auto" w:fill="auto"/>
            <w:vAlign w:val="top"/>
          </w:tcPr>
          <w:p w14:paraId="678DA08A">
            <w:pPr>
              <w:numPr>
                <w:ilvl w:val="0"/>
                <w:numId w:val="3"/>
              </w:numPr>
              <w:spacing w:before="3" w:line="197" w:lineRule="auto"/>
              <w:ind w:right="47" w:rightChars="0"/>
              <w:rPr>
                <w:rFonts w:hint="eastAsia" w:ascii="宋体" w:hAnsi="宋体" w:eastAsia="宋体" w:cs="宋体"/>
                <w:color w:val="auto"/>
                <w:spacing w:val="-2"/>
                <w:sz w:val="21"/>
                <w:szCs w:val="21"/>
                <w:highlight w:val="none"/>
                <w:lang w:val="en-US" w:eastAsia="zh-CN"/>
              </w:rPr>
            </w:pPr>
            <w:r>
              <w:rPr>
                <w:rFonts w:hint="eastAsia" w:ascii="宋体" w:hAnsi="宋体" w:eastAsia="宋体" w:cs="宋体"/>
                <w:color w:val="auto"/>
                <w:spacing w:val="-2"/>
                <w:sz w:val="21"/>
                <w:szCs w:val="21"/>
                <w:highlight w:val="none"/>
              </w:rPr>
              <w:t>具有≥10.1英寸1280x800电容触摸屏</w:t>
            </w:r>
          </w:p>
          <w:p w14:paraId="6C2BB735">
            <w:pPr>
              <w:numPr>
                <w:ilvl w:val="0"/>
                <w:numId w:val="3"/>
              </w:numPr>
              <w:spacing w:before="3" w:line="197" w:lineRule="auto"/>
              <w:ind w:right="47" w:rightChars="0"/>
              <w:rPr>
                <w:rFonts w:hint="eastAsia" w:ascii="宋体" w:hAnsi="宋体" w:eastAsia="宋体" w:cs="宋体"/>
                <w:color w:val="auto"/>
                <w:spacing w:val="-2"/>
                <w:sz w:val="21"/>
                <w:szCs w:val="21"/>
                <w:highlight w:val="none"/>
                <w:lang w:val="en-US" w:eastAsia="zh-CN"/>
              </w:rPr>
            </w:pPr>
            <w:r>
              <w:rPr>
                <w:rFonts w:hint="eastAsia" w:ascii="宋体" w:hAnsi="宋体" w:eastAsia="宋体" w:cs="宋体"/>
                <w:color w:val="auto"/>
                <w:spacing w:val="-2"/>
                <w:sz w:val="21"/>
                <w:szCs w:val="21"/>
                <w:highlight w:val="none"/>
              </w:rPr>
              <w:t>模拟输入≥32CH ( MIC/Line)；≥20路信号输出，其中≥16路模拟输出通道、≥1组立体声录音输出、≥2路数字信号输出 。</w:t>
            </w:r>
          </w:p>
          <w:p w14:paraId="7B6DF23E">
            <w:pPr>
              <w:spacing w:before="7" w:line="191" w:lineRule="auto"/>
              <w:rPr>
                <w:rFonts w:hint="eastAsia" w:ascii="宋体" w:hAnsi="宋体" w:eastAsia="宋体" w:cs="宋体"/>
                <w:color w:val="auto"/>
                <w:spacing w:val="-1"/>
                <w:sz w:val="21"/>
                <w:szCs w:val="21"/>
                <w:highlight w:val="none"/>
              </w:rPr>
            </w:pPr>
            <w:r>
              <w:rPr>
                <w:rFonts w:hint="eastAsia" w:ascii="宋体" w:hAnsi="宋体" w:eastAsia="宋体" w:cs="宋体"/>
                <w:color w:val="auto"/>
                <w:spacing w:val="11"/>
                <w:sz w:val="21"/>
                <w:szCs w:val="21"/>
                <w:highlight w:val="none"/>
                <w:lang w:val="en-US" w:eastAsia="zh-CN"/>
              </w:rPr>
              <w:t>3</w:t>
            </w:r>
            <w:r>
              <w:rPr>
                <w:rFonts w:hint="eastAsia" w:ascii="宋体" w:hAnsi="宋体" w:eastAsia="宋体" w:cs="宋体"/>
                <w:color w:val="auto"/>
                <w:spacing w:val="11"/>
                <w:sz w:val="21"/>
                <w:szCs w:val="21"/>
                <w:highlight w:val="none"/>
                <w:lang w:eastAsia="zh-CN"/>
              </w:rPr>
              <w:t>、</w:t>
            </w:r>
            <w:r>
              <w:rPr>
                <w:rFonts w:hint="eastAsia" w:ascii="宋体" w:hAnsi="宋体" w:eastAsia="宋体" w:cs="宋体"/>
                <w:color w:val="auto"/>
                <w:spacing w:val="-2"/>
                <w:sz w:val="21"/>
                <w:szCs w:val="21"/>
                <w:highlight w:val="none"/>
              </w:rPr>
              <w:t>≥</w:t>
            </w:r>
            <w:r>
              <w:rPr>
                <w:rFonts w:hint="eastAsia" w:ascii="宋体" w:hAnsi="宋体" w:eastAsia="宋体" w:cs="宋体"/>
                <w:color w:val="auto"/>
                <w:spacing w:val="11"/>
                <w:sz w:val="21"/>
                <w:szCs w:val="21"/>
                <w:highlight w:val="none"/>
              </w:rPr>
              <w:t>25个110mm行程推子，其中</w:t>
            </w:r>
            <w:r>
              <w:rPr>
                <w:rFonts w:hint="eastAsia" w:ascii="宋体" w:hAnsi="宋体" w:eastAsia="宋体" w:cs="宋体"/>
                <w:color w:val="auto"/>
                <w:spacing w:val="-2"/>
                <w:sz w:val="21"/>
                <w:szCs w:val="21"/>
                <w:highlight w:val="none"/>
              </w:rPr>
              <w:t>≥</w:t>
            </w:r>
            <w:r>
              <w:rPr>
                <w:rFonts w:hint="eastAsia" w:ascii="宋体" w:hAnsi="宋体" w:eastAsia="宋体" w:cs="宋体"/>
                <w:color w:val="auto"/>
                <w:spacing w:val="11"/>
                <w:sz w:val="21"/>
                <w:szCs w:val="21"/>
                <w:highlight w:val="none"/>
              </w:rPr>
              <w:t>16个推子负责主输入控制，</w:t>
            </w:r>
            <w:r>
              <w:rPr>
                <w:rFonts w:hint="eastAsia" w:ascii="宋体" w:hAnsi="宋体" w:eastAsia="宋体" w:cs="宋体"/>
                <w:color w:val="auto"/>
                <w:spacing w:val="-2"/>
                <w:sz w:val="21"/>
                <w:szCs w:val="21"/>
                <w:highlight w:val="none"/>
              </w:rPr>
              <w:t>≥</w:t>
            </w:r>
            <w:r>
              <w:rPr>
                <w:rFonts w:hint="eastAsia" w:ascii="宋体" w:hAnsi="宋体" w:eastAsia="宋体" w:cs="宋体"/>
                <w:color w:val="auto"/>
                <w:spacing w:val="11"/>
                <w:sz w:val="21"/>
                <w:szCs w:val="21"/>
                <w:highlight w:val="none"/>
              </w:rPr>
              <w:t>9个推子负责主输出控制。</w:t>
            </w:r>
          </w:p>
          <w:p w14:paraId="4147306F">
            <w:pPr>
              <w:spacing w:before="2" w:line="195" w:lineRule="auto"/>
              <w:ind w:right="75"/>
              <w:rPr>
                <w:rFonts w:hint="eastAsia" w:ascii="宋体" w:hAnsi="宋体" w:eastAsia="宋体" w:cs="宋体"/>
                <w:color w:val="auto"/>
                <w:spacing w:val="-2"/>
                <w:sz w:val="21"/>
                <w:szCs w:val="21"/>
                <w:highlight w:val="none"/>
              </w:rPr>
            </w:pPr>
            <w:r>
              <w:rPr>
                <w:rFonts w:hint="eastAsia" w:ascii="宋体" w:hAnsi="宋体" w:cs="宋体"/>
                <w:color w:val="auto"/>
                <w:spacing w:val="-2"/>
                <w:sz w:val="21"/>
                <w:szCs w:val="21"/>
                <w:highlight w:val="none"/>
                <w:lang w:val="en-US" w:eastAsia="zh-CN"/>
              </w:rPr>
              <w:t>4</w:t>
            </w:r>
            <w:r>
              <w:rPr>
                <w:rFonts w:hint="eastAsia" w:ascii="宋体" w:hAnsi="宋体" w:eastAsia="宋体" w:cs="宋体"/>
                <w:color w:val="auto"/>
                <w:spacing w:val="-2"/>
                <w:sz w:val="21"/>
                <w:szCs w:val="21"/>
                <w:highlight w:val="none"/>
                <w:lang w:val="en-US" w:eastAsia="zh-CN"/>
              </w:rPr>
              <w:t>、</w:t>
            </w:r>
            <w:r>
              <w:rPr>
                <w:rFonts w:hint="eastAsia" w:ascii="宋体" w:hAnsi="宋体" w:eastAsia="宋体" w:cs="宋体"/>
                <w:color w:val="auto"/>
                <w:spacing w:val="-2"/>
                <w:sz w:val="21"/>
                <w:szCs w:val="21"/>
                <w:highlight w:val="none"/>
              </w:rPr>
              <w:t>共有≥6个31段GEQ模块，其中输入通道≥2个31段GEQ模块；输出通道≥4个31段GEQ模块。</w:t>
            </w:r>
          </w:p>
          <w:p w14:paraId="12C798EC">
            <w:pPr>
              <w:spacing w:line="208" w:lineRule="auto"/>
              <w:ind w:left="13"/>
              <w:rPr>
                <w:rFonts w:hint="eastAsia" w:ascii="宋体" w:hAnsi="宋体" w:eastAsia="宋体" w:cs="宋体"/>
                <w:color w:val="auto"/>
                <w:spacing w:val="5"/>
                <w:sz w:val="21"/>
                <w:szCs w:val="21"/>
                <w:highlight w:val="none"/>
              </w:rPr>
            </w:pPr>
            <w:r>
              <w:rPr>
                <w:rFonts w:hint="eastAsia" w:ascii="宋体" w:hAnsi="宋体" w:cs="宋体"/>
                <w:color w:val="auto"/>
                <w:spacing w:val="5"/>
                <w:sz w:val="21"/>
                <w:szCs w:val="21"/>
                <w:highlight w:val="none"/>
                <w:lang w:val="en-US" w:eastAsia="zh-CN"/>
              </w:rPr>
              <w:t>5</w:t>
            </w:r>
            <w:r>
              <w:rPr>
                <w:rFonts w:hint="eastAsia" w:ascii="宋体" w:hAnsi="宋体" w:eastAsia="宋体" w:cs="宋体"/>
                <w:color w:val="auto"/>
                <w:spacing w:val="5"/>
                <w:sz w:val="21"/>
                <w:szCs w:val="21"/>
                <w:highlight w:val="none"/>
                <w:lang w:val="en-US" w:eastAsia="zh-CN"/>
              </w:rPr>
              <w:t>、</w:t>
            </w:r>
            <w:r>
              <w:rPr>
                <w:rFonts w:hint="eastAsia" w:ascii="宋体" w:hAnsi="宋体" w:eastAsia="宋体" w:cs="宋体"/>
                <w:color w:val="auto"/>
                <w:spacing w:val="5"/>
                <w:sz w:val="21"/>
                <w:szCs w:val="21"/>
                <w:highlight w:val="none"/>
              </w:rPr>
              <w:t>支持≥100组场景预设功能，可导出、导入USB存储器，便于数据备份；</w:t>
            </w:r>
          </w:p>
          <w:p w14:paraId="5916D949">
            <w:pPr>
              <w:spacing w:before="7" w:line="191" w:lineRule="auto"/>
              <w:rPr>
                <w:rFonts w:hint="eastAsia" w:ascii="宋体" w:hAnsi="宋体" w:eastAsia="宋体" w:cs="宋体"/>
                <w:color w:val="auto"/>
                <w:spacing w:val="11"/>
                <w:sz w:val="21"/>
                <w:szCs w:val="21"/>
                <w:highlight w:val="none"/>
                <w:lang w:val="en-US" w:eastAsia="zh-CN"/>
              </w:rPr>
            </w:pPr>
            <w:r>
              <w:rPr>
                <w:rFonts w:hint="eastAsia" w:ascii="宋体" w:hAnsi="宋体" w:cs="宋体"/>
                <w:color w:val="auto"/>
                <w:spacing w:val="5"/>
                <w:sz w:val="21"/>
                <w:szCs w:val="21"/>
                <w:highlight w:val="none"/>
                <w:lang w:val="en-US" w:eastAsia="zh-CN"/>
              </w:rPr>
              <w:t>6</w:t>
            </w:r>
            <w:r>
              <w:rPr>
                <w:rFonts w:hint="eastAsia" w:ascii="宋体" w:hAnsi="宋体" w:eastAsia="宋体" w:cs="宋体"/>
                <w:color w:val="auto"/>
                <w:spacing w:val="5"/>
                <w:sz w:val="21"/>
                <w:szCs w:val="21"/>
                <w:highlight w:val="none"/>
                <w:lang w:val="en-US" w:eastAsia="zh-CN"/>
              </w:rPr>
              <w:t>、内置</w:t>
            </w:r>
            <w:r>
              <w:rPr>
                <w:rFonts w:hint="eastAsia" w:ascii="宋体" w:hAnsi="宋体" w:eastAsia="宋体" w:cs="宋体"/>
                <w:color w:val="auto"/>
                <w:spacing w:val="11"/>
                <w:sz w:val="21"/>
                <w:szCs w:val="21"/>
                <w:highlight w:val="none"/>
              </w:rPr>
              <w:t>≥</w:t>
            </w:r>
            <w:r>
              <w:rPr>
                <w:rFonts w:hint="eastAsia" w:ascii="宋体" w:hAnsi="宋体" w:eastAsia="宋体" w:cs="宋体"/>
                <w:color w:val="auto"/>
                <w:spacing w:val="11"/>
                <w:sz w:val="21"/>
                <w:szCs w:val="21"/>
                <w:highlight w:val="none"/>
                <w:lang w:val="en-US" w:eastAsia="zh-CN"/>
              </w:rPr>
              <w:t>4条效果总线，包含：混响、回声、合唱、哇音、颤音、失真、变调和镶边8种效果。</w:t>
            </w:r>
          </w:p>
          <w:p w14:paraId="3CBF66BA">
            <w:pPr>
              <w:spacing w:before="7" w:line="191" w:lineRule="auto"/>
              <w:rPr>
                <w:rFonts w:hint="eastAsia" w:ascii="宋体" w:hAnsi="宋体" w:eastAsia="宋体" w:cs="宋体"/>
                <w:color w:val="auto"/>
                <w:spacing w:val="11"/>
                <w:sz w:val="21"/>
                <w:szCs w:val="21"/>
                <w:highlight w:val="none"/>
                <w:lang w:val="en-US" w:eastAsia="zh-CN"/>
              </w:rPr>
            </w:pPr>
            <w:r>
              <w:rPr>
                <w:rFonts w:hint="eastAsia" w:ascii="宋体" w:hAnsi="宋体" w:eastAsia="宋体" w:cs="宋体"/>
                <w:color w:val="auto"/>
                <w:spacing w:val="11"/>
                <w:sz w:val="21"/>
                <w:szCs w:val="21"/>
                <w:highlight w:val="none"/>
                <w:lang w:val="en-US" w:eastAsia="zh-CN"/>
              </w:rPr>
              <w:t xml:space="preserve">7、具有2路扩展功能，支持蓝牙/Dante2*2/AES/立体声声卡的扩展具有2个USB接口，可随意切换使用WIFI模块或U盘。 </w:t>
            </w:r>
          </w:p>
          <w:p w14:paraId="58E2F664">
            <w:pPr>
              <w:spacing w:before="7" w:line="191" w:lineRule="auto"/>
              <w:rPr>
                <w:rFonts w:hint="default" w:ascii="宋体" w:hAnsi="宋体" w:eastAsia="宋体" w:cs="宋体"/>
                <w:color w:val="auto"/>
                <w:spacing w:val="11"/>
                <w:sz w:val="21"/>
                <w:szCs w:val="21"/>
                <w:highlight w:val="none"/>
                <w:lang w:val="en-US" w:eastAsia="zh-CN"/>
              </w:rPr>
            </w:pPr>
            <w:r>
              <w:rPr>
                <w:rFonts w:hint="eastAsia" w:ascii="宋体" w:hAnsi="宋体" w:eastAsia="宋体" w:cs="宋体"/>
                <w:color w:val="auto"/>
                <w:spacing w:val="11"/>
                <w:sz w:val="21"/>
                <w:szCs w:val="21"/>
                <w:highlight w:val="none"/>
                <w:lang w:val="en-US" w:eastAsia="zh-CN"/>
              </w:rPr>
              <w:t xml:space="preserve">8、标配无线网卡，支持IOS、安卓、PC端的无线控制。 </w:t>
            </w:r>
          </w:p>
          <w:p w14:paraId="3D3D9551">
            <w:pPr>
              <w:spacing w:line="208" w:lineRule="auto"/>
              <w:ind w:left="13" w:leftChars="0"/>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(含所需线</w:t>
            </w:r>
            <w:r>
              <w:rPr>
                <w:rFonts w:hint="eastAsia" w:ascii="宋体" w:hAnsi="宋体" w:eastAsia="宋体" w:cs="宋体"/>
                <w:color w:val="auto"/>
                <w:spacing w:val="10"/>
                <w:sz w:val="21"/>
                <w:szCs w:val="21"/>
                <w:highlight w:val="none"/>
              </w:rPr>
              <w:t>材，吊架、备件、</w:t>
            </w:r>
            <w:r>
              <w:rPr>
                <w:rFonts w:hint="eastAsia" w:ascii="宋体" w:hAnsi="宋体" w:eastAsia="宋体" w:cs="宋体"/>
                <w:color w:val="auto"/>
                <w:spacing w:val="3"/>
                <w:sz w:val="21"/>
                <w:szCs w:val="21"/>
                <w:highlight w:val="none"/>
              </w:rPr>
              <w:t>旧设备拆除，配套</w:t>
            </w:r>
            <w:r>
              <w:rPr>
                <w:rFonts w:hint="eastAsia" w:ascii="宋体" w:hAnsi="宋体" w:eastAsia="宋体" w:cs="宋体"/>
                <w:color w:val="auto"/>
                <w:spacing w:val="-6"/>
                <w:sz w:val="21"/>
                <w:szCs w:val="21"/>
                <w:highlight w:val="none"/>
              </w:rPr>
              <w:t>的改造装修费用</w:t>
            </w:r>
            <w:r>
              <w:rPr>
                <w:rFonts w:hint="eastAsia" w:ascii="宋体" w:hAnsi="宋体" w:eastAsia="宋体" w:cs="宋体"/>
                <w:color w:val="auto"/>
                <w:sz w:val="21"/>
                <w:szCs w:val="21"/>
                <w:highlight w:val="none"/>
              </w:rPr>
              <w:t>)</w:t>
            </w:r>
          </w:p>
        </w:tc>
        <w:tc>
          <w:tcPr>
            <w:tcW w:w="718" w:type="dxa"/>
            <w:shd w:val="clear" w:color="auto" w:fill="auto"/>
            <w:vAlign w:val="center"/>
          </w:tcPr>
          <w:p w14:paraId="2DB05E72">
            <w:pPr>
              <w:spacing w:before="56" w:line="221" w:lineRule="auto"/>
              <w:jc w:val="both"/>
              <w:rPr>
                <w:rFonts w:hint="eastAsia" w:ascii="宋体" w:hAnsi="宋体" w:eastAsia="宋体" w:cs="宋体"/>
                <w:color w:val="auto"/>
                <w:sz w:val="21"/>
                <w:szCs w:val="21"/>
                <w:highlight w:val="none"/>
              </w:rPr>
            </w:pPr>
            <w:r>
              <w:rPr>
                <w:rFonts w:hint="eastAsia" w:ascii="宋体" w:hAnsi="宋体" w:eastAsia="宋体" w:cs="宋体"/>
                <w:color w:val="auto"/>
                <w:spacing w:val="-20"/>
                <w:sz w:val="21"/>
                <w:szCs w:val="21"/>
                <w:highlight w:val="none"/>
              </w:rPr>
              <w:t>1</w:t>
            </w:r>
            <w:r>
              <w:rPr>
                <w:rFonts w:hint="eastAsia" w:ascii="宋体" w:hAnsi="宋体" w:eastAsia="宋体" w:cs="宋体"/>
                <w:color w:val="auto"/>
                <w:sz w:val="21"/>
                <w:szCs w:val="21"/>
                <w:highlight w:val="none"/>
              </w:rPr>
              <w:t>台</w:t>
            </w:r>
          </w:p>
        </w:tc>
        <w:tc>
          <w:tcPr>
            <w:tcW w:w="706" w:type="dxa"/>
            <w:shd w:val="clear" w:color="auto" w:fill="auto"/>
            <w:vAlign w:val="center"/>
          </w:tcPr>
          <w:p w14:paraId="20998A10">
            <w:pPr>
              <w:spacing w:before="56" w:line="221" w:lineRule="auto"/>
              <w:jc w:val="both"/>
              <w:rPr>
                <w:rFonts w:hint="eastAsia" w:ascii="宋体" w:hAnsi="宋体" w:eastAsia="宋体" w:cs="宋体"/>
                <w:color w:val="auto"/>
                <w:spacing w:val="-20"/>
                <w:sz w:val="21"/>
                <w:szCs w:val="21"/>
                <w:highlight w:val="none"/>
              </w:rPr>
            </w:pPr>
            <w:r>
              <w:rPr>
                <w:rFonts w:hint="eastAsia" w:ascii="宋体" w:hAnsi="宋体" w:eastAsia="宋体" w:cs="宋体"/>
                <w:color w:val="auto"/>
                <w:spacing w:val="-5"/>
                <w:sz w:val="21"/>
                <w:szCs w:val="21"/>
                <w:highlight w:val="none"/>
                <w:lang w:val="en-US" w:eastAsia="zh-CN"/>
              </w:rPr>
              <w:t>工业</w:t>
            </w:r>
          </w:p>
        </w:tc>
      </w:tr>
      <w:tr w14:paraId="2785B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75" w:type="dxa"/>
            <w:vAlign w:val="center"/>
          </w:tcPr>
          <w:p w14:paraId="6EE7B822">
            <w:pPr>
              <w:keepLines/>
              <w:widowControl/>
              <w:wordWrap w:val="0"/>
              <w:topLinePun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756" w:type="dxa"/>
            <w:shd w:val="clear" w:color="auto" w:fill="auto"/>
            <w:vAlign w:val="center"/>
          </w:tcPr>
          <w:p w14:paraId="5A401292">
            <w:pPr>
              <w:spacing w:before="52" w:line="219" w:lineRule="auto"/>
              <w:ind w:left="11" w:leftChars="0"/>
              <w:jc w:val="center"/>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无线手持话筒</w:t>
            </w:r>
          </w:p>
        </w:tc>
        <w:tc>
          <w:tcPr>
            <w:tcW w:w="6814" w:type="dxa"/>
            <w:shd w:val="clear" w:color="auto" w:fill="auto"/>
            <w:vAlign w:val="top"/>
          </w:tcPr>
          <w:p w14:paraId="2451A6FA">
            <w:pPr>
              <w:numPr>
                <w:ilvl w:val="0"/>
                <w:numId w:val="4"/>
              </w:numPr>
              <w:spacing w:line="196" w:lineRule="auto"/>
              <w:ind w:left="32" w:leftChars="0" w:right="105" w:rightChars="0" w:hanging="19" w:firstLineChars="0"/>
              <w:rPr>
                <w:rFonts w:hint="eastAsia" w:ascii="宋体" w:hAnsi="宋体" w:eastAsia="宋体" w:cs="宋体"/>
                <w:color w:val="auto"/>
                <w:spacing w:val="-3"/>
                <w:sz w:val="21"/>
                <w:szCs w:val="21"/>
                <w:highlight w:val="none"/>
                <w:lang w:val="en-US" w:eastAsia="zh-CN"/>
              </w:rPr>
            </w:pPr>
            <w:r>
              <w:rPr>
                <w:rFonts w:hint="eastAsia" w:ascii="宋体" w:hAnsi="宋体" w:eastAsia="宋体" w:cs="宋体"/>
                <w:color w:val="auto"/>
                <w:spacing w:val="-3"/>
                <w:sz w:val="21"/>
                <w:szCs w:val="21"/>
                <w:highlight w:val="none"/>
                <w:lang w:val="en-US" w:eastAsia="zh-CN"/>
              </w:rPr>
              <w:t>一台主机，两只无线手持话筒UHF频段(470-999MHz)可选。</w:t>
            </w:r>
          </w:p>
          <w:p w14:paraId="4DCA07B9">
            <w:pPr>
              <w:numPr>
                <w:ilvl w:val="0"/>
                <w:numId w:val="4"/>
              </w:numPr>
              <w:spacing w:line="196" w:lineRule="auto"/>
              <w:ind w:left="32" w:leftChars="0" w:right="105" w:rightChars="0" w:hanging="19" w:firstLineChars="0"/>
              <w:rPr>
                <w:rFonts w:hint="eastAsia" w:ascii="宋体" w:hAnsi="宋体" w:eastAsia="宋体" w:cs="宋体"/>
                <w:color w:val="auto"/>
                <w:spacing w:val="-3"/>
                <w:sz w:val="21"/>
                <w:szCs w:val="21"/>
                <w:highlight w:val="none"/>
                <w:lang w:val="en-US" w:eastAsia="zh-CN"/>
              </w:rPr>
            </w:pPr>
            <w:r>
              <w:rPr>
                <w:rFonts w:hint="eastAsia" w:ascii="宋体" w:hAnsi="宋体" w:eastAsia="宋体" w:cs="宋体"/>
                <w:color w:val="auto"/>
                <w:spacing w:val="-3"/>
                <w:sz w:val="21"/>
                <w:szCs w:val="21"/>
                <w:highlight w:val="none"/>
                <w:lang w:val="en-US" w:eastAsia="zh-CN"/>
              </w:rPr>
              <w:t>采用分集电路设计，保证有效距离不断讯，消除死角。</w:t>
            </w:r>
          </w:p>
          <w:p w14:paraId="0B8266D9">
            <w:pPr>
              <w:numPr>
                <w:ilvl w:val="0"/>
                <w:numId w:val="4"/>
              </w:numPr>
              <w:spacing w:line="196" w:lineRule="auto"/>
              <w:ind w:left="32" w:leftChars="0" w:right="105" w:rightChars="0" w:hanging="19" w:firstLineChars="0"/>
              <w:rPr>
                <w:rFonts w:hint="eastAsia" w:ascii="宋体" w:hAnsi="宋体" w:eastAsia="宋体" w:cs="宋体"/>
                <w:color w:val="auto"/>
                <w:spacing w:val="-3"/>
                <w:sz w:val="21"/>
                <w:szCs w:val="21"/>
                <w:highlight w:val="none"/>
                <w:lang w:val="en-US" w:eastAsia="zh-CN"/>
              </w:rPr>
            </w:pPr>
            <w:r>
              <w:rPr>
                <w:rFonts w:hint="eastAsia" w:ascii="宋体" w:hAnsi="宋体" w:eastAsia="宋体" w:cs="宋体"/>
                <w:color w:val="auto"/>
                <w:spacing w:val="-3"/>
                <w:sz w:val="21"/>
                <w:szCs w:val="21"/>
                <w:highlight w:val="none"/>
                <w:lang w:val="en-US" w:eastAsia="zh-CN"/>
              </w:rPr>
              <w:t>独有的数字ID码导频技术，ID随机码多达1</w:t>
            </w:r>
            <w:r>
              <w:rPr>
                <w:rFonts w:hint="eastAsia" w:ascii="宋体" w:hAnsi="宋体" w:cs="宋体"/>
                <w:color w:val="auto"/>
                <w:spacing w:val="-3"/>
                <w:sz w:val="21"/>
                <w:szCs w:val="21"/>
                <w:highlight w:val="none"/>
                <w:lang w:val="en-US" w:eastAsia="zh-CN"/>
              </w:rPr>
              <w:t>6</w:t>
            </w:r>
            <w:r>
              <w:rPr>
                <w:rFonts w:hint="eastAsia" w:ascii="宋体" w:hAnsi="宋体" w:eastAsia="宋体" w:cs="宋体"/>
                <w:color w:val="auto"/>
                <w:spacing w:val="-3"/>
                <w:sz w:val="21"/>
                <w:szCs w:val="21"/>
                <w:highlight w:val="none"/>
                <w:lang w:val="en-US" w:eastAsia="zh-CN"/>
              </w:rPr>
              <w:t>位， 彻底解决同频</w:t>
            </w:r>
            <w:r>
              <w:rPr>
                <w:rFonts w:hint="eastAsia" w:ascii="宋体" w:hAnsi="宋体" w:cs="宋体"/>
                <w:color w:val="auto"/>
                <w:spacing w:val="-3"/>
                <w:sz w:val="21"/>
                <w:szCs w:val="21"/>
                <w:highlight w:val="none"/>
                <w:lang w:val="en-US" w:eastAsia="zh-CN"/>
              </w:rPr>
              <w:t>串频</w:t>
            </w:r>
            <w:r>
              <w:rPr>
                <w:rFonts w:hint="eastAsia" w:ascii="宋体" w:hAnsi="宋体" w:eastAsia="宋体" w:cs="宋体"/>
                <w:color w:val="auto"/>
                <w:spacing w:val="-3"/>
                <w:sz w:val="21"/>
                <w:szCs w:val="21"/>
                <w:highlight w:val="none"/>
                <w:lang w:val="en-US" w:eastAsia="zh-CN"/>
              </w:rPr>
              <w:t xml:space="preserve"> 现象。</w:t>
            </w:r>
          </w:p>
          <w:p w14:paraId="6A73CE84">
            <w:pPr>
              <w:numPr>
                <w:ilvl w:val="0"/>
                <w:numId w:val="4"/>
              </w:numPr>
              <w:spacing w:line="196" w:lineRule="auto"/>
              <w:ind w:left="32" w:leftChars="0" w:right="105" w:rightChars="0" w:hanging="19" w:firstLineChars="0"/>
              <w:rPr>
                <w:rFonts w:hint="eastAsia" w:ascii="宋体" w:hAnsi="宋体" w:eastAsia="宋体" w:cs="宋体"/>
                <w:color w:val="auto"/>
                <w:spacing w:val="-3"/>
                <w:sz w:val="21"/>
                <w:szCs w:val="21"/>
                <w:highlight w:val="none"/>
                <w:lang w:val="en-US" w:eastAsia="zh-CN"/>
              </w:rPr>
            </w:pPr>
            <w:r>
              <w:rPr>
                <w:rFonts w:hint="eastAsia" w:ascii="宋体" w:hAnsi="宋体" w:eastAsia="宋体" w:cs="宋体"/>
                <w:color w:val="auto"/>
                <w:spacing w:val="-3"/>
                <w:sz w:val="21"/>
                <w:szCs w:val="21"/>
                <w:highlight w:val="none"/>
                <w:lang w:val="en-US" w:eastAsia="zh-CN"/>
              </w:rPr>
              <w:t>中英双语字幕，简单操作。</w:t>
            </w:r>
          </w:p>
          <w:p w14:paraId="60783C69">
            <w:pPr>
              <w:numPr>
                <w:ilvl w:val="0"/>
                <w:numId w:val="4"/>
              </w:numPr>
              <w:spacing w:line="196" w:lineRule="auto"/>
              <w:ind w:left="32" w:leftChars="0" w:right="105" w:rightChars="0" w:hanging="19" w:firstLineChars="0"/>
              <w:rPr>
                <w:rFonts w:hint="eastAsia" w:ascii="宋体" w:hAnsi="宋体" w:eastAsia="宋体" w:cs="宋体"/>
                <w:color w:val="auto"/>
                <w:spacing w:val="-3"/>
                <w:sz w:val="21"/>
                <w:szCs w:val="21"/>
                <w:highlight w:val="none"/>
                <w:lang w:val="en-US" w:eastAsia="zh-CN"/>
              </w:rPr>
            </w:pPr>
            <w:r>
              <w:rPr>
                <w:rFonts w:hint="eastAsia" w:ascii="宋体" w:hAnsi="宋体" w:eastAsia="宋体" w:cs="宋体"/>
                <w:color w:val="auto"/>
                <w:spacing w:val="-3"/>
                <w:sz w:val="21"/>
                <w:szCs w:val="21"/>
                <w:highlight w:val="none"/>
                <w:lang w:val="en-US" w:eastAsia="zh-CN"/>
              </w:rPr>
              <w:t>主机带可调混响和均衡功能，让音色更加清晰、饱满。</w:t>
            </w:r>
          </w:p>
          <w:p w14:paraId="5970B256">
            <w:pPr>
              <w:numPr>
                <w:ilvl w:val="0"/>
                <w:numId w:val="4"/>
              </w:numPr>
              <w:spacing w:line="196" w:lineRule="auto"/>
              <w:ind w:left="32" w:leftChars="0" w:right="105" w:rightChars="0" w:hanging="19" w:firstLineChars="0"/>
              <w:rPr>
                <w:rFonts w:hint="eastAsia" w:ascii="宋体" w:hAnsi="宋体" w:eastAsia="宋体" w:cs="宋体"/>
                <w:color w:val="auto"/>
                <w:spacing w:val="-3"/>
                <w:sz w:val="21"/>
                <w:szCs w:val="21"/>
                <w:highlight w:val="none"/>
                <w:lang w:val="en-US" w:eastAsia="zh-CN"/>
              </w:rPr>
            </w:pPr>
            <w:r>
              <w:rPr>
                <w:rFonts w:hint="eastAsia" w:ascii="宋体" w:hAnsi="宋体" w:eastAsia="宋体" w:cs="宋体"/>
                <w:color w:val="auto"/>
                <w:spacing w:val="-3"/>
                <w:sz w:val="21"/>
                <w:szCs w:val="21"/>
                <w:highlight w:val="none"/>
                <w:lang w:val="en-US" w:eastAsia="zh-CN"/>
              </w:rPr>
              <w:t>自动扫频，频谱显示技术。可调高低功率功能。具备智能静音功能，手持话筒落地静音、水平放置三秒静音功能 。可以在主机选择关闭静音模式。</w:t>
            </w:r>
          </w:p>
          <w:p w14:paraId="4582CB2B">
            <w:pPr>
              <w:numPr>
                <w:ilvl w:val="0"/>
                <w:numId w:val="4"/>
              </w:numPr>
              <w:spacing w:line="196" w:lineRule="auto"/>
              <w:ind w:left="32" w:leftChars="0" w:right="105" w:rightChars="0" w:hanging="19" w:firstLineChars="0"/>
              <w:rPr>
                <w:rFonts w:hint="eastAsia" w:ascii="宋体" w:hAnsi="宋体" w:eastAsia="宋体" w:cs="宋体"/>
                <w:color w:val="auto"/>
                <w:spacing w:val="-3"/>
                <w:sz w:val="21"/>
                <w:szCs w:val="21"/>
                <w:highlight w:val="none"/>
                <w:lang w:val="en-US" w:eastAsia="zh-CN"/>
              </w:rPr>
            </w:pPr>
            <w:r>
              <w:rPr>
                <w:rFonts w:hint="eastAsia" w:ascii="宋体" w:hAnsi="宋体" w:eastAsia="宋体" w:cs="宋体"/>
                <w:color w:val="auto"/>
                <w:spacing w:val="-3"/>
                <w:sz w:val="21"/>
                <w:szCs w:val="21"/>
                <w:highlight w:val="none"/>
                <w:lang w:val="en-US" w:eastAsia="zh-CN"/>
              </w:rPr>
              <w:t>接收机采用彩色TFT屏显示和菜单式功能调节。发射器采用LCD显示屏。理想使用距离80米</w:t>
            </w:r>
          </w:p>
          <w:p w14:paraId="7E05CED6">
            <w:pPr>
              <w:spacing w:line="196" w:lineRule="auto"/>
              <w:ind w:left="32" w:leftChars="0" w:right="105" w:rightChars="0" w:hanging="19" w:firstLineChars="0"/>
              <w:rPr>
                <w:rFonts w:hint="eastAsia" w:ascii="宋体" w:hAnsi="宋体" w:eastAsia="宋体" w:cs="宋体"/>
                <w:color w:val="auto"/>
                <w:spacing w:val="-3"/>
                <w:sz w:val="21"/>
                <w:szCs w:val="21"/>
                <w:highlight w:val="none"/>
                <w:lang w:val="en-US" w:eastAsia="zh-CN"/>
              </w:rPr>
            </w:pPr>
            <w:r>
              <w:rPr>
                <w:rFonts w:hint="eastAsia" w:ascii="宋体" w:hAnsi="宋体" w:cs="宋体"/>
                <w:color w:val="auto"/>
                <w:spacing w:val="-3"/>
                <w:sz w:val="21"/>
                <w:szCs w:val="21"/>
                <w:highlight w:val="none"/>
                <w:lang w:val="en-US" w:eastAsia="zh-CN"/>
              </w:rPr>
              <w:t>8、</w:t>
            </w:r>
            <w:r>
              <w:rPr>
                <w:rFonts w:hint="eastAsia" w:ascii="宋体" w:hAnsi="宋体" w:eastAsia="宋体" w:cs="宋体"/>
                <w:color w:val="auto"/>
                <w:spacing w:val="-3"/>
                <w:sz w:val="21"/>
                <w:szCs w:val="21"/>
                <w:highlight w:val="none"/>
                <w:lang w:val="en-US" w:eastAsia="zh-CN"/>
              </w:rPr>
              <w:t>接收机频率范围： UHF470-9990MHz</w:t>
            </w:r>
            <w:r>
              <w:rPr>
                <w:rFonts w:hint="eastAsia" w:ascii="宋体" w:hAnsi="宋体" w:cs="宋体"/>
                <w:color w:val="auto"/>
                <w:spacing w:val="-3"/>
                <w:sz w:val="21"/>
                <w:szCs w:val="21"/>
                <w:highlight w:val="none"/>
                <w:lang w:val="en-US" w:eastAsia="zh-CN"/>
              </w:rPr>
              <w:t>，</w:t>
            </w:r>
            <w:r>
              <w:rPr>
                <w:rFonts w:hint="eastAsia" w:ascii="宋体" w:hAnsi="宋体" w:eastAsia="宋体" w:cs="宋体"/>
                <w:color w:val="auto"/>
                <w:spacing w:val="-3"/>
                <w:sz w:val="21"/>
                <w:szCs w:val="21"/>
                <w:highlight w:val="none"/>
                <w:lang w:val="en-US" w:eastAsia="zh-CN"/>
              </w:rPr>
              <w:t>频宽：50MHz</w:t>
            </w:r>
            <w:r>
              <w:rPr>
                <w:rFonts w:hint="eastAsia" w:ascii="宋体" w:hAnsi="宋体" w:cs="宋体"/>
                <w:color w:val="auto"/>
                <w:spacing w:val="-3"/>
                <w:sz w:val="21"/>
                <w:szCs w:val="21"/>
                <w:highlight w:val="none"/>
                <w:lang w:val="en-US" w:eastAsia="zh-CN"/>
              </w:rPr>
              <w:t>，</w:t>
            </w:r>
            <w:r>
              <w:rPr>
                <w:rFonts w:hint="eastAsia" w:ascii="宋体" w:hAnsi="宋体" w:eastAsia="宋体" w:cs="宋体"/>
                <w:color w:val="auto"/>
                <w:spacing w:val="-3"/>
                <w:sz w:val="21"/>
                <w:szCs w:val="21"/>
                <w:highlight w:val="none"/>
                <w:lang w:val="en-US" w:eastAsia="zh-CN"/>
              </w:rPr>
              <w:t>动态范围：96dB</w:t>
            </w:r>
          </w:p>
          <w:p w14:paraId="5E130898">
            <w:pPr>
              <w:spacing w:line="196" w:lineRule="auto"/>
              <w:ind w:right="105" w:rightChars="0"/>
              <w:rPr>
                <w:rFonts w:hint="eastAsia" w:ascii="宋体" w:hAnsi="宋体" w:eastAsia="宋体" w:cs="宋体"/>
                <w:color w:val="auto"/>
                <w:spacing w:val="-3"/>
                <w:sz w:val="21"/>
                <w:szCs w:val="21"/>
                <w:highlight w:val="none"/>
                <w:lang w:val="en-US" w:eastAsia="zh-CN"/>
              </w:rPr>
            </w:pPr>
            <w:r>
              <w:rPr>
                <w:rFonts w:hint="eastAsia" w:ascii="宋体" w:hAnsi="宋体" w:cs="宋体"/>
                <w:color w:val="auto"/>
                <w:spacing w:val="-3"/>
                <w:sz w:val="21"/>
                <w:szCs w:val="21"/>
                <w:highlight w:val="none"/>
                <w:lang w:val="en-US" w:eastAsia="zh-CN"/>
              </w:rPr>
              <w:t>，</w:t>
            </w:r>
            <w:r>
              <w:rPr>
                <w:rFonts w:hint="eastAsia" w:ascii="宋体" w:hAnsi="宋体" w:eastAsia="宋体" w:cs="宋体"/>
                <w:color w:val="auto"/>
                <w:spacing w:val="-3"/>
                <w:sz w:val="21"/>
                <w:szCs w:val="21"/>
                <w:highlight w:val="none"/>
                <w:lang w:val="en-US" w:eastAsia="zh-CN"/>
              </w:rPr>
              <w:t>频响范围：30-20KHz</w:t>
            </w:r>
            <w:r>
              <w:rPr>
                <w:rFonts w:hint="eastAsia" w:ascii="宋体" w:hAnsi="宋体" w:cs="宋体"/>
                <w:color w:val="auto"/>
                <w:spacing w:val="-3"/>
                <w:sz w:val="21"/>
                <w:szCs w:val="21"/>
                <w:highlight w:val="none"/>
                <w:lang w:val="en-US" w:eastAsia="zh-CN"/>
              </w:rPr>
              <w:t>，</w:t>
            </w:r>
            <w:r>
              <w:rPr>
                <w:rFonts w:hint="eastAsia" w:ascii="宋体" w:hAnsi="宋体" w:eastAsia="宋体" w:cs="宋体"/>
                <w:color w:val="auto"/>
                <w:spacing w:val="-3"/>
                <w:sz w:val="21"/>
                <w:szCs w:val="21"/>
                <w:highlight w:val="none"/>
                <w:lang w:val="en-US" w:eastAsia="zh-CN"/>
              </w:rPr>
              <w:t>信噪比：&gt;95dB</w:t>
            </w:r>
            <w:r>
              <w:rPr>
                <w:rFonts w:hint="eastAsia" w:ascii="宋体" w:hAnsi="宋体" w:cs="宋体"/>
                <w:color w:val="auto"/>
                <w:spacing w:val="-3"/>
                <w:sz w:val="21"/>
                <w:szCs w:val="21"/>
                <w:highlight w:val="none"/>
                <w:lang w:val="en-US" w:eastAsia="zh-CN"/>
              </w:rPr>
              <w:t>，</w:t>
            </w:r>
            <w:r>
              <w:rPr>
                <w:rFonts w:hint="eastAsia" w:ascii="宋体" w:hAnsi="宋体" w:eastAsia="宋体" w:cs="宋体"/>
                <w:color w:val="auto"/>
                <w:spacing w:val="-3"/>
                <w:sz w:val="21"/>
                <w:szCs w:val="21"/>
                <w:highlight w:val="none"/>
                <w:lang w:val="en-US" w:eastAsia="zh-CN"/>
              </w:rPr>
              <w:t>电源供应：DC 12V 1A</w:t>
            </w:r>
          </w:p>
          <w:p w14:paraId="05A97132">
            <w:pPr>
              <w:spacing w:line="196" w:lineRule="auto"/>
              <w:ind w:left="32" w:leftChars="0" w:right="105" w:rightChars="0" w:hanging="19" w:firstLineChars="0"/>
              <w:rPr>
                <w:rFonts w:hint="eastAsia" w:ascii="宋体" w:hAnsi="宋体" w:eastAsia="宋体" w:cs="宋体"/>
                <w:color w:val="auto"/>
                <w:spacing w:val="-3"/>
                <w:sz w:val="21"/>
                <w:szCs w:val="21"/>
                <w:highlight w:val="none"/>
                <w:lang w:val="en-US" w:eastAsia="zh-CN"/>
              </w:rPr>
            </w:pPr>
            <w:r>
              <w:rPr>
                <w:rFonts w:hint="eastAsia" w:ascii="宋体" w:hAnsi="宋体" w:cs="宋体"/>
                <w:color w:val="auto"/>
                <w:spacing w:val="-3"/>
                <w:sz w:val="21"/>
                <w:szCs w:val="21"/>
                <w:highlight w:val="none"/>
                <w:lang w:val="en-US" w:eastAsia="zh-CN"/>
              </w:rPr>
              <w:t>9、</w:t>
            </w:r>
            <w:r>
              <w:rPr>
                <w:rFonts w:hint="eastAsia" w:ascii="宋体" w:hAnsi="宋体" w:eastAsia="宋体" w:cs="宋体"/>
                <w:color w:val="auto"/>
                <w:spacing w:val="-3"/>
                <w:sz w:val="21"/>
                <w:szCs w:val="21"/>
                <w:highlight w:val="none"/>
                <w:lang w:val="en-US" w:eastAsia="zh-CN"/>
              </w:rPr>
              <w:t>手持麦克风频率范围：UHF470 -999MHz</w:t>
            </w:r>
            <w:r>
              <w:rPr>
                <w:rFonts w:hint="eastAsia" w:ascii="宋体" w:hAnsi="宋体" w:cs="宋体"/>
                <w:color w:val="auto"/>
                <w:spacing w:val="-3"/>
                <w:sz w:val="21"/>
                <w:szCs w:val="21"/>
                <w:highlight w:val="none"/>
                <w:lang w:val="en-US" w:eastAsia="zh-CN"/>
              </w:rPr>
              <w:t>，</w:t>
            </w:r>
            <w:r>
              <w:rPr>
                <w:rFonts w:hint="eastAsia" w:ascii="宋体" w:hAnsi="宋体" w:eastAsia="宋体" w:cs="宋体"/>
                <w:color w:val="auto"/>
                <w:spacing w:val="-3"/>
                <w:sz w:val="21"/>
                <w:szCs w:val="21"/>
                <w:highlight w:val="none"/>
                <w:lang w:val="en-US" w:eastAsia="zh-CN"/>
              </w:rPr>
              <w:t>频率切换：红外线同步</w:t>
            </w:r>
            <w:r>
              <w:rPr>
                <w:rFonts w:hint="eastAsia" w:ascii="宋体" w:hAnsi="宋体" w:cs="宋体"/>
                <w:color w:val="auto"/>
                <w:spacing w:val="-3"/>
                <w:sz w:val="21"/>
                <w:szCs w:val="21"/>
                <w:highlight w:val="none"/>
                <w:lang w:val="en-US" w:eastAsia="zh-CN"/>
              </w:rPr>
              <w:t>，</w:t>
            </w:r>
            <w:r>
              <w:rPr>
                <w:rFonts w:hint="eastAsia" w:ascii="宋体" w:hAnsi="宋体" w:eastAsia="宋体" w:cs="宋体"/>
                <w:color w:val="auto"/>
                <w:spacing w:val="-3"/>
                <w:sz w:val="21"/>
                <w:szCs w:val="21"/>
                <w:highlight w:val="none"/>
                <w:lang w:val="en-US" w:eastAsia="zh-CN"/>
              </w:rPr>
              <w:t>供电电压：3V(1.5 VAA电池2节)</w:t>
            </w:r>
            <w:r>
              <w:rPr>
                <w:rFonts w:hint="eastAsia" w:ascii="宋体" w:hAnsi="宋体" w:cs="宋体"/>
                <w:color w:val="auto"/>
                <w:spacing w:val="-3"/>
                <w:sz w:val="21"/>
                <w:szCs w:val="21"/>
                <w:highlight w:val="none"/>
                <w:lang w:val="en-US" w:eastAsia="zh-CN"/>
              </w:rPr>
              <w:t>，</w:t>
            </w:r>
            <w:r>
              <w:rPr>
                <w:rFonts w:hint="eastAsia" w:ascii="宋体" w:hAnsi="宋体" w:eastAsia="宋体" w:cs="宋体"/>
                <w:color w:val="auto"/>
                <w:spacing w:val="-3"/>
                <w:sz w:val="21"/>
                <w:szCs w:val="21"/>
                <w:highlight w:val="none"/>
                <w:lang w:val="en-US" w:eastAsia="zh-CN"/>
              </w:rPr>
              <w:t>持续使用时间：5小时</w:t>
            </w:r>
          </w:p>
          <w:p w14:paraId="56E8B18D">
            <w:pPr>
              <w:spacing w:before="9" w:line="219" w:lineRule="auto"/>
              <w:ind w:left="104" w:leftChars="0"/>
              <w:rPr>
                <w:rFonts w:hint="eastAsia" w:ascii="宋体" w:hAnsi="宋体" w:eastAsia="宋体" w:cs="宋体"/>
                <w:color w:val="auto"/>
                <w:spacing w:val="-1"/>
                <w:sz w:val="21"/>
                <w:szCs w:val="21"/>
                <w:highlight w:val="none"/>
              </w:rPr>
            </w:pPr>
            <w:r>
              <w:rPr>
                <w:rFonts w:hint="eastAsia" w:ascii="宋体" w:hAnsi="宋体" w:eastAsia="宋体" w:cs="宋体"/>
                <w:color w:val="auto"/>
                <w:spacing w:val="2"/>
                <w:sz w:val="21"/>
                <w:szCs w:val="21"/>
                <w:highlight w:val="none"/>
              </w:rPr>
              <w:t>(含所需线</w:t>
            </w:r>
            <w:r>
              <w:rPr>
                <w:rFonts w:hint="eastAsia" w:ascii="宋体" w:hAnsi="宋体" w:eastAsia="宋体" w:cs="宋体"/>
                <w:color w:val="auto"/>
                <w:spacing w:val="10"/>
                <w:sz w:val="21"/>
                <w:szCs w:val="21"/>
                <w:highlight w:val="none"/>
              </w:rPr>
              <w:t>材，吊</w:t>
            </w:r>
            <w:r>
              <w:rPr>
                <w:rFonts w:hint="eastAsia" w:ascii="宋体" w:hAnsi="宋体" w:eastAsia="宋体" w:cs="宋体"/>
                <w:color w:val="auto"/>
                <w:spacing w:val="10"/>
                <w:sz w:val="21"/>
                <w:szCs w:val="21"/>
                <w:highlight w:val="none"/>
              </w:rPr>
              <w:t>架、备件、</w:t>
            </w:r>
            <w:r>
              <w:rPr>
                <w:rFonts w:hint="eastAsia" w:ascii="宋体" w:hAnsi="宋体" w:eastAsia="宋体" w:cs="宋体"/>
                <w:color w:val="auto"/>
                <w:spacing w:val="3"/>
                <w:sz w:val="21"/>
                <w:szCs w:val="21"/>
                <w:highlight w:val="none"/>
              </w:rPr>
              <w:t>旧设备拆除，配套</w:t>
            </w:r>
            <w:r>
              <w:rPr>
                <w:rFonts w:hint="eastAsia" w:ascii="宋体" w:hAnsi="宋体" w:eastAsia="宋体" w:cs="宋体"/>
                <w:color w:val="auto"/>
                <w:spacing w:val="-6"/>
                <w:sz w:val="21"/>
                <w:szCs w:val="21"/>
                <w:highlight w:val="none"/>
              </w:rPr>
              <w:t>的改造装修费用</w:t>
            </w:r>
            <w:r>
              <w:rPr>
                <w:rFonts w:hint="eastAsia" w:ascii="宋体" w:hAnsi="宋体" w:eastAsia="宋体" w:cs="宋体"/>
                <w:color w:val="auto"/>
                <w:sz w:val="21"/>
                <w:szCs w:val="21"/>
                <w:highlight w:val="none"/>
              </w:rPr>
              <w:t>)</w:t>
            </w:r>
          </w:p>
        </w:tc>
        <w:tc>
          <w:tcPr>
            <w:tcW w:w="718" w:type="dxa"/>
            <w:shd w:val="clear" w:color="auto" w:fill="auto"/>
            <w:vAlign w:val="center"/>
          </w:tcPr>
          <w:p w14:paraId="72641233">
            <w:pPr>
              <w:spacing w:before="52" w:line="22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3套</w:t>
            </w:r>
          </w:p>
        </w:tc>
        <w:tc>
          <w:tcPr>
            <w:tcW w:w="706" w:type="dxa"/>
            <w:shd w:val="clear" w:color="auto" w:fill="auto"/>
            <w:vAlign w:val="center"/>
          </w:tcPr>
          <w:p w14:paraId="1AD331CA">
            <w:pPr>
              <w:spacing w:before="52" w:line="22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lang w:val="en-US" w:eastAsia="zh-CN"/>
              </w:rPr>
              <w:t>工业</w:t>
            </w:r>
          </w:p>
        </w:tc>
      </w:tr>
      <w:tr w14:paraId="7D4C9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6" w:hRule="atLeast"/>
          <w:jc w:val="center"/>
        </w:trPr>
        <w:tc>
          <w:tcPr>
            <w:tcW w:w="475" w:type="dxa"/>
            <w:shd w:val="clear" w:color="auto" w:fill="auto"/>
            <w:vAlign w:val="center"/>
          </w:tcPr>
          <w:p w14:paraId="4EF6B315">
            <w:pPr>
              <w:keepLines/>
              <w:widowControl/>
              <w:wordWrap w:val="0"/>
              <w:topLinePun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756" w:type="dxa"/>
            <w:shd w:val="clear" w:color="auto" w:fill="auto"/>
            <w:vAlign w:val="center"/>
          </w:tcPr>
          <w:p w14:paraId="4812A35D">
            <w:pPr>
              <w:pStyle w:val="90"/>
              <w:spacing w:line="250" w:lineRule="auto"/>
              <w:jc w:val="center"/>
              <w:rPr>
                <w:rFonts w:hint="eastAsia" w:ascii="宋体" w:hAnsi="宋体" w:eastAsia="宋体" w:cs="宋体"/>
                <w:color w:val="auto"/>
                <w:sz w:val="21"/>
                <w:szCs w:val="21"/>
                <w:highlight w:val="none"/>
              </w:rPr>
            </w:pPr>
          </w:p>
          <w:p w14:paraId="700877DE">
            <w:pPr>
              <w:spacing w:before="55" w:line="219" w:lineRule="auto"/>
              <w:ind w:left="11"/>
              <w:jc w:val="center"/>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无线耳麦话筒</w:t>
            </w:r>
          </w:p>
          <w:p w14:paraId="42465ECE">
            <w:pPr>
              <w:spacing w:before="56" w:line="154" w:lineRule="exact"/>
              <w:jc w:val="center"/>
              <w:rPr>
                <w:rFonts w:hint="eastAsia" w:ascii="宋体" w:hAnsi="宋体" w:eastAsia="宋体" w:cs="宋体"/>
                <w:color w:val="auto"/>
                <w:sz w:val="21"/>
                <w:szCs w:val="21"/>
                <w:highlight w:val="none"/>
              </w:rPr>
            </w:pPr>
          </w:p>
        </w:tc>
        <w:tc>
          <w:tcPr>
            <w:tcW w:w="6814" w:type="dxa"/>
            <w:shd w:val="clear" w:color="auto" w:fill="auto"/>
            <w:vAlign w:val="top"/>
          </w:tcPr>
          <w:p w14:paraId="5EAA8C68">
            <w:pPr>
              <w:spacing w:line="196" w:lineRule="auto"/>
              <w:ind w:left="32" w:leftChars="0" w:right="105" w:rightChars="0" w:hanging="19" w:firstLineChars="0"/>
              <w:rPr>
                <w:rFonts w:hint="eastAsia" w:ascii="宋体" w:hAnsi="宋体" w:eastAsia="宋体" w:cs="宋体"/>
                <w:color w:val="auto"/>
                <w:spacing w:val="-3"/>
                <w:sz w:val="21"/>
                <w:szCs w:val="21"/>
                <w:highlight w:val="none"/>
                <w:lang w:val="en-US" w:eastAsia="zh-CN"/>
              </w:rPr>
            </w:pPr>
            <w:r>
              <w:rPr>
                <w:rFonts w:hint="eastAsia" w:ascii="宋体" w:hAnsi="宋体" w:eastAsia="宋体" w:cs="宋体"/>
                <w:color w:val="auto"/>
                <w:spacing w:val="-3"/>
                <w:sz w:val="21"/>
                <w:szCs w:val="21"/>
                <w:highlight w:val="none"/>
                <w:lang w:val="en-US" w:eastAsia="zh-CN"/>
              </w:rPr>
              <w:t>1、一台主机，两只无线耳麦话筒真分集无线话筒，采用四条天线接收</w:t>
            </w:r>
            <w:r>
              <w:rPr>
                <w:rFonts w:hint="eastAsia" w:ascii="宋体" w:hAnsi="宋体" w:cs="宋体"/>
                <w:color w:val="auto"/>
                <w:spacing w:val="-3"/>
                <w:sz w:val="21"/>
                <w:szCs w:val="21"/>
                <w:highlight w:val="none"/>
                <w:lang w:val="en-US" w:eastAsia="zh-CN"/>
              </w:rPr>
              <w:t>，</w:t>
            </w:r>
            <w:r>
              <w:rPr>
                <w:rFonts w:hint="eastAsia" w:ascii="宋体" w:hAnsi="宋体" w:eastAsia="宋体" w:cs="宋体"/>
                <w:color w:val="auto"/>
                <w:spacing w:val="-3"/>
                <w:sz w:val="21"/>
                <w:szCs w:val="21"/>
                <w:highlight w:val="none"/>
                <w:lang w:val="en-US" w:eastAsia="zh-CN"/>
              </w:rPr>
              <w:t>采用独有的ID码导频技术，彻底解决同频 、串频现象。</w:t>
            </w:r>
          </w:p>
          <w:p w14:paraId="5903B29C">
            <w:pPr>
              <w:spacing w:line="196" w:lineRule="auto"/>
              <w:ind w:left="32" w:leftChars="0" w:right="105" w:rightChars="0" w:hanging="19" w:firstLineChars="0"/>
              <w:rPr>
                <w:rFonts w:hint="eastAsia" w:ascii="宋体" w:hAnsi="宋体" w:eastAsia="宋体" w:cs="宋体"/>
                <w:color w:val="auto"/>
                <w:spacing w:val="-3"/>
                <w:sz w:val="21"/>
                <w:szCs w:val="21"/>
                <w:highlight w:val="none"/>
                <w:lang w:val="en-US" w:eastAsia="zh-CN"/>
              </w:rPr>
            </w:pPr>
            <w:r>
              <w:rPr>
                <w:rFonts w:hint="eastAsia" w:ascii="宋体" w:hAnsi="宋体" w:cs="宋体"/>
                <w:color w:val="auto"/>
                <w:spacing w:val="-3"/>
                <w:sz w:val="21"/>
                <w:szCs w:val="21"/>
                <w:highlight w:val="none"/>
                <w:lang w:val="en-US" w:eastAsia="zh-CN"/>
              </w:rPr>
              <w:t>2、</w:t>
            </w:r>
            <w:r>
              <w:rPr>
                <w:rFonts w:hint="eastAsia" w:ascii="宋体" w:hAnsi="宋体" w:eastAsia="宋体" w:cs="宋体"/>
                <w:color w:val="auto"/>
                <w:spacing w:val="-3"/>
                <w:sz w:val="21"/>
                <w:szCs w:val="21"/>
                <w:highlight w:val="none"/>
                <w:lang w:val="en-US" w:eastAsia="zh-CN"/>
              </w:rPr>
              <w:t>采用OLED显示屏 ,内置调节菜单功能</w:t>
            </w:r>
          </w:p>
          <w:p w14:paraId="125FC72A">
            <w:pPr>
              <w:spacing w:line="196" w:lineRule="auto"/>
              <w:ind w:left="32" w:leftChars="0" w:right="105" w:rightChars="0" w:hanging="19" w:firstLineChars="0"/>
              <w:rPr>
                <w:rFonts w:hint="eastAsia" w:ascii="宋体" w:hAnsi="宋体" w:eastAsia="宋体" w:cs="宋体"/>
                <w:color w:val="auto"/>
                <w:spacing w:val="-3"/>
                <w:sz w:val="21"/>
                <w:szCs w:val="21"/>
                <w:highlight w:val="none"/>
                <w:lang w:val="en-US" w:eastAsia="zh-CN"/>
              </w:rPr>
            </w:pPr>
            <w:r>
              <w:rPr>
                <w:rFonts w:hint="eastAsia" w:ascii="宋体" w:hAnsi="宋体" w:cs="宋体"/>
                <w:color w:val="auto"/>
                <w:spacing w:val="-3"/>
                <w:sz w:val="21"/>
                <w:szCs w:val="21"/>
                <w:highlight w:val="none"/>
                <w:lang w:val="en-US" w:eastAsia="zh-CN"/>
              </w:rPr>
              <w:t>3、</w:t>
            </w:r>
            <w:r>
              <w:rPr>
                <w:rFonts w:hint="eastAsia" w:ascii="宋体" w:hAnsi="宋体" w:eastAsia="宋体" w:cs="宋体"/>
                <w:color w:val="auto"/>
                <w:spacing w:val="-3"/>
                <w:sz w:val="21"/>
                <w:szCs w:val="21"/>
                <w:highlight w:val="none"/>
                <w:lang w:val="en-US" w:eastAsia="zh-CN"/>
              </w:rPr>
              <w:t>标准的19英寸安装尺寸。</w:t>
            </w:r>
          </w:p>
          <w:p w14:paraId="01904211">
            <w:pPr>
              <w:spacing w:line="196" w:lineRule="auto"/>
              <w:ind w:left="32" w:leftChars="0" w:right="105" w:rightChars="0" w:hanging="19" w:firstLineChars="0"/>
              <w:rPr>
                <w:rFonts w:hint="eastAsia" w:ascii="宋体" w:hAnsi="宋体" w:eastAsia="宋体" w:cs="宋体"/>
                <w:color w:val="auto"/>
                <w:spacing w:val="-3"/>
                <w:sz w:val="21"/>
                <w:szCs w:val="21"/>
                <w:highlight w:val="none"/>
                <w:lang w:val="en-US" w:eastAsia="zh-CN"/>
              </w:rPr>
            </w:pPr>
            <w:r>
              <w:rPr>
                <w:rFonts w:hint="eastAsia" w:ascii="宋体" w:hAnsi="宋体" w:cs="宋体"/>
                <w:color w:val="auto"/>
                <w:spacing w:val="-3"/>
                <w:sz w:val="21"/>
                <w:szCs w:val="21"/>
                <w:highlight w:val="none"/>
                <w:lang w:val="en-US" w:eastAsia="zh-CN"/>
              </w:rPr>
              <w:t>4、</w:t>
            </w:r>
            <w:r>
              <w:rPr>
                <w:rFonts w:hint="eastAsia" w:ascii="宋体" w:hAnsi="宋体" w:eastAsia="宋体" w:cs="宋体"/>
                <w:color w:val="auto"/>
                <w:spacing w:val="-3"/>
                <w:sz w:val="21"/>
                <w:szCs w:val="21"/>
                <w:highlight w:val="none"/>
                <w:lang w:val="en-US" w:eastAsia="zh-CN"/>
              </w:rPr>
              <w:t>理想使用距离250米。</w:t>
            </w:r>
          </w:p>
          <w:p w14:paraId="2C33AC24">
            <w:pPr>
              <w:spacing w:line="196" w:lineRule="auto"/>
              <w:ind w:left="32" w:leftChars="0" w:right="105" w:rightChars="0" w:hanging="19" w:firstLineChars="0"/>
              <w:rPr>
                <w:rFonts w:hint="eastAsia" w:ascii="宋体" w:hAnsi="宋体" w:eastAsia="宋体" w:cs="宋体"/>
                <w:color w:val="auto"/>
                <w:spacing w:val="-3"/>
                <w:sz w:val="21"/>
                <w:szCs w:val="21"/>
                <w:highlight w:val="none"/>
                <w:lang w:val="en-US" w:eastAsia="zh-CN"/>
              </w:rPr>
            </w:pPr>
            <w:r>
              <w:rPr>
                <w:rFonts w:hint="eastAsia" w:ascii="宋体" w:hAnsi="宋体" w:cs="宋体"/>
                <w:color w:val="auto"/>
                <w:spacing w:val="-3"/>
                <w:sz w:val="21"/>
                <w:szCs w:val="21"/>
                <w:highlight w:val="none"/>
                <w:lang w:val="en-US" w:eastAsia="zh-CN"/>
              </w:rPr>
              <w:t>5、</w:t>
            </w:r>
            <w:r>
              <w:rPr>
                <w:rFonts w:hint="eastAsia" w:ascii="宋体" w:hAnsi="宋体" w:eastAsia="宋体" w:cs="宋体"/>
                <w:color w:val="auto"/>
                <w:spacing w:val="-3"/>
                <w:sz w:val="21"/>
                <w:szCs w:val="21"/>
                <w:highlight w:val="none"/>
                <w:lang w:val="en-US" w:eastAsia="zh-CN"/>
              </w:rPr>
              <w:t>载波频段UHF550-960MHZ可选</w:t>
            </w:r>
          </w:p>
          <w:p w14:paraId="1E64FFB9">
            <w:pPr>
              <w:spacing w:line="196" w:lineRule="auto"/>
              <w:ind w:left="32" w:leftChars="0" w:right="105" w:rightChars="0" w:hanging="19" w:firstLineChars="0"/>
              <w:rPr>
                <w:rFonts w:hint="eastAsia" w:ascii="宋体" w:hAnsi="宋体" w:eastAsia="宋体" w:cs="宋体"/>
                <w:color w:val="auto"/>
                <w:spacing w:val="-3"/>
                <w:sz w:val="21"/>
                <w:szCs w:val="21"/>
                <w:highlight w:val="none"/>
                <w:lang w:val="en-US" w:eastAsia="zh-CN"/>
              </w:rPr>
            </w:pPr>
            <w:r>
              <w:rPr>
                <w:rFonts w:hint="eastAsia" w:ascii="宋体" w:hAnsi="宋体" w:cs="宋体"/>
                <w:color w:val="auto"/>
                <w:spacing w:val="-3"/>
                <w:sz w:val="21"/>
                <w:szCs w:val="21"/>
                <w:highlight w:val="none"/>
                <w:lang w:val="en-US" w:eastAsia="zh-CN"/>
              </w:rPr>
              <w:t>6、</w:t>
            </w:r>
            <w:r>
              <w:rPr>
                <w:rFonts w:hint="eastAsia" w:ascii="宋体" w:hAnsi="宋体" w:eastAsia="宋体" w:cs="宋体"/>
                <w:color w:val="auto"/>
                <w:spacing w:val="-3"/>
                <w:sz w:val="21"/>
                <w:szCs w:val="21"/>
                <w:highlight w:val="none"/>
                <w:lang w:val="en-US" w:eastAsia="zh-CN"/>
              </w:rPr>
              <w:t>频宽：50MHZ</w:t>
            </w:r>
          </w:p>
          <w:p w14:paraId="05979FF5">
            <w:pPr>
              <w:spacing w:line="196" w:lineRule="auto"/>
              <w:ind w:left="32" w:leftChars="0" w:right="105" w:rightChars="0" w:hanging="19" w:firstLineChars="0"/>
              <w:rPr>
                <w:rFonts w:hint="eastAsia" w:ascii="宋体" w:hAnsi="宋体" w:eastAsia="宋体" w:cs="宋体"/>
                <w:color w:val="auto"/>
                <w:spacing w:val="-3"/>
                <w:sz w:val="21"/>
                <w:szCs w:val="21"/>
                <w:highlight w:val="none"/>
                <w:lang w:val="en-US" w:eastAsia="zh-CN"/>
              </w:rPr>
            </w:pPr>
            <w:r>
              <w:rPr>
                <w:rFonts w:hint="eastAsia" w:ascii="宋体" w:hAnsi="宋体" w:cs="宋体"/>
                <w:color w:val="auto"/>
                <w:spacing w:val="-3"/>
                <w:sz w:val="21"/>
                <w:szCs w:val="21"/>
                <w:highlight w:val="none"/>
                <w:lang w:val="en-US" w:eastAsia="zh-CN"/>
              </w:rPr>
              <w:t>7、</w:t>
            </w:r>
            <w:r>
              <w:rPr>
                <w:rFonts w:hint="eastAsia" w:ascii="宋体" w:hAnsi="宋体" w:eastAsia="宋体" w:cs="宋体"/>
                <w:color w:val="auto"/>
                <w:spacing w:val="-3"/>
                <w:sz w:val="21"/>
                <w:szCs w:val="21"/>
                <w:highlight w:val="none"/>
                <w:lang w:val="en-US" w:eastAsia="zh-CN"/>
              </w:rPr>
              <w:t>预设群组数：20组，每组预设25 个频率</w:t>
            </w:r>
          </w:p>
          <w:p w14:paraId="6145C265">
            <w:pPr>
              <w:spacing w:line="196" w:lineRule="auto"/>
              <w:ind w:left="32" w:leftChars="0" w:right="105" w:rightChars="0" w:hanging="19" w:firstLineChars="0"/>
              <w:rPr>
                <w:rFonts w:hint="eastAsia" w:ascii="宋体" w:hAnsi="宋体" w:eastAsia="宋体" w:cs="宋体"/>
                <w:color w:val="auto"/>
                <w:spacing w:val="-3"/>
                <w:sz w:val="21"/>
                <w:szCs w:val="21"/>
                <w:highlight w:val="none"/>
                <w:lang w:val="en-US" w:eastAsia="zh-CN"/>
              </w:rPr>
            </w:pPr>
            <w:r>
              <w:rPr>
                <w:rFonts w:hint="eastAsia" w:ascii="宋体" w:hAnsi="宋体" w:cs="宋体"/>
                <w:color w:val="auto"/>
                <w:spacing w:val="-3"/>
                <w:sz w:val="21"/>
                <w:szCs w:val="21"/>
                <w:highlight w:val="none"/>
                <w:lang w:val="en-US" w:eastAsia="zh-CN"/>
              </w:rPr>
              <w:t>8、</w:t>
            </w:r>
            <w:r>
              <w:rPr>
                <w:rFonts w:hint="eastAsia" w:ascii="宋体" w:hAnsi="宋体" w:eastAsia="宋体" w:cs="宋体"/>
                <w:color w:val="auto"/>
                <w:spacing w:val="-3"/>
                <w:sz w:val="21"/>
                <w:szCs w:val="21"/>
                <w:highlight w:val="none"/>
                <w:lang w:val="en-US" w:eastAsia="zh-CN"/>
              </w:rPr>
              <w:t>动态范围：90DB</w:t>
            </w:r>
          </w:p>
          <w:p w14:paraId="3FA1E701">
            <w:pPr>
              <w:spacing w:line="196" w:lineRule="auto"/>
              <w:ind w:left="32" w:leftChars="0" w:right="105" w:rightChars="0" w:hanging="19" w:firstLineChars="0"/>
              <w:rPr>
                <w:rFonts w:hint="eastAsia" w:ascii="宋体" w:hAnsi="宋体" w:eastAsia="宋体" w:cs="宋体"/>
                <w:color w:val="auto"/>
                <w:spacing w:val="-3"/>
                <w:sz w:val="21"/>
                <w:szCs w:val="21"/>
                <w:highlight w:val="none"/>
                <w:lang w:val="en-US" w:eastAsia="zh-CN"/>
              </w:rPr>
            </w:pPr>
            <w:r>
              <w:rPr>
                <w:rFonts w:hint="eastAsia" w:ascii="宋体" w:hAnsi="宋体" w:cs="宋体"/>
                <w:color w:val="auto"/>
                <w:spacing w:val="-3"/>
                <w:sz w:val="21"/>
                <w:szCs w:val="21"/>
                <w:highlight w:val="none"/>
                <w:lang w:val="en-US" w:eastAsia="zh-CN"/>
              </w:rPr>
              <w:t>9、</w:t>
            </w:r>
            <w:r>
              <w:rPr>
                <w:rFonts w:hint="eastAsia" w:ascii="宋体" w:hAnsi="宋体" w:eastAsia="宋体" w:cs="宋体"/>
                <w:color w:val="auto"/>
                <w:spacing w:val="-3"/>
                <w:sz w:val="21"/>
                <w:szCs w:val="21"/>
                <w:highlight w:val="none"/>
                <w:lang w:val="en-US" w:eastAsia="zh-CN"/>
              </w:rPr>
              <w:t>失真度：&lt;0.5%</w:t>
            </w:r>
          </w:p>
          <w:p w14:paraId="4C65AC3D">
            <w:pPr>
              <w:spacing w:line="196" w:lineRule="auto"/>
              <w:ind w:left="32" w:leftChars="0" w:right="105" w:rightChars="0" w:hanging="19" w:firstLineChars="0"/>
              <w:rPr>
                <w:rFonts w:hint="eastAsia" w:ascii="宋体" w:hAnsi="宋体" w:eastAsia="宋体" w:cs="宋体"/>
                <w:color w:val="auto"/>
                <w:spacing w:val="-3"/>
                <w:sz w:val="21"/>
                <w:szCs w:val="21"/>
                <w:highlight w:val="none"/>
                <w:lang w:val="en-US" w:eastAsia="zh-CN"/>
              </w:rPr>
            </w:pPr>
            <w:r>
              <w:rPr>
                <w:rFonts w:hint="eastAsia" w:ascii="宋体" w:hAnsi="宋体" w:cs="宋体"/>
                <w:color w:val="auto"/>
                <w:spacing w:val="-3"/>
                <w:sz w:val="21"/>
                <w:szCs w:val="21"/>
                <w:highlight w:val="none"/>
                <w:lang w:val="en-US" w:eastAsia="zh-CN"/>
              </w:rPr>
              <w:t>10、</w:t>
            </w:r>
            <w:r>
              <w:rPr>
                <w:rFonts w:hint="eastAsia" w:ascii="宋体" w:hAnsi="宋体" w:eastAsia="宋体" w:cs="宋体"/>
                <w:color w:val="auto"/>
                <w:spacing w:val="-3"/>
                <w:sz w:val="21"/>
                <w:szCs w:val="21"/>
                <w:highlight w:val="none"/>
                <w:lang w:val="en-US" w:eastAsia="zh-CN"/>
              </w:rPr>
              <w:t>频率响应：30-20 KHZ/+2DB</w:t>
            </w:r>
          </w:p>
          <w:p w14:paraId="1C3D3E00">
            <w:pPr>
              <w:spacing w:line="196" w:lineRule="auto"/>
              <w:ind w:left="32" w:leftChars="0" w:right="105" w:rightChars="0" w:hanging="19" w:firstLineChars="0"/>
              <w:rPr>
                <w:rFonts w:hint="eastAsia" w:ascii="宋体" w:hAnsi="宋体" w:eastAsia="宋体" w:cs="宋体"/>
                <w:color w:val="auto"/>
                <w:spacing w:val="-3"/>
                <w:sz w:val="21"/>
                <w:szCs w:val="21"/>
                <w:highlight w:val="none"/>
                <w:lang w:val="en-US" w:eastAsia="zh-CN"/>
              </w:rPr>
            </w:pPr>
            <w:r>
              <w:rPr>
                <w:rFonts w:hint="eastAsia" w:ascii="宋体" w:hAnsi="宋体" w:cs="宋体"/>
                <w:color w:val="auto"/>
                <w:spacing w:val="-3"/>
                <w:sz w:val="21"/>
                <w:szCs w:val="21"/>
                <w:highlight w:val="none"/>
                <w:lang w:val="en-US" w:eastAsia="zh-CN"/>
              </w:rPr>
              <w:t>11、</w:t>
            </w:r>
            <w:r>
              <w:rPr>
                <w:rFonts w:hint="eastAsia" w:ascii="宋体" w:hAnsi="宋体" w:eastAsia="宋体" w:cs="宋体"/>
                <w:color w:val="auto"/>
                <w:spacing w:val="-3"/>
                <w:sz w:val="21"/>
                <w:szCs w:val="21"/>
                <w:highlight w:val="none"/>
                <w:lang w:val="en-US" w:eastAsia="zh-CN"/>
              </w:rPr>
              <w:t>信噪比：90DB</w:t>
            </w:r>
          </w:p>
          <w:p w14:paraId="7F78CA34">
            <w:pPr>
              <w:spacing w:line="196" w:lineRule="auto"/>
              <w:ind w:left="32" w:leftChars="0" w:right="105" w:rightChars="0" w:hanging="19" w:firstLineChars="0"/>
              <w:rPr>
                <w:rFonts w:hint="eastAsia" w:ascii="宋体" w:hAnsi="宋体" w:eastAsia="宋体" w:cs="宋体"/>
                <w:color w:val="auto"/>
                <w:spacing w:val="-3"/>
                <w:sz w:val="21"/>
                <w:szCs w:val="21"/>
                <w:highlight w:val="none"/>
                <w:lang w:val="en-US" w:eastAsia="zh-CN"/>
              </w:rPr>
            </w:pPr>
            <w:r>
              <w:rPr>
                <w:rFonts w:hint="eastAsia" w:ascii="宋体" w:hAnsi="宋体" w:cs="宋体"/>
                <w:color w:val="auto"/>
                <w:spacing w:val="-3"/>
                <w:sz w:val="21"/>
                <w:szCs w:val="21"/>
                <w:highlight w:val="none"/>
                <w:lang w:val="en-US" w:eastAsia="zh-CN"/>
              </w:rPr>
              <w:t>12、</w:t>
            </w:r>
            <w:r>
              <w:rPr>
                <w:rFonts w:hint="eastAsia" w:ascii="宋体" w:hAnsi="宋体" w:eastAsia="宋体" w:cs="宋体"/>
                <w:color w:val="auto"/>
                <w:spacing w:val="-3"/>
                <w:sz w:val="21"/>
                <w:szCs w:val="21"/>
                <w:highlight w:val="none"/>
                <w:lang w:val="en-US" w:eastAsia="zh-CN"/>
              </w:rPr>
              <w:t>接收灵敏度：-95 DBM</w:t>
            </w:r>
          </w:p>
          <w:p w14:paraId="7E6B13CB">
            <w:pPr>
              <w:spacing w:line="196" w:lineRule="auto"/>
              <w:ind w:left="32" w:leftChars="0" w:right="105" w:rightChars="0" w:hanging="19" w:firstLineChars="0"/>
              <w:rPr>
                <w:rFonts w:hint="eastAsia" w:ascii="宋体" w:hAnsi="宋体" w:eastAsia="宋体" w:cs="宋体"/>
                <w:color w:val="auto"/>
                <w:spacing w:val="-3"/>
                <w:sz w:val="21"/>
                <w:szCs w:val="21"/>
                <w:highlight w:val="none"/>
                <w:lang w:val="en-US" w:eastAsia="zh-CN"/>
              </w:rPr>
            </w:pPr>
            <w:r>
              <w:rPr>
                <w:rFonts w:hint="eastAsia" w:ascii="宋体" w:hAnsi="宋体" w:cs="宋体"/>
                <w:color w:val="auto"/>
                <w:spacing w:val="-3"/>
                <w:sz w:val="21"/>
                <w:szCs w:val="21"/>
                <w:highlight w:val="none"/>
                <w:lang w:val="en-US" w:eastAsia="zh-CN"/>
              </w:rPr>
              <w:t>13、</w:t>
            </w:r>
            <w:r>
              <w:rPr>
                <w:rFonts w:hint="eastAsia" w:ascii="宋体" w:hAnsi="宋体" w:eastAsia="宋体" w:cs="宋体"/>
                <w:color w:val="auto"/>
                <w:spacing w:val="-3"/>
                <w:sz w:val="21"/>
                <w:szCs w:val="21"/>
                <w:highlight w:val="none"/>
                <w:lang w:val="en-US" w:eastAsia="zh-CN"/>
              </w:rPr>
              <w:t>音频输出接口：1X6 .3MM输出，2XXLR平衡输出</w:t>
            </w:r>
          </w:p>
          <w:p w14:paraId="63D2844D">
            <w:pPr>
              <w:spacing w:line="196" w:lineRule="auto"/>
              <w:ind w:left="32" w:leftChars="0" w:right="105" w:rightChars="0" w:hanging="19" w:firstLineChars="0"/>
              <w:rPr>
                <w:rFonts w:hint="eastAsia" w:ascii="宋体" w:hAnsi="宋体" w:eastAsia="宋体" w:cs="宋体"/>
                <w:color w:val="auto"/>
                <w:spacing w:val="-3"/>
                <w:sz w:val="21"/>
                <w:szCs w:val="21"/>
                <w:highlight w:val="none"/>
                <w:lang w:val="en-US" w:eastAsia="zh-CN"/>
              </w:rPr>
            </w:pPr>
            <w:r>
              <w:rPr>
                <w:rFonts w:hint="eastAsia" w:ascii="宋体" w:hAnsi="宋体" w:cs="宋体"/>
                <w:color w:val="auto"/>
                <w:spacing w:val="-3"/>
                <w:sz w:val="21"/>
                <w:szCs w:val="21"/>
                <w:highlight w:val="none"/>
                <w:lang w:val="en-US" w:eastAsia="zh-CN"/>
              </w:rPr>
              <w:t>14、</w:t>
            </w:r>
            <w:r>
              <w:rPr>
                <w:rFonts w:hint="eastAsia" w:ascii="宋体" w:hAnsi="宋体" w:eastAsia="宋体" w:cs="宋体"/>
                <w:color w:val="auto"/>
                <w:spacing w:val="-3"/>
                <w:sz w:val="21"/>
                <w:szCs w:val="21"/>
                <w:highlight w:val="none"/>
                <w:lang w:val="en-US" w:eastAsia="zh-CN"/>
              </w:rPr>
              <w:t>电源供应：DC12V-18V 1 A</w:t>
            </w:r>
          </w:p>
          <w:p w14:paraId="0BACB129">
            <w:pPr>
              <w:spacing w:line="196" w:lineRule="auto"/>
              <w:ind w:left="32" w:leftChars="0" w:right="105" w:rightChars="0" w:hanging="19" w:firstLineChars="0"/>
              <w:rPr>
                <w:rFonts w:hint="eastAsia" w:ascii="宋体" w:hAnsi="宋体" w:eastAsia="宋体" w:cs="宋体"/>
                <w:color w:val="auto"/>
                <w:spacing w:val="-3"/>
                <w:sz w:val="21"/>
                <w:szCs w:val="21"/>
                <w:highlight w:val="none"/>
                <w:lang w:val="en-US" w:eastAsia="zh-CN"/>
              </w:rPr>
            </w:pPr>
            <w:r>
              <w:rPr>
                <w:rFonts w:hint="eastAsia" w:ascii="宋体" w:hAnsi="宋体" w:cs="宋体"/>
                <w:color w:val="auto"/>
                <w:spacing w:val="-3"/>
                <w:sz w:val="21"/>
                <w:szCs w:val="21"/>
                <w:highlight w:val="none"/>
                <w:lang w:val="en-US" w:eastAsia="zh-CN"/>
              </w:rPr>
              <w:t>15、</w:t>
            </w:r>
            <w:r>
              <w:rPr>
                <w:rFonts w:hint="eastAsia" w:ascii="宋体" w:hAnsi="宋体" w:eastAsia="宋体" w:cs="宋体"/>
                <w:color w:val="auto"/>
                <w:spacing w:val="-3"/>
                <w:sz w:val="21"/>
                <w:szCs w:val="21"/>
                <w:highlight w:val="none"/>
                <w:lang w:val="en-US" w:eastAsia="zh-CN"/>
              </w:rPr>
              <w:t>电源电压：13.5V</w:t>
            </w:r>
          </w:p>
          <w:p w14:paraId="2108DD91">
            <w:pPr>
              <w:spacing w:line="196" w:lineRule="auto"/>
              <w:ind w:left="32" w:leftChars="0" w:right="105" w:rightChars="0" w:hanging="19" w:firstLineChars="0"/>
              <w:rPr>
                <w:rFonts w:hint="eastAsia" w:ascii="宋体" w:hAnsi="宋体" w:eastAsia="宋体" w:cs="宋体"/>
                <w:color w:val="auto"/>
                <w:spacing w:val="-3"/>
                <w:sz w:val="21"/>
                <w:szCs w:val="21"/>
                <w:highlight w:val="none"/>
                <w:lang w:val="en-US" w:eastAsia="zh-CN"/>
              </w:rPr>
            </w:pPr>
            <w:r>
              <w:rPr>
                <w:rFonts w:hint="eastAsia" w:ascii="宋体" w:hAnsi="宋体" w:cs="宋体"/>
                <w:color w:val="auto"/>
                <w:spacing w:val="-3"/>
                <w:sz w:val="21"/>
                <w:szCs w:val="21"/>
                <w:highlight w:val="none"/>
                <w:lang w:val="en-US" w:eastAsia="zh-CN"/>
              </w:rPr>
              <w:t>16、</w:t>
            </w:r>
            <w:r>
              <w:rPr>
                <w:rFonts w:hint="eastAsia" w:ascii="宋体" w:hAnsi="宋体" w:eastAsia="宋体" w:cs="宋体"/>
                <w:color w:val="auto"/>
                <w:spacing w:val="-3"/>
                <w:sz w:val="21"/>
                <w:szCs w:val="21"/>
                <w:highlight w:val="none"/>
                <w:lang w:val="en-US" w:eastAsia="zh-CN"/>
              </w:rPr>
              <w:t>消耗功率：&lt;5 WATT</w:t>
            </w:r>
          </w:p>
          <w:p w14:paraId="6E0EBDD8">
            <w:pPr>
              <w:spacing w:line="196" w:lineRule="auto"/>
              <w:ind w:left="32" w:leftChars="0" w:right="105" w:rightChars="0" w:hanging="19" w:firstLineChars="0"/>
              <w:rPr>
                <w:rFonts w:hint="eastAsia" w:ascii="宋体" w:hAnsi="宋体" w:eastAsia="宋体" w:cs="宋体"/>
                <w:color w:val="auto"/>
                <w:spacing w:val="-3"/>
                <w:sz w:val="21"/>
                <w:szCs w:val="21"/>
                <w:highlight w:val="none"/>
                <w:lang w:val="en-US" w:eastAsia="zh-CN"/>
              </w:rPr>
            </w:pPr>
            <w:r>
              <w:rPr>
                <w:rFonts w:hint="eastAsia" w:ascii="宋体" w:hAnsi="宋体" w:cs="宋体"/>
                <w:color w:val="auto"/>
                <w:spacing w:val="-3"/>
                <w:sz w:val="21"/>
                <w:szCs w:val="21"/>
                <w:highlight w:val="none"/>
                <w:lang w:val="en-US" w:eastAsia="zh-CN"/>
              </w:rPr>
              <w:t>17、</w:t>
            </w:r>
            <w:r>
              <w:rPr>
                <w:rFonts w:hint="eastAsia" w:ascii="宋体" w:hAnsi="宋体" w:eastAsia="宋体" w:cs="宋体"/>
                <w:color w:val="auto"/>
                <w:spacing w:val="-3"/>
                <w:sz w:val="21"/>
                <w:szCs w:val="21"/>
                <w:highlight w:val="none"/>
                <w:lang w:val="en-US" w:eastAsia="zh-CN"/>
              </w:rPr>
              <w:t xml:space="preserve">信噪比：&gt;95DB  </w:t>
            </w:r>
          </w:p>
          <w:p w14:paraId="7DD0A6E8">
            <w:pPr>
              <w:spacing w:line="196" w:lineRule="auto"/>
              <w:ind w:left="32" w:leftChars="0" w:right="105" w:rightChars="0" w:hanging="19" w:firstLineChars="0"/>
              <w:rPr>
                <w:rFonts w:hint="eastAsia" w:ascii="宋体" w:hAnsi="宋体" w:eastAsia="宋体" w:cs="宋体"/>
                <w:color w:val="auto"/>
                <w:spacing w:val="-3"/>
                <w:sz w:val="21"/>
                <w:szCs w:val="21"/>
                <w:highlight w:val="none"/>
                <w:lang w:val="en-US" w:eastAsia="zh-CN"/>
              </w:rPr>
            </w:pPr>
            <w:r>
              <w:rPr>
                <w:rFonts w:hint="eastAsia" w:ascii="宋体" w:hAnsi="宋体" w:cs="宋体"/>
                <w:color w:val="auto"/>
                <w:spacing w:val="-3"/>
                <w:sz w:val="21"/>
                <w:szCs w:val="21"/>
                <w:highlight w:val="none"/>
                <w:lang w:val="en-US" w:eastAsia="zh-CN"/>
              </w:rPr>
              <w:t>18、</w:t>
            </w:r>
            <w:r>
              <w:rPr>
                <w:rFonts w:hint="eastAsia" w:ascii="宋体" w:hAnsi="宋体" w:eastAsia="宋体" w:cs="宋体"/>
                <w:color w:val="auto"/>
                <w:spacing w:val="-3"/>
                <w:sz w:val="21"/>
                <w:szCs w:val="21"/>
                <w:highlight w:val="none"/>
                <w:lang w:val="en-US" w:eastAsia="zh-CN"/>
              </w:rPr>
              <w:t>接收灵敏度：5  DBUV</w:t>
            </w:r>
          </w:p>
          <w:p w14:paraId="7E3ADFFD">
            <w:pPr>
              <w:spacing w:line="196" w:lineRule="auto"/>
              <w:ind w:left="32" w:leftChars="0" w:right="105" w:rightChars="0" w:hanging="19" w:firstLineChars="0"/>
              <w:rPr>
                <w:rFonts w:hint="eastAsia" w:ascii="宋体" w:hAnsi="宋体" w:eastAsia="宋体" w:cs="宋体"/>
                <w:color w:val="auto"/>
                <w:spacing w:val="-3"/>
                <w:sz w:val="21"/>
                <w:szCs w:val="21"/>
                <w:highlight w:val="none"/>
                <w:lang w:val="en-US" w:eastAsia="zh-CN"/>
              </w:rPr>
            </w:pPr>
            <w:r>
              <w:rPr>
                <w:rFonts w:hint="eastAsia" w:ascii="宋体" w:hAnsi="宋体" w:cs="宋体"/>
                <w:color w:val="auto"/>
                <w:spacing w:val="-3"/>
                <w:sz w:val="21"/>
                <w:szCs w:val="21"/>
                <w:highlight w:val="none"/>
                <w:lang w:val="en-US" w:eastAsia="zh-CN"/>
              </w:rPr>
              <w:t>19、</w:t>
            </w:r>
            <w:r>
              <w:rPr>
                <w:rFonts w:hint="eastAsia" w:ascii="宋体" w:hAnsi="宋体" w:eastAsia="宋体" w:cs="宋体"/>
                <w:color w:val="auto"/>
                <w:spacing w:val="-3"/>
                <w:sz w:val="21"/>
                <w:szCs w:val="21"/>
                <w:highlight w:val="none"/>
                <w:lang w:val="en-US" w:eastAsia="zh-CN"/>
              </w:rPr>
              <w:t>发射功率：30MW</w:t>
            </w:r>
          </w:p>
          <w:p w14:paraId="2D4038FB">
            <w:pPr>
              <w:spacing w:line="196" w:lineRule="auto"/>
              <w:ind w:left="32" w:leftChars="0" w:right="105" w:rightChars="0" w:hanging="19" w:firstLineChars="0"/>
              <w:rPr>
                <w:rFonts w:hint="eastAsia" w:ascii="宋体" w:hAnsi="宋体" w:eastAsia="宋体" w:cs="宋体"/>
                <w:color w:val="auto"/>
                <w:spacing w:val="-3"/>
                <w:sz w:val="21"/>
                <w:szCs w:val="21"/>
                <w:highlight w:val="none"/>
                <w:lang w:val="en-US" w:eastAsia="zh-CN"/>
              </w:rPr>
            </w:pPr>
            <w:r>
              <w:rPr>
                <w:rFonts w:hint="eastAsia" w:ascii="宋体" w:hAnsi="宋体" w:cs="宋体"/>
                <w:color w:val="auto"/>
                <w:spacing w:val="-3"/>
                <w:sz w:val="21"/>
                <w:szCs w:val="21"/>
                <w:highlight w:val="none"/>
                <w:lang w:val="en-US" w:eastAsia="zh-CN"/>
              </w:rPr>
              <w:t>20、</w:t>
            </w:r>
            <w:r>
              <w:rPr>
                <w:rFonts w:hint="eastAsia" w:ascii="宋体" w:hAnsi="宋体" w:eastAsia="宋体" w:cs="宋体"/>
                <w:color w:val="auto"/>
                <w:spacing w:val="-3"/>
                <w:sz w:val="21"/>
                <w:szCs w:val="21"/>
                <w:highlight w:val="none"/>
                <w:lang w:val="en-US" w:eastAsia="zh-CN"/>
              </w:rPr>
              <w:t>调制方式： FM</w:t>
            </w:r>
            <w:r>
              <w:rPr>
                <w:rFonts w:hint="eastAsia" w:ascii="宋体" w:hAnsi="宋体" w:cs="宋体"/>
                <w:color w:val="auto"/>
                <w:spacing w:val="-3"/>
                <w:sz w:val="21"/>
                <w:szCs w:val="21"/>
                <w:highlight w:val="none"/>
                <w:lang w:val="en-US" w:eastAsia="zh-CN"/>
              </w:rPr>
              <w:t>、</w:t>
            </w:r>
            <w:r>
              <w:rPr>
                <w:rFonts w:hint="eastAsia" w:ascii="宋体" w:hAnsi="宋体" w:eastAsia="宋体" w:cs="宋体"/>
                <w:color w:val="auto"/>
                <w:spacing w:val="-3"/>
                <w:sz w:val="21"/>
                <w:szCs w:val="21"/>
                <w:highlight w:val="none"/>
                <w:lang w:val="en-US" w:eastAsia="zh-CN"/>
              </w:rPr>
              <w:t xml:space="preserve">最大调制度：40KHZ </w:t>
            </w:r>
          </w:p>
          <w:p w14:paraId="0416CB8A">
            <w:pPr>
              <w:spacing w:line="196" w:lineRule="auto"/>
              <w:ind w:left="32" w:leftChars="0" w:right="105" w:rightChars="0" w:hanging="19" w:firstLineChars="0"/>
              <w:rPr>
                <w:rFonts w:hint="eastAsia" w:ascii="宋体" w:hAnsi="宋体" w:eastAsia="宋体" w:cs="宋体"/>
                <w:color w:val="auto"/>
                <w:spacing w:val="-3"/>
                <w:sz w:val="21"/>
                <w:szCs w:val="21"/>
                <w:highlight w:val="none"/>
                <w:lang w:val="en-US" w:eastAsia="zh-CN"/>
              </w:rPr>
            </w:pPr>
            <w:r>
              <w:rPr>
                <w:rFonts w:hint="eastAsia" w:ascii="宋体" w:hAnsi="宋体" w:cs="宋体"/>
                <w:color w:val="auto"/>
                <w:spacing w:val="-3"/>
                <w:sz w:val="21"/>
                <w:szCs w:val="21"/>
                <w:highlight w:val="none"/>
                <w:lang w:val="en-US" w:eastAsia="zh-CN"/>
              </w:rPr>
              <w:t>21、</w:t>
            </w:r>
            <w:r>
              <w:rPr>
                <w:rFonts w:hint="eastAsia" w:ascii="宋体" w:hAnsi="宋体" w:eastAsia="宋体" w:cs="宋体"/>
                <w:color w:val="auto"/>
                <w:spacing w:val="-3"/>
                <w:sz w:val="21"/>
                <w:szCs w:val="21"/>
                <w:highlight w:val="none"/>
                <w:lang w:val="en-US" w:eastAsia="zh-CN"/>
              </w:rPr>
              <w:t xml:space="preserve">高次谐波：&lt;-60DB </w:t>
            </w:r>
          </w:p>
          <w:p w14:paraId="4A55ADB6">
            <w:pPr>
              <w:spacing w:line="196" w:lineRule="auto"/>
              <w:ind w:left="32" w:leftChars="0" w:right="105" w:rightChars="0" w:hanging="19" w:firstLineChars="0"/>
              <w:rPr>
                <w:rFonts w:hint="eastAsia" w:ascii="宋体" w:hAnsi="宋体" w:eastAsia="宋体" w:cs="宋体"/>
                <w:color w:val="auto"/>
                <w:spacing w:val="-3"/>
                <w:sz w:val="21"/>
                <w:szCs w:val="21"/>
                <w:highlight w:val="none"/>
                <w:lang w:val="en-US" w:eastAsia="zh-CN"/>
              </w:rPr>
            </w:pPr>
            <w:r>
              <w:rPr>
                <w:rFonts w:hint="eastAsia" w:ascii="宋体" w:hAnsi="宋体" w:cs="宋体"/>
                <w:color w:val="auto"/>
                <w:spacing w:val="-3"/>
                <w:sz w:val="21"/>
                <w:szCs w:val="21"/>
                <w:highlight w:val="none"/>
                <w:lang w:val="en-US" w:eastAsia="zh-CN"/>
              </w:rPr>
              <w:t>22、</w:t>
            </w:r>
            <w:r>
              <w:rPr>
                <w:rFonts w:hint="eastAsia" w:ascii="宋体" w:hAnsi="宋体" w:eastAsia="宋体" w:cs="宋体"/>
                <w:color w:val="auto"/>
                <w:spacing w:val="-3"/>
                <w:sz w:val="21"/>
                <w:szCs w:val="21"/>
                <w:highlight w:val="none"/>
                <w:lang w:val="en-US" w:eastAsia="zh-CN"/>
              </w:rPr>
              <w:t>供电电压：3V(1.5V AA电池2节)</w:t>
            </w:r>
          </w:p>
          <w:p w14:paraId="5ED9C5B3">
            <w:pPr>
              <w:spacing w:line="196" w:lineRule="auto"/>
              <w:ind w:left="32" w:leftChars="0" w:right="105" w:rightChars="0" w:hanging="19" w:firstLineChars="0"/>
              <w:rPr>
                <w:rFonts w:hint="eastAsia" w:ascii="宋体" w:hAnsi="宋体" w:eastAsia="宋体" w:cs="宋体"/>
                <w:color w:val="auto"/>
                <w:spacing w:val="-3"/>
                <w:sz w:val="21"/>
                <w:szCs w:val="21"/>
                <w:highlight w:val="none"/>
                <w:lang w:val="en-US" w:eastAsia="zh-CN"/>
              </w:rPr>
            </w:pPr>
            <w:r>
              <w:rPr>
                <w:rFonts w:hint="eastAsia" w:ascii="宋体" w:hAnsi="宋体" w:cs="宋体"/>
                <w:color w:val="auto"/>
                <w:spacing w:val="-3"/>
                <w:sz w:val="21"/>
                <w:szCs w:val="21"/>
                <w:highlight w:val="none"/>
                <w:lang w:val="en-US" w:eastAsia="zh-CN"/>
              </w:rPr>
              <w:t>23、</w:t>
            </w:r>
            <w:r>
              <w:rPr>
                <w:rFonts w:hint="eastAsia" w:ascii="宋体" w:hAnsi="宋体" w:eastAsia="宋体" w:cs="宋体"/>
                <w:color w:val="auto"/>
                <w:spacing w:val="-3"/>
                <w:sz w:val="21"/>
                <w:szCs w:val="21"/>
                <w:highlight w:val="none"/>
                <w:lang w:val="en-US" w:eastAsia="zh-CN"/>
              </w:rPr>
              <w:t>持续使用时间：8小时</w:t>
            </w:r>
          </w:p>
          <w:p w14:paraId="02D7EC69">
            <w:pPr>
              <w:spacing w:line="196" w:lineRule="auto"/>
              <w:ind w:left="32" w:leftChars="0" w:right="105" w:rightChars="0" w:hanging="19" w:firstLineChars="0"/>
              <w:rPr>
                <w:rFonts w:hint="eastAsia" w:ascii="宋体" w:hAnsi="宋体" w:eastAsia="宋体" w:cs="宋体"/>
                <w:color w:val="auto"/>
                <w:spacing w:val="1"/>
                <w:sz w:val="21"/>
                <w:szCs w:val="21"/>
                <w:highlight w:val="none"/>
              </w:rPr>
            </w:pPr>
            <w:r>
              <w:rPr>
                <w:rFonts w:hint="eastAsia" w:ascii="宋体" w:hAnsi="宋体" w:eastAsia="宋体" w:cs="宋体"/>
                <w:color w:val="auto"/>
                <w:spacing w:val="2"/>
                <w:sz w:val="21"/>
                <w:szCs w:val="21"/>
                <w:highlight w:val="none"/>
              </w:rPr>
              <w:t>(含所需线</w:t>
            </w:r>
            <w:r>
              <w:rPr>
                <w:rFonts w:hint="eastAsia" w:ascii="宋体" w:hAnsi="宋体" w:eastAsia="宋体" w:cs="宋体"/>
                <w:color w:val="auto"/>
                <w:spacing w:val="10"/>
                <w:sz w:val="21"/>
                <w:szCs w:val="21"/>
                <w:highlight w:val="none"/>
              </w:rPr>
              <w:t>材，吊</w:t>
            </w:r>
            <w:r>
              <w:rPr>
                <w:rFonts w:hint="eastAsia" w:ascii="宋体" w:hAnsi="宋体" w:eastAsia="宋体" w:cs="宋体"/>
                <w:color w:val="auto"/>
                <w:spacing w:val="10"/>
                <w:sz w:val="21"/>
                <w:szCs w:val="21"/>
                <w:highlight w:val="none"/>
              </w:rPr>
              <w:t>架、备件、</w:t>
            </w:r>
            <w:r>
              <w:rPr>
                <w:rFonts w:hint="eastAsia" w:ascii="宋体" w:hAnsi="宋体" w:eastAsia="宋体" w:cs="宋体"/>
                <w:color w:val="auto"/>
                <w:spacing w:val="3"/>
                <w:sz w:val="21"/>
                <w:szCs w:val="21"/>
                <w:highlight w:val="none"/>
              </w:rPr>
              <w:t>旧设备拆除，配套</w:t>
            </w:r>
            <w:r>
              <w:rPr>
                <w:rFonts w:hint="eastAsia" w:ascii="宋体" w:hAnsi="宋体" w:eastAsia="宋体" w:cs="宋体"/>
                <w:color w:val="auto"/>
                <w:spacing w:val="-6"/>
                <w:sz w:val="21"/>
                <w:szCs w:val="21"/>
                <w:highlight w:val="none"/>
              </w:rPr>
              <w:t>的改造装修费用</w:t>
            </w:r>
            <w:r>
              <w:rPr>
                <w:rFonts w:hint="eastAsia" w:ascii="宋体" w:hAnsi="宋体" w:eastAsia="宋体" w:cs="宋体"/>
                <w:color w:val="auto"/>
                <w:sz w:val="21"/>
                <w:szCs w:val="21"/>
                <w:highlight w:val="none"/>
              </w:rPr>
              <w:t>)</w:t>
            </w:r>
          </w:p>
        </w:tc>
        <w:tc>
          <w:tcPr>
            <w:tcW w:w="718" w:type="dxa"/>
            <w:shd w:val="clear" w:color="auto" w:fill="auto"/>
            <w:vAlign w:val="center"/>
          </w:tcPr>
          <w:p w14:paraId="46E4AE9E">
            <w:pPr>
              <w:spacing w:before="55" w:line="22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4</w:t>
            </w:r>
            <w:r>
              <w:rPr>
                <w:rFonts w:hint="eastAsia" w:ascii="宋体" w:hAnsi="宋体" w:eastAsia="宋体" w:cs="宋体"/>
                <w:color w:val="auto"/>
                <w:sz w:val="21"/>
                <w:szCs w:val="21"/>
                <w:highlight w:val="none"/>
              </w:rPr>
              <w:t>套</w:t>
            </w:r>
          </w:p>
        </w:tc>
        <w:tc>
          <w:tcPr>
            <w:tcW w:w="706" w:type="dxa"/>
            <w:shd w:val="clear" w:color="auto" w:fill="auto"/>
            <w:vAlign w:val="center"/>
          </w:tcPr>
          <w:p w14:paraId="783EB20B">
            <w:pPr>
              <w:spacing w:before="55" w:line="220" w:lineRule="auto"/>
              <w:jc w:val="center"/>
              <w:rPr>
                <w:rFonts w:hint="eastAsia" w:ascii="宋体" w:hAnsi="宋体" w:eastAsia="宋体" w:cs="宋体"/>
                <w:color w:val="auto"/>
                <w:spacing w:val="-6"/>
                <w:sz w:val="21"/>
                <w:szCs w:val="21"/>
                <w:highlight w:val="none"/>
              </w:rPr>
            </w:pPr>
            <w:r>
              <w:rPr>
                <w:rFonts w:hint="eastAsia" w:ascii="宋体" w:hAnsi="宋体" w:eastAsia="宋体" w:cs="宋体"/>
                <w:color w:val="auto"/>
                <w:spacing w:val="-5"/>
                <w:sz w:val="21"/>
                <w:szCs w:val="21"/>
                <w:highlight w:val="none"/>
                <w:lang w:val="en-US" w:eastAsia="zh-CN"/>
              </w:rPr>
              <w:t>工业</w:t>
            </w:r>
          </w:p>
        </w:tc>
      </w:tr>
      <w:tr w14:paraId="3E8C2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5" w:type="dxa"/>
            <w:vAlign w:val="center"/>
          </w:tcPr>
          <w:p w14:paraId="42F25057">
            <w:pPr>
              <w:keepLines/>
              <w:widowControl/>
              <w:wordWrap w:val="0"/>
              <w:topLinePun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w:t>
            </w:r>
          </w:p>
        </w:tc>
        <w:tc>
          <w:tcPr>
            <w:tcW w:w="756" w:type="dxa"/>
            <w:shd w:val="clear" w:color="auto" w:fill="auto"/>
            <w:vAlign w:val="center"/>
          </w:tcPr>
          <w:p w14:paraId="1FB0C70C">
            <w:pPr>
              <w:spacing w:before="55" w:line="219" w:lineRule="auto"/>
              <w:ind w:left="1" w:leftChars="0"/>
              <w:jc w:val="center"/>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无线会议话筒</w:t>
            </w:r>
          </w:p>
        </w:tc>
        <w:tc>
          <w:tcPr>
            <w:tcW w:w="6814" w:type="dxa"/>
            <w:shd w:val="clear" w:color="auto" w:fill="auto"/>
            <w:vAlign w:val="top"/>
          </w:tcPr>
          <w:p w14:paraId="4AC1D886">
            <w:pPr>
              <w:numPr>
                <w:ilvl w:val="0"/>
                <w:numId w:val="5"/>
              </w:numPr>
              <w:spacing w:before="2" w:line="195" w:lineRule="auto"/>
              <w:ind w:left="13" w:leftChars="0"/>
              <w:rPr>
                <w:rFonts w:hint="eastAsia" w:ascii="宋体" w:hAnsi="宋体" w:eastAsia="宋体" w:cs="宋体"/>
                <w:color w:val="auto"/>
                <w:spacing w:val="1"/>
                <w:sz w:val="21"/>
                <w:szCs w:val="21"/>
                <w:highlight w:val="none"/>
                <w:lang w:val="en-US" w:eastAsia="zh-CN"/>
              </w:rPr>
            </w:pPr>
            <w:r>
              <w:rPr>
                <w:rFonts w:hint="eastAsia" w:ascii="宋体" w:hAnsi="宋体" w:eastAsia="宋体" w:cs="宋体"/>
                <w:color w:val="auto"/>
                <w:spacing w:val="1"/>
                <w:sz w:val="21"/>
                <w:szCs w:val="21"/>
                <w:highlight w:val="none"/>
                <w:lang w:val="en-US" w:eastAsia="zh-CN"/>
              </w:rPr>
              <w:t>使用UHF550-950 MHz频段，避免干扰频率。 ·</w:t>
            </w:r>
          </w:p>
          <w:p w14:paraId="4D995ED9">
            <w:pPr>
              <w:numPr>
                <w:ilvl w:val="0"/>
                <w:numId w:val="5"/>
              </w:numPr>
              <w:spacing w:before="2" w:line="195" w:lineRule="auto"/>
              <w:ind w:left="13" w:leftChars="0"/>
              <w:rPr>
                <w:rFonts w:hint="eastAsia" w:ascii="宋体" w:hAnsi="宋体" w:eastAsia="宋体" w:cs="宋体"/>
                <w:color w:val="auto"/>
                <w:spacing w:val="1"/>
                <w:sz w:val="21"/>
                <w:szCs w:val="21"/>
                <w:highlight w:val="none"/>
                <w:lang w:val="en-US" w:eastAsia="zh-CN"/>
              </w:rPr>
            </w:pPr>
            <w:r>
              <w:rPr>
                <w:rFonts w:hint="eastAsia" w:ascii="宋体" w:hAnsi="宋体" w:eastAsia="宋体" w:cs="宋体"/>
                <w:color w:val="auto"/>
                <w:spacing w:val="1"/>
                <w:sz w:val="21"/>
                <w:szCs w:val="21"/>
                <w:highlight w:val="none"/>
                <w:lang w:val="en-US" w:eastAsia="zh-CN"/>
              </w:rPr>
              <w:t>采用8信道，采用BK单芯片集成电路。</w:t>
            </w:r>
          </w:p>
          <w:p w14:paraId="653CF20C">
            <w:pPr>
              <w:spacing w:before="2" w:line="195" w:lineRule="auto"/>
              <w:ind w:left="13" w:leftChars="0"/>
              <w:rPr>
                <w:rFonts w:hint="eastAsia" w:ascii="宋体" w:hAnsi="宋体" w:eastAsia="宋体" w:cs="宋体"/>
                <w:color w:val="auto"/>
                <w:spacing w:val="1"/>
                <w:sz w:val="21"/>
                <w:szCs w:val="21"/>
                <w:highlight w:val="none"/>
                <w:lang w:val="en-US" w:eastAsia="zh-CN"/>
              </w:rPr>
            </w:pPr>
            <w:r>
              <w:rPr>
                <w:rFonts w:hint="eastAsia" w:ascii="宋体" w:hAnsi="宋体" w:cs="宋体"/>
                <w:color w:val="auto"/>
                <w:spacing w:val="1"/>
                <w:sz w:val="21"/>
                <w:szCs w:val="21"/>
                <w:highlight w:val="none"/>
                <w:lang w:val="en-US" w:eastAsia="zh-CN"/>
              </w:rPr>
              <w:t>3、</w:t>
            </w:r>
            <w:r>
              <w:rPr>
                <w:rFonts w:hint="eastAsia" w:ascii="宋体" w:hAnsi="宋体" w:eastAsia="宋体" w:cs="宋体"/>
                <w:color w:val="auto"/>
                <w:spacing w:val="1"/>
                <w:sz w:val="21"/>
                <w:szCs w:val="21"/>
                <w:highlight w:val="none"/>
                <w:lang w:val="en-US" w:eastAsia="zh-CN"/>
              </w:rPr>
              <w:t>采用独有的ID码导频技术，彻底解决同频、串频现象</w:t>
            </w:r>
          </w:p>
          <w:p w14:paraId="49BCFC67">
            <w:pPr>
              <w:spacing w:before="2" w:line="195" w:lineRule="auto"/>
              <w:ind w:left="13" w:leftChars="0"/>
              <w:rPr>
                <w:rFonts w:hint="eastAsia" w:ascii="宋体" w:hAnsi="宋体" w:eastAsia="宋体" w:cs="宋体"/>
                <w:color w:val="auto"/>
                <w:spacing w:val="1"/>
                <w:sz w:val="21"/>
                <w:szCs w:val="21"/>
                <w:highlight w:val="none"/>
                <w:lang w:val="en-US" w:eastAsia="zh-CN"/>
              </w:rPr>
            </w:pPr>
            <w:r>
              <w:rPr>
                <w:rFonts w:hint="eastAsia" w:ascii="宋体" w:hAnsi="宋体" w:cs="宋体"/>
                <w:color w:val="auto"/>
                <w:spacing w:val="1"/>
                <w:sz w:val="21"/>
                <w:szCs w:val="21"/>
                <w:highlight w:val="none"/>
                <w:lang w:val="en-US" w:eastAsia="zh-CN"/>
              </w:rPr>
              <w:t>4、</w:t>
            </w:r>
            <w:r>
              <w:rPr>
                <w:rFonts w:hint="eastAsia" w:ascii="宋体" w:hAnsi="宋体" w:eastAsia="宋体" w:cs="宋体"/>
                <w:color w:val="auto"/>
                <w:spacing w:val="1"/>
                <w:sz w:val="21"/>
                <w:szCs w:val="21"/>
                <w:highlight w:val="none"/>
                <w:lang w:val="en-US" w:eastAsia="zh-CN"/>
              </w:rPr>
              <w:t>会议话筒采用超指向电容咪芯，拾音灵敏度高。</w:t>
            </w:r>
          </w:p>
          <w:p w14:paraId="00B29B8A">
            <w:pPr>
              <w:spacing w:before="2" w:line="195" w:lineRule="auto"/>
              <w:ind w:left="13" w:leftChars="0"/>
              <w:rPr>
                <w:rFonts w:hint="eastAsia" w:ascii="宋体" w:hAnsi="宋体" w:eastAsia="宋体" w:cs="宋体"/>
                <w:color w:val="auto"/>
                <w:spacing w:val="1"/>
                <w:sz w:val="21"/>
                <w:szCs w:val="21"/>
                <w:highlight w:val="none"/>
                <w:lang w:val="en-US" w:eastAsia="zh-CN"/>
              </w:rPr>
            </w:pPr>
            <w:r>
              <w:rPr>
                <w:rFonts w:hint="eastAsia" w:ascii="宋体" w:hAnsi="宋体" w:cs="宋体"/>
                <w:color w:val="auto"/>
                <w:spacing w:val="1"/>
                <w:sz w:val="21"/>
                <w:szCs w:val="21"/>
                <w:highlight w:val="none"/>
                <w:lang w:val="en-US" w:eastAsia="zh-CN"/>
              </w:rPr>
              <w:t>5、</w:t>
            </w:r>
            <w:r>
              <w:rPr>
                <w:rFonts w:hint="eastAsia" w:ascii="宋体" w:hAnsi="宋体" w:eastAsia="宋体" w:cs="宋体"/>
                <w:color w:val="auto"/>
                <w:spacing w:val="1"/>
                <w:sz w:val="21"/>
                <w:szCs w:val="21"/>
                <w:highlight w:val="none"/>
                <w:lang w:val="en-US" w:eastAsia="zh-CN"/>
              </w:rPr>
              <w:t>灵活的鹅颈式咪杆设计，可360°全方位调节。</w:t>
            </w:r>
          </w:p>
          <w:p w14:paraId="596DBA6A">
            <w:pPr>
              <w:spacing w:before="2" w:line="195" w:lineRule="auto"/>
              <w:ind w:left="13" w:leftChars="0"/>
              <w:rPr>
                <w:rFonts w:hint="eastAsia" w:ascii="宋体" w:hAnsi="宋体" w:eastAsia="宋体" w:cs="宋体"/>
                <w:color w:val="auto"/>
                <w:spacing w:val="1"/>
                <w:sz w:val="21"/>
                <w:szCs w:val="21"/>
                <w:highlight w:val="none"/>
                <w:lang w:val="en-US" w:eastAsia="zh-CN"/>
              </w:rPr>
            </w:pPr>
            <w:r>
              <w:rPr>
                <w:rFonts w:hint="eastAsia" w:ascii="宋体" w:hAnsi="宋体" w:cs="宋体"/>
                <w:color w:val="auto"/>
                <w:spacing w:val="1"/>
                <w:sz w:val="21"/>
                <w:szCs w:val="21"/>
                <w:highlight w:val="none"/>
                <w:lang w:val="en-US" w:eastAsia="zh-CN"/>
              </w:rPr>
              <w:t>6、</w:t>
            </w:r>
            <w:r>
              <w:rPr>
                <w:rFonts w:hint="eastAsia" w:ascii="宋体" w:hAnsi="宋体" w:eastAsia="宋体" w:cs="宋体"/>
                <w:color w:val="auto"/>
                <w:spacing w:val="1"/>
                <w:sz w:val="21"/>
                <w:szCs w:val="21"/>
                <w:highlight w:val="none"/>
                <w:lang w:val="en-US" w:eastAsia="zh-CN"/>
              </w:rPr>
              <w:t>高效的电池能耗设计，使话筒能够连续使用更长时间</w:t>
            </w:r>
          </w:p>
          <w:p w14:paraId="0295A2F8">
            <w:pPr>
              <w:spacing w:before="2" w:line="195" w:lineRule="auto"/>
              <w:ind w:left="13" w:leftChars="0"/>
              <w:rPr>
                <w:rFonts w:hint="eastAsia" w:ascii="宋体" w:hAnsi="宋体" w:eastAsia="宋体" w:cs="宋体"/>
                <w:color w:val="auto"/>
                <w:spacing w:val="1"/>
                <w:sz w:val="21"/>
                <w:szCs w:val="21"/>
                <w:highlight w:val="none"/>
                <w:lang w:val="en-US" w:eastAsia="zh-CN"/>
              </w:rPr>
            </w:pPr>
            <w:r>
              <w:rPr>
                <w:rFonts w:hint="eastAsia" w:ascii="宋体" w:hAnsi="宋体" w:cs="宋体"/>
                <w:color w:val="auto"/>
                <w:spacing w:val="1"/>
                <w:sz w:val="21"/>
                <w:szCs w:val="21"/>
                <w:highlight w:val="none"/>
                <w:lang w:val="en-US" w:eastAsia="zh-CN"/>
              </w:rPr>
              <w:t>7、</w:t>
            </w:r>
            <w:r>
              <w:rPr>
                <w:rFonts w:hint="eastAsia" w:ascii="宋体" w:hAnsi="宋体" w:eastAsia="宋体" w:cs="宋体"/>
                <w:color w:val="auto"/>
                <w:spacing w:val="1"/>
                <w:sz w:val="21"/>
                <w:szCs w:val="21"/>
                <w:highlight w:val="none"/>
                <w:lang w:val="en-US" w:eastAsia="zh-CN"/>
              </w:rPr>
              <w:t>选用优质零部件，精确</w:t>
            </w:r>
            <w:r>
              <w:rPr>
                <w:rFonts w:hint="eastAsia" w:ascii="宋体" w:hAnsi="宋体" w:cs="宋体"/>
                <w:color w:val="auto"/>
                <w:spacing w:val="1"/>
                <w:sz w:val="21"/>
                <w:szCs w:val="21"/>
                <w:highlight w:val="none"/>
                <w:lang w:val="en-US" w:eastAsia="zh-CN"/>
              </w:rPr>
              <w:t>合理</w:t>
            </w:r>
            <w:r>
              <w:rPr>
                <w:rFonts w:hint="eastAsia" w:ascii="宋体" w:hAnsi="宋体" w:eastAsia="宋体" w:cs="宋体"/>
                <w:color w:val="auto"/>
                <w:spacing w:val="1"/>
                <w:sz w:val="21"/>
                <w:szCs w:val="21"/>
                <w:highlight w:val="none"/>
                <w:lang w:val="en-US" w:eastAsia="zh-CN"/>
              </w:rPr>
              <w:t>的电路设计可靠性大</w:t>
            </w:r>
            <w:r>
              <w:rPr>
                <w:rFonts w:hint="eastAsia" w:ascii="宋体" w:hAnsi="宋体" w:cs="宋体"/>
                <w:color w:val="auto"/>
                <w:spacing w:val="1"/>
                <w:sz w:val="21"/>
                <w:szCs w:val="21"/>
                <w:highlight w:val="none"/>
                <w:lang w:val="en-US" w:eastAsia="zh-CN"/>
              </w:rPr>
              <w:t>大</w:t>
            </w:r>
            <w:r>
              <w:rPr>
                <w:rFonts w:hint="eastAsia" w:ascii="宋体" w:hAnsi="宋体" w:eastAsia="宋体" w:cs="宋体"/>
                <w:color w:val="auto"/>
                <w:spacing w:val="1"/>
                <w:sz w:val="21"/>
                <w:szCs w:val="21"/>
                <w:highlight w:val="none"/>
                <w:lang w:val="en-US" w:eastAsia="zh-CN"/>
              </w:rPr>
              <w:t>提高</w:t>
            </w:r>
          </w:p>
          <w:p w14:paraId="7929D5AF">
            <w:pPr>
              <w:spacing w:before="2" w:line="195" w:lineRule="auto"/>
              <w:ind w:left="13" w:leftChars="0"/>
              <w:rPr>
                <w:rFonts w:hint="eastAsia" w:ascii="宋体" w:hAnsi="宋体" w:eastAsia="宋体" w:cs="宋体"/>
                <w:color w:val="auto"/>
                <w:spacing w:val="1"/>
                <w:sz w:val="21"/>
                <w:szCs w:val="21"/>
                <w:highlight w:val="none"/>
                <w:lang w:val="en-US" w:eastAsia="zh-CN"/>
              </w:rPr>
            </w:pPr>
            <w:r>
              <w:rPr>
                <w:rFonts w:hint="eastAsia" w:ascii="宋体" w:hAnsi="宋体" w:cs="宋体"/>
                <w:color w:val="auto"/>
                <w:spacing w:val="1"/>
                <w:sz w:val="21"/>
                <w:szCs w:val="21"/>
                <w:highlight w:val="none"/>
                <w:lang w:val="en-US" w:eastAsia="zh-CN"/>
              </w:rPr>
              <w:t>8、</w:t>
            </w:r>
            <w:r>
              <w:rPr>
                <w:rFonts w:hint="eastAsia" w:ascii="宋体" w:hAnsi="宋体" w:eastAsia="宋体" w:cs="宋体"/>
                <w:color w:val="auto"/>
                <w:spacing w:val="1"/>
                <w:sz w:val="21"/>
                <w:szCs w:val="21"/>
                <w:highlight w:val="none"/>
                <w:lang w:val="en-US" w:eastAsia="zh-CN"/>
              </w:rPr>
              <w:t>采用彩色TFT显示屏，可显示、调节菜单功能。</w:t>
            </w:r>
          </w:p>
          <w:p w14:paraId="17F91A41">
            <w:pPr>
              <w:spacing w:before="2" w:line="195" w:lineRule="auto"/>
              <w:ind w:left="13" w:leftChars="0"/>
              <w:rPr>
                <w:rFonts w:hint="eastAsia" w:ascii="宋体" w:hAnsi="宋体" w:eastAsia="宋体" w:cs="宋体"/>
                <w:color w:val="auto"/>
                <w:spacing w:val="1"/>
                <w:sz w:val="21"/>
                <w:szCs w:val="21"/>
                <w:highlight w:val="none"/>
                <w:lang w:val="en-US" w:eastAsia="zh-CN"/>
              </w:rPr>
            </w:pPr>
            <w:r>
              <w:rPr>
                <w:rFonts w:hint="eastAsia" w:ascii="宋体" w:hAnsi="宋体" w:cs="宋体"/>
                <w:color w:val="auto"/>
                <w:spacing w:val="1"/>
                <w:sz w:val="21"/>
                <w:szCs w:val="21"/>
                <w:highlight w:val="none"/>
                <w:lang w:val="en-US" w:eastAsia="zh-CN"/>
              </w:rPr>
              <w:t>9、</w:t>
            </w:r>
            <w:r>
              <w:rPr>
                <w:rFonts w:hint="eastAsia" w:ascii="宋体" w:hAnsi="宋体" w:eastAsia="宋体" w:cs="宋体"/>
                <w:color w:val="auto"/>
                <w:spacing w:val="1"/>
                <w:sz w:val="21"/>
                <w:szCs w:val="21"/>
                <w:highlight w:val="none"/>
                <w:lang w:val="en-US" w:eastAsia="zh-CN"/>
              </w:rPr>
              <w:t>自动扫频，红外线对频。</w:t>
            </w:r>
          </w:p>
          <w:p w14:paraId="4F996719">
            <w:pPr>
              <w:spacing w:before="2" w:line="195" w:lineRule="auto"/>
              <w:ind w:left="13" w:leftChars="0"/>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(含所需线</w:t>
            </w:r>
            <w:r>
              <w:rPr>
                <w:rFonts w:hint="eastAsia" w:ascii="宋体" w:hAnsi="宋体" w:eastAsia="宋体" w:cs="宋体"/>
                <w:color w:val="auto"/>
                <w:spacing w:val="10"/>
                <w:sz w:val="21"/>
                <w:szCs w:val="21"/>
                <w:highlight w:val="none"/>
              </w:rPr>
              <w:t>材，吊</w:t>
            </w:r>
            <w:r>
              <w:rPr>
                <w:rFonts w:hint="eastAsia" w:ascii="宋体" w:hAnsi="宋体" w:eastAsia="宋体" w:cs="宋体"/>
                <w:color w:val="auto"/>
                <w:spacing w:val="10"/>
                <w:sz w:val="21"/>
                <w:szCs w:val="21"/>
                <w:highlight w:val="none"/>
              </w:rPr>
              <w:t>架、备件、</w:t>
            </w:r>
            <w:r>
              <w:rPr>
                <w:rFonts w:hint="eastAsia" w:ascii="宋体" w:hAnsi="宋体" w:eastAsia="宋体" w:cs="宋体"/>
                <w:color w:val="auto"/>
                <w:spacing w:val="3"/>
                <w:sz w:val="21"/>
                <w:szCs w:val="21"/>
                <w:highlight w:val="none"/>
              </w:rPr>
              <w:t>旧设备拆除，配套</w:t>
            </w:r>
            <w:r>
              <w:rPr>
                <w:rFonts w:hint="eastAsia" w:ascii="宋体" w:hAnsi="宋体" w:eastAsia="宋体" w:cs="宋体"/>
                <w:color w:val="auto"/>
                <w:spacing w:val="-6"/>
                <w:sz w:val="21"/>
                <w:szCs w:val="21"/>
                <w:highlight w:val="none"/>
              </w:rPr>
              <w:t>的改造装修费用</w:t>
            </w:r>
            <w:r>
              <w:rPr>
                <w:rFonts w:hint="eastAsia" w:ascii="宋体" w:hAnsi="宋体" w:eastAsia="宋体" w:cs="宋体"/>
                <w:color w:val="auto"/>
                <w:sz w:val="21"/>
                <w:szCs w:val="21"/>
                <w:highlight w:val="none"/>
              </w:rPr>
              <w:t>)</w:t>
            </w:r>
          </w:p>
        </w:tc>
        <w:tc>
          <w:tcPr>
            <w:tcW w:w="718" w:type="dxa"/>
            <w:shd w:val="clear" w:color="auto" w:fill="auto"/>
            <w:vAlign w:val="center"/>
          </w:tcPr>
          <w:p w14:paraId="466B39F0">
            <w:pPr>
              <w:spacing w:before="55" w:line="221" w:lineRule="auto"/>
              <w:ind w:left="14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1台</w:t>
            </w:r>
          </w:p>
        </w:tc>
        <w:tc>
          <w:tcPr>
            <w:tcW w:w="706" w:type="dxa"/>
            <w:shd w:val="clear" w:color="auto" w:fill="auto"/>
            <w:vAlign w:val="center"/>
          </w:tcPr>
          <w:p w14:paraId="71D6CEB4">
            <w:pPr>
              <w:spacing w:before="55" w:line="221" w:lineRule="auto"/>
              <w:jc w:val="both"/>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lang w:val="en-US" w:eastAsia="zh-CN"/>
              </w:rPr>
              <w:t>工业</w:t>
            </w:r>
          </w:p>
        </w:tc>
      </w:tr>
      <w:tr w14:paraId="72509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5" w:type="dxa"/>
            <w:vAlign w:val="center"/>
          </w:tcPr>
          <w:p w14:paraId="4CF742A5">
            <w:pPr>
              <w:keepLines/>
              <w:widowControl/>
              <w:wordWrap w:val="0"/>
              <w:topLinePun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w:t>
            </w:r>
          </w:p>
        </w:tc>
        <w:tc>
          <w:tcPr>
            <w:tcW w:w="756" w:type="dxa"/>
            <w:shd w:val="clear" w:color="auto" w:fill="auto"/>
            <w:vAlign w:val="center"/>
          </w:tcPr>
          <w:p w14:paraId="49EC3A39">
            <w:pPr>
              <w:spacing w:before="55" w:line="219" w:lineRule="auto"/>
              <w:ind w:left="11" w:leftChars="0"/>
              <w:jc w:val="center"/>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有线会议电容麦</w:t>
            </w:r>
          </w:p>
        </w:tc>
        <w:tc>
          <w:tcPr>
            <w:tcW w:w="6814" w:type="dxa"/>
            <w:shd w:val="clear" w:color="auto" w:fill="auto"/>
            <w:vAlign w:val="top"/>
          </w:tcPr>
          <w:p w14:paraId="72402D1B">
            <w:pPr>
              <w:spacing w:before="55" w:line="189" w:lineRule="auto"/>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lang w:val="en-US" w:eastAsia="zh-CN"/>
              </w:rPr>
              <w:t>1、</w:t>
            </w:r>
            <w:r>
              <w:rPr>
                <w:rFonts w:hint="eastAsia" w:ascii="宋体" w:hAnsi="宋体" w:eastAsia="宋体" w:cs="宋体"/>
                <w:color w:val="auto"/>
                <w:spacing w:val="-2"/>
                <w:sz w:val="21"/>
                <w:szCs w:val="21"/>
                <w:highlight w:val="none"/>
              </w:rPr>
              <w:t xml:space="preserve">换能方式：电容式 </w:t>
            </w:r>
          </w:p>
          <w:p w14:paraId="7BA917E6">
            <w:pPr>
              <w:spacing w:before="55" w:line="189" w:lineRule="auto"/>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lang w:val="en-US" w:eastAsia="zh-CN"/>
              </w:rPr>
              <w:t>2、</w:t>
            </w:r>
            <w:r>
              <w:rPr>
                <w:rFonts w:hint="eastAsia" w:ascii="宋体" w:hAnsi="宋体" w:eastAsia="宋体" w:cs="宋体"/>
                <w:color w:val="auto"/>
                <w:spacing w:val="-2"/>
                <w:sz w:val="21"/>
                <w:szCs w:val="21"/>
                <w:highlight w:val="none"/>
              </w:rPr>
              <w:t xml:space="preserve">频率响应：100Hz-20 kHz </w:t>
            </w:r>
          </w:p>
          <w:p w14:paraId="58D2F1E0">
            <w:pPr>
              <w:spacing w:before="55" w:line="189" w:lineRule="auto"/>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lang w:val="en-US" w:eastAsia="zh-CN"/>
              </w:rPr>
              <w:t>3、</w:t>
            </w:r>
            <w:r>
              <w:rPr>
                <w:rFonts w:hint="eastAsia" w:ascii="宋体" w:hAnsi="宋体" w:eastAsia="宋体" w:cs="宋体"/>
                <w:color w:val="auto"/>
                <w:spacing w:val="-2"/>
                <w:sz w:val="21"/>
                <w:szCs w:val="21"/>
                <w:highlight w:val="none"/>
              </w:rPr>
              <w:t xml:space="preserve">指向性：心型向性 </w:t>
            </w:r>
          </w:p>
          <w:p w14:paraId="630ABF61">
            <w:pPr>
              <w:spacing w:before="55" w:line="189" w:lineRule="auto"/>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lang w:val="en-US" w:eastAsia="zh-CN"/>
              </w:rPr>
              <w:t>4、</w:t>
            </w:r>
            <w:r>
              <w:rPr>
                <w:rFonts w:hint="eastAsia" w:ascii="宋体" w:hAnsi="宋体" w:eastAsia="宋体" w:cs="宋体"/>
                <w:color w:val="auto"/>
                <w:spacing w:val="-2"/>
                <w:sz w:val="21"/>
                <w:szCs w:val="21"/>
                <w:highlight w:val="none"/>
              </w:rPr>
              <w:t xml:space="preserve">输出阻抗 (欧姆):75Q </w:t>
            </w:r>
          </w:p>
          <w:p w14:paraId="22C33878">
            <w:pPr>
              <w:spacing w:before="55" w:line="189" w:lineRule="auto"/>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lang w:val="en-US" w:eastAsia="zh-CN"/>
              </w:rPr>
              <w:t>5、</w:t>
            </w:r>
            <w:r>
              <w:rPr>
                <w:rFonts w:hint="eastAsia" w:ascii="宋体" w:hAnsi="宋体" w:eastAsia="宋体" w:cs="宋体"/>
                <w:color w:val="auto"/>
                <w:spacing w:val="-2"/>
                <w:sz w:val="21"/>
                <w:szCs w:val="21"/>
                <w:highlight w:val="none"/>
              </w:rPr>
              <w:t xml:space="preserve">灵敏度：-40dB±2dB </w:t>
            </w:r>
          </w:p>
          <w:p w14:paraId="323B61F3">
            <w:pPr>
              <w:spacing w:before="55" w:line="189" w:lineRule="auto"/>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lang w:val="en-US" w:eastAsia="zh-CN"/>
              </w:rPr>
              <w:t>6、</w:t>
            </w:r>
            <w:r>
              <w:rPr>
                <w:rFonts w:hint="eastAsia" w:ascii="宋体" w:hAnsi="宋体" w:eastAsia="宋体" w:cs="宋体"/>
                <w:color w:val="auto"/>
                <w:spacing w:val="-2"/>
                <w:sz w:val="21"/>
                <w:szCs w:val="21"/>
                <w:highlight w:val="none"/>
              </w:rPr>
              <w:t xml:space="preserve">最高输入音量：128dB声压 </w:t>
            </w:r>
          </w:p>
          <w:p w14:paraId="069B212F">
            <w:pPr>
              <w:spacing w:before="55" w:line="189" w:lineRule="auto"/>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lang w:val="en-US" w:eastAsia="zh-CN"/>
              </w:rPr>
              <w:t>7、</w:t>
            </w:r>
            <w:r>
              <w:rPr>
                <w:rFonts w:hint="eastAsia" w:ascii="宋体" w:hAnsi="宋体" w:eastAsia="宋体" w:cs="宋体"/>
                <w:color w:val="auto"/>
                <w:spacing w:val="-2"/>
                <w:sz w:val="21"/>
                <w:szCs w:val="21"/>
                <w:highlight w:val="none"/>
              </w:rPr>
              <w:t xml:space="preserve">讯噪比：65dB·供电电压：幻象48 V(幻象指既传输电流，也传输声音 ) </w:t>
            </w:r>
          </w:p>
          <w:p w14:paraId="28EAAECA">
            <w:pPr>
              <w:spacing w:before="55" w:line="189" w:lineRule="auto"/>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lang w:val="en-US" w:eastAsia="zh-CN"/>
              </w:rPr>
              <w:t>8、</w:t>
            </w:r>
            <w:r>
              <w:rPr>
                <w:rFonts w:hint="eastAsia" w:ascii="宋体" w:hAnsi="宋体" w:eastAsia="宋体" w:cs="宋体"/>
                <w:color w:val="auto"/>
                <w:spacing w:val="-2"/>
                <w:sz w:val="21"/>
                <w:szCs w:val="21"/>
                <w:highlight w:val="none"/>
              </w:rPr>
              <w:t>液晶显示、抗手机、电磁、高频干扰</w:t>
            </w:r>
          </w:p>
          <w:p w14:paraId="5AF536DA">
            <w:pPr>
              <w:spacing w:before="55" w:line="189" w:lineRule="auto"/>
              <w:ind w:left="13" w:leftChars="0" w:firstLine="39" w:firstLineChars="0"/>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(含所需线</w:t>
            </w:r>
            <w:r>
              <w:rPr>
                <w:rFonts w:hint="eastAsia" w:ascii="宋体" w:hAnsi="宋体" w:eastAsia="宋体" w:cs="宋体"/>
                <w:color w:val="auto"/>
                <w:spacing w:val="10"/>
                <w:sz w:val="21"/>
                <w:szCs w:val="21"/>
                <w:highlight w:val="none"/>
              </w:rPr>
              <w:t>材，吊</w:t>
            </w:r>
            <w:r>
              <w:rPr>
                <w:rFonts w:hint="eastAsia" w:ascii="宋体" w:hAnsi="宋体" w:eastAsia="宋体" w:cs="宋体"/>
                <w:color w:val="auto"/>
                <w:spacing w:val="10"/>
                <w:sz w:val="21"/>
                <w:szCs w:val="21"/>
                <w:highlight w:val="none"/>
              </w:rPr>
              <w:t>架、备件、</w:t>
            </w:r>
            <w:r>
              <w:rPr>
                <w:rFonts w:hint="eastAsia" w:ascii="宋体" w:hAnsi="宋体" w:eastAsia="宋体" w:cs="宋体"/>
                <w:color w:val="auto"/>
                <w:spacing w:val="3"/>
                <w:sz w:val="21"/>
                <w:szCs w:val="21"/>
                <w:highlight w:val="none"/>
              </w:rPr>
              <w:t>旧设备拆除，配套</w:t>
            </w:r>
            <w:r>
              <w:rPr>
                <w:rFonts w:hint="eastAsia" w:ascii="宋体" w:hAnsi="宋体" w:eastAsia="宋体" w:cs="宋体"/>
                <w:color w:val="auto"/>
                <w:spacing w:val="-6"/>
                <w:sz w:val="21"/>
                <w:szCs w:val="21"/>
                <w:highlight w:val="none"/>
              </w:rPr>
              <w:t>的改造装修费用</w:t>
            </w:r>
            <w:r>
              <w:rPr>
                <w:rFonts w:hint="eastAsia" w:ascii="宋体" w:hAnsi="宋体" w:eastAsia="宋体" w:cs="宋体"/>
                <w:color w:val="auto"/>
                <w:sz w:val="21"/>
                <w:szCs w:val="21"/>
                <w:highlight w:val="none"/>
              </w:rPr>
              <w:t>)</w:t>
            </w:r>
          </w:p>
        </w:tc>
        <w:tc>
          <w:tcPr>
            <w:tcW w:w="718" w:type="dxa"/>
            <w:shd w:val="clear" w:color="auto" w:fill="auto"/>
            <w:vAlign w:val="center"/>
          </w:tcPr>
          <w:p w14:paraId="39DA332A">
            <w:pPr>
              <w:spacing w:before="56" w:line="221"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4</w:t>
            </w:r>
            <w:r>
              <w:rPr>
                <w:rFonts w:hint="eastAsia" w:ascii="宋体" w:hAnsi="宋体" w:eastAsia="宋体" w:cs="宋体"/>
                <w:color w:val="auto"/>
                <w:sz w:val="21"/>
                <w:szCs w:val="21"/>
                <w:highlight w:val="none"/>
              </w:rPr>
              <w:t>台</w:t>
            </w:r>
          </w:p>
        </w:tc>
        <w:tc>
          <w:tcPr>
            <w:tcW w:w="706" w:type="dxa"/>
            <w:shd w:val="clear" w:color="auto" w:fill="auto"/>
            <w:vAlign w:val="center"/>
          </w:tcPr>
          <w:p w14:paraId="16903676">
            <w:pPr>
              <w:spacing w:before="56" w:line="221" w:lineRule="auto"/>
              <w:jc w:val="center"/>
              <w:rPr>
                <w:rFonts w:hint="eastAsia" w:ascii="宋体" w:hAnsi="宋体" w:eastAsia="宋体" w:cs="宋体"/>
                <w:color w:val="auto"/>
                <w:spacing w:val="-6"/>
                <w:sz w:val="21"/>
                <w:szCs w:val="21"/>
                <w:highlight w:val="none"/>
              </w:rPr>
            </w:pPr>
            <w:r>
              <w:rPr>
                <w:rFonts w:hint="eastAsia" w:ascii="宋体" w:hAnsi="宋体" w:eastAsia="宋体" w:cs="宋体"/>
                <w:color w:val="auto"/>
                <w:spacing w:val="-5"/>
                <w:sz w:val="21"/>
                <w:szCs w:val="21"/>
                <w:highlight w:val="none"/>
                <w:lang w:val="en-US" w:eastAsia="zh-CN"/>
              </w:rPr>
              <w:t>工业</w:t>
            </w:r>
          </w:p>
        </w:tc>
      </w:tr>
      <w:tr w14:paraId="42C80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5" w:type="dxa"/>
            <w:vAlign w:val="center"/>
          </w:tcPr>
          <w:p w14:paraId="0DEFF54A">
            <w:pPr>
              <w:keepLines/>
              <w:widowControl/>
              <w:wordWrap w:val="0"/>
              <w:topLinePun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756" w:type="dxa"/>
            <w:shd w:val="clear" w:color="auto" w:fill="auto"/>
            <w:vAlign w:val="center"/>
          </w:tcPr>
          <w:p w14:paraId="6FB8F125">
            <w:pPr>
              <w:spacing w:before="55" w:line="220" w:lineRule="auto"/>
              <w:ind w:left="11" w:leftChars="0"/>
              <w:jc w:val="center"/>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天线放大器</w:t>
            </w:r>
          </w:p>
        </w:tc>
        <w:tc>
          <w:tcPr>
            <w:tcW w:w="6814" w:type="dxa"/>
            <w:shd w:val="clear" w:color="auto" w:fill="auto"/>
            <w:vAlign w:val="top"/>
          </w:tcPr>
          <w:p w14:paraId="204B662B">
            <w:pPr>
              <w:numPr>
                <w:ilvl w:val="0"/>
                <w:numId w:val="0"/>
              </w:numPr>
              <w:spacing w:before="14" w:line="189" w:lineRule="auto"/>
              <w:ind w:leftChars="0"/>
              <w:rPr>
                <w:rFonts w:hint="eastAsia" w:ascii="宋体" w:hAnsi="宋体" w:eastAsia="宋体" w:cs="宋体"/>
                <w:color w:val="auto"/>
                <w:spacing w:val="4"/>
                <w:sz w:val="21"/>
                <w:szCs w:val="21"/>
                <w:highlight w:val="none"/>
              </w:rPr>
            </w:pPr>
            <w:r>
              <w:rPr>
                <w:rFonts w:hint="eastAsia" w:ascii="宋体" w:hAnsi="宋体" w:cs="宋体"/>
                <w:color w:val="auto"/>
                <w:spacing w:val="4"/>
                <w:sz w:val="21"/>
                <w:szCs w:val="21"/>
                <w:highlight w:val="none"/>
                <w:lang w:val="en-US" w:eastAsia="zh-CN"/>
              </w:rPr>
              <w:t>1.</w:t>
            </w:r>
            <w:r>
              <w:rPr>
                <w:rFonts w:hint="eastAsia" w:ascii="宋体" w:hAnsi="宋体" w:eastAsia="宋体" w:cs="宋体"/>
                <w:color w:val="auto"/>
                <w:spacing w:val="4"/>
                <w:sz w:val="21"/>
                <w:szCs w:val="21"/>
                <w:highlight w:val="none"/>
              </w:rPr>
              <w:t>天线分配器：适用于</w:t>
            </w:r>
            <w:r>
              <w:rPr>
                <w:rFonts w:hint="eastAsia" w:ascii="宋体" w:hAnsi="宋体" w:cs="宋体"/>
                <w:color w:val="auto"/>
                <w:spacing w:val="4"/>
                <w:sz w:val="21"/>
                <w:szCs w:val="21"/>
                <w:highlight w:val="none"/>
                <w:lang w:val="en-US" w:eastAsia="zh-CN"/>
              </w:rPr>
              <w:t>450</w:t>
            </w:r>
            <w:r>
              <w:rPr>
                <w:rFonts w:hint="eastAsia" w:ascii="宋体" w:hAnsi="宋体" w:eastAsia="宋体" w:cs="宋体"/>
                <w:color w:val="auto"/>
                <w:spacing w:val="4"/>
                <w:sz w:val="21"/>
                <w:szCs w:val="21"/>
                <w:highlight w:val="none"/>
              </w:rPr>
              <w:t>-1000MHz的频率范围，采用最新超高动态低噪声之主动组件与超宽频线路设计，</w:t>
            </w:r>
            <w:r>
              <w:rPr>
                <w:rFonts w:hint="eastAsia" w:ascii="宋体" w:hAnsi="宋体" w:cs="宋体"/>
                <w:color w:val="auto"/>
                <w:spacing w:val="4"/>
                <w:sz w:val="21"/>
                <w:szCs w:val="21"/>
                <w:highlight w:val="none"/>
                <w:lang w:val="en-US" w:eastAsia="zh-CN"/>
              </w:rPr>
              <w:t>具有</w:t>
            </w:r>
            <w:r>
              <w:rPr>
                <w:rFonts w:hint="eastAsia" w:ascii="宋体" w:hAnsi="宋体" w:eastAsia="宋体" w:cs="宋体"/>
                <w:color w:val="auto"/>
                <w:spacing w:val="4"/>
                <w:sz w:val="21"/>
                <w:szCs w:val="21"/>
                <w:highlight w:val="none"/>
              </w:rPr>
              <w:t>超低内调失真及损耗的特性。</w:t>
            </w:r>
          </w:p>
          <w:p w14:paraId="1D1B5A05">
            <w:pPr>
              <w:numPr>
                <w:ilvl w:val="0"/>
                <w:numId w:val="0"/>
              </w:numPr>
              <w:spacing w:before="14" w:line="189" w:lineRule="auto"/>
              <w:ind w:leftChars="0"/>
              <w:rPr>
                <w:rFonts w:hint="eastAsia" w:ascii="宋体" w:hAnsi="宋体" w:eastAsia="宋体" w:cs="宋体"/>
                <w:color w:val="auto"/>
                <w:spacing w:val="4"/>
                <w:sz w:val="21"/>
                <w:szCs w:val="21"/>
                <w:highlight w:val="none"/>
              </w:rPr>
            </w:pPr>
            <w:r>
              <w:rPr>
                <w:rFonts w:hint="eastAsia" w:ascii="宋体" w:hAnsi="宋体" w:cs="宋体"/>
                <w:color w:val="auto"/>
                <w:spacing w:val="4"/>
                <w:sz w:val="21"/>
                <w:szCs w:val="21"/>
                <w:highlight w:val="none"/>
                <w:lang w:val="en-US" w:eastAsia="zh-CN"/>
              </w:rPr>
              <w:t>2.</w:t>
            </w:r>
            <w:r>
              <w:rPr>
                <w:rFonts w:hint="eastAsia" w:ascii="宋体" w:hAnsi="宋体" w:eastAsia="宋体" w:cs="宋体"/>
                <w:color w:val="auto"/>
                <w:spacing w:val="4"/>
                <w:sz w:val="21"/>
                <w:szCs w:val="21"/>
                <w:highlight w:val="none"/>
              </w:rPr>
              <w:t>提供多频道接收系统同时使用能排除混频干扰</w:t>
            </w:r>
          </w:p>
          <w:p w14:paraId="58151D4F">
            <w:pPr>
              <w:numPr>
                <w:ilvl w:val="0"/>
                <w:numId w:val="0"/>
              </w:numPr>
              <w:spacing w:before="14" w:line="189" w:lineRule="auto"/>
              <w:ind w:leftChars="0"/>
              <w:rPr>
                <w:rFonts w:hint="eastAsia" w:ascii="宋体" w:hAnsi="宋体" w:eastAsia="宋体" w:cs="宋体"/>
                <w:color w:val="auto"/>
                <w:spacing w:val="4"/>
                <w:sz w:val="21"/>
                <w:szCs w:val="21"/>
                <w:highlight w:val="none"/>
              </w:rPr>
            </w:pPr>
            <w:r>
              <w:rPr>
                <w:rFonts w:hint="eastAsia" w:ascii="宋体" w:hAnsi="宋体" w:cs="宋体"/>
                <w:color w:val="auto"/>
                <w:spacing w:val="4"/>
                <w:sz w:val="21"/>
                <w:szCs w:val="21"/>
                <w:highlight w:val="none"/>
                <w:lang w:val="en-US" w:eastAsia="zh-CN"/>
              </w:rPr>
              <w:t>3.</w:t>
            </w:r>
            <w:r>
              <w:rPr>
                <w:rFonts w:hint="eastAsia" w:ascii="宋体" w:hAnsi="宋体" w:eastAsia="宋体" w:cs="宋体"/>
                <w:color w:val="auto"/>
                <w:spacing w:val="4"/>
                <w:sz w:val="21"/>
                <w:szCs w:val="21"/>
                <w:highlight w:val="none"/>
              </w:rPr>
              <w:t>指向性天线 :适用于</w:t>
            </w:r>
            <w:r>
              <w:rPr>
                <w:rFonts w:hint="eastAsia" w:ascii="宋体" w:hAnsi="宋体" w:cs="宋体"/>
                <w:color w:val="auto"/>
                <w:spacing w:val="4"/>
                <w:sz w:val="21"/>
                <w:szCs w:val="21"/>
                <w:highlight w:val="none"/>
                <w:lang w:val="en-US" w:eastAsia="zh-CN"/>
              </w:rPr>
              <w:t>460</w:t>
            </w:r>
            <w:r>
              <w:rPr>
                <w:rFonts w:hint="eastAsia" w:ascii="宋体" w:hAnsi="宋体" w:eastAsia="宋体" w:cs="宋体"/>
                <w:color w:val="auto"/>
                <w:spacing w:val="4"/>
                <w:sz w:val="21"/>
                <w:szCs w:val="21"/>
                <w:highlight w:val="none"/>
              </w:rPr>
              <w:t>-1000MHz的频率范围，具有4-6dBi的高指 向特性，对需要特定方位的使用环境有非常好的效果。</w:t>
            </w:r>
          </w:p>
          <w:p w14:paraId="4E45D74D">
            <w:pPr>
              <w:numPr>
                <w:ilvl w:val="0"/>
                <w:numId w:val="0"/>
              </w:numPr>
              <w:spacing w:before="14" w:line="189" w:lineRule="auto"/>
              <w:ind w:leftChars="0"/>
              <w:rPr>
                <w:rFonts w:hint="eastAsia" w:ascii="宋体" w:hAnsi="宋体" w:eastAsia="宋体" w:cs="宋体"/>
                <w:color w:val="auto"/>
                <w:spacing w:val="4"/>
                <w:sz w:val="21"/>
                <w:szCs w:val="21"/>
                <w:highlight w:val="none"/>
                <w:lang w:eastAsia="zh-CN"/>
              </w:rPr>
            </w:pPr>
            <w:r>
              <w:rPr>
                <w:rFonts w:hint="eastAsia" w:ascii="宋体" w:hAnsi="宋体" w:cs="宋体"/>
                <w:color w:val="auto"/>
                <w:spacing w:val="4"/>
                <w:sz w:val="21"/>
                <w:szCs w:val="21"/>
                <w:highlight w:val="none"/>
                <w:lang w:val="en-US" w:eastAsia="zh-CN"/>
              </w:rPr>
              <w:t>4.</w:t>
            </w:r>
            <w:r>
              <w:rPr>
                <w:rFonts w:hint="eastAsia" w:ascii="宋体" w:hAnsi="宋体" w:eastAsia="宋体" w:cs="宋体"/>
                <w:color w:val="auto"/>
                <w:spacing w:val="4"/>
                <w:sz w:val="21"/>
                <w:szCs w:val="21"/>
                <w:highlight w:val="none"/>
              </w:rPr>
              <w:t>长距离接收使用 ,可以补偿连接接收机的同轴电缆线所造成的信号损失。有效增加讯号接收距离及传输稳定性。距离放大150米</w:t>
            </w:r>
            <w:r>
              <w:rPr>
                <w:rFonts w:hint="eastAsia" w:ascii="宋体" w:hAnsi="宋体" w:cs="宋体"/>
                <w:color w:val="auto"/>
                <w:spacing w:val="4"/>
                <w:sz w:val="21"/>
                <w:szCs w:val="21"/>
                <w:highlight w:val="none"/>
                <w:lang w:eastAsia="zh-CN"/>
              </w:rPr>
              <w:t>。</w:t>
            </w:r>
          </w:p>
          <w:p w14:paraId="430F501F">
            <w:pPr>
              <w:numPr>
                <w:ilvl w:val="0"/>
                <w:numId w:val="0"/>
              </w:numPr>
              <w:spacing w:before="14" w:line="189" w:lineRule="auto"/>
              <w:ind w:leftChars="0"/>
              <w:rPr>
                <w:rFonts w:hint="eastAsia" w:ascii="宋体" w:hAnsi="宋体" w:eastAsia="宋体" w:cs="宋体"/>
                <w:color w:val="auto"/>
                <w:spacing w:val="-2"/>
                <w:sz w:val="21"/>
                <w:szCs w:val="21"/>
                <w:highlight w:val="none"/>
              </w:rPr>
            </w:pPr>
            <w:r>
              <w:rPr>
                <w:rFonts w:hint="eastAsia" w:ascii="宋体" w:hAnsi="宋体" w:eastAsia="宋体" w:cs="宋体"/>
                <w:color w:val="auto"/>
                <w:spacing w:val="4"/>
                <w:sz w:val="21"/>
                <w:szCs w:val="21"/>
                <w:highlight w:val="none"/>
              </w:rPr>
              <w:t>(含所需线材，吊架、备件、旧设备拆除，配套的改造装修费用)</w:t>
            </w:r>
          </w:p>
        </w:tc>
        <w:tc>
          <w:tcPr>
            <w:tcW w:w="718" w:type="dxa"/>
            <w:shd w:val="clear" w:color="auto" w:fill="auto"/>
            <w:vAlign w:val="center"/>
          </w:tcPr>
          <w:p w14:paraId="078726EE">
            <w:pPr>
              <w:spacing w:before="55" w:line="220" w:lineRule="auto"/>
              <w:ind w:left="15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3套</w:t>
            </w:r>
          </w:p>
        </w:tc>
        <w:tc>
          <w:tcPr>
            <w:tcW w:w="706" w:type="dxa"/>
            <w:shd w:val="clear" w:color="auto" w:fill="auto"/>
            <w:vAlign w:val="center"/>
          </w:tcPr>
          <w:p w14:paraId="5B78AD1B">
            <w:pPr>
              <w:spacing w:before="55" w:line="220" w:lineRule="auto"/>
              <w:jc w:val="both"/>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lang w:val="en-US" w:eastAsia="zh-CN"/>
              </w:rPr>
              <w:t>工业</w:t>
            </w:r>
          </w:p>
        </w:tc>
      </w:tr>
      <w:tr w14:paraId="7F200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5" w:type="dxa"/>
            <w:vAlign w:val="center"/>
          </w:tcPr>
          <w:p w14:paraId="333ED6C1">
            <w:pPr>
              <w:keepLines/>
              <w:widowControl/>
              <w:wordWrap w:val="0"/>
              <w:topLinePun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w:t>
            </w:r>
          </w:p>
        </w:tc>
        <w:tc>
          <w:tcPr>
            <w:tcW w:w="756" w:type="dxa"/>
            <w:shd w:val="clear" w:color="auto" w:fill="auto"/>
            <w:vAlign w:val="center"/>
          </w:tcPr>
          <w:p w14:paraId="04CD5547">
            <w:pPr>
              <w:spacing w:before="56" w:line="220" w:lineRule="auto"/>
              <w:ind w:left="31" w:leftChars="0"/>
              <w:jc w:val="center"/>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智能电源控制器</w:t>
            </w:r>
          </w:p>
        </w:tc>
        <w:tc>
          <w:tcPr>
            <w:tcW w:w="6814" w:type="dxa"/>
            <w:shd w:val="clear" w:color="auto" w:fill="auto"/>
            <w:vAlign w:val="top"/>
          </w:tcPr>
          <w:p w14:paraId="20238E45">
            <w:pPr>
              <w:spacing w:before="14" w:line="189" w:lineRule="auto"/>
              <w:ind w:left="13"/>
              <w:rPr>
                <w:rFonts w:hint="eastAsia" w:ascii="宋体" w:hAnsi="宋体" w:eastAsia="宋体" w:cs="宋体"/>
                <w:color w:val="auto"/>
                <w:spacing w:val="-2"/>
                <w:sz w:val="21"/>
                <w:szCs w:val="21"/>
                <w:highlight w:val="none"/>
                <w:lang w:val="en-US" w:eastAsia="zh-CN"/>
              </w:rPr>
            </w:pPr>
            <w:r>
              <w:rPr>
                <w:rFonts w:hint="eastAsia" w:ascii="宋体" w:hAnsi="宋体" w:eastAsia="宋体" w:cs="宋体"/>
                <w:color w:val="auto"/>
                <w:spacing w:val="-2"/>
                <w:sz w:val="21"/>
                <w:szCs w:val="21"/>
                <w:highlight w:val="none"/>
                <w:lang w:val="en-US" w:eastAsia="zh-CN"/>
              </w:rPr>
              <w:t>★1、</w:t>
            </w:r>
            <w:r>
              <w:rPr>
                <w:rFonts w:hint="eastAsia" w:ascii="宋体" w:hAnsi="宋体" w:cs="宋体"/>
                <w:color w:val="auto"/>
                <w:spacing w:val="-2"/>
                <w:sz w:val="21"/>
                <w:szCs w:val="21"/>
                <w:highlight w:val="none"/>
                <w:lang w:val="en-US" w:eastAsia="zh-CN"/>
              </w:rPr>
              <w:t>配备≥</w:t>
            </w:r>
            <w:r>
              <w:rPr>
                <w:rFonts w:hint="eastAsia" w:ascii="宋体" w:hAnsi="宋体" w:eastAsia="宋体" w:cs="宋体"/>
                <w:color w:val="auto"/>
                <w:spacing w:val="-2"/>
                <w:sz w:val="21"/>
                <w:szCs w:val="21"/>
                <w:highlight w:val="none"/>
                <w:lang w:val="en-US" w:eastAsia="zh-CN"/>
              </w:rPr>
              <w:t>5寸</w:t>
            </w:r>
            <w:r>
              <w:rPr>
                <w:rFonts w:hint="eastAsia" w:ascii="宋体" w:hAnsi="宋体" w:eastAsia="宋体" w:cs="宋体"/>
                <w:color w:val="auto"/>
                <w:spacing w:val="-2"/>
                <w:sz w:val="21"/>
                <w:szCs w:val="21"/>
                <w:highlight w:val="none"/>
                <w:lang w:val="en-US" w:eastAsia="zh-CN"/>
              </w:rPr>
              <w:t>彩色液晶电容触摸显示窗，可实时显示当前电压、日期时间、通道开关状态；（提供截图佐证）；</w:t>
            </w:r>
          </w:p>
          <w:p w14:paraId="1E87C342">
            <w:pPr>
              <w:numPr>
                <w:ilvl w:val="0"/>
                <w:numId w:val="0"/>
              </w:numPr>
              <w:spacing w:before="14" w:line="189" w:lineRule="auto"/>
              <w:ind w:leftChars="0"/>
              <w:rPr>
                <w:rFonts w:hint="eastAsia" w:ascii="宋体" w:hAnsi="宋体" w:eastAsia="宋体" w:cs="宋体"/>
                <w:color w:val="auto"/>
                <w:spacing w:val="4"/>
                <w:sz w:val="21"/>
                <w:szCs w:val="21"/>
                <w:highlight w:val="none"/>
                <w:lang w:eastAsia="zh-CN"/>
              </w:rPr>
            </w:pPr>
            <w:r>
              <w:rPr>
                <w:rFonts w:hint="eastAsia" w:ascii="宋体" w:hAnsi="宋体" w:cs="宋体"/>
                <w:color w:val="auto"/>
                <w:spacing w:val="4"/>
                <w:sz w:val="21"/>
                <w:szCs w:val="21"/>
                <w:highlight w:val="none"/>
                <w:lang w:val="en-US" w:eastAsia="zh-CN"/>
              </w:rPr>
              <w:t>2、</w:t>
            </w:r>
            <w:r>
              <w:rPr>
                <w:rFonts w:hint="eastAsia" w:ascii="宋体" w:hAnsi="宋体" w:eastAsia="宋体" w:cs="宋体"/>
                <w:color w:val="auto"/>
                <w:spacing w:val="4"/>
                <w:sz w:val="21"/>
                <w:szCs w:val="21"/>
                <w:highlight w:val="none"/>
              </w:rPr>
              <w:t>可根据日期时间定时设置自动开关机，不需人为操作，自由设置定时开关机，每路16次循环定时开关</w:t>
            </w:r>
            <w:r>
              <w:rPr>
                <w:rFonts w:hint="eastAsia" w:ascii="宋体" w:hAnsi="宋体" w:eastAsia="宋体" w:cs="宋体"/>
                <w:color w:val="auto"/>
                <w:spacing w:val="4"/>
                <w:sz w:val="21"/>
                <w:szCs w:val="21"/>
                <w:highlight w:val="none"/>
                <w:lang w:eastAsia="zh-CN"/>
              </w:rPr>
              <w:t>；</w:t>
            </w:r>
          </w:p>
          <w:p w14:paraId="3CFC4FAB">
            <w:pPr>
              <w:numPr>
                <w:ilvl w:val="0"/>
                <w:numId w:val="0"/>
              </w:numPr>
              <w:spacing w:before="14" w:line="189" w:lineRule="auto"/>
              <w:ind w:leftChars="0"/>
              <w:rPr>
                <w:rFonts w:hint="eastAsia" w:ascii="宋体" w:hAnsi="宋体" w:cs="宋体"/>
                <w:color w:val="auto"/>
                <w:spacing w:val="-9"/>
                <w:sz w:val="21"/>
                <w:szCs w:val="21"/>
                <w:highlight w:val="none"/>
                <w:lang w:val="en-US" w:eastAsia="zh-CN"/>
              </w:rPr>
            </w:pPr>
            <w:r>
              <w:rPr>
                <w:rFonts w:hint="eastAsia" w:ascii="宋体" w:hAnsi="宋体" w:eastAsia="宋体" w:cs="宋体"/>
                <w:color w:val="auto"/>
                <w:spacing w:val="-4"/>
                <w:sz w:val="21"/>
                <w:szCs w:val="21"/>
                <w:highlight w:val="none"/>
              </w:rPr>
              <w:t>★</w:t>
            </w:r>
            <w:r>
              <w:rPr>
                <w:rFonts w:hint="eastAsia" w:ascii="宋体" w:hAnsi="宋体" w:cs="宋体"/>
                <w:color w:val="auto"/>
                <w:spacing w:val="-4"/>
                <w:sz w:val="21"/>
                <w:szCs w:val="21"/>
                <w:highlight w:val="none"/>
                <w:lang w:val="en-US" w:eastAsia="zh-CN"/>
              </w:rPr>
              <w:t>3、</w:t>
            </w:r>
            <w:r>
              <w:rPr>
                <w:rFonts w:hint="eastAsia" w:ascii="宋体" w:hAnsi="宋体" w:cs="宋体"/>
                <w:color w:val="auto"/>
                <w:spacing w:val="-2"/>
                <w:sz w:val="21"/>
                <w:szCs w:val="21"/>
                <w:highlight w:val="none"/>
                <w:lang w:val="en-US" w:eastAsia="zh-CN"/>
              </w:rPr>
              <w:t>≥</w:t>
            </w:r>
            <w:r>
              <w:rPr>
                <w:rFonts w:hint="eastAsia" w:ascii="宋体" w:hAnsi="宋体" w:eastAsia="宋体" w:cs="宋体"/>
                <w:color w:val="auto"/>
                <w:spacing w:val="4"/>
                <w:sz w:val="21"/>
                <w:szCs w:val="21"/>
                <w:highlight w:val="none"/>
                <w:lang w:eastAsia="zh-CN"/>
              </w:rPr>
              <w:t>14路开关通道输出，每路延时0-999s开启和关闭时间可自由设置，每路</w:t>
            </w:r>
            <w:r>
              <w:rPr>
                <w:rFonts w:hint="eastAsia" w:ascii="宋体" w:hAnsi="宋体" w:cs="宋体"/>
                <w:color w:val="auto"/>
                <w:spacing w:val="-2"/>
                <w:sz w:val="21"/>
                <w:szCs w:val="21"/>
                <w:highlight w:val="none"/>
                <w:lang w:val="en-US" w:eastAsia="zh-CN"/>
              </w:rPr>
              <w:t>≥</w:t>
            </w:r>
            <w:r>
              <w:rPr>
                <w:rFonts w:hint="eastAsia" w:ascii="宋体" w:hAnsi="宋体" w:eastAsia="宋体" w:cs="宋体"/>
                <w:color w:val="auto"/>
                <w:spacing w:val="4"/>
                <w:sz w:val="21"/>
                <w:szCs w:val="21"/>
                <w:highlight w:val="none"/>
                <w:lang w:eastAsia="zh-CN"/>
              </w:rPr>
              <w:t>8组循环定时开关机；</w:t>
            </w:r>
            <w:r>
              <w:rPr>
                <w:rFonts w:hint="eastAsia" w:ascii="宋体" w:hAnsi="宋体" w:cs="宋体"/>
                <w:color w:val="auto"/>
                <w:spacing w:val="-9"/>
                <w:sz w:val="21"/>
                <w:szCs w:val="21"/>
                <w:highlight w:val="none"/>
                <w:lang w:val="en-US" w:eastAsia="zh-CN"/>
              </w:rPr>
              <w:t>（提供截图佐证）</w:t>
            </w:r>
          </w:p>
          <w:p w14:paraId="7CA8D723">
            <w:pPr>
              <w:spacing w:before="14" w:line="189" w:lineRule="auto"/>
              <w:ind w:left="13"/>
              <w:rPr>
                <w:rFonts w:hint="eastAsia" w:ascii="宋体" w:hAnsi="宋体" w:eastAsia="宋体" w:cs="宋体"/>
                <w:color w:val="auto"/>
                <w:spacing w:val="4"/>
                <w:sz w:val="21"/>
                <w:szCs w:val="21"/>
                <w:highlight w:val="none"/>
                <w:lang w:val="en-US" w:eastAsia="zh-CN"/>
              </w:rPr>
            </w:pPr>
            <w:r>
              <w:rPr>
                <w:rFonts w:hint="eastAsia" w:ascii="宋体" w:hAnsi="宋体" w:eastAsia="宋体" w:cs="宋体"/>
                <w:color w:val="auto"/>
                <w:spacing w:val="-4"/>
                <w:sz w:val="21"/>
                <w:szCs w:val="21"/>
                <w:highlight w:val="none"/>
              </w:rPr>
              <w:t>★</w:t>
            </w:r>
            <w:r>
              <w:rPr>
                <w:rFonts w:hint="eastAsia" w:ascii="宋体" w:hAnsi="宋体" w:eastAsia="宋体" w:cs="宋体"/>
                <w:color w:val="auto"/>
                <w:spacing w:val="4"/>
                <w:sz w:val="21"/>
                <w:szCs w:val="21"/>
                <w:highlight w:val="none"/>
                <w:lang w:val="en-US" w:eastAsia="zh-CN"/>
              </w:rPr>
              <w:t>4、</w:t>
            </w:r>
            <w:r>
              <w:rPr>
                <w:rFonts w:hint="eastAsia" w:ascii="宋体" w:hAnsi="宋体" w:eastAsia="宋体" w:cs="宋体"/>
                <w:color w:val="auto"/>
                <w:spacing w:val="4"/>
                <w:sz w:val="21"/>
                <w:szCs w:val="21"/>
                <w:highlight w:val="none"/>
              </w:rPr>
              <w:t>具有</w:t>
            </w:r>
            <w:r>
              <w:rPr>
                <w:rFonts w:hint="eastAsia" w:ascii="宋体" w:hAnsi="宋体" w:cs="宋体"/>
                <w:color w:val="auto"/>
                <w:spacing w:val="4"/>
                <w:sz w:val="21"/>
                <w:szCs w:val="21"/>
                <w:highlight w:val="none"/>
                <w:lang w:val="en-US" w:eastAsia="zh-CN"/>
              </w:rPr>
              <w:t>≥10</w:t>
            </w:r>
            <w:r>
              <w:rPr>
                <w:rFonts w:hint="eastAsia" w:ascii="宋体" w:hAnsi="宋体" w:eastAsia="宋体" w:cs="宋体"/>
                <w:color w:val="auto"/>
                <w:spacing w:val="4"/>
                <w:sz w:val="21"/>
                <w:szCs w:val="21"/>
                <w:highlight w:val="none"/>
              </w:rPr>
              <w:t>组设备开关场景数据保存/调用，可根据不同场景需求分别设置受控通道、开关延时参数，保存到对应的模式，通过软件调取场景</w:t>
            </w:r>
            <w:r>
              <w:rPr>
                <w:rFonts w:hint="eastAsia" w:ascii="宋体" w:hAnsi="宋体" w:cs="宋体"/>
                <w:color w:val="auto"/>
                <w:spacing w:val="4"/>
                <w:sz w:val="21"/>
                <w:szCs w:val="21"/>
                <w:highlight w:val="none"/>
                <w:lang w:eastAsia="zh-CN"/>
              </w:rPr>
              <w:t>；</w:t>
            </w:r>
          </w:p>
          <w:p w14:paraId="137D764E">
            <w:pPr>
              <w:numPr>
                <w:ilvl w:val="0"/>
                <w:numId w:val="0"/>
              </w:numPr>
              <w:spacing w:line="189" w:lineRule="auto"/>
              <w:ind w:left="13" w:leftChars="0"/>
              <w:rPr>
                <w:rFonts w:hint="eastAsia" w:ascii="宋体" w:hAnsi="宋体" w:eastAsia="宋体" w:cs="宋体"/>
                <w:color w:val="auto"/>
                <w:spacing w:val="-9"/>
                <w:sz w:val="21"/>
                <w:szCs w:val="21"/>
                <w:highlight w:val="none"/>
                <w:lang w:val="en-US" w:eastAsia="zh-CN"/>
              </w:rPr>
            </w:pPr>
            <w:r>
              <w:rPr>
                <w:rFonts w:hint="eastAsia" w:ascii="宋体" w:hAnsi="宋体" w:eastAsia="宋体" w:cs="宋体"/>
                <w:color w:val="auto"/>
                <w:spacing w:val="-9"/>
                <w:sz w:val="21"/>
                <w:szCs w:val="21"/>
                <w:highlight w:val="none"/>
                <w:lang w:val="en-US" w:eastAsia="zh-CN"/>
              </w:rPr>
              <w:t>★</w:t>
            </w:r>
            <w:r>
              <w:rPr>
                <w:rFonts w:hint="eastAsia" w:ascii="宋体" w:hAnsi="宋体" w:cs="宋体"/>
                <w:color w:val="auto"/>
                <w:spacing w:val="-9"/>
                <w:sz w:val="21"/>
                <w:szCs w:val="21"/>
                <w:highlight w:val="none"/>
                <w:lang w:val="en-US" w:eastAsia="zh-CN"/>
              </w:rPr>
              <w:t>5</w:t>
            </w:r>
            <w:r>
              <w:rPr>
                <w:rFonts w:hint="eastAsia" w:ascii="宋体" w:hAnsi="宋体" w:eastAsia="宋体" w:cs="宋体"/>
                <w:color w:val="auto"/>
                <w:spacing w:val="-9"/>
                <w:sz w:val="21"/>
                <w:szCs w:val="21"/>
                <w:highlight w:val="none"/>
                <w:lang w:val="en-US" w:eastAsia="zh-CN"/>
              </w:rPr>
              <w:t>、支持输入电源、负载设备进行电压监控，设备欠压、超压自动报警。</w:t>
            </w:r>
          </w:p>
          <w:p w14:paraId="7D69B68A">
            <w:pPr>
              <w:numPr>
                <w:ilvl w:val="0"/>
                <w:numId w:val="6"/>
              </w:numPr>
              <w:spacing w:before="14" w:line="189" w:lineRule="auto"/>
              <w:ind w:left="13"/>
              <w:rPr>
                <w:rFonts w:hint="eastAsia" w:ascii="宋体" w:hAnsi="宋体" w:eastAsia="宋体" w:cs="宋体"/>
                <w:color w:val="auto"/>
                <w:spacing w:val="6"/>
                <w:sz w:val="21"/>
                <w:szCs w:val="21"/>
                <w:highlight w:val="none"/>
                <w:lang w:eastAsia="zh-CN"/>
              </w:rPr>
            </w:pPr>
            <w:r>
              <w:rPr>
                <w:rFonts w:hint="eastAsia" w:ascii="宋体" w:hAnsi="宋体" w:eastAsia="宋体" w:cs="宋体"/>
                <w:color w:val="auto"/>
                <w:spacing w:val="6"/>
                <w:sz w:val="21"/>
                <w:szCs w:val="21"/>
                <w:highlight w:val="none"/>
              </w:rPr>
              <w:t>设备单路额定电流≥10A，额定总输出电流≥30A；支持≥8路输出可控制电源，可自由设置延时开启和关闭时间</w:t>
            </w:r>
            <w:r>
              <w:rPr>
                <w:rFonts w:hint="eastAsia" w:ascii="宋体" w:hAnsi="宋体" w:eastAsia="宋体" w:cs="宋体"/>
                <w:color w:val="auto"/>
                <w:spacing w:val="6"/>
                <w:sz w:val="21"/>
                <w:szCs w:val="21"/>
                <w:highlight w:val="none"/>
                <w:lang w:eastAsia="zh-CN"/>
              </w:rPr>
              <w:t>；</w:t>
            </w:r>
          </w:p>
          <w:p w14:paraId="664B4549">
            <w:pPr>
              <w:numPr>
                <w:ilvl w:val="0"/>
                <w:numId w:val="0"/>
              </w:numPr>
              <w:spacing w:before="14" w:line="189" w:lineRule="auto"/>
              <w:rPr>
                <w:rFonts w:hint="eastAsia" w:ascii="宋体" w:hAnsi="宋体" w:eastAsia="宋体" w:cs="宋体"/>
                <w:color w:val="auto"/>
                <w:spacing w:val="-4"/>
                <w:sz w:val="21"/>
                <w:szCs w:val="21"/>
                <w:highlight w:val="none"/>
                <w:lang w:eastAsia="zh-CN"/>
              </w:rPr>
            </w:pPr>
            <w:r>
              <w:rPr>
                <w:rFonts w:hint="eastAsia" w:ascii="宋体" w:hAnsi="宋体" w:eastAsia="宋体" w:cs="宋体"/>
                <w:color w:val="auto"/>
                <w:spacing w:val="-4"/>
                <w:sz w:val="21"/>
                <w:szCs w:val="21"/>
                <w:highlight w:val="none"/>
              </w:rPr>
              <w:t>★</w:t>
            </w:r>
            <w:r>
              <w:rPr>
                <w:rFonts w:hint="eastAsia" w:ascii="宋体" w:hAnsi="宋体" w:cs="宋体"/>
                <w:color w:val="auto"/>
                <w:spacing w:val="-4"/>
                <w:sz w:val="21"/>
                <w:szCs w:val="21"/>
                <w:highlight w:val="none"/>
                <w:lang w:val="en-US" w:eastAsia="zh-CN"/>
              </w:rPr>
              <w:t>7</w:t>
            </w:r>
            <w:r>
              <w:rPr>
                <w:rFonts w:hint="eastAsia" w:ascii="宋体" w:hAnsi="宋体" w:eastAsia="宋体" w:cs="宋体"/>
                <w:color w:val="auto"/>
                <w:spacing w:val="-4"/>
                <w:sz w:val="21"/>
                <w:szCs w:val="21"/>
                <w:highlight w:val="none"/>
                <w:lang w:val="en-US" w:eastAsia="zh-CN"/>
              </w:rPr>
              <w:t>、</w:t>
            </w:r>
            <w:r>
              <w:rPr>
                <w:rFonts w:hint="eastAsia" w:ascii="宋体" w:hAnsi="宋体" w:eastAsia="宋体" w:cs="宋体"/>
                <w:color w:val="auto"/>
                <w:spacing w:val="-4"/>
                <w:sz w:val="21"/>
                <w:szCs w:val="21"/>
                <w:highlight w:val="none"/>
              </w:rPr>
              <w:t>具有≥1个RS-232</w:t>
            </w:r>
            <w:r>
              <w:rPr>
                <w:rFonts w:hint="eastAsia" w:ascii="宋体" w:hAnsi="宋体" w:cs="宋体"/>
                <w:color w:val="auto"/>
                <w:spacing w:val="-4"/>
                <w:sz w:val="21"/>
                <w:szCs w:val="21"/>
                <w:highlight w:val="none"/>
                <w:lang w:eastAsia="zh-CN"/>
              </w:rPr>
              <w:t>，</w:t>
            </w:r>
            <w:r>
              <w:rPr>
                <w:rFonts w:hint="eastAsia" w:ascii="宋体" w:hAnsi="宋体" w:eastAsia="宋体" w:cs="宋体"/>
                <w:color w:val="auto"/>
                <w:spacing w:val="-4"/>
                <w:sz w:val="21"/>
                <w:szCs w:val="21"/>
                <w:highlight w:val="none"/>
              </w:rPr>
              <w:t>支持对接中控进行控制；支持通过</w:t>
            </w:r>
            <w:r>
              <w:rPr>
                <w:rFonts w:hint="eastAsia" w:ascii="宋体" w:hAnsi="宋体" w:cs="宋体"/>
                <w:color w:val="auto"/>
                <w:spacing w:val="-4"/>
                <w:sz w:val="21"/>
                <w:szCs w:val="21"/>
                <w:highlight w:val="none"/>
                <w:lang w:val="en-US" w:eastAsia="zh-CN"/>
              </w:rPr>
              <w:t>232</w:t>
            </w:r>
            <w:r>
              <w:rPr>
                <w:rFonts w:hint="eastAsia" w:ascii="宋体" w:hAnsi="宋体" w:eastAsia="宋体" w:cs="宋体"/>
                <w:color w:val="auto"/>
                <w:spacing w:val="-4"/>
                <w:sz w:val="21"/>
                <w:szCs w:val="21"/>
                <w:highlight w:val="none"/>
              </w:rPr>
              <w:t>接口实现多个电源时序器级联和管理</w:t>
            </w:r>
            <w:r>
              <w:rPr>
                <w:rFonts w:hint="eastAsia" w:ascii="宋体" w:hAnsi="宋体" w:cs="宋体"/>
                <w:color w:val="auto"/>
                <w:spacing w:val="-4"/>
                <w:sz w:val="21"/>
                <w:szCs w:val="21"/>
                <w:highlight w:val="none"/>
                <w:lang w:eastAsia="zh-CN"/>
              </w:rPr>
              <w:t>；</w:t>
            </w:r>
          </w:p>
          <w:p w14:paraId="12091681">
            <w:pPr>
              <w:numPr>
                <w:ilvl w:val="0"/>
                <w:numId w:val="0"/>
              </w:numPr>
              <w:spacing w:line="189" w:lineRule="auto"/>
              <w:ind w:left="13" w:leftChars="0"/>
              <w:rPr>
                <w:rFonts w:hint="eastAsia" w:ascii="宋体" w:hAnsi="宋体" w:eastAsia="宋体" w:cs="宋体"/>
                <w:color w:val="auto"/>
                <w:spacing w:val="-9"/>
                <w:sz w:val="21"/>
                <w:szCs w:val="21"/>
                <w:highlight w:val="none"/>
              </w:rPr>
            </w:pPr>
            <w:r>
              <w:rPr>
                <w:rFonts w:hint="eastAsia" w:ascii="宋体" w:hAnsi="宋体" w:cs="宋体"/>
                <w:color w:val="auto"/>
                <w:spacing w:val="-9"/>
                <w:sz w:val="21"/>
                <w:szCs w:val="21"/>
                <w:highlight w:val="none"/>
                <w:lang w:val="en-US" w:eastAsia="zh-CN"/>
              </w:rPr>
              <w:t>8、</w:t>
            </w:r>
            <w:r>
              <w:rPr>
                <w:rFonts w:hint="eastAsia" w:ascii="宋体" w:hAnsi="宋体" w:eastAsia="宋体" w:cs="宋体"/>
                <w:color w:val="auto"/>
                <w:spacing w:val="-9"/>
                <w:sz w:val="21"/>
                <w:szCs w:val="21"/>
                <w:highlight w:val="none"/>
              </w:rPr>
              <w:t>支持IPHONE/安卓系统手机及笔记本无线控制调试，实现一键开关机及模式调用；支持PC软件调试，可对每路单独编辑及远程控制，并可进行一键场景模式调用；</w:t>
            </w:r>
          </w:p>
          <w:p w14:paraId="6B6D891D">
            <w:pPr>
              <w:numPr>
                <w:ilvl w:val="0"/>
                <w:numId w:val="0"/>
              </w:numPr>
              <w:spacing w:line="189" w:lineRule="auto"/>
              <w:ind w:left="13" w:leftChars="0"/>
              <w:rPr>
                <w:rFonts w:hint="eastAsia" w:ascii="宋体" w:hAnsi="宋体" w:cs="宋体"/>
                <w:color w:val="auto"/>
                <w:spacing w:val="-9"/>
                <w:sz w:val="21"/>
                <w:szCs w:val="21"/>
                <w:highlight w:val="none"/>
                <w:lang w:val="en-US" w:eastAsia="zh-CN"/>
              </w:rPr>
            </w:pPr>
            <w:r>
              <w:rPr>
                <w:rFonts w:hint="eastAsia" w:ascii="宋体" w:hAnsi="宋体" w:eastAsia="宋体" w:cs="宋体"/>
                <w:color w:val="auto"/>
                <w:spacing w:val="-9"/>
                <w:sz w:val="21"/>
                <w:szCs w:val="21"/>
                <w:highlight w:val="none"/>
                <w:lang w:val="en-US" w:eastAsia="zh-CN"/>
              </w:rPr>
              <w:t>★</w:t>
            </w:r>
            <w:r>
              <w:rPr>
                <w:rFonts w:hint="eastAsia" w:ascii="宋体" w:hAnsi="宋体" w:cs="宋体"/>
                <w:color w:val="auto"/>
                <w:spacing w:val="-9"/>
                <w:sz w:val="21"/>
                <w:szCs w:val="21"/>
                <w:highlight w:val="none"/>
                <w:lang w:val="en-US" w:eastAsia="zh-CN"/>
              </w:rPr>
              <w:t>9</w:t>
            </w:r>
            <w:r>
              <w:rPr>
                <w:rFonts w:hint="eastAsia" w:ascii="宋体" w:hAnsi="宋体" w:eastAsia="宋体" w:cs="宋体"/>
                <w:color w:val="auto"/>
                <w:spacing w:val="-9"/>
                <w:sz w:val="21"/>
                <w:szCs w:val="21"/>
                <w:highlight w:val="none"/>
                <w:lang w:val="en-US" w:eastAsia="zh-CN"/>
              </w:rPr>
              <w:t>、每路设备自带ID设置和检测，可远程集中控制，及实现云端数据管理；（提供截图佐证</w:t>
            </w:r>
            <w:r>
              <w:rPr>
                <w:rFonts w:hint="eastAsia" w:ascii="宋体" w:hAnsi="宋体" w:cs="宋体"/>
                <w:color w:val="auto"/>
                <w:spacing w:val="-9"/>
                <w:sz w:val="21"/>
                <w:szCs w:val="21"/>
                <w:highlight w:val="none"/>
                <w:lang w:val="en-US" w:eastAsia="zh-CN"/>
              </w:rPr>
              <w:t>）</w:t>
            </w:r>
          </w:p>
          <w:p w14:paraId="3358BCD2">
            <w:pPr>
              <w:spacing w:line="189" w:lineRule="auto"/>
              <w:ind w:left="13"/>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以上带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的要求</w:t>
            </w:r>
            <w:r>
              <w:rPr>
                <w:rFonts w:hint="eastAsia" w:ascii="宋体" w:hAnsi="宋体" w:eastAsia="宋体" w:cs="宋体"/>
                <w:color w:val="auto"/>
                <w:spacing w:val="-9"/>
                <w:sz w:val="21"/>
                <w:szCs w:val="21"/>
                <w:highlight w:val="none"/>
                <w:lang w:val="en-US" w:eastAsia="zh-CN"/>
              </w:rPr>
              <w:t>提供能够证实以上所有参数的带有CNAS</w:t>
            </w:r>
            <w:r>
              <w:rPr>
                <w:rFonts w:hint="eastAsia" w:ascii="宋体" w:hAnsi="宋体" w:cs="宋体"/>
                <w:color w:val="auto"/>
                <w:spacing w:val="-9"/>
                <w:sz w:val="21"/>
                <w:szCs w:val="21"/>
                <w:highlight w:val="none"/>
                <w:lang w:val="en-US" w:eastAsia="zh-CN"/>
              </w:rPr>
              <w:t>或CMA</w:t>
            </w:r>
            <w:r>
              <w:rPr>
                <w:rFonts w:hint="eastAsia" w:ascii="宋体" w:hAnsi="宋体" w:eastAsia="宋体" w:cs="宋体"/>
                <w:color w:val="auto"/>
                <w:spacing w:val="-9"/>
                <w:sz w:val="21"/>
                <w:szCs w:val="21"/>
                <w:highlight w:val="none"/>
                <w:lang w:val="en-US" w:eastAsia="zh-CN"/>
              </w:rPr>
              <w:t>标</w:t>
            </w:r>
            <w:r>
              <w:rPr>
                <w:rFonts w:hint="eastAsia" w:ascii="宋体" w:hAnsi="宋体" w:cs="宋体"/>
                <w:color w:val="auto"/>
                <w:spacing w:val="-9"/>
                <w:sz w:val="21"/>
                <w:szCs w:val="21"/>
                <w:highlight w:val="none"/>
                <w:lang w:val="en-US" w:eastAsia="zh-CN"/>
              </w:rPr>
              <w:t>识</w:t>
            </w:r>
            <w:r>
              <w:rPr>
                <w:rFonts w:hint="eastAsia" w:ascii="宋体" w:hAnsi="宋体" w:eastAsia="宋体" w:cs="宋体"/>
                <w:color w:val="auto"/>
                <w:spacing w:val="-9"/>
                <w:sz w:val="21"/>
                <w:szCs w:val="21"/>
                <w:highlight w:val="none"/>
                <w:lang w:val="en-US" w:eastAsia="zh-CN"/>
              </w:rPr>
              <w:t>的第三方机构检测报告</w:t>
            </w:r>
            <w:r>
              <w:rPr>
                <w:rFonts w:hint="eastAsia" w:ascii="宋体" w:hAnsi="宋体" w:cs="宋体"/>
                <w:color w:val="auto"/>
                <w:spacing w:val="-9"/>
                <w:sz w:val="21"/>
                <w:szCs w:val="21"/>
                <w:highlight w:val="none"/>
                <w:lang w:val="en-US" w:eastAsia="zh-CN"/>
              </w:rPr>
              <w:t>原件</w:t>
            </w:r>
            <w:r>
              <w:rPr>
                <w:rFonts w:hint="eastAsia" w:ascii="宋体" w:hAnsi="宋体" w:eastAsia="宋体" w:cs="宋体"/>
                <w:color w:val="auto"/>
                <w:spacing w:val="-9"/>
                <w:sz w:val="21"/>
                <w:szCs w:val="21"/>
                <w:highlight w:val="none"/>
                <w:lang w:val="en-US" w:eastAsia="zh-CN"/>
              </w:rPr>
              <w:t>扫描件。</w:t>
            </w:r>
          </w:p>
          <w:p w14:paraId="42A7E6DB">
            <w:pPr>
              <w:spacing w:before="9" w:line="191" w:lineRule="auto"/>
              <w:ind w:left="13" w:leftChars="0" w:right="6" w:rightChars="0" w:firstLine="39" w:firstLineChars="0"/>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(含所需线</w:t>
            </w:r>
            <w:r>
              <w:rPr>
                <w:rFonts w:hint="eastAsia" w:ascii="宋体" w:hAnsi="宋体" w:eastAsia="宋体" w:cs="宋体"/>
                <w:color w:val="auto"/>
                <w:spacing w:val="10"/>
                <w:sz w:val="21"/>
                <w:szCs w:val="21"/>
                <w:highlight w:val="none"/>
              </w:rPr>
              <w:t>材，吊架、备件、</w:t>
            </w:r>
            <w:r>
              <w:rPr>
                <w:rFonts w:hint="eastAsia" w:ascii="宋体" w:hAnsi="宋体" w:eastAsia="宋体" w:cs="宋体"/>
                <w:color w:val="auto"/>
                <w:spacing w:val="3"/>
                <w:sz w:val="21"/>
                <w:szCs w:val="21"/>
                <w:highlight w:val="none"/>
              </w:rPr>
              <w:t>旧设备拆除，配套</w:t>
            </w:r>
            <w:r>
              <w:rPr>
                <w:rFonts w:hint="eastAsia" w:ascii="宋体" w:hAnsi="宋体" w:eastAsia="宋体" w:cs="宋体"/>
                <w:color w:val="auto"/>
                <w:spacing w:val="-6"/>
                <w:sz w:val="21"/>
                <w:szCs w:val="21"/>
                <w:highlight w:val="none"/>
              </w:rPr>
              <w:t>的改造装修费用</w:t>
            </w:r>
            <w:r>
              <w:rPr>
                <w:rFonts w:hint="eastAsia" w:ascii="宋体" w:hAnsi="宋体" w:eastAsia="宋体" w:cs="宋体"/>
                <w:color w:val="auto"/>
                <w:sz w:val="21"/>
                <w:szCs w:val="21"/>
                <w:highlight w:val="none"/>
              </w:rPr>
              <w:t>)</w:t>
            </w:r>
          </w:p>
        </w:tc>
        <w:tc>
          <w:tcPr>
            <w:tcW w:w="718" w:type="dxa"/>
            <w:shd w:val="clear" w:color="auto" w:fill="auto"/>
            <w:vAlign w:val="center"/>
          </w:tcPr>
          <w:p w14:paraId="45794E1A">
            <w:pPr>
              <w:spacing w:before="55" w:line="221" w:lineRule="auto"/>
              <w:ind w:left="155"/>
              <w:jc w:val="center"/>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3</w:t>
            </w:r>
            <w:r>
              <w:rPr>
                <w:rFonts w:hint="eastAsia" w:ascii="宋体" w:hAnsi="宋体" w:eastAsia="宋体" w:cs="宋体"/>
                <w:color w:val="auto"/>
                <w:sz w:val="21"/>
                <w:szCs w:val="21"/>
                <w:highlight w:val="none"/>
              </w:rPr>
              <w:t>台</w:t>
            </w:r>
          </w:p>
        </w:tc>
        <w:tc>
          <w:tcPr>
            <w:tcW w:w="706" w:type="dxa"/>
            <w:shd w:val="clear" w:color="auto" w:fill="auto"/>
            <w:vAlign w:val="center"/>
          </w:tcPr>
          <w:p w14:paraId="756F569C">
            <w:pPr>
              <w:spacing w:before="55" w:line="221" w:lineRule="auto"/>
              <w:jc w:val="both"/>
              <w:rPr>
                <w:rFonts w:hint="eastAsia" w:ascii="宋体" w:hAnsi="宋体" w:eastAsia="宋体" w:cs="宋体"/>
                <w:color w:val="auto"/>
                <w:spacing w:val="-11"/>
                <w:sz w:val="21"/>
                <w:szCs w:val="21"/>
                <w:highlight w:val="none"/>
              </w:rPr>
            </w:pPr>
            <w:r>
              <w:rPr>
                <w:rFonts w:hint="eastAsia" w:ascii="宋体" w:hAnsi="宋体" w:eastAsia="宋体" w:cs="宋体"/>
                <w:color w:val="auto"/>
                <w:spacing w:val="-5"/>
                <w:sz w:val="21"/>
                <w:szCs w:val="21"/>
                <w:highlight w:val="none"/>
                <w:lang w:val="en-US" w:eastAsia="zh-CN"/>
              </w:rPr>
              <w:t>工业</w:t>
            </w:r>
          </w:p>
        </w:tc>
      </w:tr>
      <w:tr w14:paraId="7BF90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5" w:type="dxa"/>
            <w:vAlign w:val="center"/>
          </w:tcPr>
          <w:p w14:paraId="2D5ADFA5">
            <w:pPr>
              <w:keepLines/>
              <w:widowControl/>
              <w:wordWrap w:val="0"/>
              <w:topLinePun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w:t>
            </w:r>
          </w:p>
        </w:tc>
        <w:tc>
          <w:tcPr>
            <w:tcW w:w="756" w:type="dxa"/>
            <w:shd w:val="clear" w:color="auto" w:fill="auto"/>
            <w:vAlign w:val="center"/>
          </w:tcPr>
          <w:p w14:paraId="651DAE32">
            <w:pPr>
              <w:spacing w:before="55" w:line="219" w:lineRule="auto"/>
              <w:jc w:val="both"/>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机柜、机架</w:t>
            </w:r>
          </w:p>
        </w:tc>
        <w:tc>
          <w:tcPr>
            <w:tcW w:w="6814" w:type="dxa"/>
            <w:shd w:val="clear" w:color="auto" w:fill="auto"/>
            <w:vAlign w:val="top"/>
          </w:tcPr>
          <w:p w14:paraId="6EF3AE9C">
            <w:pPr>
              <w:spacing w:before="55" w:line="192" w:lineRule="auto"/>
              <w:ind w:right="11"/>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lang w:val="en-US" w:eastAsia="zh-CN"/>
              </w:rPr>
              <w:t>1、</w:t>
            </w:r>
            <w:r>
              <w:rPr>
                <w:rFonts w:hint="eastAsia" w:ascii="宋体" w:hAnsi="宋体" w:eastAsia="宋体" w:cs="宋体"/>
                <w:color w:val="auto"/>
                <w:spacing w:val="-1"/>
                <w:sz w:val="21"/>
                <w:szCs w:val="21"/>
                <w:highlight w:val="none"/>
              </w:rPr>
              <w:t>产品类型网络机柜材质冷轧钢板</w:t>
            </w:r>
            <w:r>
              <w:rPr>
                <w:rFonts w:hint="eastAsia" w:ascii="宋体" w:hAnsi="宋体" w:eastAsia="宋体" w:cs="宋体"/>
                <w:color w:val="auto"/>
                <w:spacing w:val="1"/>
                <w:sz w:val="21"/>
                <w:szCs w:val="21"/>
                <w:highlight w:val="none"/>
              </w:rPr>
              <w:t xml:space="preserve"> </w:t>
            </w:r>
            <w:r>
              <w:rPr>
                <w:rFonts w:hint="eastAsia" w:ascii="宋体" w:hAnsi="宋体" w:eastAsia="宋体" w:cs="宋体"/>
                <w:color w:val="auto"/>
                <w:spacing w:val="9"/>
                <w:sz w:val="21"/>
                <w:szCs w:val="21"/>
                <w:highlight w:val="none"/>
              </w:rPr>
              <w:t>,脱脂静电喷塑</w:t>
            </w:r>
          </w:p>
          <w:p w14:paraId="1FD8BCF2">
            <w:pPr>
              <w:spacing w:before="1" w:line="196" w:lineRule="auto"/>
              <w:ind w:left="14"/>
              <w:rPr>
                <w:rFonts w:hint="eastAsia" w:ascii="宋体" w:hAnsi="宋体" w:eastAsia="宋体" w:cs="宋体"/>
                <w:color w:val="auto"/>
                <w:sz w:val="21"/>
                <w:szCs w:val="21"/>
                <w:highlight w:val="none"/>
              </w:rPr>
            </w:pPr>
            <w:r>
              <w:rPr>
                <w:rFonts w:hint="eastAsia" w:ascii="宋体" w:hAnsi="宋体" w:eastAsia="宋体" w:cs="宋体"/>
                <w:color w:val="auto"/>
                <w:spacing w:val="23"/>
                <w:sz w:val="21"/>
                <w:szCs w:val="21"/>
                <w:highlight w:val="none"/>
                <w:lang w:val="en-US" w:eastAsia="zh-CN"/>
              </w:rPr>
              <w:t>2、</w:t>
            </w:r>
            <w:r>
              <w:rPr>
                <w:rFonts w:hint="eastAsia" w:ascii="宋体" w:hAnsi="宋体" w:eastAsia="宋体" w:cs="宋体"/>
                <w:color w:val="auto"/>
                <w:spacing w:val="23"/>
                <w:sz w:val="21"/>
                <w:szCs w:val="21"/>
                <w:highlight w:val="none"/>
              </w:rPr>
              <w:t>机柜用途交换器、</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4"/>
                <w:sz w:val="21"/>
                <w:szCs w:val="21"/>
                <w:highlight w:val="none"/>
              </w:rPr>
              <w:t>路由器等设备</w:t>
            </w:r>
          </w:p>
          <w:p w14:paraId="2AF89B5B">
            <w:pPr>
              <w:spacing w:before="1" w:line="191" w:lineRule="auto"/>
              <w:ind w:left="14" w:right="59"/>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lang w:val="en-US" w:eastAsia="zh-CN"/>
              </w:rPr>
              <w:t>3、</w:t>
            </w:r>
            <w:r>
              <w:rPr>
                <w:rFonts w:hint="eastAsia" w:ascii="宋体" w:hAnsi="宋体" w:eastAsia="宋体" w:cs="宋体"/>
                <w:color w:val="auto"/>
                <w:spacing w:val="10"/>
                <w:sz w:val="21"/>
                <w:szCs w:val="21"/>
                <w:highlight w:val="none"/>
              </w:rPr>
              <w:t>机柜尺寸600*600*</w:t>
            </w:r>
            <w:r>
              <w:rPr>
                <w:rFonts w:hint="eastAsia" w:ascii="宋体" w:hAnsi="宋体" w:eastAsia="宋体" w:cs="宋体"/>
                <w:color w:val="auto"/>
                <w:spacing w:val="-2"/>
                <w:sz w:val="21"/>
                <w:szCs w:val="21"/>
                <w:highlight w:val="none"/>
              </w:rPr>
              <w:t>1610(32U)</w:t>
            </w:r>
          </w:p>
          <w:p w14:paraId="29ED9767">
            <w:pPr>
              <w:spacing w:before="2" w:line="187" w:lineRule="auto"/>
              <w:ind w:left="14"/>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lang w:val="en-US" w:eastAsia="zh-CN"/>
              </w:rPr>
              <w:t>4、</w:t>
            </w:r>
            <w:r>
              <w:rPr>
                <w:rFonts w:hint="eastAsia" w:ascii="宋体" w:hAnsi="宋体" w:eastAsia="宋体" w:cs="宋体"/>
                <w:color w:val="auto"/>
                <w:spacing w:val="-1"/>
                <w:sz w:val="21"/>
                <w:szCs w:val="21"/>
                <w:highlight w:val="none"/>
              </w:rPr>
              <w:t>机柜承重：800KG</w:t>
            </w:r>
            <w:r>
              <w:rPr>
                <w:rFonts w:hint="eastAsia" w:ascii="宋体" w:hAnsi="宋体" w:eastAsia="宋体" w:cs="宋体"/>
                <w:color w:val="auto"/>
                <w:sz w:val="21"/>
                <w:szCs w:val="21"/>
                <w:highlight w:val="none"/>
              </w:rPr>
              <w:t xml:space="preserve">  </w:t>
            </w:r>
          </w:p>
          <w:p w14:paraId="14DCE6AB">
            <w:pPr>
              <w:spacing w:before="2" w:line="187" w:lineRule="auto"/>
              <w:ind w:left="1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pacing w:val="13"/>
                <w:sz w:val="21"/>
                <w:szCs w:val="21"/>
                <w:highlight w:val="none"/>
              </w:rPr>
              <w:t>外观处理：高附着</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0"/>
                <w:sz w:val="21"/>
                <w:szCs w:val="21"/>
                <w:highlight w:val="none"/>
              </w:rPr>
              <w:t>力静电粉沫喷涂</w:t>
            </w:r>
          </w:p>
          <w:p w14:paraId="38ACD425">
            <w:pPr>
              <w:spacing w:line="185" w:lineRule="auto"/>
              <w:ind w:left="14"/>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lang w:val="en-US" w:eastAsia="zh-CN"/>
              </w:rPr>
              <w:t>6、</w:t>
            </w:r>
            <w:r>
              <w:rPr>
                <w:rFonts w:hint="eastAsia" w:ascii="宋体" w:hAnsi="宋体" w:eastAsia="宋体" w:cs="宋体"/>
                <w:color w:val="auto"/>
                <w:spacing w:val="-1"/>
                <w:sz w:val="21"/>
                <w:szCs w:val="21"/>
                <w:highlight w:val="none"/>
              </w:rPr>
              <w:t>机柜高度：32U</w:t>
            </w:r>
          </w:p>
          <w:p w14:paraId="4F467D2C">
            <w:pPr>
              <w:spacing w:before="1" w:line="196" w:lineRule="auto"/>
              <w:ind w:left="14"/>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lang w:val="en-US" w:eastAsia="zh-CN"/>
              </w:rPr>
              <w:t>7、</w:t>
            </w:r>
            <w:r>
              <w:rPr>
                <w:rFonts w:hint="eastAsia" w:ascii="宋体" w:hAnsi="宋体" w:eastAsia="宋体" w:cs="宋体"/>
                <w:color w:val="auto"/>
                <w:spacing w:val="3"/>
                <w:sz w:val="21"/>
                <w:szCs w:val="21"/>
                <w:highlight w:val="none"/>
              </w:rPr>
              <w:t>配置参数：托盘、</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6"/>
                <w:sz w:val="21"/>
                <w:szCs w:val="21"/>
                <w:highlight w:val="none"/>
              </w:rPr>
              <w:t>风扇、电源、哈博</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6"/>
                <w:sz w:val="21"/>
                <w:szCs w:val="21"/>
                <w:highlight w:val="none"/>
              </w:rPr>
              <w:t>螺丝</w:t>
            </w:r>
          </w:p>
          <w:p w14:paraId="551B10A3">
            <w:pPr>
              <w:spacing w:line="183" w:lineRule="auto"/>
              <w:ind w:left="14"/>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lang w:val="en-US" w:eastAsia="zh-CN"/>
              </w:rPr>
              <w:t>8、</w:t>
            </w:r>
            <w:r>
              <w:rPr>
                <w:rFonts w:hint="eastAsia" w:ascii="宋体" w:hAnsi="宋体" w:eastAsia="宋体" w:cs="宋体"/>
                <w:color w:val="auto"/>
                <w:spacing w:val="-1"/>
                <w:sz w:val="21"/>
                <w:szCs w:val="21"/>
                <w:highlight w:val="none"/>
              </w:rPr>
              <w:t>颜色选择：黑色</w:t>
            </w:r>
          </w:p>
          <w:p w14:paraId="789869E8">
            <w:pPr>
              <w:spacing w:before="4" w:line="196" w:lineRule="auto"/>
              <w:ind w:left="14" w:leftChars="0"/>
              <w:rPr>
                <w:rFonts w:hint="eastAsia" w:ascii="宋体" w:hAnsi="宋体" w:eastAsia="宋体" w:cs="宋体"/>
                <w:color w:val="auto"/>
                <w:spacing w:val="-7"/>
                <w:sz w:val="21"/>
                <w:szCs w:val="21"/>
                <w:highlight w:val="none"/>
              </w:rPr>
            </w:pPr>
            <w:r>
              <w:rPr>
                <w:rFonts w:hint="eastAsia" w:ascii="宋体" w:hAnsi="宋体" w:eastAsia="宋体" w:cs="宋体"/>
                <w:color w:val="auto"/>
                <w:spacing w:val="-8"/>
                <w:sz w:val="21"/>
                <w:szCs w:val="21"/>
                <w:highlight w:val="none"/>
                <w:lang w:val="en-US" w:eastAsia="zh-CN"/>
              </w:rPr>
              <w:t>9、</w:t>
            </w:r>
            <w:r>
              <w:rPr>
                <w:rFonts w:hint="eastAsia" w:ascii="宋体" w:hAnsi="宋体" w:eastAsia="宋体" w:cs="宋体"/>
                <w:color w:val="auto"/>
                <w:spacing w:val="-8"/>
                <w:sz w:val="21"/>
                <w:szCs w:val="21"/>
                <w:highlight w:val="none"/>
              </w:rPr>
              <w:t>玻璃参数：5MM钢</w:t>
            </w:r>
            <w:r>
              <w:rPr>
                <w:rFonts w:hint="eastAsia" w:ascii="宋体" w:hAnsi="宋体" w:eastAsia="宋体" w:cs="宋体"/>
                <w:color w:val="auto"/>
                <w:spacing w:val="-7"/>
                <w:sz w:val="21"/>
                <w:szCs w:val="21"/>
                <w:highlight w:val="none"/>
              </w:rPr>
              <w:t>化玻璃</w:t>
            </w:r>
          </w:p>
          <w:p w14:paraId="367AEF61">
            <w:pPr>
              <w:spacing w:before="4" w:line="196" w:lineRule="auto"/>
              <w:ind w:left="14" w:leftChars="0"/>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(含所需线</w:t>
            </w:r>
            <w:r>
              <w:rPr>
                <w:rFonts w:hint="eastAsia" w:ascii="宋体" w:hAnsi="宋体" w:eastAsia="宋体" w:cs="宋体"/>
                <w:color w:val="auto"/>
                <w:spacing w:val="10"/>
                <w:sz w:val="21"/>
                <w:szCs w:val="21"/>
                <w:highlight w:val="none"/>
              </w:rPr>
              <w:t>材，吊</w:t>
            </w:r>
            <w:r>
              <w:rPr>
                <w:rFonts w:hint="eastAsia" w:ascii="宋体" w:hAnsi="宋体" w:eastAsia="宋体" w:cs="宋体"/>
                <w:color w:val="auto"/>
                <w:spacing w:val="10"/>
                <w:sz w:val="21"/>
                <w:szCs w:val="21"/>
                <w:highlight w:val="none"/>
              </w:rPr>
              <w:t>架、备件、</w:t>
            </w:r>
            <w:r>
              <w:rPr>
                <w:rFonts w:hint="eastAsia" w:ascii="宋体" w:hAnsi="宋体" w:eastAsia="宋体" w:cs="宋体"/>
                <w:color w:val="auto"/>
                <w:spacing w:val="3"/>
                <w:sz w:val="21"/>
                <w:szCs w:val="21"/>
                <w:highlight w:val="none"/>
              </w:rPr>
              <w:t>旧设备拆除，配套</w:t>
            </w:r>
            <w:r>
              <w:rPr>
                <w:rFonts w:hint="eastAsia" w:ascii="宋体" w:hAnsi="宋体" w:eastAsia="宋体" w:cs="宋体"/>
                <w:color w:val="auto"/>
                <w:spacing w:val="-6"/>
                <w:sz w:val="21"/>
                <w:szCs w:val="21"/>
                <w:highlight w:val="none"/>
              </w:rPr>
              <w:t>的改造装修费用</w:t>
            </w:r>
            <w:r>
              <w:rPr>
                <w:rFonts w:hint="eastAsia" w:ascii="宋体" w:hAnsi="宋体" w:eastAsia="宋体" w:cs="宋体"/>
                <w:color w:val="auto"/>
                <w:sz w:val="21"/>
                <w:szCs w:val="21"/>
                <w:highlight w:val="none"/>
              </w:rPr>
              <w:t>)</w:t>
            </w:r>
          </w:p>
        </w:tc>
        <w:tc>
          <w:tcPr>
            <w:tcW w:w="718" w:type="dxa"/>
            <w:shd w:val="clear" w:color="auto" w:fill="auto"/>
            <w:vAlign w:val="center"/>
          </w:tcPr>
          <w:p w14:paraId="0F261258">
            <w:pPr>
              <w:spacing w:before="55" w:line="221" w:lineRule="auto"/>
              <w:jc w:val="both"/>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2</w:t>
            </w:r>
            <w:r>
              <w:rPr>
                <w:rFonts w:hint="eastAsia" w:ascii="宋体" w:hAnsi="宋体" w:eastAsia="宋体" w:cs="宋体"/>
                <w:color w:val="auto"/>
                <w:sz w:val="21"/>
                <w:szCs w:val="21"/>
                <w:highlight w:val="none"/>
              </w:rPr>
              <w:t>台</w:t>
            </w:r>
          </w:p>
        </w:tc>
        <w:tc>
          <w:tcPr>
            <w:tcW w:w="706" w:type="dxa"/>
            <w:shd w:val="clear" w:color="auto" w:fill="auto"/>
            <w:vAlign w:val="center"/>
          </w:tcPr>
          <w:p w14:paraId="2A0461EB">
            <w:pPr>
              <w:spacing w:before="55" w:line="221" w:lineRule="auto"/>
              <w:jc w:val="both"/>
              <w:rPr>
                <w:rFonts w:hint="eastAsia" w:ascii="宋体" w:hAnsi="宋体" w:eastAsia="宋体" w:cs="宋体"/>
                <w:color w:val="auto"/>
                <w:spacing w:val="-9"/>
                <w:sz w:val="21"/>
                <w:szCs w:val="21"/>
                <w:highlight w:val="none"/>
              </w:rPr>
            </w:pPr>
            <w:r>
              <w:rPr>
                <w:rFonts w:hint="eastAsia" w:ascii="宋体" w:hAnsi="宋体" w:eastAsia="宋体" w:cs="宋体"/>
                <w:color w:val="auto"/>
                <w:spacing w:val="-5"/>
                <w:sz w:val="21"/>
                <w:szCs w:val="21"/>
                <w:highlight w:val="none"/>
                <w:lang w:val="en-US" w:eastAsia="zh-CN"/>
              </w:rPr>
              <w:t>工业</w:t>
            </w:r>
          </w:p>
        </w:tc>
      </w:tr>
      <w:tr w14:paraId="406F7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5" w:type="dxa"/>
            <w:vAlign w:val="center"/>
          </w:tcPr>
          <w:p w14:paraId="79E0650E">
            <w:pPr>
              <w:keepLines/>
              <w:widowControl/>
              <w:wordWrap w:val="0"/>
              <w:topLinePun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w:t>
            </w:r>
          </w:p>
        </w:tc>
        <w:tc>
          <w:tcPr>
            <w:tcW w:w="756" w:type="dxa"/>
            <w:shd w:val="clear" w:color="auto" w:fill="auto"/>
            <w:vAlign w:val="center"/>
          </w:tcPr>
          <w:p w14:paraId="621B80E6">
            <w:pPr>
              <w:spacing w:before="56" w:line="220" w:lineRule="auto"/>
              <w:ind w:left="31"/>
              <w:jc w:val="center"/>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扬声器、音柱</w:t>
            </w:r>
          </w:p>
        </w:tc>
        <w:tc>
          <w:tcPr>
            <w:tcW w:w="6814" w:type="dxa"/>
            <w:shd w:val="clear" w:color="auto" w:fill="auto"/>
          </w:tcPr>
          <w:p w14:paraId="759EE4FC">
            <w:pPr>
              <w:spacing w:before="142" w:line="199" w:lineRule="auto"/>
              <w:ind w:left="14" w:right="26"/>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有源监听音箱(悬浮架</w:t>
            </w:r>
            <w:r>
              <w:rPr>
                <w:rFonts w:hint="eastAsia" w:ascii="宋体" w:hAnsi="宋体" w:eastAsia="宋体" w:cs="宋体"/>
                <w:color w:val="auto"/>
                <w:spacing w:val="7"/>
                <w:sz w:val="21"/>
                <w:szCs w:val="21"/>
                <w:highlight w:val="none"/>
              </w:rPr>
              <w:t>+音频线)</w:t>
            </w:r>
          </w:p>
        </w:tc>
        <w:tc>
          <w:tcPr>
            <w:tcW w:w="718" w:type="dxa"/>
            <w:shd w:val="clear" w:color="auto" w:fill="auto"/>
            <w:vAlign w:val="center"/>
          </w:tcPr>
          <w:p w14:paraId="3323634C">
            <w:pPr>
              <w:spacing w:before="56" w:line="221"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1对</w:t>
            </w:r>
          </w:p>
        </w:tc>
        <w:tc>
          <w:tcPr>
            <w:tcW w:w="706" w:type="dxa"/>
            <w:shd w:val="clear" w:color="auto" w:fill="auto"/>
            <w:vAlign w:val="center"/>
          </w:tcPr>
          <w:p w14:paraId="28595083">
            <w:pPr>
              <w:spacing w:before="56" w:line="221"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lang w:val="en-US" w:eastAsia="zh-CN"/>
              </w:rPr>
              <w:t>工业</w:t>
            </w:r>
          </w:p>
        </w:tc>
      </w:tr>
      <w:tr w14:paraId="30B1D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5" w:type="dxa"/>
            <w:vAlign w:val="center"/>
          </w:tcPr>
          <w:p w14:paraId="226C607C">
            <w:pPr>
              <w:keepLines/>
              <w:widowControl/>
              <w:wordWrap w:val="0"/>
              <w:topLinePun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w:t>
            </w:r>
          </w:p>
        </w:tc>
        <w:tc>
          <w:tcPr>
            <w:tcW w:w="756" w:type="dxa"/>
            <w:shd w:val="clear" w:color="auto" w:fill="auto"/>
          </w:tcPr>
          <w:p w14:paraId="5F8C0E25">
            <w:pPr>
              <w:spacing w:before="56" w:line="220" w:lineRule="auto"/>
              <w:ind w:left="31"/>
              <w:jc w:val="center"/>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其他配套费用</w:t>
            </w:r>
          </w:p>
        </w:tc>
        <w:tc>
          <w:tcPr>
            <w:tcW w:w="6814" w:type="dxa"/>
            <w:shd w:val="clear" w:color="auto" w:fill="auto"/>
          </w:tcPr>
          <w:p w14:paraId="5963867D">
            <w:pPr>
              <w:spacing w:before="151" w:line="199" w:lineRule="auto"/>
              <w:ind w:left="14" w:right="4" w:firstLine="89"/>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(含所需线</w:t>
            </w:r>
            <w:r>
              <w:rPr>
                <w:rFonts w:hint="eastAsia" w:ascii="宋体" w:hAnsi="宋体" w:eastAsia="宋体" w:cs="宋体"/>
                <w:color w:val="auto"/>
                <w:spacing w:val="10"/>
                <w:sz w:val="21"/>
                <w:szCs w:val="21"/>
                <w:highlight w:val="none"/>
              </w:rPr>
              <w:t>材，吊</w:t>
            </w:r>
            <w:r>
              <w:rPr>
                <w:rFonts w:hint="eastAsia" w:ascii="宋体" w:hAnsi="宋体" w:eastAsia="宋体" w:cs="宋体"/>
                <w:color w:val="auto"/>
                <w:spacing w:val="10"/>
                <w:sz w:val="21"/>
                <w:szCs w:val="21"/>
                <w:highlight w:val="none"/>
              </w:rPr>
              <w:t>架、备件、</w:t>
            </w:r>
            <w:r>
              <w:rPr>
                <w:rFonts w:hint="eastAsia" w:ascii="宋体" w:hAnsi="宋体" w:eastAsia="宋体" w:cs="宋体"/>
                <w:color w:val="auto"/>
                <w:spacing w:val="3"/>
                <w:sz w:val="21"/>
                <w:szCs w:val="21"/>
                <w:highlight w:val="none"/>
              </w:rPr>
              <w:t>旧设备拆除，配套</w:t>
            </w:r>
            <w:r>
              <w:rPr>
                <w:rFonts w:hint="eastAsia" w:ascii="宋体" w:hAnsi="宋体" w:eastAsia="宋体" w:cs="宋体"/>
                <w:color w:val="auto"/>
                <w:spacing w:val="-6"/>
                <w:sz w:val="21"/>
                <w:szCs w:val="21"/>
                <w:highlight w:val="none"/>
              </w:rPr>
              <w:t>的改造装修费用</w:t>
            </w:r>
            <w:r>
              <w:rPr>
                <w:rFonts w:hint="eastAsia" w:ascii="宋体" w:hAnsi="宋体" w:eastAsia="宋体" w:cs="宋体"/>
                <w:color w:val="auto"/>
                <w:sz w:val="21"/>
                <w:szCs w:val="21"/>
                <w:highlight w:val="none"/>
              </w:rPr>
              <w:t>)</w:t>
            </w:r>
          </w:p>
        </w:tc>
        <w:tc>
          <w:tcPr>
            <w:tcW w:w="718" w:type="dxa"/>
            <w:shd w:val="clear" w:color="auto" w:fill="auto"/>
            <w:vAlign w:val="center"/>
          </w:tcPr>
          <w:p w14:paraId="164083F2">
            <w:pPr>
              <w:spacing w:before="56" w:line="241" w:lineRule="auto"/>
              <w:jc w:val="center"/>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1项</w:t>
            </w:r>
          </w:p>
        </w:tc>
        <w:tc>
          <w:tcPr>
            <w:tcW w:w="706" w:type="dxa"/>
            <w:shd w:val="clear" w:color="auto" w:fill="auto"/>
            <w:vAlign w:val="center"/>
          </w:tcPr>
          <w:p w14:paraId="02F124E8">
            <w:pPr>
              <w:spacing w:before="56" w:line="241" w:lineRule="auto"/>
              <w:jc w:val="center"/>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其他未列明行业</w:t>
            </w:r>
          </w:p>
        </w:tc>
      </w:tr>
      <w:tr w14:paraId="667AB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5" w:type="dxa"/>
            <w:vAlign w:val="center"/>
          </w:tcPr>
          <w:p w14:paraId="3B578685">
            <w:pPr>
              <w:keepLines/>
              <w:widowControl/>
              <w:wordWrap w:val="0"/>
              <w:topLinePun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w:t>
            </w:r>
          </w:p>
        </w:tc>
        <w:tc>
          <w:tcPr>
            <w:tcW w:w="756" w:type="dxa"/>
            <w:shd w:val="clear" w:color="auto" w:fill="auto"/>
            <w:vAlign w:val="center"/>
          </w:tcPr>
          <w:p w14:paraId="2E0BC332">
            <w:pPr>
              <w:spacing w:before="56" w:line="220" w:lineRule="auto"/>
              <w:ind w:left="31"/>
              <w:jc w:val="center"/>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防静电活动地板</w:t>
            </w:r>
          </w:p>
        </w:tc>
        <w:tc>
          <w:tcPr>
            <w:tcW w:w="6814" w:type="dxa"/>
            <w:shd w:val="clear" w:color="auto" w:fill="auto"/>
          </w:tcPr>
          <w:p w14:paraId="110AC628">
            <w:pPr>
              <w:spacing w:before="222" w:line="196" w:lineRule="auto"/>
              <w:ind w:left="14" w:firstLine="1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1、支架高度、材料</w:t>
            </w:r>
            <w:r>
              <w:rPr>
                <w:rFonts w:hint="eastAsia" w:ascii="宋体" w:hAnsi="宋体" w:eastAsia="宋体" w:cs="宋体"/>
                <w:color w:val="auto"/>
                <w:spacing w:val="3"/>
                <w:sz w:val="21"/>
                <w:szCs w:val="21"/>
                <w:highlight w:val="none"/>
              </w:rPr>
              <w:t xml:space="preserve"> </w:t>
            </w:r>
            <w:r>
              <w:rPr>
                <w:rFonts w:hint="eastAsia" w:ascii="宋体" w:hAnsi="宋体" w:eastAsia="宋体" w:cs="宋体"/>
                <w:color w:val="auto"/>
                <w:spacing w:val="12"/>
                <w:sz w:val="21"/>
                <w:szCs w:val="21"/>
                <w:highlight w:val="none"/>
              </w:rPr>
              <w:t>种类：15</w:t>
            </w:r>
            <w:r>
              <w:rPr>
                <w:rFonts w:hint="eastAsia" w:ascii="宋体" w:hAnsi="宋体" w:eastAsia="宋体" w:cs="宋体"/>
                <w:color w:val="auto"/>
                <w:sz w:val="21"/>
                <w:szCs w:val="21"/>
                <w:highlight w:val="none"/>
              </w:rPr>
              <w:t>cm</w:t>
            </w:r>
            <w:r>
              <w:rPr>
                <w:rFonts w:hint="eastAsia" w:ascii="宋体" w:hAnsi="宋体" w:eastAsia="宋体" w:cs="宋体"/>
                <w:color w:val="auto"/>
                <w:spacing w:val="12"/>
                <w:sz w:val="21"/>
                <w:szCs w:val="21"/>
                <w:highlight w:val="none"/>
              </w:rPr>
              <w:t>以内</w:t>
            </w:r>
          </w:p>
          <w:p w14:paraId="3602DF3F">
            <w:pPr>
              <w:spacing w:before="1" w:line="193" w:lineRule="auto"/>
              <w:ind w:left="14"/>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2</w:t>
            </w:r>
            <w:r>
              <w:rPr>
                <w:rFonts w:hint="eastAsia" w:ascii="宋体" w:hAnsi="宋体" w:eastAsia="宋体" w:cs="宋体"/>
                <w:color w:val="auto"/>
                <w:spacing w:val="-40"/>
                <w:sz w:val="21"/>
                <w:szCs w:val="21"/>
                <w:highlight w:val="none"/>
              </w:rPr>
              <w:t xml:space="preserve"> 、</w:t>
            </w:r>
            <w:r>
              <w:rPr>
                <w:rFonts w:hint="eastAsia" w:ascii="宋体" w:hAnsi="宋体" w:eastAsia="宋体" w:cs="宋体"/>
                <w:color w:val="auto"/>
                <w:spacing w:val="7"/>
                <w:sz w:val="21"/>
                <w:szCs w:val="21"/>
                <w:highlight w:val="none"/>
              </w:rPr>
              <w:t>面层材料品种、</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3"/>
                <w:sz w:val="21"/>
                <w:szCs w:val="21"/>
                <w:highlight w:val="none"/>
              </w:rPr>
              <w:t>规格、颜色：600*6</w:t>
            </w:r>
            <w:r>
              <w:rPr>
                <w:rFonts w:hint="eastAsia" w:ascii="宋体" w:hAnsi="宋体" w:eastAsia="宋体" w:cs="宋体"/>
                <w:color w:val="auto"/>
                <w:spacing w:val="7"/>
                <w:sz w:val="21"/>
                <w:szCs w:val="21"/>
                <w:highlight w:val="none"/>
              </w:rPr>
              <w:t xml:space="preserve"> </w:t>
            </w:r>
            <w:r>
              <w:rPr>
                <w:rFonts w:hint="eastAsia" w:ascii="宋体" w:hAnsi="宋体" w:eastAsia="宋体" w:cs="宋体"/>
                <w:color w:val="auto"/>
                <w:spacing w:val="3"/>
                <w:sz w:val="21"/>
                <w:szCs w:val="21"/>
                <w:highlight w:val="none"/>
              </w:rPr>
              <w:t>00*35全钢防静电</w:t>
            </w:r>
            <w:r>
              <w:rPr>
                <w:rFonts w:hint="eastAsia" w:ascii="宋体" w:hAnsi="宋体" w:eastAsia="宋体" w:cs="宋体"/>
                <w:color w:val="auto"/>
                <w:sz w:val="21"/>
                <w:szCs w:val="21"/>
                <w:highlight w:val="none"/>
              </w:rPr>
              <w:t>、</w:t>
            </w:r>
            <w:r>
              <w:rPr>
                <w:rFonts w:hint="eastAsia" w:ascii="宋体" w:hAnsi="宋体" w:eastAsia="宋体" w:cs="宋体"/>
                <w:color w:val="auto"/>
                <w:spacing w:val="-7"/>
                <w:sz w:val="21"/>
                <w:szCs w:val="21"/>
                <w:highlight w:val="none"/>
              </w:rPr>
              <w:t>活动地板</w:t>
            </w:r>
          </w:p>
          <w:p w14:paraId="2E8E507D">
            <w:pPr>
              <w:spacing w:before="1" w:line="206" w:lineRule="auto"/>
              <w:ind w:left="14" w:right="34"/>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3、含紫铜排和防尘</w:t>
            </w:r>
            <w:r>
              <w:rPr>
                <w:rFonts w:hint="eastAsia" w:ascii="宋体" w:hAnsi="宋体" w:eastAsia="宋体" w:cs="宋体"/>
                <w:color w:val="auto"/>
                <w:spacing w:val="6"/>
                <w:sz w:val="21"/>
                <w:szCs w:val="21"/>
                <w:highlight w:val="none"/>
              </w:rPr>
              <w:t xml:space="preserve"> </w:t>
            </w:r>
            <w:r>
              <w:rPr>
                <w:rFonts w:hint="eastAsia" w:ascii="宋体" w:hAnsi="宋体" w:eastAsia="宋体" w:cs="宋体"/>
                <w:color w:val="auto"/>
                <w:spacing w:val="1"/>
                <w:sz w:val="21"/>
                <w:szCs w:val="21"/>
                <w:highlight w:val="none"/>
              </w:rPr>
              <w:t>防潮防静电漆</w:t>
            </w:r>
          </w:p>
        </w:tc>
        <w:tc>
          <w:tcPr>
            <w:tcW w:w="718" w:type="dxa"/>
            <w:shd w:val="clear" w:color="auto" w:fill="auto"/>
            <w:vAlign w:val="center"/>
          </w:tcPr>
          <w:p w14:paraId="635B453B">
            <w:pPr>
              <w:spacing w:before="56" w:line="241" w:lineRule="auto"/>
              <w:jc w:val="center"/>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21.66㎡</w:t>
            </w:r>
          </w:p>
        </w:tc>
        <w:tc>
          <w:tcPr>
            <w:tcW w:w="706" w:type="dxa"/>
            <w:shd w:val="clear" w:color="auto" w:fill="auto"/>
            <w:vAlign w:val="center"/>
          </w:tcPr>
          <w:p w14:paraId="1CFD8F20">
            <w:pPr>
              <w:spacing w:before="56" w:line="241" w:lineRule="auto"/>
              <w:jc w:val="center"/>
              <w:rPr>
                <w:rFonts w:hint="eastAsia" w:ascii="宋体" w:hAnsi="宋体" w:eastAsia="宋体" w:cs="宋体"/>
                <w:color w:val="auto"/>
                <w:spacing w:val="-2"/>
                <w:sz w:val="21"/>
                <w:szCs w:val="21"/>
                <w:highlight w:val="none"/>
                <w:lang w:val="en-US" w:eastAsia="zh-CN"/>
              </w:rPr>
            </w:pPr>
            <w:r>
              <w:rPr>
                <w:rFonts w:hint="eastAsia" w:ascii="宋体" w:hAnsi="宋体" w:eastAsia="宋体" w:cs="宋体"/>
                <w:color w:val="auto"/>
                <w:spacing w:val="-2"/>
                <w:sz w:val="21"/>
                <w:szCs w:val="21"/>
                <w:highlight w:val="none"/>
                <w:lang w:val="en-US" w:eastAsia="zh-CN"/>
              </w:rPr>
              <w:t>工业</w:t>
            </w:r>
          </w:p>
        </w:tc>
      </w:tr>
      <w:tr w14:paraId="2EA5F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5" w:type="dxa"/>
            <w:vAlign w:val="center"/>
          </w:tcPr>
          <w:p w14:paraId="61258AFB">
            <w:pPr>
              <w:keepLines/>
              <w:widowControl/>
              <w:wordWrap w:val="0"/>
              <w:topLinePun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w:t>
            </w:r>
          </w:p>
        </w:tc>
        <w:tc>
          <w:tcPr>
            <w:tcW w:w="756" w:type="dxa"/>
            <w:shd w:val="clear" w:color="auto" w:fill="auto"/>
            <w:vAlign w:val="center"/>
          </w:tcPr>
          <w:p w14:paraId="595B30E0">
            <w:pPr>
              <w:spacing w:before="56" w:line="220" w:lineRule="auto"/>
              <w:ind w:left="31"/>
              <w:jc w:val="center"/>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防静电踢脚线</w:t>
            </w:r>
          </w:p>
        </w:tc>
        <w:tc>
          <w:tcPr>
            <w:tcW w:w="6814" w:type="dxa"/>
            <w:shd w:val="clear" w:color="auto" w:fill="auto"/>
          </w:tcPr>
          <w:p w14:paraId="671D324E">
            <w:pPr>
              <w:spacing w:before="155" w:line="190" w:lineRule="auto"/>
              <w:ind w:left="14" w:firstLine="19"/>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1、踢脚线高度：100</w:t>
            </w:r>
            <w:r>
              <w:rPr>
                <w:rFonts w:hint="eastAsia" w:ascii="宋体" w:hAnsi="宋体" w:eastAsia="宋体" w:cs="宋体"/>
                <w:color w:val="auto"/>
                <w:spacing w:val="7"/>
                <w:sz w:val="21"/>
                <w:szCs w:val="21"/>
                <w:highlight w:val="none"/>
              </w:rPr>
              <w:t xml:space="preserve"> </w:t>
            </w:r>
            <w:r>
              <w:rPr>
                <w:rFonts w:hint="eastAsia" w:ascii="宋体" w:hAnsi="宋体" w:eastAsia="宋体" w:cs="宋体"/>
                <w:color w:val="auto"/>
                <w:spacing w:val="-1"/>
                <w:sz w:val="21"/>
                <w:szCs w:val="21"/>
                <w:highlight w:val="none"/>
              </w:rPr>
              <w:t>mm高</w:t>
            </w:r>
          </w:p>
          <w:p w14:paraId="0EB0542C">
            <w:pPr>
              <w:spacing w:line="203" w:lineRule="auto"/>
              <w:ind w:left="14"/>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2、面层材料品种、</w:t>
            </w:r>
            <w:r>
              <w:rPr>
                <w:rFonts w:hint="eastAsia" w:ascii="宋体" w:hAnsi="宋体" w:eastAsia="宋体" w:cs="宋体"/>
                <w:color w:val="auto"/>
                <w:spacing w:val="5"/>
                <w:sz w:val="21"/>
                <w:szCs w:val="21"/>
                <w:highlight w:val="none"/>
              </w:rPr>
              <w:t xml:space="preserve"> </w:t>
            </w:r>
            <w:r>
              <w:rPr>
                <w:rFonts w:hint="eastAsia" w:ascii="宋体" w:hAnsi="宋体" w:eastAsia="宋体" w:cs="宋体"/>
                <w:color w:val="auto"/>
                <w:spacing w:val="-8"/>
                <w:sz w:val="21"/>
                <w:szCs w:val="21"/>
                <w:highlight w:val="none"/>
              </w:rPr>
              <w:t>规格、颜色：不锈</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7"/>
                <w:sz w:val="21"/>
                <w:szCs w:val="21"/>
                <w:highlight w:val="none"/>
              </w:rPr>
              <w:t>钢亚光踢脚线</w:t>
            </w:r>
          </w:p>
        </w:tc>
        <w:tc>
          <w:tcPr>
            <w:tcW w:w="718" w:type="dxa"/>
            <w:shd w:val="clear" w:color="auto" w:fill="auto"/>
            <w:vAlign w:val="center"/>
          </w:tcPr>
          <w:p w14:paraId="7D0578A7">
            <w:pPr>
              <w:spacing w:before="56" w:line="241" w:lineRule="auto"/>
              <w:jc w:val="center"/>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1.92㎡</w:t>
            </w:r>
          </w:p>
        </w:tc>
        <w:tc>
          <w:tcPr>
            <w:tcW w:w="706" w:type="dxa"/>
            <w:shd w:val="clear" w:color="auto" w:fill="auto"/>
            <w:vAlign w:val="center"/>
          </w:tcPr>
          <w:p w14:paraId="2199A191">
            <w:pPr>
              <w:spacing w:before="56" w:line="241" w:lineRule="auto"/>
              <w:jc w:val="center"/>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lang w:val="en-US" w:eastAsia="zh-CN"/>
              </w:rPr>
              <w:t>工业</w:t>
            </w:r>
          </w:p>
        </w:tc>
      </w:tr>
      <w:tr w14:paraId="44B12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5" w:type="dxa"/>
            <w:vAlign w:val="center"/>
          </w:tcPr>
          <w:p w14:paraId="04E16A6F">
            <w:pPr>
              <w:keepLines/>
              <w:widowControl/>
              <w:wordWrap w:val="0"/>
              <w:topLinePun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w:t>
            </w:r>
          </w:p>
        </w:tc>
        <w:tc>
          <w:tcPr>
            <w:tcW w:w="756" w:type="dxa"/>
            <w:shd w:val="clear" w:color="auto" w:fill="auto"/>
            <w:vAlign w:val="center"/>
          </w:tcPr>
          <w:p w14:paraId="4BB6040B">
            <w:pPr>
              <w:spacing w:before="56" w:line="220" w:lineRule="auto"/>
              <w:ind w:left="31"/>
              <w:jc w:val="center"/>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平面块料拆除</w:t>
            </w:r>
          </w:p>
        </w:tc>
        <w:tc>
          <w:tcPr>
            <w:tcW w:w="6814" w:type="dxa"/>
            <w:shd w:val="clear" w:color="auto" w:fill="auto"/>
          </w:tcPr>
          <w:p w14:paraId="703853B5">
            <w:pPr>
              <w:spacing w:before="167" w:line="195" w:lineRule="auto"/>
              <w:ind w:left="14" w:right="13"/>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 xml:space="preserve">1、拆除的基层类型 </w:t>
            </w:r>
            <w:r>
              <w:rPr>
                <w:rFonts w:hint="eastAsia" w:ascii="宋体" w:hAnsi="宋体" w:eastAsia="宋体" w:cs="宋体"/>
                <w:color w:val="auto"/>
                <w:sz w:val="21"/>
                <w:szCs w:val="21"/>
                <w:highlight w:val="none"/>
              </w:rPr>
              <w:t>:原静电地板拆除</w:t>
            </w:r>
          </w:p>
          <w:p w14:paraId="2EDFBD4E">
            <w:pPr>
              <w:spacing w:before="1" w:line="216" w:lineRule="auto"/>
              <w:ind w:left="14" w:right="33"/>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2、含拆除后垃圾外</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rPr>
              <w:t>运12km</w:t>
            </w:r>
          </w:p>
        </w:tc>
        <w:tc>
          <w:tcPr>
            <w:tcW w:w="718" w:type="dxa"/>
            <w:shd w:val="clear" w:color="auto" w:fill="auto"/>
            <w:vAlign w:val="center"/>
          </w:tcPr>
          <w:p w14:paraId="00E5574F">
            <w:pPr>
              <w:spacing w:before="56" w:line="241" w:lineRule="auto"/>
              <w:jc w:val="center"/>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21.66㎡</w:t>
            </w:r>
          </w:p>
        </w:tc>
        <w:tc>
          <w:tcPr>
            <w:tcW w:w="706" w:type="dxa"/>
            <w:shd w:val="clear" w:color="auto" w:fill="auto"/>
            <w:vAlign w:val="center"/>
          </w:tcPr>
          <w:p w14:paraId="0CFA3E9A">
            <w:pPr>
              <w:spacing w:before="56" w:line="241" w:lineRule="auto"/>
              <w:jc w:val="center"/>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其他未列明行业</w:t>
            </w:r>
          </w:p>
        </w:tc>
      </w:tr>
      <w:tr w14:paraId="06E45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5" w:type="dxa"/>
            <w:vAlign w:val="center"/>
          </w:tcPr>
          <w:p w14:paraId="257DC7F2">
            <w:pPr>
              <w:keepLines/>
              <w:widowControl/>
              <w:wordWrap w:val="0"/>
              <w:topLinePun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w:t>
            </w:r>
          </w:p>
        </w:tc>
        <w:tc>
          <w:tcPr>
            <w:tcW w:w="756" w:type="dxa"/>
            <w:vAlign w:val="center"/>
          </w:tcPr>
          <w:p w14:paraId="2DB676E6">
            <w:pPr>
              <w:keepLines/>
              <w:widowControl/>
              <w:wordWrap w:val="0"/>
              <w:topLinePun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系统集成</w:t>
            </w:r>
          </w:p>
        </w:tc>
        <w:tc>
          <w:tcPr>
            <w:tcW w:w="6814" w:type="dxa"/>
            <w:vAlign w:val="center"/>
          </w:tcPr>
          <w:p w14:paraId="6F5F25AD">
            <w:pPr>
              <w:keepLines/>
              <w:widowControl/>
              <w:wordWrap w:val="0"/>
              <w:topLinePun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包括：安装、调试、培训等</w:t>
            </w:r>
            <w:r>
              <w:rPr>
                <w:rFonts w:hint="eastAsia" w:ascii="宋体" w:hAnsi="宋体" w:eastAsia="宋体" w:cs="宋体"/>
                <w:color w:val="auto"/>
                <w:sz w:val="21"/>
                <w:szCs w:val="21"/>
                <w:highlight w:val="none"/>
                <w:lang w:val="en-US" w:eastAsia="zh-CN"/>
              </w:rPr>
              <w:t>服务</w:t>
            </w:r>
          </w:p>
        </w:tc>
        <w:tc>
          <w:tcPr>
            <w:tcW w:w="718" w:type="dxa"/>
            <w:vAlign w:val="center"/>
          </w:tcPr>
          <w:p w14:paraId="1401CDC4">
            <w:pPr>
              <w:keepLines/>
              <w:widowControl/>
              <w:wordWrap w:val="0"/>
              <w:topLinePun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1项</w:t>
            </w:r>
          </w:p>
        </w:tc>
        <w:tc>
          <w:tcPr>
            <w:tcW w:w="706" w:type="dxa"/>
            <w:vAlign w:val="center"/>
          </w:tcPr>
          <w:p w14:paraId="4D877391">
            <w:pPr>
              <w:keepLines/>
              <w:widowControl/>
              <w:wordWrap w:val="0"/>
              <w:topLinePun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软件和信息技术服务业</w:t>
            </w:r>
          </w:p>
        </w:tc>
      </w:tr>
      <w:tr w14:paraId="17DED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469" w:type="dxa"/>
            <w:gridSpan w:val="5"/>
            <w:vAlign w:val="center"/>
          </w:tcPr>
          <w:p w14:paraId="337CFF82">
            <w:pPr>
              <w:keepLines/>
              <w:widowControl/>
              <w:wordWrap w:val="0"/>
              <w:topLinePunct/>
              <w:jc w:val="center"/>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三、空调设备</w:t>
            </w:r>
          </w:p>
        </w:tc>
      </w:tr>
      <w:tr w14:paraId="0A5B2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475" w:type="dxa"/>
            <w:vAlign w:val="center"/>
          </w:tcPr>
          <w:p w14:paraId="4297019C">
            <w:pPr>
              <w:keepLines/>
              <w:widowControl/>
              <w:wordWrap w:val="0"/>
              <w:topLinePunct/>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24</w:t>
            </w:r>
          </w:p>
        </w:tc>
        <w:tc>
          <w:tcPr>
            <w:tcW w:w="756" w:type="dxa"/>
            <w:vAlign w:val="center"/>
          </w:tcPr>
          <w:p w14:paraId="6D55D72A">
            <w:pPr>
              <w:keepLines/>
              <w:widowControl/>
              <w:wordWrap w:val="0"/>
              <w:topLinePun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空调器</w:t>
            </w:r>
          </w:p>
        </w:tc>
        <w:tc>
          <w:tcPr>
            <w:tcW w:w="6814" w:type="dxa"/>
            <w:vAlign w:val="center"/>
          </w:tcPr>
          <w:p w14:paraId="0544CD97">
            <w:pPr>
              <w:keepLines/>
              <w:widowControl/>
              <w:wordWrap w:val="0"/>
              <w:topLinePunct/>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机组应为6匹风管机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直流变频</w:t>
            </w:r>
          </w:p>
          <w:p w14:paraId="2DF6EEE5">
            <w:pPr>
              <w:keepLines/>
              <w:widowControl/>
              <w:wordWrap w:val="0"/>
              <w:topLinePunct/>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名义制冷量</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不小于14kw</w:t>
            </w:r>
          </w:p>
          <w:p w14:paraId="5CD09E4A">
            <w:pPr>
              <w:keepLines/>
              <w:widowControl/>
              <w:wordWrap w:val="0"/>
              <w:topLinePunct/>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名义制冷功率</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不大于</w:t>
            </w:r>
            <w:r>
              <w:rPr>
                <w:rFonts w:hint="eastAsia" w:ascii="宋体" w:hAnsi="宋体" w:cs="宋体"/>
                <w:color w:val="auto"/>
                <w:sz w:val="21"/>
                <w:szCs w:val="21"/>
                <w:highlight w:val="none"/>
                <w:lang w:val="en-US" w:eastAsia="zh-CN"/>
              </w:rPr>
              <w:t>75</w:t>
            </w:r>
            <w:r>
              <w:rPr>
                <w:rFonts w:hint="eastAsia" w:ascii="宋体" w:hAnsi="宋体" w:eastAsia="宋体" w:cs="宋体"/>
                <w:color w:val="auto"/>
                <w:sz w:val="21"/>
                <w:szCs w:val="21"/>
                <w:highlight w:val="none"/>
                <w:lang w:val="en-US" w:eastAsia="zh-CN"/>
              </w:rPr>
              <w:t>00</w:t>
            </w:r>
            <w:r>
              <w:rPr>
                <w:rFonts w:hint="eastAsia" w:ascii="宋体" w:hAnsi="宋体" w:eastAsia="宋体" w:cs="宋体"/>
                <w:color w:val="auto"/>
                <w:sz w:val="21"/>
                <w:szCs w:val="21"/>
                <w:highlight w:val="none"/>
              </w:rPr>
              <w:t>w</w:t>
            </w:r>
          </w:p>
          <w:p w14:paraId="5C0E5C74">
            <w:pPr>
              <w:keepLines/>
              <w:widowControl/>
              <w:wordWrap w:val="0"/>
              <w:topLinePunct/>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名义制热量</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不小于16kw</w:t>
            </w:r>
          </w:p>
          <w:p w14:paraId="45C01255">
            <w:pPr>
              <w:keepLines/>
              <w:widowControl/>
              <w:wordWrap w:val="0"/>
              <w:topLinePunct/>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名义制热功率</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不大于</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000w</w:t>
            </w:r>
          </w:p>
          <w:p w14:paraId="78BFA3B4">
            <w:pPr>
              <w:keepLines/>
              <w:widowControl/>
              <w:wordWrap w:val="0"/>
              <w:topLinePunct/>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电热功率</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不小于2.</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kw</w:t>
            </w:r>
          </w:p>
          <w:p w14:paraId="4E4DD43C">
            <w:pPr>
              <w:keepLines/>
              <w:widowControl/>
              <w:wordWrap w:val="0"/>
              <w:topLinePunct/>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标准风量</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不小于</w:t>
            </w:r>
            <w:r>
              <w:rPr>
                <w:rFonts w:hint="eastAsia" w:ascii="宋体" w:hAnsi="宋体" w:cs="宋体"/>
                <w:color w:val="auto"/>
                <w:sz w:val="21"/>
                <w:szCs w:val="21"/>
                <w:highlight w:val="none"/>
                <w:lang w:val="en-US" w:eastAsia="zh-CN"/>
              </w:rPr>
              <w:t>13</w:t>
            </w:r>
            <w:r>
              <w:rPr>
                <w:rFonts w:hint="eastAsia" w:ascii="宋体" w:hAnsi="宋体" w:eastAsia="宋体" w:cs="宋体"/>
                <w:color w:val="auto"/>
                <w:sz w:val="21"/>
                <w:szCs w:val="21"/>
                <w:highlight w:val="none"/>
              </w:rPr>
              <w:t>00m³/h</w:t>
            </w:r>
          </w:p>
          <w:p w14:paraId="08B81B9E">
            <w:pPr>
              <w:keepLines/>
              <w:widowControl/>
              <w:wordWrap w:val="0"/>
              <w:topLinePunct/>
              <w:jc w:val="both"/>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制冷剂</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应选用环保效能高的制冷剂</w:t>
            </w:r>
          </w:p>
          <w:p w14:paraId="655049F7">
            <w:pPr>
              <w:keepLines/>
              <w:widowControl/>
              <w:wordWrap w:val="0"/>
              <w:topLinePunct/>
              <w:jc w:val="both"/>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能效等级APF</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不小于3</w:t>
            </w:r>
          </w:p>
          <w:p w14:paraId="5384CBF3">
            <w:pPr>
              <w:keepLines/>
              <w:widowControl/>
              <w:wordWrap w:val="0"/>
              <w:topLinePunct/>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0</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极限冷暖</w:t>
            </w: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0℃</w:t>
            </w:r>
            <w:r>
              <w:rPr>
                <w:rFonts w:hint="eastAsia" w:ascii="宋体" w:hAnsi="宋体" w:cs="宋体"/>
                <w:color w:val="auto"/>
                <w:sz w:val="21"/>
                <w:szCs w:val="21"/>
                <w:highlight w:val="none"/>
                <w:lang w:val="en-US" w:eastAsia="zh-CN"/>
              </w:rPr>
              <w:t>超</w:t>
            </w:r>
            <w:r>
              <w:rPr>
                <w:rFonts w:hint="eastAsia" w:ascii="宋体" w:hAnsi="宋体" w:eastAsia="宋体" w:cs="宋体"/>
                <w:color w:val="auto"/>
                <w:sz w:val="21"/>
                <w:szCs w:val="21"/>
                <w:highlight w:val="none"/>
              </w:rPr>
              <w:t>高温制冷，-</w:t>
            </w:r>
            <w:r>
              <w:rPr>
                <w:rFonts w:hint="eastAsia" w:ascii="宋体" w:hAnsi="宋体" w:cs="宋体"/>
                <w:color w:val="auto"/>
                <w:sz w:val="21"/>
                <w:szCs w:val="21"/>
                <w:highlight w:val="none"/>
                <w:lang w:val="en-US" w:eastAsia="zh-CN"/>
              </w:rPr>
              <w:t>15</w:t>
            </w:r>
            <w:r>
              <w:rPr>
                <w:rFonts w:hint="eastAsia" w:ascii="宋体" w:hAnsi="宋体" w:eastAsia="宋体" w:cs="宋体"/>
                <w:color w:val="auto"/>
                <w:sz w:val="21"/>
                <w:szCs w:val="21"/>
                <w:highlight w:val="none"/>
              </w:rPr>
              <w:t>℃超低温制热</w:t>
            </w:r>
          </w:p>
          <w:p w14:paraId="2F8B76ED">
            <w:pPr>
              <w:keepLines/>
              <w:widowControl/>
              <w:wordWrap w:val="0"/>
              <w:topLinePunct/>
              <w:jc w:val="both"/>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控制方式</w:t>
            </w: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遥控式</w:t>
            </w:r>
          </w:p>
          <w:p w14:paraId="708969C0">
            <w:pPr>
              <w:keepLines/>
              <w:widowControl/>
              <w:wordWrap w:val="0"/>
              <w:topLinePunct/>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、电源：380V/50Hz</w:t>
            </w:r>
          </w:p>
          <w:p w14:paraId="34CEBF4F">
            <w:pPr>
              <w:keepLines/>
              <w:widowControl/>
              <w:wordWrap w:val="0"/>
              <w:topLinePunct/>
              <w:jc w:val="both"/>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、含室内机、室外机、管道</w:t>
            </w:r>
            <w:r>
              <w:rPr>
                <w:rFonts w:hint="eastAsia" w:ascii="宋体" w:hAnsi="宋体" w:cs="宋体"/>
                <w:color w:val="auto"/>
                <w:sz w:val="21"/>
                <w:szCs w:val="21"/>
                <w:highlight w:val="none"/>
                <w:lang w:val="en-US" w:eastAsia="zh-CN"/>
              </w:rPr>
              <w:t>、遥控器</w:t>
            </w:r>
            <w:r>
              <w:rPr>
                <w:rFonts w:hint="eastAsia" w:ascii="宋体" w:hAnsi="宋体" w:eastAsia="宋体" w:cs="宋体"/>
                <w:color w:val="auto"/>
                <w:sz w:val="21"/>
                <w:szCs w:val="21"/>
                <w:highlight w:val="none"/>
                <w:lang w:val="en-US" w:eastAsia="zh-CN"/>
              </w:rPr>
              <w:t>等</w:t>
            </w:r>
          </w:p>
          <w:p w14:paraId="6ACB1B59">
            <w:pPr>
              <w:keepLines/>
              <w:widowControl/>
              <w:wordWrap w:val="0"/>
              <w:topLinePunct/>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最长30米配管，最大</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0米落差</w:t>
            </w:r>
          </w:p>
        </w:tc>
        <w:tc>
          <w:tcPr>
            <w:tcW w:w="718" w:type="dxa"/>
            <w:vAlign w:val="center"/>
          </w:tcPr>
          <w:p w14:paraId="33AE42CA">
            <w:pPr>
              <w:keepLines/>
              <w:widowControl/>
              <w:wordWrap w:val="0"/>
              <w:topLinePunct/>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22台</w:t>
            </w:r>
          </w:p>
        </w:tc>
        <w:tc>
          <w:tcPr>
            <w:tcW w:w="706" w:type="dxa"/>
            <w:vAlign w:val="center"/>
          </w:tcPr>
          <w:p w14:paraId="4F2F584D">
            <w:pPr>
              <w:keepLines/>
              <w:widowControl/>
              <w:wordWrap w:val="0"/>
              <w:topLinePunct/>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工业</w:t>
            </w:r>
          </w:p>
        </w:tc>
      </w:tr>
      <w:tr w14:paraId="0C2AB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5" w:type="dxa"/>
            <w:vAlign w:val="center"/>
          </w:tcPr>
          <w:p w14:paraId="0EBDB040">
            <w:pPr>
              <w:keepLines/>
              <w:widowControl/>
              <w:wordWrap w:val="0"/>
              <w:topLinePunct/>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25</w:t>
            </w:r>
          </w:p>
        </w:tc>
        <w:tc>
          <w:tcPr>
            <w:tcW w:w="756" w:type="dxa"/>
            <w:vAlign w:val="center"/>
          </w:tcPr>
          <w:p w14:paraId="5EEFB6B4">
            <w:pPr>
              <w:keepLines/>
              <w:widowControl/>
              <w:wordWrap w:val="0"/>
              <w:topLinePunct/>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配电箱</w:t>
            </w:r>
          </w:p>
        </w:tc>
        <w:tc>
          <w:tcPr>
            <w:tcW w:w="6814" w:type="dxa"/>
            <w:vAlign w:val="center"/>
          </w:tcPr>
          <w:p w14:paraId="454DF884">
            <w:pPr>
              <w:keepLines/>
              <w:widowControl/>
              <w:numPr>
                <w:ilvl w:val="0"/>
                <w:numId w:val="7"/>
              </w:numPr>
              <w:wordWrap w:val="0"/>
              <w:topLinePunct/>
              <w:jc w:val="both"/>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名称：配电箱AP1；2、规格：240*450*90cm；3、安装方式：暗装</w:t>
            </w:r>
          </w:p>
        </w:tc>
        <w:tc>
          <w:tcPr>
            <w:tcW w:w="718" w:type="dxa"/>
            <w:vAlign w:val="center"/>
          </w:tcPr>
          <w:p w14:paraId="2DCE932A">
            <w:pPr>
              <w:keepLines/>
              <w:widowControl/>
              <w:wordWrap w:val="0"/>
              <w:topLinePunct/>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1台</w:t>
            </w:r>
          </w:p>
        </w:tc>
        <w:tc>
          <w:tcPr>
            <w:tcW w:w="706" w:type="dxa"/>
            <w:vAlign w:val="center"/>
          </w:tcPr>
          <w:p w14:paraId="0CF7D76E">
            <w:pPr>
              <w:keepLines/>
              <w:widowControl/>
              <w:wordWrap w:val="0"/>
              <w:topLinePunct/>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工业</w:t>
            </w:r>
          </w:p>
        </w:tc>
      </w:tr>
      <w:tr w14:paraId="58D5C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5" w:type="dxa"/>
            <w:vAlign w:val="center"/>
          </w:tcPr>
          <w:p w14:paraId="2C64CF84">
            <w:pPr>
              <w:keepLines/>
              <w:widowControl/>
              <w:wordWrap w:val="0"/>
              <w:topLinePunct/>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26</w:t>
            </w:r>
          </w:p>
        </w:tc>
        <w:tc>
          <w:tcPr>
            <w:tcW w:w="756" w:type="dxa"/>
            <w:vAlign w:val="center"/>
          </w:tcPr>
          <w:p w14:paraId="26872F1F">
            <w:pPr>
              <w:keepLines/>
              <w:widowControl/>
              <w:wordWrap w:val="0"/>
              <w:topLinePunct/>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电力电缆</w:t>
            </w:r>
          </w:p>
        </w:tc>
        <w:tc>
          <w:tcPr>
            <w:tcW w:w="6814" w:type="dxa"/>
            <w:vAlign w:val="center"/>
          </w:tcPr>
          <w:p w14:paraId="6C4501A2">
            <w:pPr>
              <w:keepLines/>
              <w:widowControl/>
              <w:numPr>
                <w:ilvl w:val="0"/>
                <w:numId w:val="8"/>
              </w:numPr>
              <w:wordWrap w:val="0"/>
              <w:topLinePunct/>
              <w:jc w:val="both"/>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型号：YJV-4*150+1*95；2、规格：240mm2以下；3、材质：铜芯；4、铺设方式、部位：电缆沟铺设；</w:t>
            </w:r>
          </w:p>
        </w:tc>
        <w:tc>
          <w:tcPr>
            <w:tcW w:w="718" w:type="dxa"/>
            <w:vAlign w:val="center"/>
          </w:tcPr>
          <w:p w14:paraId="4E091E99">
            <w:pPr>
              <w:keepLines/>
              <w:widowControl/>
              <w:wordWrap w:val="0"/>
              <w:topLinePunct/>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200米</w:t>
            </w:r>
          </w:p>
        </w:tc>
        <w:tc>
          <w:tcPr>
            <w:tcW w:w="706" w:type="dxa"/>
            <w:vAlign w:val="center"/>
          </w:tcPr>
          <w:p w14:paraId="2E76D817">
            <w:pPr>
              <w:keepLines/>
              <w:widowControl/>
              <w:wordWrap w:val="0"/>
              <w:topLinePunct/>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工业</w:t>
            </w:r>
          </w:p>
        </w:tc>
      </w:tr>
      <w:tr w14:paraId="3E2EB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5" w:type="dxa"/>
            <w:vAlign w:val="center"/>
          </w:tcPr>
          <w:p w14:paraId="62F1FFE9">
            <w:pPr>
              <w:keepLines/>
              <w:widowControl/>
              <w:wordWrap w:val="0"/>
              <w:topLinePunct/>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27</w:t>
            </w:r>
          </w:p>
        </w:tc>
        <w:tc>
          <w:tcPr>
            <w:tcW w:w="756" w:type="dxa"/>
            <w:vAlign w:val="center"/>
          </w:tcPr>
          <w:p w14:paraId="406B0870">
            <w:pPr>
              <w:keepLines/>
              <w:widowControl/>
              <w:wordWrap w:val="0"/>
              <w:topLinePun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配管</w:t>
            </w:r>
          </w:p>
        </w:tc>
        <w:tc>
          <w:tcPr>
            <w:tcW w:w="6814" w:type="dxa"/>
            <w:vAlign w:val="center"/>
          </w:tcPr>
          <w:p w14:paraId="5722E4E5">
            <w:pPr>
              <w:keepLines/>
              <w:widowControl/>
              <w:wordWrap w:val="0"/>
              <w:topLinePunct/>
              <w:jc w:val="both"/>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1、材质：镀锌铜管；2、规格：DN100mm</w:t>
            </w:r>
          </w:p>
        </w:tc>
        <w:tc>
          <w:tcPr>
            <w:tcW w:w="718" w:type="dxa"/>
            <w:vAlign w:val="center"/>
          </w:tcPr>
          <w:p w14:paraId="1694F429">
            <w:pPr>
              <w:keepLines/>
              <w:widowControl/>
              <w:wordWrap w:val="0"/>
              <w:topLinePunct/>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200米</w:t>
            </w:r>
          </w:p>
        </w:tc>
        <w:tc>
          <w:tcPr>
            <w:tcW w:w="706" w:type="dxa"/>
            <w:vAlign w:val="center"/>
          </w:tcPr>
          <w:p w14:paraId="00A21824">
            <w:pPr>
              <w:keepLines/>
              <w:widowControl/>
              <w:wordWrap w:val="0"/>
              <w:topLinePunct/>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工业</w:t>
            </w:r>
          </w:p>
        </w:tc>
      </w:tr>
      <w:tr w14:paraId="62F76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5" w:type="dxa"/>
            <w:vAlign w:val="center"/>
          </w:tcPr>
          <w:p w14:paraId="3B383F6A">
            <w:pPr>
              <w:keepLines/>
              <w:widowControl/>
              <w:wordWrap w:val="0"/>
              <w:topLinePunct/>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28</w:t>
            </w:r>
          </w:p>
        </w:tc>
        <w:tc>
          <w:tcPr>
            <w:tcW w:w="756" w:type="dxa"/>
            <w:vAlign w:val="center"/>
          </w:tcPr>
          <w:p w14:paraId="522153F1">
            <w:pPr>
              <w:keepLines/>
              <w:widowControl/>
              <w:wordWrap w:val="0"/>
              <w:topLinePun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桥架</w:t>
            </w:r>
          </w:p>
        </w:tc>
        <w:tc>
          <w:tcPr>
            <w:tcW w:w="6814" w:type="dxa"/>
            <w:vAlign w:val="center"/>
          </w:tcPr>
          <w:p w14:paraId="430D48AE">
            <w:pPr>
              <w:keepLines/>
              <w:widowControl/>
              <w:numPr>
                <w:ilvl w:val="0"/>
                <w:numId w:val="9"/>
              </w:numPr>
              <w:wordWrap w:val="0"/>
              <w:topLinePunct/>
              <w:jc w:val="both"/>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型号：C-01-7.5-15；2、规格：150*75；3、材质：钢制、镀锌；4、含吊架、支架等</w:t>
            </w:r>
          </w:p>
        </w:tc>
        <w:tc>
          <w:tcPr>
            <w:tcW w:w="718" w:type="dxa"/>
            <w:vAlign w:val="center"/>
          </w:tcPr>
          <w:p w14:paraId="7E76151A">
            <w:pPr>
              <w:keepLines/>
              <w:widowControl/>
              <w:wordWrap w:val="0"/>
              <w:topLinePunct/>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120米</w:t>
            </w:r>
          </w:p>
        </w:tc>
        <w:tc>
          <w:tcPr>
            <w:tcW w:w="706" w:type="dxa"/>
            <w:vAlign w:val="center"/>
          </w:tcPr>
          <w:p w14:paraId="2D374DC7">
            <w:pPr>
              <w:keepLines/>
              <w:widowControl/>
              <w:wordWrap w:val="0"/>
              <w:topLinePunct/>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工业</w:t>
            </w:r>
          </w:p>
        </w:tc>
      </w:tr>
      <w:tr w14:paraId="7F7D0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5" w:type="dxa"/>
            <w:vAlign w:val="center"/>
          </w:tcPr>
          <w:p w14:paraId="7BBB0820">
            <w:pPr>
              <w:keepLines/>
              <w:widowControl/>
              <w:wordWrap w:val="0"/>
              <w:topLinePunct/>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29</w:t>
            </w:r>
          </w:p>
        </w:tc>
        <w:tc>
          <w:tcPr>
            <w:tcW w:w="756" w:type="dxa"/>
            <w:vAlign w:val="center"/>
          </w:tcPr>
          <w:p w14:paraId="742C9ACB">
            <w:pPr>
              <w:keepLines/>
              <w:widowControl/>
              <w:wordWrap w:val="0"/>
              <w:topLinePun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配管</w:t>
            </w:r>
          </w:p>
        </w:tc>
        <w:tc>
          <w:tcPr>
            <w:tcW w:w="6814" w:type="dxa"/>
            <w:vAlign w:val="center"/>
          </w:tcPr>
          <w:p w14:paraId="4E00CC54">
            <w:pPr>
              <w:keepLines/>
              <w:widowControl/>
              <w:wordWrap w:val="0"/>
              <w:topLinePunct/>
              <w:jc w:val="both"/>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镀锌铜管、DN65mm</w:t>
            </w:r>
          </w:p>
        </w:tc>
        <w:tc>
          <w:tcPr>
            <w:tcW w:w="718" w:type="dxa"/>
            <w:vAlign w:val="center"/>
          </w:tcPr>
          <w:p w14:paraId="18475267">
            <w:pPr>
              <w:keepLines/>
              <w:widowControl/>
              <w:wordWrap w:val="0"/>
              <w:topLinePunct/>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110米</w:t>
            </w:r>
          </w:p>
        </w:tc>
        <w:tc>
          <w:tcPr>
            <w:tcW w:w="706" w:type="dxa"/>
            <w:vAlign w:val="center"/>
          </w:tcPr>
          <w:p w14:paraId="24B98368">
            <w:pPr>
              <w:keepLines/>
              <w:widowControl/>
              <w:wordWrap w:val="0"/>
              <w:topLinePunct/>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工业</w:t>
            </w:r>
          </w:p>
        </w:tc>
      </w:tr>
      <w:tr w14:paraId="66F42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5" w:type="dxa"/>
            <w:vAlign w:val="center"/>
          </w:tcPr>
          <w:p w14:paraId="3745CB18">
            <w:pPr>
              <w:keepLines/>
              <w:widowControl/>
              <w:wordWrap w:val="0"/>
              <w:topLinePunct/>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30</w:t>
            </w:r>
          </w:p>
        </w:tc>
        <w:tc>
          <w:tcPr>
            <w:tcW w:w="756" w:type="dxa"/>
            <w:vAlign w:val="center"/>
          </w:tcPr>
          <w:p w14:paraId="5385D82C">
            <w:pPr>
              <w:keepLines/>
              <w:widowControl/>
              <w:wordWrap w:val="0"/>
              <w:topLinePun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配线</w:t>
            </w:r>
          </w:p>
        </w:tc>
        <w:tc>
          <w:tcPr>
            <w:tcW w:w="6814" w:type="dxa"/>
            <w:vAlign w:val="center"/>
          </w:tcPr>
          <w:p w14:paraId="2B2DC440">
            <w:pPr>
              <w:keepLines/>
              <w:widowControl/>
              <w:wordWrap w:val="0"/>
              <w:topLinePunct/>
              <w:jc w:val="both"/>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1、管内穿线；2、配线形式：动力线路；3、规格：YJV5*4；4、材质：铜芯；</w:t>
            </w:r>
          </w:p>
        </w:tc>
        <w:tc>
          <w:tcPr>
            <w:tcW w:w="718" w:type="dxa"/>
            <w:vAlign w:val="center"/>
          </w:tcPr>
          <w:p w14:paraId="06B267B4">
            <w:pPr>
              <w:keepLines/>
              <w:widowControl/>
              <w:wordWrap w:val="0"/>
              <w:topLinePunct/>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1095.5米</w:t>
            </w:r>
          </w:p>
        </w:tc>
        <w:tc>
          <w:tcPr>
            <w:tcW w:w="706" w:type="dxa"/>
            <w:vAlign w:val="center"/>
          </w:tcPr>
          <w:p w14:paraId="0E7D3E45">
            <w:pPr>
              <w:keepLines/>
              <w:widowControl/>
              <w:wordWrap w:val="0"/>
              <w:topLinePunct/>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工业</w:t>
            </w:r>
          </w:p>
        </w:tc>
      </w:tr>
      <w:tr w14:paraId="5E205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5" w:type="dxa"/>
            <w:vAlign w:val="center"/>
          </w:tcPr>
          <w:p w14:paraId="029923AB">
            <w:pPr>
              <w:keepLines/>
              <w:widowControl/>
              <w:wordWrap w:val="0"/>
              <w:topLinePunct/>
              <w:jc w:val="both"/>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31</w:t>
            </w:r>
          </w:p>
        </w:tc>
        <w:tc>
          <w:tcPr>
            <w:tcW w:w="756" w:type="dxa"/>
            <w:vAlign w:val="center"/>
          </w:tcPr>
          <w:p w14:paraId="5E9F161A">
            <w:pPr>
              <w:keepLines/>
              <w:widowControl/>
              <w:wordWrap w:val="0"/>
              <w:topLinePunct/>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电力电缆头</w:t>
            </w:r>
          </w:p>
        </w:tc>
        <w:tc>
          <w:tcPr>
            <w:tcW w:w="6814" w:type="dxa"/>
            <w:vAlign w:val="center"/>
          </w:tcPr>
          <w:p w14:paraId="23EDD2DA">
            <w:pPr>
              <w:keepLines/>
              <w:widowControl/>
              <w:wordWrap w:val="0"/>
              <w:topLinePunct/>
              <w:jc w:val="both"/>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1、型号：ZR-YJV-4*150+1*95；2、规格：240mm2以下；3、材质、类型：干包式；</w:t>
            </w:r>
          </w:p>
        </w:tc>
        <w:tc>
          <w:tcPr>
            <w:tcW w:w="718" w:type="dxa"/>
            <w:vAlign w:val="center"/>
          </w:tcPr>
          <w:p w14:paraId="34EFC533">
            <w:pPr>
              <w:keepLines/>
              <w:widowControl/>
              <w:wordWrap w:val="0"/>
              <w:topLinePunct/>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2个</w:t>
            </w:r>
          </w:p>
        </w:tc>
        <w:tc>
          <w:tcPr>
            <w:tcW w:w="706" w:type="dxa"/>
            <w:vAlign w:val="center"/>
          </w:tcPr>
          <w:p w14:paraId="03A30AD2">
            <w:pPr>
              <w:keepLines/>
              <w:widowControl/>
              <w:wordWrap w:val="0"/>
              <w:topLinePunct/>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工业</w:t>
            </w:r>
          </w:p>
        </w:tc>
      </w:tr>
      <w:tr w14:paraId="1A210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5" w:type="dxa"/>
            <w:vAlign w:val="center"/>
          </w:tcPr>
          <w:p w14:paraId="5DEC90CD">
            <w:pPr>
              <w:keepLines/>
              <w:widowControl/>
              <w:wordWrap w:val="0"/>
              <w:topLinePunct/>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32</w:t>
            </w:r>
          </w:p>
        </w:tc>
        <w:tc>
          <w:tcPr>
            <w:tcW w:w="756" w:type="dxa"/>
            <w:vAlign w:val="center"/>
          </w:tcPr>
          <w:p w14:paraId="483816B2">
            <w:pPr>
              <w:keepLines/>
              <w:widowControl/>
              <w:wordWrap w:val="0"/>
              <w:topLinePunct/>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安装调试</w:t>
            </w:r>
          </w:p>
        </w:tc>
        <w:tc>
          <w:tcPr>
            <w:tcW w:w="6814" w:type="dxa"/>
            <w:vAlign w:val="center"/>
          </w:tcPr>
          <w:p w14:paraId="4206ABF1">
            <w:pPr>
              <w:keepLines/>
              <w:widowControl/>
              <w:wordWrap w:val="0"/>
              <w:topLinePunct/>
              <w:jc w:val="both"/>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含安装调试至正常使用状态所需的其他技术服务及费用等</w:t>
            </w:r>
          </w:p>
        </w:tc>
        <w:tc>
          <w:tcPr>
            <w:tcW w:w="718" w:type="dxa"/>
            <w:vAlign w:val="center"/>
          </w:tcPr>
          <w:p w14:paraId="66B5BD3D">
            <w:pPr>
              <w:keepLines/>
              <w:widowControl/>
              <w:wordWrap w:val="0"/>
              <w:topLinePunct/>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1项</w:t>
            </w:r>
          </w:p>
        </w:tc>
        <w:tc>
          <w:tcPr>
            <w:tcW w:w="706" w:type="dxa"/>
            <w:vAlign w:val="center"/>
          </w:tcPr>
          <w:p w14:paraId="407BA652">
            <w:pPr>
              <w:keepLines/>
              <w:widowControl/>
              <w:wordWrap w:val="0"/>
              <w:topLinePun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软件和信息技术服务业</w:t>
            </w:r>
          </w:p>
        </w:tc>
      </w:tr>
    </w:tbl>
    <w:p w14:paraId="6DBD65D4">
      <w:pPr>
        <w:widowControl w:val="0"/>
        <w:adjustRightInd w:val="0"/>
        <w:snapToGrid w:val="0"/>
        <w:spacing w:before="120" w:beforeLines="50" w:line="360" w:lineRule="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注：投标单位须承诺，如中标，将在2026年省运会在安阳市体育发展服务中心举行比赛期间，提供免费的驻场技术服务。</w:t>
      </w:r>
    </w:p>
    <w:p w14:paraId="776558EB">
      <w:pPr>
        <w:widowControl w:val="0"/>
        <w:adjustRightInd w:val="0"/>
        <w:snapToGrid w:val="0"/>
        <w:spacing w:before="120" w:beforeLines="5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2.4.1 应遵循第三章供应商须知3.7.4项规定</w:t>
      </w:r>
      <w:bookmarkStart w:id="60" w:name="_GoBack"/>
      <w:bookmarkEnd w:id="60"/>
      <w:r>
        <w:rPr>
          <w:rFonts w:hint="eastAsia" w:ascii="宋体" w:hAnsi="宋体" w:cs="宋体"/>
          <w:color w:val="auto"/>
          <w:sz w:val="24"/>
          <w:szCs w:val="24"/>
          <w:highlight w:val="none"/>
        </w:rPr>
        <w:t>。</w:t>
      </w:r>
    </w:p>
    <w:p w14:paraId="7800ED6B">
      <w:pPr>
        <w:widowControl w:val="0"/>
        <w:adjustRightInd w:val="0"/>
        <w:snapToGrid w:val="0"/>
        <w:spacing w:before="120" w:beforeLines="5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2.4.2 成交供应商负责产品的安装、调试，并具备正常使用条件。</w:t>
      </w:r>
    </w:p>
    <w:p w14:paraId="1ECBAC74">
      <w:pPr>
        <w:adjustRightInd w:val="0"/>
        <w:snapToGrid w:val="0"/>
        <w:spacing w:before="120" w:beforeLines="50" w:line="24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2.5 安全</w:t>
      </w:r>
    </w:p>
    <w:p w14:paraId="2060F0B6">
      <w:pPr>
        <w:widowControl w:val="0"/>
        <w:adjustRightInd w:val="0"/>
        <w:snapToGrid w:val="0"/>
        <w:spacing w:before="120" w:beforeLines="5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响应产品应符合国家、行业的各项安全标准，供应商对响应产品的安全性承担全部责任。生产或销售不符合保障人身、财产安全的国家标准、行业标准的产品，将依法承担民事及相应刑事责任。合同履行中的安全责任由成交供应商承担全部责任。</w:t>
      </w:r>
    </w:p>
    <w:p w14:paraId="435906DC">
      <w:pPr>
        <w:adjustRightInd w:val="0"/>
        <w:snapToGrid w:val="0"/>
        <w:spacing w:before="120" w:beforeLines="50"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2.6 响应文件对“基本技术要求”的响应</w:t>
      </w:r>
    </w:p>
    <w:p w14:paraId="3F7E257D">
      <w:pPr>
        <w:widowControl w:val="0"/>
        <w:adjustRightInd w:val="0"/>
        <w:snapToGrid w:val="0"/>
        <w:spacing w:before="120" w:beforeLines="5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基本技术要求”为采购需求的基础性要求，响应产品应当明确，响应技术参数应最终指向具体明确的产品。响应文件技术参数抄袭磋商文件“基本技术要求”，响应产品不明确的、或与响应产品不一致的，磋商小组有权按照实质性判断原则评定其为无效投标。</w:t>
      </w:r>
    </w:p>
    <w:p w14:paraId="5E30724E">
      <w:pPr>
        <w:adjustRightInd w:val="0"/>
        <w:snapToGrid w:val="0"/>
        <w:spacing w:before="120" w:beforeLines="50"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2.7 技术偏离</w:t>
      </w:r>
    </w:p>
    <w:p w14:paraId="57E0AF62">
      <w:pPr>
        <w:widowControl w:val="0"/>
        <w:adjustRightInd w:val="0"/>
        <w:snapToGrid w:val="0"/>
        <w:spacing w:before="120" w:beforeLines="5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2.7.1 “基本技术要求”列示的参数、规格为基础性要求，供应商可提供质量性能参数相等或优于的其他产品；响应产品的规格参数与“基本技术要求”不同、且供应商认为响应产品的规格参数等于或优于“基本技术要求”的，供应商应提供相关证明材料（如权威评测资料、及印刷品产品说明书或印刷品图册等）以供磋商小组评审响应产品是否等于或优于“基本技术要求”、从而评定响应产品是否满足“基本技术要求”。</w:t>
      </w:r>
    </w:p>
    <w:p w14:paraId="0B649494">
      <w:pPr>
        <w:widowControl w:val="0"/>
        <w:adjustRightInd w:val="0"/>
        <w:snapToGrid w:val="0"/>
        <w:spacing w:before="120" w:beforeLines="5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 “基本技术要求”列示的参数、规格为区间性描述的，响应产品参数规格在此区间内的、则显见的为符合“基本技术要求”。</w:t>
      </w:r>
    </w:p>
    <w:p w14:paraId="57EC82BD">
      <w:pPr>
        <w:widowControl w:val="0"/>
        <w:adjustRightInd w:val="0"/>
        <w:snapToGrid w:val="0"/>
        <w:spacing w:before="120" w:beforeLines="5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如“基本技术要求”中列示有品牌、型号、生产供应商名称、专利、商标的，圴为“参照或相当于”的技术标准，供应商可提供等于或优于的其他产品（其他的品牌、型号、生产供应商、专利、商标）；供应商应提供相关证明材料（如权威评测资料、及印刷品产品说明书或印刷品图册等）以供磋商小组评审响应产品是否等于或优于“基本技术要求”、从而评定响应产品是否满足“基本技术要求”。</w:t>
      </w:r>
    </w:p>
    <w:p w14:paraId="01A17447">
      <w:pPr>
        <w:widowControl w:val="0"/>
        <w:adjustRightInd w:val="0"/>
        <w:snapToGrid w:val="0"/>
        <w:spacing w:before="120" w:beforeLines="50"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2.7.2 接受负偏差，低于“基本技术要求”的、在评审时会扣除相应的分值。</w:t>
      </w:r>
    </w:p>
    <w:p w14:paraId="10AF32CF">
      <w:pPr>
        <w:widowControl w:val="0"/>
        <w:adjustRightInd w:val="0"/>
        <w:snapToGrid w:val="0"/>
        <w:spacing w:before="120" w:beforeLines="5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2.7.3 除《磋商文件》“基本技术要求”有明确说明外，供应商所响应的各项产品均应为该产品的标准配置、不应改变或调换厂家的出厂标准配置；如确因市场因素无法按上述规格产品进行响应，应提供优于“基本技术要求”的同类产品进行响应，供应商应提供印刷品产品说明书或印刷品图册等予以佐证。</w:t>
      </w:r>
    </w:p>
    <w:p w14:paraId="7172CAB1">
      <w:pPr>
        <w:widowControl w:val="0"/>
        <w:adjustRightInd w:val="0"/>
        <w:snapToGrid w:val="0"/>
        <w:spacing w:before="120" w:beforeLines="5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2.7.4 《响应文件》对技术偏差的描述要求：见第三章供应商须知3.7.3项。</w:t>
      </w:r>
    </w:p>
    <w:p w14:paraId="50336574">
      <w:pPr>
        <w:adjustRightInd w:val="0"/>
        <w:snapToGrid w:val="0"/>
        <w:spacing w:before="120" w:beforeLines="50" w:line="360" w:lineRule="auto"/>
        <w:ind w:firstLine="482" w:firstLineChars="200"/>
        <w:rPr>
          <w:rFonts w:ascii="宋体" w:hAnsi="宋体" w:cs="宋体"/>
          <w:b/>
          <w:color w:val="auto"/>
          <w:sz w:val="24"/>
          <w:szCs w:val="24"/>
          <w:highlight w:val="none"/>
        </w:rPr>
      </w:pPr>
      <w:bookmarkStart w:id="12" w:name="_Toc76224311"/>
      <w:r>
        <w:rPr>
          <w:rFonts w:hint="eastAsia" w:ascii="宋体" w:hAnsi="宋体" w:cs="宋体"/>
          <w:b/>
          <w:color w:val="auto"/>
          <w:sz w:val="24"/>
          <w:szCs w:val="24"/>
          <w:highlight w:val="none"/>
        </w:rPr>
        <w:t>2.8 售后服务的基本条款</w:t>
      </w:r>
      <w:bookmarkEnd w:id="12"/>
    </w:p>
    <w:p w14:paraId="0AEADEDE">
      <w:pPr>
        <w:widowControl w:val="0"/>
        <w:adjustRightInd w:val="0"/>
        <w:snapToGrid w:val="0"/>
        <w:spacing w:before="120" w:beforeLines="5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2.8.1 产品的保修除按国家有关规定、各产品生产厂家规定及项目特殊要求处理外，还应满足下述条款：</w:t>
      </w:r>
    </w:p>
    <w:p w14:paraId="74C91AAF">
      <w:pPr>
        <w:widowControl w:val="0"/>
        <w:adjustRightInd w:val="0"/>
        <w:snapToGrid w:val="0"/>
        <w:spacing w:before="120" w:beforeLines="5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（1）《磋商文件》中未明确列明保修条款的产品，均需提供</w:t>
      </w:r>
      <w:r>
        <w:rPr>
          <w:rFonts w:hint="eastAsia" w:ascii="宋体" w:hAnsi="宋体" w:cs="宋体"/>
          <w:bCs/>
          <w:color w:val="auto"/>
          <w:sz w:val="24"/>
          <w:szCs w:val="24"/>
          <w:highlight w:val="none"/>
        </w:rPr>
        <w:t>至少一年</w:t>
      </w:r>
      <w:r>
        <w:rPr>
          <w:rFonts w:hint="eastAsia" w:ascii="宋体" w:hAnsi="宋体" w:cs="宋体"/>
          <w:color w:val="auto"/>
          <w:sz w:val="24"/>
          <w:szCs w:val="24"/>
          <w:highlight w:val="none"/>
        </w:rPr>
        <w:t>的免费保修；国家规定或产品生产厂家规定大于一年的，按国家规定与厂家规定最有利于采购人原则执行；《磋商文件》已明确列明大于一年保修的，按该条款及其响应执行，并终身维护；</w:t>
      </w:r>
    </w:p>
    <w:p w14:paraId="54E11FFE">
      <w:pPr>
        <w:widowControl w:val="0"/>
        <w:adjustRightInd w:val="0"/>
        <w:snapToGrid w:val="0"/>
        <w:spacing w:before="120" w:beforeLines="5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（2）保修期内货物发生故障系产品出现质量问题，必须无偿更换；</w:t>
      </w:r>
    </w:p>
    <w:p w14:paraId="2F0606F7">
      <w:pPr>
        <w:widowControl w:val="0"/>
        <w:adjustRightInd w:val="0"/>
        <w:snapToGrid w:val="0"/>
        <w:spacing w:before="120" w:beforeLines="5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（3）产品超过保修期发生故障，采购人可自由选择维修单位，如委托给成交供应商，成交供应商不得借故推诿，且维修费优于市场价格；</w:t>
      </w:r>
    </w:p>
    <w:p w14:paraId="2F6E0545">
      <w:pPr>
        <w:widowControl w:val="0"/>
        <w:adjustRightInd w:val="0"/>
        <w:snapToGrid w:val="0"/>
        <w:spacing w:before="120" w:beforeLines="5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（4）如产品发生故障，接到通知后需尽快做出响应，并在24小时内及时赶到现场，负责故障原因的诊断，尽快排除故障。</w:t>
      </w:r>
    </w:p>
    <w:p w14:paraId="5E37EB5D">
      <w:pPr>
        <w:widowControl w:val="0"/>
        <w:adjustRightInd w:val="0"/>
        <w:snapToGrid w:val="0"/>
        <w:spacing w:before="120" w:beforeLines="5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2.8.2 在成交供应商未按照合同规定的地点交验前，产品毁坏或灭失，由成交供应商承担责任。</w:t>
      </w:r>
    </w:p>
    <w:p w14:paraId="03BA08F4">
      <w:pPr>
        <w:widowControl w:val="0"/>
        <w:adjustRightInd w:val="0"/>
        <w:snapToGrid w:val="0"/>
        <w:spacing w:before="120" w:beforeLines="5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2.8.3 供应商需提供详尽的售后服务承诺；如由产品生产厂家提供相关售后服务的，供应商负有连带售后服务责任。</w:t>
      </w:r>
    </w:p>
    <w:p w14:paraId="474864B8">
      <w:pPr>
        <w:adjustRightInd w:val="0"/>
        <w:snapToGrid w:val="0"/>
        <w:spacing w:before="120" w:beforeLines="50"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2.9 保险、货物包装</w:t>
      </w:r>
    </w:p>
    <w:p w14:paraId="519564CA">
      <w:pPr>
        <w:widowControl w:val="0"/>
        <w:adjustRightInd w:val="0"/>
        <w:snapToGrid w:val="0"/>
        <w:spacing w:before="120" w:beforeLines="5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2.9.1 保险（如需）</w:t>
      </w:r>
    </w:p>
    <w:p w14:paraId="0F31C3CD">
      <w:pPr>
        <w:widowControl w:val="0"/>
        <w:adjustRightInd w:val="0"/>
        <w:snapToGrid w:val="0"/>
        <w:spacing w:before="120" w:beforeLines="5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供应商应遵循国家相关保险的规定，依法办理采购需求范围内的相关法定保险，相关保险费用及相应责任由成交供应商承担。</w:t>
      </w:r>
    </w:p>
    <w:p w14:paraId="379E0AB9">
      <w:pPr>
        <w:widowControl w:val="0"/>
        <w:adjustRightInd w:val="0"/>
        <w:snapToGrid w:val="0"/>
        <w:spacing w:before="120" w:beforeLines="5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在成交供应商未按照合同规定的地点交验前，货物毁坏或灭失，人身、安全责任，均由成交供应商承担责任。供应商可以按照最有利于项目风险控制的原则，为项目办理货物、人身及第三方公众责任险。</w:t>
      </w:r>
    </w:p>
    <w:p w14:paraId="267E1B61">
      <w:pPr>
        <w:widowControl w:val="0"/>
        <w:adjustRightInd w:val="0"/>
        <w:snapToGrid w:val="0"/>
        <w:spacing w:before="120" w:beforeLines="5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2.9.2 货物包装</w:t>
      </w:r>
    </w:p>
    <w:p w14:paraId="0947C42A">
      <w:pPr>
        <w:widowControl w:val="0"/>
        <w:adjustRightInd w:val="0"/>
        <w:snapToGrid w:val="0"/>
        <w:spacing w:before="120" w:beforeLines="5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成交供应商负责按国家相关标准进行货物包装，设备的包装均应有良好的防湿、防锈、防潮、防雨、防腐及防碰撞的措施，凡由于包装不良造成的损失和由此产生的费用均由成交供应商承担。</w:t>
      </w:r>
    </w:p>
    <w:p w14:paraId="7B1D1684">
      <w:pPr>
        <w:adjustRightInd w:val="0"/>
        <w:snapToGrid w:val="0"/>
        <w:spacing w:before="120" w:beforeLines="50"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2.10 采购标的的验收标准</w:t>
      </w:r>
    </w:p>
    <w:p w14:paraId="147E6E77">
      <w:pPr>
        <w:adjustRightInd w:val="0"/>
        <w:snapToGrid w:val="0"/>
        <w:spacing w:line="300" w:lineRule="auto"/>
        <w:ind w:firstLine="564" w:firstLineChars="235"/>
        <w:jc w:val="left"/>
        <w:rPr>
          <w:rFonts w:hint="eastAsia" w:ascii="宋体" w:hAnsi="宋体" w:cs="宋体"/>
          <w:color w:val="auto"/>
          <w:sz w:val="24"/>
          <w:highlight w:val="none"/>
          <w:lang w:val="zh-CN"/>
        </w:rPr>
      </w:pPr>
      <w:r>
        <w:rPr>
          <w:rFonts w:hint="eastAsia" w:ascii="宋体" w:hAnsi="宋体" w:cs="宋体"/>
          <w:color w:val="auto"/>
          <w:sz w:val="24"/>
          <w:highlight w:val="none"/>
          <w:lang w:val="zh-CN"/>
        </w:rPr>
        <w:t>见“第三章 投标人须知”第8条“验收”条款。</w:t>
      </w:r>
    </w:p>
    <w:p w14:paraId="5288E34B">
      <w:pPr>
        <w:adjustRightInd w:val="0"/>
        <w:snapToGrid w:val="0"/>
        <w:spacing w:line="300" w:lineRule="auto"/>
        <w:ind w:firstLine="564" w:firstLineChars="235"/>
        <w:jc w:val="left"/>
        <w:rPr>
          <w:rFonts w:hint="eastAsia" w:ascii="宋体" w:hAnsi="宋体" w:cs="宋体"/>
          <w:color w:val="auto"/>
          <w:sz w:val="24"/>
          <w:highlight w:val="none"/>
          <w:lang w:val="zh-CN"/>
        </w:rPr>
      </w:pPr>
    </w:p>
    <w:p w14:paraId="3AB6E60C">
      <w:pPr>
        <w:adjustRightInd w:val="0"/>
        <w:snapToGrid w:val="0"/>
        <w:spacing w:line="300" w:lineRule="auto"/>
        <w:ind w:firstLine="564" w:firstLineChars="235"/>
        <w:jc w:val="left"/>
        <w:rPr>
          <w:rFonts w:hint="eastAsia" w:ascii="宋体" w:hAnsi="宋体" w:cs="宋体"/>
          <w:color w:val="auto"/>
          <w:sz w:val="24"/>
          <w:highlight w:val="none"/>
          <w:lang w:val="zh-CN"/>
        </w:rPr>
      </w:pPr>
    </w:p>
    <w:p w14:paraId="3A9B6FC5">
      <w:pPr>
        <w:adjustRightInd w:val="0"/>
        <w:snapToGrid w:val="0"/>
        <w:spacing w:line="300" w:lineRule="auto"/>
        <w:ind w:firstLine="564" w:firstLineChars="235"/>
        <w:jc w:val="left"/>
        <w:rPr>
          <w:rFonts w:hint="eastAsia" w:ascii="宋体" w:hAnsi="宋体" w:cs="宋体"/>
          <w:color w:val="auto"/>
          <w:sz w:val="24"/>
          <w:highlight w:val="none"/>
          <w:lang w:val="zh-CN"/>
        </w:rPr>
      </w:pPr>
    </w:p>
    <w:p w14:paraId="2FA91981">
      <w:pPr>
        <w:adjustRightInd w:val="0"/>
        <w:snapToGrid w:val="0"/>
        <w:spacing w:line="300" w:lineRule="auto"/>
        <w:ind w:firstLine="564" w:firstLineChars="235"/>
        <w:jc w:val="left"/>
        <w:rPr>
          <w:rFonts w:hint="eastAsia" w:ascii="宋体" w:hAnsi="宋体" w:cs="宋体"/>
          <w:color w:val="auto"/>
          <w:sz w:val="24"/>
          <w:highlight w:val="none"/>
          <w:lang w:val="zh-CN"/>
        </w:rPr>
      </w:pPr>
    </w:p>
    <w:p w14:paraId="686D1A2C">
      <w:pPr>
        <w:adjustRightInd w:val="0"/>
        <w:snapToGrid w:val="0"/>
        <w:spacing w:line="300" w:lineRule="auto"/>
        <w:ind w:firstLine="564" w:firstLineChars="235"/>
        <w:jc w:val="left"/>
        <w:rPr>
          <w:rFonts w:hint="eastAsia" w:ascii="宋体" w:hAnsi="宋体" w:cs="宋体"/>
          <w:color w:val="auto"/>
          <w:sz w:val="24"/>
          <w:highlight w:val="none"/>
          <w:lang w:val="zh-CN"/>
        </w:rPr>
      </w:pPr>
    </w:p>
    <w:p w14:paraId="7C92C983">
      <w:pPr>
        <w:adjustRightInd w:val="0"/>
        <w:snapToGrid w:val="0"/>
        <w:spacing w:line="300" w:lineRule="auto"/>
        <w:ind w:firstLine="564" w:firstLineChars="235"/>
        <w:jc w:val="left"/>
        <w:rPr>
          <w:rFonts w:hint="eastAsia" w:ascii="宋体" w:hAnsi="宋体" w:cs="宋体"/>
          <w:color w:val="auto"/>
          <w:sz w:val="24"/>
          <w:highlight w:val="none"/>
          <w:lang w:val="zh-CN"/>
        </w:rPr>
      </w:pPr>
    </w:p>
    <w:p w14:paraId="106467CC">
      <w:pPr>
        <w:spacing w:line="360" w:lineRule="auto"/>
        <w:ind w:right="238"/>
        <w:jc w:val="center"/>
        <w:outlineLvl w:val="0"/>
        <w:rPr>
          <w:rFonts w:ascii="宋体" w:hAnsi="宋体" w:cs="宋体"/>
          <w:b/>
          <w:color w:val="auto"/>
          <w:sz w:val="36"/>
          <w:szCs w:val="36"/>
          <w:highlight w:val="none"/>
        </w:rPr>
      </w:pPr>
      <w:bookmarkStart w:id="13" w:name="_Toc83372541"/>
      <w:r>
        <w:rPr>
          <w:rFonts w:hint="eastAsia" w:ascii="宋体" w:hAnsi="宋体" w:cs="宋体"/>
          <w:b/>
          <w:color w:val="auto"/>
          <w:sz w:val="36"/>
          <w:szCs w:val="36"/>
          <w:highlight w:val="none"/>
        </w:rPr>
        <w:t>第三章  供应商须知</w:t>
      </w:r>
      <w:bookmarkEnd w:id="13"/>
    </w:p>
    <w:p w14:paraId="162D615B">
      <w:pPr>
        <w:spacing w:line="276" w:lineRule="auto"/>
        <w:ind w:right="240"/>
        <w:jc w:val="center"/>
        <w:rPr>
          <w:rFonts w:ascii="宋体" w:hAnsi="宋体" w:cs="宋体"/>
          <w:b/>
          <w:color w:val="auto"/>
          <w:spacing w:val="36"/>
          <w:sz w:val="24"/>
          <w:szCs w:val="24"/>
          <w:highlight w:val="none"/>
        </w:rPr>
      </w:pPr>
    </w:p>
    <w:p w14:paraId="32C41A31">
      <w:pPr>
        <w:spacing w:line="360" w:lineRule="auto"/>
        <w:ind w:right="238"/>
        <w:jc w:val="left"/>
        <w:outlineLvl w:val="1"/>
        <w:rPr>
          <w:rFonts w:ascii="宋体" w:hAnsi="宋体" w:cs="宋体"/>
          <w:b/>
          <w:color w:val="auto"/>
          <w:sz w:val="28"/>
          <w:szCs w:val="28"/>
          <w:highlight w:val="none"/>
        </w:rPr>
      </w:pPr>
      <w:bookmarkStart w:id="14" w:name="_Toc83372542"/>
      <w:r>
        <w:rPr>
          <w:rFonts w:hint="eastAsia" w:ascii="宋体" w:hAnsi="宋体" w:cs="宋体"/>
          <w:b/>
          <w:color w:val="auto"/>
          <w:sz w:val="28"/>
          <w:szCs w:val="28"/>
          <w:highlight w:val="none"/>
        </w:rPr>
        <w:t>供应商须知前附表</w:t>
      </w:r>
      <w:bookmarkEnd w:id="14"/>
    </w:p>
    <w:tbl>
      <w:tblPr>
        <w:tblStyle w:val="22"/>
        <w:tblW w:w="9753" w:type="dxa"/>
        <w:jc w:val="center"/>
        <w:tblLayout w:type="fixed"/>
        <w:tblCellMar>
          <w:top w:w="0" w:type="dxa"/>
          <w:left w:w="108" w:type="dxa"/>
          <w:bottom w:w="0" w:type="dxa"/>
          <w:right w:w="108" w:type="dxa"/>
        </w:tblCellMar>
      </w:tblPr>
      <w:tblGrid>
        <w:gridCol w:w="508"/>
        <w:gridCol w:w="954"/>
        <w:gridCol w:w="2051"/>
        <w:gridCol w:w="6240"/>
      </w:tblGrid>
      <w:tr w14:paraId="2FB3E639">
        <w:tblPrEx>
          <w:tblCellMar>
            <w:top w:w="0" w:type="dxa"/>
            <w:left w:w="108" w:type="dxa"/>
            <w:bottom w:w="0" w:type="dxa"/>
            <w:right w:w="108" w:type="dxa"/>
          </w:tblCellMar>
        </w:tblPrEx>
        <w:trPr>
          <w:trHeight w:val="571" w:hRule="atLeast"/>
          <w:jc w:val="center"/>
        </w:trPr>
        <w:tc>
          <w:tcPr>
            <w:tcW w:w="508" w:type="dxa"/>
            <w:tcBorders>
              <w:top w:val="single" w:color="auto" w:sz="12" w:space="0"/>
              <w:left w:val="single" w:color="auto" w:sz="12" w:space="0"/>
              <w:bottom w:val="single" w:color="auto" w:sz="6" w:space="0"/>
              <w:right w:val="single" w:color="auto" w:sz="6" w:space="0"/>
            </w:tcBorders>
            <w:vAlign w:val="center"/>
          </w:tcPr>
          <w:p w14:paraId="47029134">
            <w:pPr>
              <w:autoSpaceDE w:val="0"/>
              <w:autoSpaceDN w:val="0"/>
              <w:adjustRightInd w:val="0"/>
              <w:spacing w:line="240" w:lineRule="auto"/>
              <w:jc w:val="center"/>
              <w:rPr>
                <w:rFonts w:ascii="宋体" w:hAnsi="宋体" w:cs="宋体"/>
                <w:b/>
                <w:bCs/>
                <w:color w:val="auto"/>
                <w:sz w:val="24"/>
                <w:highlight w:val="none"/>
                <w:lang w:val="zh-CN"/>
              </w:rPr>
            </w:pPr>
            <w:r>
              <w:rPr>
                <w:rFonts w:hint="eastAsia" w:ascii="宋体" w:hAnsi="宋体" w:cs="宋体"/>
                <w:b/>
                <w:bCs/>
                <w:color w:val="auto"/>
                <w:sz w:val="24"/>
                <w:highlight w:val="none"/>
                <w:lang w:val="zh-CN"/>
              </w:rPr>
              <w:t>章节</w:t>
            </w:r>
          </w:p>
        </w:tc>
        <w:tc>
          <w:tcPr>
            <w:tcW w:w="954" w:type="dxa"/>
            <w:tcBorders>
              <w:top w:val="single" w:color="auto" w:sz="12" w:space="0"/>
              <w:left w:val="single" w:color="auto" w:sz="12" w:space="0"/>
              <w:bottom w:val="single" w:color="auto" w:sz="6" w:space="0"/>
              <w:right w:val="single" w:color="auto" w:sz="6" w:space="0"/>
            </w:tcBorders>
            <w:vAlign w:val="center"/>
          </w:tcPr>
          <w:p w14:paraId="007C28C5">
            <w:pPr>
              <w:autoSpaceDE w:val="0"/>
              <w:autoSpaceDN w:val="0"/>
              <w:adjustRightInd w:val="0"/>
              <w:spacing w:line="240" w:lineRule="auto"/>
              <w:jc w:val="center"/>
              <w:rPr>
                <w:rFonts w:ascii="宋体" w:hAnsi="宋体" w:cs="宋体"/>
                <w:b/>
                <w:bCs/>
                <w:color w:val="auto"/>
                <w:sz w:val="24"/>
                <w:highlight w:val="none"/>
                <w:lang w:val="zh-CN"/>
              </w:rPr>
            </w:pPr>
            <w:r>
              <w:rPr>
                <w:rFonts w:hint="eastAsia" w:ascii="宋体" w:hAnsi="宋体" w:cs="宋体"/>
                <w:b/>
                <w:bCs/>
                <w:color w:val="auto"/>
                <w:sz w:val="24"/>
                <w:highlight w:val="none"/>
                <w:lang w:val="zh-CN"/>
              </w:rPr>
              <w:t>条款号</w:t>
            </w:r>
          </w:p>
        </w:tc>
        <w:tc>
          <w:tcPr>
            <w:tcW w:w="2051" w:type="dxa"/>
            <w:tcBorders>
              <w:top w:val="single" w:color="auto" w:sz="12" w:space="0"/>
              <w:left w:val="single" w:color="auto" w:sz="6" w:space="0"/>
              <w:bottom w:val="single" w:color="auto" w:sz="6" w:space="0"/>
              <w:right w:val="single" w:color="auto" w:sz="6" w:space="0"/>
            </w:tcBorders>
            <w:vAlign w:val="center"/>
          </w:tcPr>
          <w:p w14:paraId="3BC1B19A">
            <w:pPr>
              <w:autoSpaceDE w:val="0"/>
              <w:autoSpaceDN w:val="0"/>
              <w:adjustRightInd w:val="0"/>
              <w:spacing w:line="240" w:lineRule="auto"/>
              <w:jc w:val="center"/>
              <w:rPr>
                <w:rFonts w:ascii="宋体" w:hAnsi="宋体" w:cs="宋体"/>
                <w:b/>
                <w:bCs/>
                <w:color w:val="auto"/>
                <w:sz w:val="24"/>
                <w:highlight w:val="none"/>
                <w:lang w:val="zh-CN"/>
              </w:rPr>
            </w:pPr>
            <w:r>
              <w:rPr>
                <w:rFonts w:hint="eastAsia" w:ascii="宋体" w:hAnsi="宋体" w:cs="宋体"/>
                <w:b/>
                <w:bCs/>
                <w:color w:val="auto"/>
                <w:sz w:val="24"/>
                <w:highlight w:val="none"/>
                <w:lang w:val="zh-CN"/>
              </w:rPr>
              <w:t>条款名称</w:t>
            </w:r>
          </w:p>
        </w:tc>
        <w:tc>
          <w:tcPr>
            <w:tcW w:w="6240" w:type="dxa"/>
            <w:tcBorders>
              <w:top w:val="single" w:color="auto" w:sz="12" w:space="0"/>
              <w:left w:val="single" w:color="auto" w:sz="6" w:space="0"/>
              <w:bottom w:val="single" w:color="auto" w:sz="6" w:space="0"/>
              <w:right w:val="single" w:color="auto" w:sz="12" w:space="0"/>
            </w:tcBorders>
            <w:vAlign w:val="center"/>
          </w:tcPr>
          <w:p w14:paraId="210FB3F5">
            <w:pPr>
              <w:autoSpaceDE w:val="0"/>
              <w:autoSpaceDN w:val="0"/>
              <w:adjustRightInd w:val="0"/>
              <w:spacing w:line="240" w:lineRule="auto"/>
              <w:jc w:val="center"/>
              <w:rPr>
                <w:rFonts w:ascii="宋体" w:hAnsi="宋体" w:cs="宋体"/>
                <w:b/>
                <w:bCs/>
                <w:color w:val="auto"/>
                <w:sz w:val="24"/>
                <w:highlight w:val="none"/>
                <w:lang w:val="zh-CN"/>
              </w:rPr>
            </w:pPr>
            <w:r>
              <w:rPr>
                <w:rFonts w:hint="eastAsia" w:ascii="宋体" w:hAnsi="宋体" w:cs="宋体"/>
                <w:b/>
                <w:bCs/>
                <w:color w:val="auto"/>
                <w:sz w:val="24"/>
                <w:highlight w:val="none"/>
                <w:lang w:val="zh-CN"/>
              </w:rPr>
              <w:t>编列内容</w:t>
            </w:r>
          </w:p>
        </w:tc>
      </w:tr>
      <w:tr w14:paraId="57EF2E35">
        <w:tblPrEx>
          <w:tblCellMar>
            <w:top w:w="0" w:type="dxa"/>
            <w:left w:w="108" w:type="dxa"/>
            <w:bottom w:w="0" w:type="dxa"/>
            <w:right w:w="108" w:type="dxa"/>
          </w:tblCellMar>
        </w:tblPrEx>
        <w:trPr>
          <w:trHeight w:val="422" w:hRule="atLeast"/>
          <w:jc w:val="center"/>
        </w:trPr>
        <w:tc>
          <w:tcPr>
            <w:tcW w:w="508" w:type="dxa"/>
            <w:vMerge w:val="restart"/>
            <w:tcBorders>
              <w:top w:val="single" w:color="auto" w:sz="6" w:space="0"/>
              <w:left w:val="single" w:color="auto" w:sz="12" w:space="0"/>
              <w:right w:val="single" w:color="auto" w:sz="6" w:space="0"/>
            </w:tcBorders>
            <w:vAlign w:val="center"/>
          </w:tcPr>
          <w:p w14:paraId="6E05EA0A">
            <w:pPr>
              <w:autoSpaceDE w:val="0"/>
              <w:autoSpaceDN w:val="0"/>
              <w:adjustRightInd w:val="0"/>
              <w:snapToGrid w:val="0"/>
              <w:spacing w:line="240" w:lineRule="auto"/>
              <w:jc w:val="center"/>
              <w:rPr>
                <w:rFonts w:ascii="宋体" w:hAnsi="宋体" w:cs="宋体"/>
                <w:b/>
                <w:bCs/>
                <w:color w:val="auto"/>
                <w:sz w:val="24"/>
                <w:highlight w:val="none"/>
              </w:rPr>
            </w:pPr>
            <w:r>
              <w:rPr>
                <w:rFonts w:hint="eastAsia" w:ascii="宋体" w:hAnsi="宋体" w:cs="宋体"/>
                <w:b/>
                <w:bCs/>
                <w:color w:val="auto"/>
                <w:sz w:val="24"/>
                <w:highlight w:val="none"/>
              </w:rPr>
              <w:t>第一章</w:t>
            </w:r>
          </w:p>
        </w:tc>
        <w:tc>
          <w:tcPr>
            <w:tcW w:w="954" w:type="dxa"/>
            <w:tcBorders>
              <w:top w:val="single" w:color="auto" w:sz="6" w:space="0"/>
              <w:left w:val="single" w:color="auto" w:sz="12" w:space="0"/>
              <w:bottom w:val="single" w:color="auto" w:sz="6" w:space="0"/>
              <w:right w:val="single" w:color="auto" w:sz="6" w:space="0"/>
            </w:tcBorders>
            <w:vAlign w:val="center"/>
          </w:tcPr>
          <w:p w14:paraId="0979B0D7">
            <w:pPr>
              <w:autoSpaceDE w:val="0"/>
              <w:autoSpaceDN w:val="0"/>
              <w:adjustRightInd w:val="0"/>
              <w:snapToGrid w:val="0"/>
              <w:spacing w:line="240" w:lineRule="auto"/>
              <w:jc w:val="center"/>
              <w:rPr>
                <w:rFonts w:ascii="宋体" w:hAnsi="宋体" w:cs="宋体"/>
                <w:b/>
                <w:bCs/>
                <w:color w:val="auto"/>
                <w:szCs w:val="21"/>
                <w:highlight w:val="none"/>
              </w:rPr>
            </w:pPr>
            <w:r>
              <w:rPr>
                <w:rFonts w:hint="eastAsia" w:ascii="宋体" w:hAnsi="宋体" w:cs="宋体"/>
                <w:b/>
                <w:bCs/>
                <w:color w:val="auto"/>
                <w:szCs w:val="21"/>
                <w:highlight w:val="none"/>
              </w:rPr>
              <w:t>1.2</w:t>
            </w:r>
          </w:p>
        </w:tc>
        <w:tc>
          <w:tcPr>
            <w:tcW w:w="2051" w:type="dxa"/>
            <w:tcBorders>
              <w:top w:val="single" w:color="auto" w:sz="6" w:space="0"/>
              <w:left w:val="single" w:color="auto" w:sz="6" w:space="0"/>
              <w:bottom w:val="single" w:color="auto" w:sz="6" w:space="0"/>
              <w:right w:val="single" w:color="auto" w:sz="6" w:space="0"/>
            </w:tcBorders>
            <w:vAlign w:val="center"/>
          </w:tcPr>
          <w:p w14:paraId="271AA436">
            <w:pPr>
              <w:autoSpaceDE w:val="0"/>
              <w:autoSpaceDN w:val="0"/>
              <w:adjustRightInd w:val="0"/>
              <w:snapToGrid w:val="0"/>
              <w:spacing w:line="240" w:lineRule="auto"/>
              <w:jc w:val="center"/>
              <w:rPr>
                <w:rFonts w:ascii="宋体" w:hAnsi="宋体" w:cs="宋体"/>
                <w:color w:val="auto"/>
                <w:sz w:val="24"/>
                <w:highlight w:val="none"/>
                <w:lang w:val="zh-CN"/>
              </w:rPr>
            </w:pPr>
            <w:r>
              <w:rPr>
                <w:rFonts w:hint="eastAsia" w:ascii="宋体" w:hAnsi="宋体" w:cs="宋体"/>
                <w:b/>
                <w:bCs/>
                <w:color w:val="auto"/>
                <w:sz w:val="24"/>
                <w:highlight w:val="none"/>
              </w:rPr>
              <w:t>采购项目名称</w:t>
            </w:r>
          </w:p>
        </w:tc>
        <w:tc>
          <w:tcPr>
            <w:tcW w:w="6240" w:type="dxa"/>
            <w:tcBorders>
              <w:top w:val="single" w:color="auto" w:sz="6" w:space="0"/>
              <w:left w:val="single" w:color="auto" w:sz="6" w:space="0"/>
              <w:bottom w:val="single" w:color="auto" w:sz="6" w:space="0"/>
              <w:right w:val="single" w:color="auto" w:sz="12" w:space="0"/>
            </w:tcBorders>
            <w:vAlign w:val="center"/>
          </w:tcPr>
          <w:p w14:paraId="10D613F4">
            <w:pPr>
              <w:autoSpaceDE w:val="0"/>
              <w:autoSpaceDN w:val="0"/>
              <w:adjustRightInd w:val="0"/>
              <w:snapToGrid w:val="0"/>
              <w:spacing w:before="120" w:beforeLines="50" w:line="360" w:lineRule="auto"/>
              <w:rPr>
                <w:rFonts w:ascii="宋体" w:hAnsi="宋体" w:cs="宋体"/>
                <w:color w:val="auto"/>
                <w:sz w:val="24"/>
                <w:highlight w:val="none"/>
                <w:lang w:val="zh-CN"/>
              </w:rPr>
            </w:pPr>
            <w:r>
              <w:rPr>
                <w:rFonts w:hint="eastAsia" w:ascii="宋体" w:hAnsi="宋体" w:cs="宋体"/>
                <w:color w:val="auto"/>
                <w:sz w:val="24"/>
                <w:szCs w:val="24"/>
                <w:highlight w:val="none"/>
              </w:rPr>
              <w:t>见“第一章 竞争性磋商公告”相应条款</w:t>
            </w:r>
          </w:p>
        </w:tc>
      </w:tr>
      <w:tr w14:paraId="7D1AEA58">
        <w:tblPrEx>
          <w:tblCellMar>
            <w:top w:w="0" w:type="dxa"/>
            <w:left w:w="108" w:type="dxa"/>
            <w:bottom w:w="0" w:type="dxa"/>
            <w:right w:w="108" w:type="dxa"/>
          </w:tblCellMar>
        </w:tblPrEx>
        <w:trPr>
          <w:trHeight w:val="422" w:hRule="atLeast"/>
          <w:jc w:val="center"/>
        </w:trPr>
        <w:tc>
          <w:tcPr>
            <w:tcW w:w="508" w:type="dxa"/>
            <w:vMerge w:val="continue"/>
            <w:tcBorders>
              <w:top w:val="single" w:color="auto" w:sz="6" w:space="0"/>
              <w:left w:val="single" w:color="auto" w:sz="12" w:space="0"/>
              <w:right w:val="single" w:color="auto" w:sz="6" w:space="0"/>
            </w:tcBorders>
            <w:vAlign w:val="center"/>
          </w:tcPr>
          <w:p w14:paraId="3DF27B67">
            <w:pPr>
              <w:autoSpaceDE w:val="0"/>
              <w:autoSpaceDN w:val="0"/>
              <w:adjustRightInd w:val="0"/>
              <w:snapToGrid w:val="0"/>
              <w:spacing w:line="240" w:lineRule="auto"/>
              <w:jc w:val="center"/>
              <w:rPr>
                <w:rFonts w:ascii="宋体" w:hAnsi="宋体" w:cs="宋体"/>
                <w:b/>
                <w:bCs/>
                <w:color w:val="auto"/>
                <w:sz w:val="24"/>
                <w:highlight w:val="none"/>
              </w:rPr>
            </w:pPr>
          </w:p>
        </w:tc>
        <w:tc>
          <w:tcPr>
            <w:tcW w:w="954" w:type="dxa"/>
            <w:tcBorders>
              <w:top w:val="single" w:color="auto" w:sz="6" w:space="0"/>
              <w:left w:val="single" w:color="auto" w:sz="12" w:space="0"/>
              <w:bottom w:val="single" w:color="auto" w:sz="6" w:space="0"/>
              <w:right w:val="single" w:color="auto" w:sz="6" w:space="0"/>
            </w:tcBorders>
            <w:vAlign w:val="center"/>
          </w:tcPr>
          <w:p w14:paraId="5C38F60F">
            <w:pPr>
              <w:autoSpaceDE w:val="0"/>
              <w:autoSpaceDN w:val="0"/>
              <w:adjustRightInd w:val="0"/>
              <w:snapToGrid w:val="0"/>
              <w:spacing w:line="240" w:lineRule="auto"/>
              <w:jc w:val="center"/>
              <w:rPr>
                <w:rFonts w:ascii="宋体" w:hAnsi="宋体" w:cs="宋体"/>
                <w:b/>
                <w:bCs/>
                <w:color w:val="auto"/>
                <w:szCs w:val="21"/>
                <w:highlight w:val="none"/>
              </w:rPr>
            </w:pPr>
            <w:r>
              <w:rPr>
                <w:rFonts w:hint="eastAsia" w:ascii="宋体" w:hAnsi="宋体" w:cs="宋体"/>
                <w:b/>
                <w:bCs/>
                <w:color w:val="auto"/>
                <w:szCs w:val="21"/>
                <w:highlight w:val="none"/>
              </w:rPr>
              <w:t>1.1</w:t>
            </w:r>
          </w:p>
        </w:tc>
        <w:tc>
          <w:tcPr>
            <w:tcW w:w="2051" w:type="dxa"/>
            <w:tcBorders>
              <w:top w:val="single" w:color="auto" w:sz="6" w:space="0"/>
              <w:left w:val="single" w:color="auto" w:sz="6" w:space="0"/>
              <w:bottom w:val="single" w:color="auto" w:sz="6" w:space="0"/>
              <w:right w:val="single" w:color="auto" w:sz="6" w:space="0"/>
            </w:tcBorders>
            <w:vAlign w:val="center"/>
          </w:tcPr>
          <w:p w14:paraId="6FD4A46C">
            <w:pPr>
              <w:autoSpaceDE w:val="0"/>
              <w:autoSpaceDN w:val="0"/>
              <w:adjustRightInd w:val="0"/>
              <w:snapToGrid w:val="0"/>
              <w:spacing w:line="240" w:lineRule="auto"/>
              <w:jc w:val="center"/>
              <w:rPr>
                <w:rFonts w:ascii="宋体" w:hAnsi="宋体" w:cs="宋体"/>
                <w:b/>
                <w:bCs/>
                <w:color w:val="auto"/>
                <w:sz w:val="24"/>
                <w:highlight w:val="none"/>
              </w:rPr>
            </w:pPr>
            <w:r>
              <w:rPr>
                <w:rFonts w:hint="eastAsia" w:ascii="宋体" w:hAnsi="宋体" w:cs="宋体"/>
                <w:b/>
                <w:bCs/>
                <w:color w:val="auto"/>
                <w:sz w:val="24"/>
                <w:highlight w:val="none"/>
              </w:rPr>
              <w:t>项目编号</w:t>
            </w:r>
          </w:p>
        </w:tc>
        <w:tc>
          <w:tcPr>
            <w:tcW w:w="6240" w:type="dxa"/>
            <w:tcBorders>
              <w:top w:val="single" w:color="auto" w:sz="6" w:space="0"/>
              <w:left w:val="single" w:color="auto" w:sz="6" w:space="0"/>
              <w:bottom w:val="single" w:color="auto" w:sz="6" w:space="0"/>
              <w:right w:val="single" w:color="auto" w:sz="12" w:space="0"/>
            </w:tcBorders>
            <w:vAlign w:val="center"/>
          </w:tcPr>
          <w:p w14:paraId="44C6D494">
            <w:pPr>
              <w:autoSpaceDE w:val="0"/>
              <w:autoSpaceDN w:val="0"/>
              <w:adjustRightInd w:val="0"/>
              <w:snapToGrid w:val="0"/>
              <w:spacing w:before="120" w:beforeLines="50" w:line="360" w:lineRule="auto"/>
              <w:rPr>
                <w:rFonts w:ascii="宋体" w:hAnsi="宋体" w:cs="宋体"/>
                <w:color w:val="auto"/>
                <w:sz w:val="24"/>
                <w:szCs w:val="24"/>
                <w:highlight w:val="none"/>
              </w:rPr>
            </w:pPr>
            <w:r>
              <w:rPr>
                <w:rFonts w:hint="eastAsia" w:ascii="宋体" w:hAnsi="宋体" w:cs="宋体"/>
                <w:color w:val="auto"/>
                <w:sz w:val="24"/>
                <w:szCs w:val="24"/>
                <w:highlight w:val="none"/>
              </w:rPr>
              <w:t>见“第一章 竞争性磋商公告”相应条款</w:t>
            </w:r>
          </w:p>
        </w:tc>
      </w:tr>
      <w:tr w14:paraId="7CBF7A86">
        <w:tblPrEx>
          <w:tblCellMar>
            <w:top w:w="0" w:type="dxa"/>
            <w:left w:w="108" w:type="dxa"/>
            <w:bottom w:w="0" w:type="dxa"/>
            <w:right w:w="108" w:type="dxa"/>
          </w:tblCellMar>
        </w:tblPrEx>
        <w:trPr>
          <w:trHeight w:val="422" w:hRule="atLeast"/>
          <w:jc w:val="center"/>
        </w:trPr>
        <w:tc>
          <w:tcPr>
            <w:tcW w:w="508" w:type="dxa"/>
            <w:vMerge w:val="continue"/>
            <w:tcBorders>
              <w:top w:val="single" w:color="auto" w:sz="6" w:space="0"/>
              <w:left w:val="single" w:color="auto" w:sz="12" w:space="0"/>
              <w:right w:val="single" w:color="auto" w:sz="6" w:space="0"/>
            </w:tcBorders>
            <w:vAlign w:val="center"/>
          </w:tcPr>
          <w:p w14:paraId="39BCFEAB">
            <w:pPr>
              <w:autoSpaceDE w:val="0"/>
              <w:autoSpaceDN w:val="0"/>
              <w:adjustRightInd w:val="0"/>
              <w:snapToGrid w:val="0"/>
              <w:spacing w:line="240" w:lineRule="auto"/>
              <w:jc w:val="center"/>
              <w:rPr>
                <w:rFonts w:ascii="宋体" w:hAnsi="宋体" w:cs="宋体"/>
                <w:b/>
                <w:bCs/>
                <w:color w:val="auto"/>
                <w:sz w:val="24"/>
                <w:highlight w:val="none"/>
              </w:rPr>
            </w:pPr>
          </w:p>
        </w:tc>
        <w:tc>
          <w:tcPr>
            <w:tcW w:w="954" w:type="dxa"/>
            <w:tcBorders>
              <w:top w:val="single" w:color="auto" w:sz="6" w:space="0"/>
              <w:left w:val="single" w:color="auto" w:sz="12" w:space="0"/>
              <w:bottom w:val="single" w:color="auto" w:sz="6" w:space="0"/>
              <w:right w:val="single" w:color="auto" w:sz="6" w:space="0"/>
            </w:tcBorders>
            <w:vAlign w:val="center"/>
          </w:tcPr>
          <w:p w14:paraId="217BC01E">
            <w:pPr>
              <w:autoSpaceDE w:val="0"/>
              <w:autoSpaceDN w:val="0"/>
              <w:adjustRightInd w:val="0"/>
              <w:snapToGrid w:val="0"/>
              <w:spacing w:line="240" w:lineRule="auto"/>
              <w:jc w:val="center"/>
              <w:rPr>
                <w:rFonts w:ascii="宋体" w:hAnsi="宋体" w:cs="宋体"/>
                <w:b/>
                <w:bCs/>
                <w:color w:val="auto"/>
                <w:szCs w:val="21"/>
                <w:highlight w:val="none"/>
              </w:rPr>
            </w:pPr>
            <w:r>
              <w:rPr>
                <w:rFonts w:hint="eastAsia" w:ascii="宋体" w:hAnsi="宋体" w:cs="宋体"/>
                <w:b/>
                <w:bCs/>
                <w:color w:val="auto"/>
                <w:szCs w:val="21"/>
                <w:highlight w:val="none"/>
              </w:rPr>
              <w:t>1.3</w:t>
            </w:r>
          </w:p>
        </w:tc>
        <w:tc>
          <w:tcPr>
            <w:tcW w:w="2051" w:type="dxa"/>
            <w:tcBorders>
              <w:top w:val="single" w:color="auto" w:sz="6" w:space="0"/>
              <w:left w:val="single" w:color="auto" w:sz="6" w:space="0"/>
              <w:bottom w:val="single" w:color="auto" w:sz="6" w:space="0"/>
              <w:right w:val="single" w:color="auto" w:sz="6" w:space="0"/>
            </w:tcBorders>
            <w:vAlign w:val="center"/>
          </w:tcPr>
          <w:p w14:paraId="0CEB0E52">
            <w:pPr>
              <w:autoSpaceDE w:val="0"/>
              <w:autoSpaceDN w:val="0"/>
              <w:adjustRightInd w:val="0"/>
              <w:snapToGrid w:val="0"/>
              <w:spacing w:line="240" w:lineRule="auto"/>
              <w:jc w:val="center"/>
              <w:rPr>
                <w:rFonts w:ascii="宋体" w:hAnsi="宋体" w:cs="宋体"/>
                <w:b/>
                <w:bCs/>
                <w:color w:val="auto"/>
                <w:sz w:val="24"/>
                <w:highlight w:val="none"/>
                <w:lang w:val="zh-CN"/>
              </w:rPr>
            </w:pPr>
            <w:r>
              <w:rPr>
                <w:rFonts w:hint="eastAsia" w:ascii="宋体" w:hAnsi="宋体" w:cs="宋体"/>
                <w:b/>
                <w:bCs/>
                <w:color w:val="auto"/>
                <w:sz w:val="24"/>
                <w:highlight w:val="none"/>
                <w:lang w:val="zh-CN"/>
              </w:rPr>
              <w:t>采购方式</w:t>
            </w:r>
          </w:p>
        </w:tc>
        <w:tc>
          <w:tcPr>
            <w:tcW w:w="6240" w:type="dxa"/>
            <w:tcBorders>
              <w:top w:val="single" w:color="auto" w:sz="6" w:space="0"/>
              <w:left w:val="single" w:color="auto" w:sz="6" w:space="0"/>
              <w:bottom w:val="single" w:color="auto" w:sz="6" w:space="0"/>
              <w:right w:val="single" w:color="auto" w:sz="12" w:space="0"/>
            </w:tcBorders>
            <w:vAlign w:val="center"/>
          </w:tcPr>
          <w:p w14:paraId="4CD856A2">
            <w:pPr>
              <w:autoSpaceDE w:val="0"/>
              <w:autoSpaceDN w:val="0"/>
              <w:adjustRightInd w:val="0"/>
              <w:snapToGrid w:val="0"/>
              <w:spacing w:before="120" w:beforeLines="50" w:line="360" w:lineRule="auto"/>
              <w:rPr>
                <w:rFonts w:ascii="宋体" w:hAnsi="宋体" w:cs="宋体"/>
                <w:color w:val="auto"/>
                <w:sz w:val="24"/>
                <w:highlight w:val="none"/>
                <w:lang w:val="zh-CN"/>
              </w:rPr>
            </w:pPr>
            <w:r>
              <w:rPr>
                <w:rFonts w:hint="eastAsia" w:ascii="宋体" w:hAnsi="宋体" w:cs="宋体"/>
                <w:color w:val="auto"/>
                <w:sz w:val="24"/>
                <w:szCs w:val="24"/>
                <w:highlight w:val="none"/>
              </w:rPr>
              <w:t>竞争性磋商</w:t>
            </w:r>
          </w:p>
        </w:tc>
      </w:tr>
      <w:tr w14:paraId="5995D9BA">
        <w:tblPrEx>
          <w:tblCellMar>
            <w:top w:w="0" w:type="dxa"/>
            <w:left w:w="108" w:type="dxa"/>
            <w:bottom w:w="0" w:type="dxa"/>
            <w:right w:w="108" w:type="dxa"/>
          </w:tblCellMar>
        </w:tblPrEx>
        <w:trPr>
          <w:trHeight w:val="370" w:hRule="atLeast"/>
          <w:jc w:val="center"/>
        </w:trPr>
        <w:tc>
          <w:tcPr>
            <w:tcW w:w="508" w:type="dxa"/>
            <w:vMerge w:val="continue"/>
            <w:tcBorders>
              <w:left w:val="single" w:color="auto" w:sz="12" w:space="0"/>
              <w:right w:val="single" w:color="auto" w:sz="6" w:space="0"/>
            </w:tcBorders>
            <w:vAlign w:val="center"/>
          </w:tcPr>
          <w:p w14:paraId="000CC79B">
            <w:pPr>
              <w:autoSpaceDE w:val="0"/>
              <w:autoSpaceDN w:val="0"/>
              <w:adjustRightInd w:val="0"/>
              <w:snapToGrid w:val="0"/>
              <w:spacing w:line="240" w:lineRule="auto"/>
              <w:jc w:val="center"/>
              <w:rPr>
                <w:rFonts w:ascii="宋体" w:hAnsi="宋体" w:cs="宋体"/>
                <w:b/>
                <w:bCs/>
                <w:color w:val="auto"/>
                <w:sz w:val="24"/>
                <w:highlight w:val="none"/>
                <w:lang w:val="zh-CN"/>
              </w:rPr>
            </w:pPr>
          </w:p>
        </w:tc>
        <w:tc>
          <w:tcPr>
            <w:tcW w:w="954" w:type="dxa"/>
            <w:tcBorders>
              <w:top w:val="single" w:color="auto" w:sz="6" w:space="0"/>
              <w:left w:val="single" w:color="auto" w:sz="12" w:space="0"/>
              <w:bottom w:val="single" w:color="auto" w:sz="6" w:space="0"/>
              <w:right w:val="single" w:color="auto" w:sz="6" w:space="0"/>
            </w:tcBorders>
            <w:vAlign w:val="center"/>
          </w:tcPr>
          <w:p w14:paraId="083A91C9">
            <w:pPr>
              <w:autoSpaceDE w:val="0"/>
              <w:autoSpaceDN w:val="0"/>
              <w:adjustRightInd w:val="0"/>
              <w:snapToGrid w:val="0"/>
              <w:spacing w:line="240" w:lineRule="auto"/>
              <w:jc w:val="center"/>
              <w:rPr>
                <w:rFonts w:ascii="宋体" w:hAnsi="宋体" w:cs="宋体"/>
                <w:b/>
                <w:bCs/>
                <w:color w:val="auto"/>
                <w:szCs w:val="21"/>
                <w:highlight w:val="none"/>
                <w:lang w:val="zh-CN"/>
              </w:rPr>
            </w:pPr>
            <w:r>
              <w:rPr>
                <w:rFonts w:hint="eastAsia" w:ascii="宋体" w:hAnsi="宋体" w:cs="宋体"/>
                <w:b/>
                <w:bCs/>
                <w:color w:val="auto"/>
                <w:szCs w:val="21"/>
                <w:highlight w:val="none"/>
                <w:lang w:val="zh-CN"/>
              </w:rPr>
              <w:t>1.4</w:t>
            </w:r>
          </w:p>
        </w:tc>
        <w:tc>
          <w:tcPr>
            <w:tcW w:w="2051" w:type="dxa"/>
            <w:tcBorders>
              <w:top w:val="single" w:color="auto" w:sz="6" w:space="0"/>
              <w:left w:val="single" w:color="auto" w:sz="6" w:space="0"/>
              <w:bottom w:val="single" w:color="auto" w:sz="6" w:space="0"/>
              <w:right w:val="single" w:color="auto" w:sz="6" w:space="0"/>
            </w:tcBorders>
            <w:vAlign w:val="center"/>
          </w:tcPr>
          <w:p w14:paraId="043C0E28">
            <w:pPr>
              <w:autoSpaceDE w:val="0"/>
              <w:autoSpaceDN w:val="0"/>
              <w:adjustRightInd w:val="0"/>
              <w:snapToGrid w:val="0"/>
              <w:spacing w:line="240" w:lineRule="auto"/>
              <w:jc w:val="center"/>
              <w:rPr>
                <w:rFonts w:ascii="宋体" w:hAnsi="宋体" w:cs="宋体"/>
                <w:b/>
                <w:bCs/>
                <w:color w:val="auto"/>
                <w:sz w:val="24"/>
                <w:highlight w:val="none"/>
                <w:lang w:val="zh-CN"/>
              </w:rPr>
            </w:pPr>
            <w:r>
              <w:rPr>
                <w:rFonts w:hint="eastAsia" w:ascii="宋体" w:hAnsi="宋体" w:cs="宋体"/>
                <w:b/>
                <w:bCs/>
                <w:color w:val="auto"/>
                <w:sz w:val="24"/>
                <w:highlight w:val="none"/>
                <w:lang w:val="zh-CN"/>
              </w:rPr>
              <w:t>预算金额</w:t>
            </w:r>
          </w:p>
        </w:tc>
        <w:tc>
          <w:tcPr>
            <w:tcW w:w="6240" w:type="dxa"/>
            <w:tcBorders>
              <w:top w:val="single" w:color="auto" w:sz="6" w:space="0"/>
              <w:left w:val="single" w:color="auto" w:sz="6" w:space="0"/>
              <w:bottom w:val="single" w:color="auto" w:sz="6" w:space="0"/>
              <w:right w:val="single" w:color="auto" w:sz="12" w:space="0"/>
            </w:tcBorders>
            <w:vAlign w:val="center"/>
          </w:tcPr>
          <w:p w14:paraId="102164F0">
            <w:pPr>
              <w:autoSpaceDE w:val="0"/>
              <w:autoSpaceDN w:val="0"/>
              <w:adjustRightInd w:val="0"/>
              <w:snapToGrid w:val="0"/>
              <w:spacing w:before="120" w:beforeLines="50" w:line="360" w:lineRule="auto"/>
              <w:rPr>
                <w:rFonts w:ascii="宋体" w:hAnsi="宋体" w:cs="宋体"/>
                <w:color w:val="auto"/>
                <w:sz w:val="24"/>
                <w:highlight w:val="none"/>
                <w:lang w:val="zh-CN"/>
              </w:rPr>
            </w:pPr>
            <w:r>
              <w:rPr>
                <w:rFonts w:hint="eastAsia" w:ascii="宋体" w:hAnsi="宋体" w:cs="宋体"/>
                <w:color w:val="auto"/>
                <w:sz w:val="24"/>
                <w:szCs w:val="24"/>
                <w:highlight w:val="none"/>
              </w:rPr>
              <w:t>见“第一章 竞争性磋商公告”相应条款。</w:t>
            </w:r>
            <w:r>
              <w:rPr>
                <w:rFonts w:hint="eastAsia" w:ascii="宋体" w:hAnsi="宋体" w:cs="宋体"/>
                <w:b/>
                <w:color w:val="auto"/>
                <w:sz w:val="24"/>
                <w:highlight w:val="none"/>
                <w:lang w:val="zh-CN"/>
              </w:rPr>
              <w:t>注：供应商的磋商报价未超过</w:t>
            </w:r>
            <w:r>
              <w:rPr>
                <w:rFonts w:hint="eastAsia" w:ascii="宋体" w:hAnsi="宋体" w:cs="宋体"/>
                <w:b/>
                <w:bCs/>
                <w:color w:val="auto"/>
                <w:sz w:val="24"/>
                <w:highlight w:val="none"/>
                <w:lang w:val="zh-CN"/>
              </w:rPr>
              <w:t>预算金额</w:t>
            </w:r>
            <w:r>
              <w:rPr>
                <w:rFonts w:hint="eastAsia" w:ascii="宋体" w:hAnsi="宋体" w:cs="宋体"/>
                <w:b/>
                <w:color w:val="auto"/>
                <w:sz w:val="24"/>
                <w:highlight w:val="none"/>
                <w:lang w:val="zh-CN"/>
              </w:rPr>
              <w:t>的不足三家时，该项目（标段&lt;包&gt;）终止。</w:t>
            </w:r>
          </w:p>
        </w:tc>
      </w:tr>
      <w:tr w14:paraId="537B94A6">
        <w:tblPrEx>
          <w:tblCellMar>
            <w:top w:w="0" w:type="dxa"/>
            <w:left w:w="108" w:type="dxa"/>
            <w:bottom w:w="0" w:type="dxa"/>
            <w:right w:w="108" w:type="dxa"/>
          </w:tblCellMar>
        </w:tblPrEx>
        <w:trPr>
          <w:trHeight w:val="90" w:hRule="atLeast"/>
          <w:jc w:val="center"/>
        </w:trPr>
        <w:tc>
          <w:tcPr>
            <w:tcW w:w="508" w:type="dxa"/>
            <w:vMerge w:val="continue"/>
            <w:tcBorders>
              <w:left w:val="single" w:color="auto" w:sz="12" w:space="0"/>
              <w:right w:val="single" w:color="auto" w:sz="6" w:space="0"/>
            </w:tcBorders>
            <w:vAlign w:val="center"/>
          </w:tcPr>
          <w:p w14:paraId="048E068C">
            <w:pPr>
              <w:autoSpaceDE w:val="0"/>
              <w:autoSpaceDN w:val="0"/>
              <w:adjustRightInd w:val="0"/>
              <w:snapToGrid w:val="0"/>
              <w:spacing w:line="240" w:lineRule="auto"/>
              <w:jc w:val="center"/>
              <w:rPr>
                <w:rFonts w:ascii="宋体" w:hAnsi="宋体" w:cs="宋体"/>
                <w:b/>
                <w:bCs/>
                <w:color w:val="auto"/>
                <w:sz w:val="24"/>
                <w:highlight w:val="none"/>
                <w:lang w:val="zh-CN"/>
              </w:rPr>
            </w:pPr>
          </w:p>
        </w:tc>
        <w:tc>
          <w:tcPr>
            <w:tcW w:w="954" w:type="dxa"/>
            <w:tcBorders>
              <w:top w:val="single" w:color="auto" w:sz="6" w:space="0"/>
              <w:left w:val="single" w:color="auto" w:sz="12" w:space="0"/>
              <w:bottom w:val="single" w:color="auto" w:sz="6" w:space="0"/>
              <w:right w:val="single" w:color="auto" w:sz="6" w:space="0"/>
            </w:tcBorders>
            <w:vAlign w:val="center"/>
          </w:tcPr>
          <w:p w14:paraId="2C0243E4">
            <w:pPr>
              <w:autoSpaceDE w:val="0"/>
              <w:autoSpaceDN w:val="0"/>
              <w:adjustRightInd w:val="0"/>
              <w:snapToGrid w:val="0"/>
              <w:spacing w:line="240" w:lineRule="auto"/>
              <w:jc w:val="center"/>
              <w:rPr>
                <w:rFonts w:ascii="宋体" w:hAnsi="宋体" w:cs="宋体"/>
                <w:b/>
                <w:bCs/>
                <w:color w:val="auto"/>
                <w:szCs w:val="21"/>
                <w:highlight w:val="none"/>
                <w:lang w:val="zh-CN"/>
              </w:rPr>
            </w:pPr>
            <w:r>
              <w:rPr>
                <w:rFonts w:hint="eastAsia" w:ascii="宋体" w:hAnsi="宋体" w:cs="宋体"/>
                <w:b/>
                <w:bCs/>
                <w:color w:val="auto"/>
                <w:szCs w:val="21"/>
                <w:highlight w:val="none"/>
                <w:lang w:val="zh-CN"/>
              </w:rPr>
              <w:t>2</w:t>
            </w:r>
          </w:p>
        </w:tc>
        <w:tc>
          <w:tcPr>
            <w:tcW w:w="2051" w:type="dxa"/>
            <w:tcBorders>
              <w:top w:val="single" w:color="auto" w:sz="6" w:space="0"/>
              <w:left w:val="single" w:color="auto" w:sz="6" w:space="0"/>
              <w:bottom w:val="single" w:color="auto" w:sz="6" w:space="0"/>
              <w:right w:val="single" w:color="auto" w:sz="6" w:space="0"/>
            </w:tcBorders>
            <w:vAlign w:val="center"/>
          </w:tcPr>
          <w:p w14:paraId="5B1CFDD1">
            <w:pPr>
              <w:autoSpaceDE w:val="0"/>
              <w:autoSpaceDN w:val="0"/>
              <w:adjustRightInd w:val="0"/>
              <w:snapToGrid w:val="0"/>
              <w:spacing w:line="240" w:lineRule="auto"/>
              <w:ind w:right="-73" w:rightChars="-35"/>
              <w:jc w:val="center"/>
              <w:rPr>
                <w:rFonts w:ascii="宋体" w:hAnsi="宋体" w:cs="宋体"/>
                <w:b/>
                <w:color w:val="auto"/>
                <w:sz w:val="24"/>
                <w:szCs w:val="24"/>
                <w:highlight w:val="none"/>
              </w:rPr>
            </w:pPr>
            <w:r>
              <w:rPr>
                <w:rFonts w:hint="eastAsia" w:ascii="宋体" w:hAnsi="宋体" w:cs="宋体"/>
                <w:b/>
                <w:color w:val="auto"/>
                <w:sz w:val="24"/>
                <w:szCs w:val="24"/>
                <w:highlight w:val="none"/>
              </w:rPr>
              <w:t>申请人的资格要求及相关证明材料要求</w:t>
            </w:r>
          </w:p>
        </w:tc>
        <w:tc>
          <w:tcPr>
            <w:tcW w:w="6240" w:type="dxa"/>
            <w:tcBorders>
              <w:top w:val="single" w:color="auto" w:sz="6" w:space="0"/>
              <w:left w:val="single" w:color="auto" w:sz="6" w:space="0"/>
              <w:bottom w:val="single" w:color="auto" w:sz="6" w:space="0"/>
              <w:right w:val="single" w:color="auto" w:sz="12" w:space="0"/>
            </w:tcBorders>
            <w:vAlign w:val="center"/>
          </w:tcPr>
          <w:p w14:paraId="79BE2B5D">
            <w:pPr>
              <w:autoSpaceDE w:val="0"/>
              <w:autoSpaceDN w:val="0"/>
              <w:adjustRightInd w:val="0"/>
              <w:snapToGrid w:val="0"/>
              <w:spacing w:before="120" w:beforeLines="50" w:line="360" w:lineRule="auto"/>
              <w:rPr>
                <w:rFonts w:ascii="宋体" w:hAnsi="宋体" w:cs="宋体"/>
                <w:color w:val="auto"/>
                <w:sz w:val="24"/>
                <w:szCs w:val="24"/>
                <w:highlight w:val="none"/>
              </w:rPr>
            </w:pPr>
            <w:r>
              <w:rPr>
                <w:rFonts w:hint="eastAsia" w:ascii="宋体" w:hAnsi="宋体" w:cs="宋体"/>
                <w:color w:val="auto"/>
                <w:sz w:val="24"/>
                <w:szCs w:val="24"/>
                <w:highlight w:val="none"/>
              </w:rPr>
              <w:t>见“第一章 竞争性磋商公告”相应条款</w:t>
            </w:r>
          </w:p>
        </w:tc>
      </w:tr>
      <w:tr w14:paraId="5E24E857">
        <w:tblPrEx>
          <w:tblCellMar>
            <w:top w:w="0" w:type="dxa"/>
            <w:left w:w="108" w:type="dxa"/>
            <w:bottom w:w="0" w:type="dxa"/>
            <w:right w:w="108" w:type="dxa"/>
          </w:tblCellMar>
        </w:tblPrEx>
        <w:trPr>
          <w:trHeight w:val="90" w:hRule="atLeast"/>
          <w:jc w:val="center"/>
        </w:trPr>
        <w:tc>
          <w:tcPr>
            <w:tcW w:w="508" w:type="dxa"/>
            <w:vMerge w:val="continue"/>
            <w:tcBorders>
              <w:left w:val="single" w:color="auto" w:sz="12" w:space="0"/>
              <w:right w:val="single" w:color="auto" w:sz="6" w:space="0"/>
            </w:tcBorders>
            <w:vAlign w:val="center"/>
          </w:tcPr>
          <w:p w14:paraId="62B29083">
            <w:pPr>
              <w:autoSpaceDE w:val="0"/>
              <w:autoSpaceDN w:val="0"/>
              <w:adjustRightInd w:val="0"/>
              <w:snapToGrid w:val="0"/>
              <w:spacing w:line="240" w:lineRule="auto"/>
              <w:jc w:val="center"/>
              <w:rPr>
                <w:rFonts w:ascii="宋体" w:hAnsi="宋体" w:cs="宋体"/>
                <w:b/>
                <w:bCs/>
                <w:color w:val="auto"/>
                <w:sz w:val="24"/>
                <w:highlight w:val="none"/>
                <w:lang w:val="zh-CN"/>
              </w:rPr>
            </w:pPr>
          </w:p>
        </w:tc>
        <w:tc>
          <w:tcPr>
            <w:tcW w:w="954" w:type="dxa"/>
            <w:tcBorders>
              <w:top w:val="single" w:color="auto" w:sz="6" w:space="0"/>
              <w:left w:val="single" w:color="auto" w:sz="12" w:space="0"/>
              <w:bottom w:val="single" w:color="auto" w:sz="6" w:space="0"/>
              <w:right w:val="single" w:color="auto" w:sz="6" w:space="0"/>
            </w:tcBorders>
            <w:vAlign w:val="center"/>
          </w:tcPr>
          <w:p w14:paraId="241B35C8">
            <w:pPr>
              <w:autoSpaceDE w:val="0"/>
              <w:autoSpaceDN w:val="0"/>
              <w:adjustRightInd w:val="0"/>
              <w:snapToGrid w:val="0"/>
              <w:spacing w:line="240" w:lineRule="auto"/>
              <w:jc w:val="center"/>
              <w:rPr>
                <w:rFonts w:ascii="宋体" w:hAnsi="宋体" w:cs="宋体"/>
                <w:b/>
                <w:bCs/>
                <w:color w:val="auto"/>
                <w:szCs w:val="21"/>
                <w:highlight w:val="none"/>
                <w:lang w:val="zh-CN"/>
              </w:rPr>
            </w:pPr>
            <w:r>
              <w:rPr>
                <w:rFonts w:hint="eastAsia" w:ascii="宋体" w:hAnsi="宋体" w:cs="宋体"/>
                <w:b/>
                <w:bCs/>
                <w:color w:val="auto"/>
                <w:szCs w:val="21"/>
                <w:highlight w:val="none"/>
                <w:lang w:val="zh-CN"/>
              </w:rPr>
              <w:t>8.1</w:t>
            </w:r>
          </w:p>
        </w:tc>
        <w:tc>
          <w:tcPr>
            <w:tcW w:w="2051" w:type="dxa"/>
            <w:tcBorders>
              <w:top w:val="single" w:color="auto" w:sz="6" w:space="0"/>
              <w:left w:val="single" w:color="auto" w:sz="6" w:space="0"/>
              <w:bottom w:val="single" w:color="auto" w:sz="6" w:space="0"/>
              <w:right w:val="single" w:color="auto" w:sz="6" w:space="0"/>
            </w:tcBorders>
            <w:vAlign w:val="center"/>
          </w:tcPr>
          <w:p w14:paraId="74AC6CEB">
            <w:pPr>
              <w:autoSpaceDE w:val="0"/>
              <w:autoSpaceDN w:val="0"/>
              <w:adjustRightInd w:val="0"/>
              <w:snapToGrid w:val="0"/>
              <w:spacing w:line="240" w:lineRule="auto"/>
              <w:ind w:right="-73" w:rightChars="-35"/>
              <w:jc w:val="center"/>
              <w:rPr>
                <w:rFonts w:ascii="宋体" w:hAnsi="宋体" w:cs="宋体"/>
                <w:b/>
                <w:color w:val="auto"/>
                <w:sz w:val="24"/>
                <w:szCs w:val="24"/>
                <w:highlight w:val="none"/>
              </w:rPr>
            </w:pPr>
            <w:r>
              <w:rPr>
                <w:rFonts w:hint="eastAsia" w:ascii="宋体" w:hAnsi="宋体" w:cs="宋体"/>
                <w:b/>
                <w:color w:val="auto"/>
                <w:sz w:val="24"/>
                <w:szCs w:val="24"/>
                <w:highlight w:val="none"/>
              </w:rPr>
              <w:t>采购人</w:t>
            </w:r>
          </w:p>
        </w:tc>
        <w:tc>
          <w:tcPr>
            <w:tcW w:w="6240" w:type="dxa"/>
            <w:tcBorders>
              <w:top w:val="single" w:color="auto" w:sz="6" w:space="0"/>
              <w:left w:val="single" w:color="auto" w:sz="6" w:space="0"/>
              <w:bottom w:val="single" w:color="auto" w:sz="6" w:space="0"/>
              <w:right w:val="single" w:color="auto" w:sz="12" w:space="0"/>
            </w:tcBorders>
            <w:vAlign w:val="center"/>
          </w:tcPr>
          <w:p w14:paraId="6A0984D2">
            <w:pPr>
              <w:autoSpaceDE w:val="0"/>
              <w:autoSpaceDN w:val="0"/>
              <w:adjustRightInd w:val="0"/>
              <w:snapToGrid w:val="0"/>
              <w:spacing w:before="120" w:beforeLines="50" w:line="360" w:lineRule="auto"/>
              <w:rPr>
                <w:rFonts w:ascii="宋体" w:hAnsi="宋体" w:cs="宋体"/>
                <w:color w:val="auto"/>
                <w:sz w:val="24"/>
                <w:szCs w:val="24"/>
                <w:highlight w:val="none"/>
              </w:rPr>
            </w:pPr>
            <w:r>
              <w:rPr>
                <w:rFonts w:hint="eastAsia" w:ascii="宋体" w:hAnsi="宋体" w:cs="宋体"/>
                <w:color w:val="auto"/>
                <w:sz w:val="24"/>
                <w:szCs w:val="24"/>
                <w:highlight w:val="none"/>
              </w:rPr>
              <w:t>见“第一章 竞争性磋商公告”相应条款</w:t>
            </w:r>
          </w:p>
        </w:tc>
      </w:tr>
      <w:tr w14:paraId="254103CC">
        <w:tblPrEx>
          <w:tblCellMar>
            <w:top w:w="0" w:type="dxa"/>
            <w:left w:w="108" w:type="dxa"/>
            <w:bottom w:w="0" w:type="dxa"/>
            <w:right w:w="108" w:type="dxa"/>
          </w:tblCellMar>
        </w:tblPrEx>
        <w:trPr>
          <w:trHeight w:val="90" w:hRule="atLeast"/>
          <w:jc w:val="center"/>
        </w:trPr>
        <w:tc>
          <w:tcPr>
            <w:tcW w:w="508" w:type="dxa"/>
            <w:vMerge w:val="continue"/>
            <w:tcBorders>
              <w:left w:val="single" w:color="auto" w:sz="12" w:space="0"/>
              <w:bottom w:val="single" w:color="auto" w:sz="6" w:space="0"/>
              <w:right w:val="single" w:color="auto" w:sz="6" w:space="0"/>
            </w:tcBorders>
            <w:vAlign w:val="center"/>
          </w:tcPr>
          <w:p w14:paraId="6289E714">
            <w:pPr>
              <w:autoSpaceDE w:val="0"/>
              <w:autoSpaceDN w:val="0"/>
              <w:adjustRightInd w:val="0"/>
              <w:snapToGrid w:val="0"/>
              <w:spacing w:line="240" w:lineRule="auto"/>
              <w:jc w:val="center"/>
              <w:rPr>
                <w:rFonts w:ascii="宋体" w:hAnsi="宋体" w:cs="宋体"/>
                <w:b/>
                <w:bCs/>
                <w:color w:val="auto"/>
                <w:sz w:val="24"/>
                <w:highlight w:val="none"/>
                <w:lang w:val="zh-CN"/>
              </w:rPr>
            </w:pPr>
          </w:p>
        </w:tc>
        <w:tc>
          <w:tcPr>
            <w:tcW w:w="954" w:type="dxa"/>
            <w:tcBorders>
              <w:top w:val="single" w:color="auto" w:sz="6" w:space="0"/>
              <w:left w:val="single" w:color="auto" w:sz="12" w:space="0"/>
              <w:bottom w:val="single" w:color="auto" w:sz="6" w:space="0"/>
              <w:right w:val="single" w:color="auto" w:sz="6" w:space="0"/>
            </w:tcBorders>
            <w:vAlign w:val="center"/>
          </w:tcPr>
          <w:p w14:paraId="2D29E3AB">
            <w:pPr>
              <w:autoSpaceDE w:val="0"/>
              <w:autoSpaceDN w:val="0"/>
              <w:adjustRightInd w:val="0"/>
              <w:snapToGrid w:val="0"/>
              <w:spacing w:line="240" w:lineRule="auto"/>
              <w:jc w:val="center"/>
              <w:rPr>
                <w:rFonts w:ascii="宋体" w:hAnsi="宋体" w:cs="宋体"/>
                <w:b/>
                <w:bCs/>
                <w:color w:val="auto"/>
                <w:szCs w:val="21"/>
                <w:highlight w:val="none"/>
                <w:lang w:val="zh-CN"/>
              </w:rPr>
            </w:pPr>
            <w:r>
              <w:rPr>
                <w:rFonts w:hint="eastAsia" w:ascii="宋体" w:hAnsi="宋体" w:cs="宋体"/>
                <w:b/>
                <w:bCs/>
                <w:color w:val="auto"/>
                <w:szCs w:val="21"/>
                <w:highlight w:val="none"/>
                <w:lang w:val="zh-CN"/>
              </w:rPr>
              <w:t>8.2</w:t>
            </w:r>
          </w:p>
        </w:tc>
        <w:tc>
          <w:tcPr>
            <w:tcW w:w="2051" w:type="dxa"/>
            <w:tcBorders>
              <w:top w:val="single" w:color="auto" w:sz="6" w:space="0"/>
              <w:left w:val="single" w:color="auto" w:sz="6" w:space="0"/>
              <w:bottom w:val="single" w:color="auto" w:sz="6" w:space="0"/>
              <w:right w:val="single" w:color="auto" w:sz="6" w:space="0"/>
            </w:tcBorders>
            <w:vAlign w:val="center"/>
          </w:tcPr>
          <w:p w14:paraId="14FD1467">
            <w:pPr>
              <w:autoSpaceDE w:val="0"/>
              <w:autoSpaceDN w:val="0"/>
              <w:adjustRightInd w:val="0"/>
              <w:snapToGrid w:val="0"/>
              <w:spacing w:line="240" w:lineRule="auto"/>
              <w:ind w:right="-73" w:rightChars="-35"/>
              <w:jc w:val="center"/>
              <w:rPr>
                <w:rFonts w:ascii="宋体" w:hAnsi="宋体" w:cs="宋体"/>
                <w:b/>
                <w:color w:val="auto"/>
                <w:sz w:val="24"/>
                <w:szCs w:val="24"/>
                <w:highlight w:val="none"/>
              </w:rPr>
            </w:pPr>
            <w:r>
              <w:rPr>
                <w:rFonts w:hint="eastAsia" w:ascii="宋体" w:hAnsi="宋体" w:cs="宋体"/>
                <w:b/>
                <w:color w:val="auto"/>
                <w:sz w:val="24"/>
                <w:szCs w:val="24"/>
                <w:highlight w:val="none"/>
              </w:rPr>
              <w:t>采购代理机构</w:t>
            </w:r>
          </w:p>
        </w:tc>
        <w:tc>
          <w:tcPr>
            <w:tcW w:w="6240" w:type="dxa"/>
            <w:tcBorders>
              <w:top w:val="single" w:color="auto" w:sz="6" w:space="0"/>
              <w:left w:val="single" w:color="auto" w:sz="6" w:space="0"/>
              <w:bottom w:val="single" w:color="auto" w:sz="6" w:space="0"/>
              <w:right w:val="single" w:color="auto" w:sz="12" w:space="0"/>
            </w:tcBorders>
            <w:vAlign w:val="center"/>
          </w:tcPr>
          <w:p w14:paraId="49C8FAB7">
            <w:pPr>
              <w:autoSpaceDE w:val="0"/>
              <w:autoSpaceDN w:val="0"/>
              <w:adjustRightInd w:val="0"/>
              <w:snapToGrid w:val="0"/>
              <w:spacing w:before="120" w:beforeLines="50" w:line="360" w:lineRule="auto"/>
              <w:rPr>
                <w:rFonts w:ascii="宋体" w:hAnsi="宋体" w:cs="宋体"/>
                <w:color w:val="auto"/>
                <w:sz w:val="24"/>
                <w:szCs w:val="24"/>
                <w:highlight w:val="none"/>
              </w:rPr>
            </w:pPr>
            <w:r>
              <w:rPr>
                <w:rFonts w:hint="eastAsia" w:ascii="宋体" w:hAnsi="宋体" w:cs="宋体"/>
                <w:color w:val="auto"/>
                <w:sz w:val="24"/>
                <w:szCs w:val="24"/>
                <w:highlight w:val="none"/>
              </w:rPr>
              <w:t>见“第一章 竞争性磋商公告”相应条款</w:t>
            </w:r>
          </w:p>
        </w:tc>
      </w:tr>
      <w:tr w14:paraId="366EF13B">
        <w:tblPrEx>
          <w:tblCellMar>
            <w:top w:w="0" w:type="dxa"/>
            <w:left w:w="108" w:type="dxa"/>
            <w:bottom w:w="0" w:type="dxa"/>
            <w:right w:w="108" w:type="dxa"/>
          </w:tblCellMar>
        </w:tblPrEx>
        <w:trPr>
          <w:trHeight w:val="90" w:hRule="atLeast"/>
          <w:jc w:val="center"/>
        </w:trPr>
        <w:tc>
          <w:tcPr>
            <w:tcW w:w="508" w:type="dxa"/>
            <w:vMerge w:val="restart"/>
            <w:tcBorders>
              <w:top w:val="single" w:color="auto" w:sz="6" w:space="0"/>
              <w:left w:val="single" w:color="auto" w:sz="12" w:space="0"/>
              <w:right w:val="single" w:color="auto" w:sz="6" w:space="0"/>
            </w:tcBorders>
            <w:vAlign w:val="center"/>
          </w:tcPr>
          <w:p w14:paraId="381DA2BD">
            <w:pPr>
              <w:autoSpaceDE w:val="0"/>
              <w:autoSpaceDN w:val="0"/>
              <w:adjustRightInd w:val="0"/>
              <w:snapToGrid w:val="0"/>
              <w:spacing w:line="240" w:lineRule="auto"/>
              <w:jc w:val="center"/>
              <w:rPr>
                <w:rFonts w:ascii="宋体" w:hAnsi="宋体" w:cs="宋体"/>
                <w:b/>
                <w:bCs/>
                <w:color w:val="auto"/>
                <w:sz w:val="24"/>
                <w:highlight w:val="none"/>
                <w:lang w:val="zh-CN"/>
              </w:rPr>
            </w:pPr>
            <w:r>
              <w:rPr>
                <w:rFonts w:hint="eastAsia" w:ascii="宋体" w:hAnsi="宋体" w:cs="宋体"/>
                <w:b/>
                <w:bCs/>
                <w:color w:val="auto"/>
                <w:sz w:val="24"/>
                <w:highlight w:val="none"/>
                <w:lang w:val="zh-CN"/>
              </w:rPr>
              <w:t>第二章</w:t>
            </w:r>
          </w:p>
        </w:tc>
        <w:tc>
          <w:tcPr>
            <w:tcW w:w="954" w:type="dxa"/>
            <w:tcBorders>
              <w:top w:val="single" w:color="auto" w:sz="6" w:space="0"/>
              <w:left w:val="single" w:color="auto" w:sz="12" w:space="0"/>
              <w:bottom w:val="single" w:color="auto" w:sz="6" w:space="0"/>
              <w:right w:val="single" w:color="auto" w:sz="6" w:space="0"/>
            </w:tcBorders>
            <w:vAlign w:val="center"/>
          </w:tcPr>
          <w:p w14:paraId="2445C44E">
            <w:pPr>
              <w:autoSpaceDE w:val="0"/>
              <w:autoSpaceDN w:val="0"/>
              <w:adjustRightInd w:val="0"/>
              <w:snapToGrid w:val="0"/>
              <w:spacing w:line="240" w:lineRule="auto"/>
              <w:jc w:val="center"/>
              <w:rPr>
                <w:rFonts w:ascii="宋体" w:hAnsi="宋体" w:cs="宋体"/>
                <w:b/>
                <w:bCs/>
                <w:color w:val="auto"/>
                <w:szCs w:val="21"/>
                <w:highlight w:val="none"/>
                <w:lang w:val="zh-CN"/>
              </w:rPr>
            </w:pPr>
            <w:r>
              <w:rPr>
                <w:rFonts w:hint="eastAsia" w:ascii="宋体" w:hAnsi="宋体" w:cs="宋体"/>
                <w:b/>
                <w:bCs/>
                <w:color w:val="auto"/>
                <w:szCs w:val="21"/>
                <w:highlight w:val="none"/>
                <w:lang w:val="zh-CN"/>
              </w:rPr>
              <w:t>1.2</w:t>
            </w:r>
          </w:p>
        </w:tc>
        <w:tc>
          <w:tcPr>
            <w:tcW w:w="2051" w:type="dxa"/>
            <w:tcBorders>
              <w:top w:val="single" w:color="auto" w:sz="6" w:space="0"/>
              <w:left w:val="single" w:color="auto" w:sz="6" w:space="0"/>
              <w:bottom w:val="single" w:color="auto" w:sz="6" w:space="0"/>
              <w:right w:val="single" w:color="auto" w:sz="6" w:space="0"/>
            </w:tcBorders>
            <w:vAlign w:val="center"/>
          </w:tcPr>
          <w:p w14:paraId="7EC44DC3">
            <w:pPr>
              <w:autoSpaceDE w:val="0"/>
              <w:autoSpaceDN w:val="0"/>
              <w:adjustRightInd w:val="0"/>
              <w:snapToGrid w:val="0"/>
              <w:spacing w:line="240" w:lineRule="auto"/>
              <w:jc w:val="center"/>
              <w:rPr>
                <w:rFonts w:ascii="宋体" w:hAnsi="宋体" w:cs="宋体"/>
                <w:b/>
                <w:bCs/>
                <w:color w:val="auto"/>
                <w:sz w:val="24"/>
                <w:highlight w:val="none"/>
                <w:lang w:val="zh-CN"/>
              </w:rPr>
            </w:pPr>
            <w:r>
              <w:rPr>
                <w:rFonts w:hint="eastAsia" w:ascii="宋体" w:hAnsi="宋体" w:cs="宋体"/>
                <w:b/>
                <w:color w:val="auto"/>
                <w:sz w:val="24"/>
                <w:szCs w:val="24"/>
                <w:highlight w:val="none"/>
              </w:rPr>
              <w:t>标段（包）划分</w:t>
            </w:r>
          </w:p>
        </w:tc>
        <w:tc>
          <w:tcPr>
            <w:tcW w:w="6240" w:type="dxa"/>
            <w:tcBorders>
              <w:top w:val="single" w:color="auto" w:sz="6" w:space="0"/>
              <w:left w:val="single" w:color="auto" w:sz="6" w:space="0"/>
              <w:bottom w:val="single" w:color="auto" w:sz="6" w:space="0"/>
              <w:right w:val="single" w:color="auto" w:sz="12" w:space="0"/>
            </w:tcBorders>
            <w:vAlign w:val="center"/>
          </w:tcPr>
          <w:p w14:paraId="7F528492">
            <w:pPr>
              <w:autoSpaceDE w:val="0"/>
              <w:autoSpaceDN w:val="0"/>
              <w:adjustRightInd w:val="0"/>
              <w:snapToGrid w:val="0"/>
              <w:spacing w:before="120" w:beforeLines="50" w:line="360" w:lineRule="auto"/>
              <w:rPr>
                <w:rFonts w:ascii="宋体" w:hAnsi="宋体" w:cs="宋体"/>
                <w:color w:val="auto"/>
                <w:sz w:val="24"/>
                <w:highlight w:val="none"/>
                <w:lang w:val="zh-CN"/>
              </w:rPr>
            </w:pPr>
            <w:r>
              <w:rPr>
                <w:rFonts w:hint="eastAsia" w:ascii="宋体" w:hAnsi="宋体" w:cs="宋体"/>
                <w:color w:val="auto"/>
                <w:sz w:val="24"/>
                <w:szCs w:val="24"/>
                <w:highlight w:val="none"/>
              </w:rPr>
              <w:t>见“第二章 采购项目及技术服务要求”相应条款</w:t>
            </w:r>
          </w:p>
        </w:tc>
      </w:tr>
      <w:tr w14:paraId="645ECAB8">
        <w:tblPrEx>
          <w:tblCellMar>
            <w:top w:w="0" w:type="dxa"/>
            <w:left w:w="108" w:type="dxa"/>
            <w:bottom w:w="0" w:type="dxa"/>
            <w:right w:w="108" w:type="dxa"/>
          </w:tblCellMar>
        </w:tblPrEx>
        <w:trPr>
          <w:trHeight w:val="90" w:hRule="atLeast"/>
          <w:jc w:val="center"/>
        </w:trPr>
        <w:tc>
          <w:tcPr>
            <w:tcW w:w="508" w:type="dxa"/>
            <w:vMerge w:val="continue"/>
            <w:tcBorders>
              <w:left w:val="single" w:color="auto" w:sz="12" w:space="0"/>
              <w:right w:val="single" w:color="auto" w:sz="6" w:space="0"/>
            </w:tcBorders>
            <w:vAlign w:val="center"/>
          </w:tcPr>
          <w:p w14:paraId="435544BD">
            <w:pPr>
              <w:autoSpaceDE w:val="0"/>
              <w:autoSpaceDN w:val="0"/>
              <w:adjustRightInd w:val="0"/>
              <w:snapToGrid w:val="0"/>
              <w:spacing w:line="240" w:lineRule="auto"/>
              <w:jc w:val="center"/>
              <w:rPr>
                <w:rFonts w:ascii="宋体" w:hAnsi="宋体" w:cs="宋体"/>
                <w:b/>
                <w:bCs/>
                <w:color w:val="auto"/>
                <w:sz w:val="24"/>
                <w:highlight w:val="none"/>
                <w:lang w:val="zh-CN"/>
              </w:rPr>
            </w:pPr>
          </w:p>
        </w:tc>
        <w:tc>
          <w:tcPr>
            <w:tcW w:w="954" w:type="dxa"/>
            <w:tcBorders>
              <w:top w:val="single" w:color="auto" w:sz="6" w:space="0"/>
              <w:left w:val="single" w:color="auto" w:sz="12" w:space="0"/>
              <w:bottom w:val="single" w:color="auto" w:sz="6" w:space="0"/>
              <w:right w:val="single" w:color="auto" w:sz="6" w:space="0"/>
            </w:tcBorders>
            <w:vAlign w:val="center"/>
          </w:tcPr>
          <w:p w14:paraId="7A56B15C">
            <w:pPr>
              <w:autoSpaceDE w:val="0"/>
              <w:autoSpaceDN w:val="0"/>
              <w:adjustRightInd w:val="0"/>
              <w:snapToGrid w:val="0"/>
              <w:spacing w:line="240" w:lineRule="auto"/>
              <w:jc w:val="center"/>
              <w:rPr>
                <w:rFonts w:ascii="宋体" w:hAnsi="宋体" w:cs="宋体"/>
                <w:b/>
                <w:bCs/>
                <w:color w:val="auto"/>
                <w:szCs w:val="21"/>
                <w:highlight w:val="none"/>
                <w:lang w:val="zh-CN"/>
              </w:rPr>
            </w:pPr>
            <w:r>
              <w:rPr>
                <w:rFonts w:hint="eastAsia" w:ascii="宋体" w:hAnsi="宋体" w:cs="宋体"/>
                <w:b/>
                <w:bCs/>
                <w:color w:val="auto"/>
                <w:szCs w:val="21"/>
                <w:highlight w:val="none"/>
                <w:lang w:val="zh-CN"/>
              </w:rPr>
              <w:t>1.2</w:t>
            </w:r>
          </w:p>
        </w:tc>
        <w:tc>
          <w:tcPr>
            <w:tcW w:w="2051" w:type="dxa"/>
            <w:tcBorders>
              <w:top w:val="single" w:color="auto" w:sz="6" w:space="0"/>
              <w:left w:val="single" w:color="auto" w:sz="6" w:space="0"/>
              <w:bottom w:val="single" w:color="auto" w:sz="6" w:space="0"/>
              <w:right w:val="single" w:color="auto" w:sz="6" w:space="0"/>
            </w:tcBorders>
            <w:vAlign w:val="center"/>
          </w:tcPr>
          <w:p w14:paraId="553E0B0A">
            <w:pPr>
              <w:autoSpaceDE w:val="0"/>
              <w:autoSpaceDN w:val="0"/>
              <w:adjustRightInd w:val="0"/>
              <w:snapToGrid w:val="0"/>
              <w:spacing w:line="240" w:lineRule="auto"/>
              <w:jc w:val="center"/>
              <w:rPr>
                <w:rFonts w:ascii="宋体" w:hAnsi="宋体" w:cs="宋体"/>
                <w:b/>
                <w:bCs/>
                <w:color w:val="auto"/>
                <w:sz w:val="24"/>
                <w:highlight w:val="none"/>
                <w:lang w:val="zh-CN"/>
              </w:rPr>
            </w:pPr>
            <w:r>
              <w:rPr>
                <w:rFonts w:hint="eastAsia" w:ascii="宋体" w:hAnsi="宋体" w:cs="宋体"/>
                <w:b/>
                <w:bCs/>
                <w:color w:val="auto"/>
                <w:sz w:val="24"/>
                <w:highlight w:val="none"/>
              </w:rPr>
              <w:t>合同履行期限</w:t>
            </w:r>
            <w:r>
              <w:rPr>
                <w:rFonts w:hint="eastAsia" w:ascii="宋体" w:hAnsi="宋体" w:cs="宋体"/>
                <w:b/>
                <w:bCs/>
                <w:color w:val="auto"/>
                <w:sz w:val="24"/>
                <w:highlight w:val="none"/>
                <w:lang w:eastAsia="zh-CN"/>
              </w:rPr>
              <w:t>（</w:t>
            </w:r>
            <w:r>
              <w:rPr>
                <w:rFonts w:hint="eastAsia" w:ascii="宋体" w:hAnsi="宋体" w:cs="宋体"/>
                <w:b/>
                <w:bCs/>
                <w:color w:val="auto"/>
                <w:sz w:val="24"/>
                <w:highlight w:val="none"/>
              </w:rPr>
              <w:t>交验</w:t>
            </w:r>
            <w:r>
              <w:rPr>
                <w:rFonts w:hint="eastAsia" w:ascii="宋体" w:hAnsi="宋体" w:cs="宋体"/>
                <w:b/>
                <w:bCs/>
                <w:color w:val="auto"/>
                <w:sz w:val="24"/>
                <w:highlight w:val="none"/>
                <w:lang w:val="zh-CN"/>
              </w:rPr>
              <w:t>期）</w:t>
            </w:r>
          </w:p>
        </w:tc>
        <w:tc>
          <w:tcPr>
            <w:tcW w:w="6240" w:type="dxa"/>
            <w:tcBorders>
              <w:top w:val="single" w:color="auto" w:sz="6" w:space="0"/>
              <w:left w:val="single" w:color="auto" w:sz="6" w:space="0"/>
              <w:bottom w:val="single" w:color="auto" w:sz="6" w:space="0"/>
              <w:right w:val="single" w:color="auto" w:sz="12" w:space="0"/>
            </w:tcBorders>
            <w:vAlign w:val="center"/>
          </w:tcPr>
          <w:p w14:paraId="7EAE41CB">
            <w:pPr>
              <w:autoSpaceDE w:val="0"/>
              <w:autoSpaceDN w:val="0"/>
              <w:adjustRightInd w:val="0"/>
              <w:snapToGrid w:val="0"/>
              <w:spacing w:before="120" w:beforeLines="50" w:line="360" w:lineRule="auto"/>
              <w:rPr>
                <w:rFonts w:ascii="宋体" w:hAnsi="宋体" w:cs="宋体"/>
                <w:bCs/>
                <w:color w:val="auto"/>
                <w:sz w:val="24"/>
                <w:highlight w:val="none"/>
                <w:lang w:val="zh-CN"/>
              </w:rPr>
            </w:pPr>
            <w:r>
              <w:rPr>
                <w:rFonts w:hint="eastAsia" w:ascii="宋体" w:hAnsi="宋体" w:cs="宋体"/>
                <w:color w:val="auto"/>
                <w:sz w:val="24"/>
                <w:highlight w:val="none"/>
              </w:rPr>
              <w:t>见“第二章 采购项目及技术服务要求”</w:t>
            </w:r>
            <w:r>
              <w:rPr>
                <w:rFonts w:hint="eastAsia" w:ascii="宋体" w:hAnsi="宋体" w:cs="宋体"/>
                <w:color w:val="auto"/>
                <w:sz w:val="24"/>
                <w:szCs w:val="24"/>
                <w:highlight w:val="none"/>
              </w:rPr>
              <w:t>相应条款</w:t>
            </w:r>
          </w:p>
        </w:tc>
      </w:tr>
      <w:tr w14:paraId="15711521">
        <w:tblPrEx>
          <w:tblCellMar>
            <w:top w:w="0" w:type="dxa"/>
            <w:left w:w="108" w:type="dxa"/>
            <w:bottom w:w="0" w:type="dxa"/>
            <w:right w:w="108" w:type="dxa"/>
          </w:tblCellMar>
        </w:tblPrEx>
        <w:trPr>
          <w:trHeight w:val="90" w:hRule="atLeast"/>
          <w:jc w:val="center"/>
        </w:trPr>
        <w:tc>
          <w:tcPr>
            <w:tcW w:w="508" w:type="dxa"/>
            <w:vMerge w:val="continue"/>
            <w:tcBorders>
              <w:left w:val="single" w:color="auto" w:sz="12" w:space="0"/>
              <w:right w:val="single" w:color="auto" w:sz="6" w:space="0"/>
            </w:tcBorders>
            <w:vAlign w:val="center"/>
          </w:tcPr>
          <w:p w14:paraId="25C0CF94">
            <w:pPr>
              <w:autoSpaceDE w:val="0"/>
              <w:autoSpaceDN w:val="0"/>
              <w:adjustRightInd w:val="0"/>
              <w:snapToGrid w:val="0"/>
              <w:spacing w:line="240" w:lineRule="auto"/>
              <w:jc w:val="center"/>
              <w:rPr>
                <w:rFonts w:ascii="宋体" w:hAnsi="宋体" w:cs="宋体"/>
                <w:b/>
                <w:bCs/>
                <w:color w:val="auto"/>
                <w:sz w:val="24"/>
                <w:highlight w:val="none"/>
                <w:lang w:val="zh-CN"/>
              </w:rPr>
            </w:pPr>
          </w:p>
        </w:tc>
        <w:tc>
          <w:tcPr>
            <w:tcW w:w="954" w:type="dxa"/>
            <w:tcBorders>
              <w:top w:val="single" w:color="auto" w:sz="6" w:space="0"/>
              <w:left w:val="single" w:color="auto" w:sz="12" w:space="0"/>
              <w:bottom w:val="single" w:color="auto" w:sz="6" w:space="0"/>
              <w:right w:val="single" w:color="auto" w:sz="6" w:space="0"/>
            </w:tcBorders>
            <w:vAlign w:val="center"/>
          </w:tcPr>
          <w:p w14:paraId="143A4532">
            <w:pPr>
              <w:autoSpaceDE w:val="0"/>
              <w:autoSpaceDN w:val="0"/>
              <w:adjustRightInd w:val="0"/>
              <w:snapToGrid w:val="0"/>
              <w:spacing w:line="240" w:lineRule="auto"/>
              <w:jc w:val="center"/>
              <w:rPr>
                <w:rFonts w:ascii="宋体" w:hAnsi="宋体" w:cs="宋体"/>
                <w:b/>
                <w:bCs/>
                <w:color w:val="auto"/>
                <w:szCs w:val="21"/>
                <w:highlight w:val="none"/>
                <w:lang w:val="zh-CN"/>
              </w:rPr>
            </w:pPr>
            <w:r>
              <w:rPr>
                <w:rFonts w:hint="eastAsia" w:ascii="宋体" w:hAnsi="宋体" w:cs="宋体"/>
                <w:b/>
                <w:bCs/>
                <w:color w:val="auto"/>
                <w:szCs w:val="21"/>
                <w:highlight w:val="none"/>
                <w:lang w:val="zh-CN"/>
              </w:rPr>
              <w:t>1.2</w:t>
            </w:r>
          </w:p>
        </w:tc>
        <w:tc>
          <w:tcPr>
            <w:tcW w:w="2051" w:type="dxa"/>
            <w:tcBorders>
              <w:top w:val="single" w:color="auto" w:sz="6" w:space="0"/>
              <w:left w:val="single" w:color="auto" w:sz="6" w:space="0"/>
              <w:bottom w:val="single" w:color="auto" w:sz="6" w:space="0"/>
              <w:right w:val="single" w:color="auto" w:sz="6" w:space="0"/>
            </w:tcBorders>
            <w:vAlign w:val="center"/>
          </w:tcPr>
          <w:p w14:paraId="06D3B911">
            <w:pPr>
              <w:autoSpaceDE w:val="0"/>
              <w:autoSpaceDN w:val="0"/>
              <w:adjustRightInd w:val="0"/>
              <w:snapToGrid w:val="0"/>
              <w:spacing w:line="240" w:lineRule="auto"/>
              <w:jc w:val="center"/>
              <w:rPr>
                <w:rFonts w:hint="eastAsia" w:ascii="宋体" w:hAnsi="宋体" w:eastAsia="宋体" w:cs="宋体"/>
                <w:b/>
                <w:bCs/>
                <w:color w:val="auto"/>
                <w:sz w:val="24"/>
                <w:highlight w:val="none"/>
                <w:lang w:val="en-US" w:eastAsia="zh-CN"/>
              </w:rPr>
            </w:pPr>
            <w:r>
              <w:rPr>
                <w:rFonts w:hint="eastAsia" w:ascii="宋体" w:hAnsi="宋体" w:cs="宋体"/>
                <w:b/>
                <w:bCs/>
                <w:color w:val="auto"/>
                <w:sz w:val="24"/>
                <w:highlight w:val="none"/>
                <w:lang w:val="zh-CN"/>
              </w:rPr>
              <w:t>交验地</w:t>
            </w:r>
            <w:r>
              <w:rPr>
                <w:rFonts w:hint="eastAsia" w:ascii="宋体" w:hAnsi="宋体" w:cs="宋体"/>
                <w:b/>
                <w:bCs/>
                <w:color w:val="auto"/>
                <w:sz w:val="24"/>
                <w:highlight w:val="none"/>
                <w:lang w:val="en-US" w:eastAsia="zh-CN"/>
              </w:rPr>
              <w:t>点</w:t>
            </w:r>
          </w:p>
        </w:tc>
        <w:tc>
          <w:tcPr>
            <w:tcW w:w="6240" w:type="dxa"/>
            <w:tcBorders>
              <w:top w:val="single" w:color="auto" w:sz="6" w:space="0"/>
              <w:left w:val="single" w:color="auto" w:sz="6" w:space="0"/>
              <w:bottom w:val="single" w:color="auto" w:sz="6" w:space="0"/>
              <w:right w:val="single" w:color="auto" w:sz="12" w:space="0"/>
            </w:tcBorders>
            <w:vAlign w:val="center"/>
          </w:tcPr>
          <w:p w14:paraId="270EEB87">
            <w:pPr>
              <w:autoSpaceDE w:val="0"/>
              <w:autoSpaceDN w:val="0"/>
              <w:adjustRightInd w:val="0"/>
              <w:snapToGrid w:val="0"/>
              <w:spacing w:before="120" w:beforeLines="50" w:line="360" w:lineRule="auto"/>
              <w:rPr>
                <w:rFonts w:ascii="宋体" w:hAnsi="宋体" w:cs="宋体"/>
                <w:color w:val="auto"/>
                <w:sz w:val="24"/>
                <w:highlight w:val="none"/>
                <w:lang w:val="zh-CN"/>
              </w:rPr>
            </w:pPr>
            <w:r>
              <w:rPr>
                <w:rFonts w:hint="eastAsia" w:ascii="宋体" w:hAnsi="宋体" w:cs="宋体"/>
                <w:color w:val="auto"/>
                <w:sz w:val="24"/>
                <w:highlight w:val="none"/>
                <w:lang w:val="zh-CN"/>
              </w:rPr>
              <w:t>见“第二</w:t>
            </w:r>
            <w:r>
              <w:rPr>
                <w:rFonts w:hint="eastAsia" w:ascii="宋体" w:hAnsi="宋体" w:cs="宋体"/>
                <w:color w:val="auto"/>
                <w:sz w:val="24"/>
                <w:szCs w:val="24"/>
                <w:highlight w:val="none"/>
              </w:rPr>
              <w:t xml:space="preserve">章 </w:t>
            </w:r>
            <w:r>
              <w:rPr>
                <w:rFonts w:hint="eastAsia" w:ascii="宋体" w:hAnsi="宋体" w:cs="宋体"/>
                <w:color w:val="auto"/>
                <w:sz w:val="24"/>
                <w:highlight w:val="none"/>
                <w:lang w:val="zh-CN"/>
              </w:rPr>
              <w:t>采购项目及技术服务要求”</w:t>
            </w:r>
            <w:r>
              <w:rPr>
                <w:rFonts w:hint="eastAsia" w:ascii="宋体" w:hAnsi="宋体" w:cs="宋体"/>
                <w:color w:val="auto"/>
                <w:sz w:val="24"/>
                <w:szCs w:val="24"/>
                <w:highlight w:val="none"/>
              </w:rPr>
              <w:t>相应条款</w:t>
            </w:r>
          </w:p>
        </w:tc>
      </w:tr>
      <w:tr w14:paraId="0C2ADDF0">
        <w:tblPrEx>
          <w:tblCellMar>
            <w:top w:w="0" w:type="dxa"/>
            <w:left w:w="108" w:type="dxa"/>
            <w:bottom w:w="0" w:type="dxa"/>
            <w:right w:w="108" w:type="dxa"/>
          </w:tblCellMar>
        </w:tblPrEx>
        <w:trPr>
          <w:trHeight w:val="90" w:hRule="atLeast"/>
          <w:jc w:val="center"/>
        </w:trPr>
        <w:tc>
          <w:tcPr>
            <w:tcW w:w="508" w:type="dxa"/>
            <w:vMerge w:val="continue"/>
            <w:tcBorders>
              <w:left w:val="single" w:color="auto" w:sz="12" w:space="0"/>
              <w:right w:val="single" w:color="auto" w:sz="6" w:space="0"/>
            </w:tcBorders>
            <w:vAlign w:val="center"/>
          </w:tcPr>
          <w:p w14:paraId="679BFD8D">
            <w:pPr>
              <w:autoSpaceDE w:val="0"/>
              <w:autoSpaceDN w:val="0"/>
              <w:adjustRightInd w:val="0"/>
              <w:snapToGrid w:val="0"/>
              <w:spacing w:line="240" w:lineRule="auto"/>
              <w:jc w:val="center"/>
              <w:rPr>
                <w:rFonts w:ascii="宋体" w:hAnsi="宋体" w:cs="宋体"/>
                <w:b/>
                <w:bCs/>
                <w:color w:val="auto"/>
                <w:sz w:val="24"/>
                <w:highlight w:val="none"/>
                <w:lang w:val="zh-CN"/>
              </w:rPr>
            </w:pPr>
          </w:p>
        </w:tc>
        <w:tc>
          <w:tcPr>
            <w:tcW w:w="954" w:type="dxa"/>
            <w:tcBorders>
              <w:top w:val="single" w:color="auto" w:sz="6" w:space="0"/>
              <w:left w:val="single" w:color="auto" w:sz="12" w:space="0"/>
              <w:bottom w:val="single" w:color="auto" w:sz="6" w:space="0"/>
              <w:right w:val="single" w:color="auto" w:sz="6" w:space="0"/>
            </w:tcBorders>
            <w:vAlign w:val="center"/>
          </w:tcPr>
          <w:p w14:paraId="42DB8533">
            <w:pPr>
              <w:autoSpaceDE w:val="0"/>
              <w:autoSpaceDN w:val="0"/>
              <w:adjustRightInd w:val="0"/>
              <w:snapToGrid w:val="0"/>
              <w:spacing w:line="240" w:lineRule="auto"/>
              <w:jc w:val="center"/>
              <w:rPr>
                <w:rFonts w:ascii="宋体" w:hAnsi="宋体" w:cs="宋体"/>
                <w:b/>
                <w:bCs/>
                <w:color w:val="auto"/>
                <w:szCs w:val="21"/>
                <w:highlight w:val="none"/>
                <w:lang w:val="zh-CN"/>
              </w:rPr>
            </w:pPr>
            <w:r>
              <w:rPr>
                <w:rFonts w:hint="eastAsia" w:ascii="宋体" w:hAnsi="宋体" w:cs="宋体"/>
                <w:b/>
                <w:bCs/>
                <w:color w:val="auto"/>
                <w:szCs w:val="21"/>
                <w:highlight w:val="none"/>
                <w:lang w:val="zh-CN"/>
              </w:rPr>
              <w:t>1.3</w:t>
            </w:r>
          </w:p>
        </w:tc>
        <w:tc>
          <w:tcPr>
            <w:tcW w:w="2051" w:type="dxa"/>
            <w:tcBorders>
              <w:top w:val="single" w:color="auto" w:sz="6" w:space="0"/>
              <w:left w:val="single" w:color="auto" w:sz="6" w:space="0"/>
              <w:bottom w:val="single" w:color="auto" w:sz="6" w:space="0"/>
              <w:right w:val="single" w:color="auto" w:sz="6" w:space="0"/>
            </w:tcBorders>
            <w:vAlign w:val="center"/>
          </w:tcPr>
          <w:p w14:paraId="3F93ACC9">
            <w:pPr>
              <w:autoSpaceDE w:val="0"/>
              <w:autoSpaceDN w:val="0"/>
              <w:adjustRightInd w:val="0"/>
              <w:snapToGrid w:val="0"/>
              <w:spacing w:line="240" w:lineRule="auto"/>
              <w:jc w:val="center"/>
              <w:rPr>
                <w:rFonts w:ascii="宋体" w:hAnsi="宋体" w:cs="宋体"/>
                <w:b/>
                <w:color w:val="auto"/>
                <w:sz w:val="24"/>
                <w:szCs w:val="24"/>
                <w:highlight w:val="none"/>
              </w:rPr>
            </w:pPr>
            <w:r>
              <w:rPr>
                <w:rFonts w:hint="eastAsia" w:ascii="宋体" w:hAnsi="宋体" w:cs="宋体"/>
                <w:b/>
                <w:color w:val="auto"/>
                <w:sz w:val="24"/>
                <w:szCs w:val="24"/>
                <w:highlight w:val="none"/>
              </w:rPr>
              <w:t>磋商报价</w:t>
            </w:r>
          </w:p>
        </w:tc>
        <w:tc>
          <w:tcPr>
            <w:tcW w:w="6240" w:type="dxa"/>
            <w:tcBorders>
              <w:top w:val="single" w:color="auto" w:sz="6" w:space="0"/>
              <w:left w:val="single" w:color="auto" w:sz="6" w:space="0"/>
              <w:bottom w:val="single" w:color="auto" w:sz="6" w:space="0"/>
              <w:right w:val="single" w:color="auto" w:sz="12" w:space="0"/>
            </w:tcBorders>
            <w:vAlign w:val="center"/>
          </w:tcPr>
          <w:p w14:paraId="2478D604">
            <w:pPr>
              <w:autoSpaceDE w:val="0"/>
              <w:autoSpaceDN w:val="0"/>
              <w:adjustRightInd w:val="0"/>
              <w:snapToGrid w:val="0"/>
              <w:spacing w:before="120" w:beforeLines="50" w:line="360" w:lineRule="auto"/>
              <w:rPr>
                <w:rFonts w:ascii="宋体" w:hAnsi="宋体" w:cs="宋体"/>
                <w:color w:val="auto"/>
                <w:sz w:val="24"/>
                <w:szCs w:val="24"/>
                <w:highlight w:val="none"/>
              </w:rPr>
            </w:pPr>
            <w:r>
              <w:rPr>
                <w:rFonts w:hint="eastAsia" w:ascii="宋体" w:hAnsi="宋体" w:cs="宋体"/>
                <w:color w:val="auto"/>
                <w:sz w:val="24"/>
                <w:szCs w:val="24"/>
                <w:highlight w:val="none"/>
              </w:rPr>
              <w:t>见“第二章 采购项目及技术服务要求”相应条款</w:t>
            </w:r>
          </w:p>
        </w:tc>
      </w:tr>
      <w:tr w14:paraId="4B191771">
        <w:tblPrEx>
          <w:tblCellMar>
            <w:top w:w="0" w:type="dxa"/>
            <w:left w:w="108" w:type="dxa"/>
            <w:bottom w:w="0" w:type="dxa"/>
            <w:right w:w="108" w:type="dxa"/>
          </w:tblCellMar>
        </w:tblPrEx>
        <w:trPr>
          <w:trHeight w:val="321" w:hRule="atLeast"/>
          <w:jc w:val="center"/>
        </w:trPr>
        <w:tc>
          <w:tcPr>
            <w:tcW w:w="508" w:type="dxa"/>
            <w:vMerge w:val="continue"/>
            <w:tcBorders>
              <w:left w:val="single" w:color="auto" w:sz="12" w:space="0"/>
              <w:right w:val="single" w:color="auto" w:sz="6" w:space="0"/>
            </w:tcBorders>
            <w:vAlign w:val="center"/>
          </w:tcPr>
          <w:p w14:paraId="4B0D2391">
            <w:pPr>
              <w:autoSpaceDE w:val="0"/>
              <w:autoSpaceDN w:val="0"/>
              <w:adjustRightInd w:val="0"/>
              <w:snapToGrid w:val="0"/>
              <w:spacing w:line="240" w:lineRule="auto"/>
              <w:jc w:val="center"/>
              <w:rPr>
                <w:rFonts w:ascii="宋体" w:hAnsi="宋体" w:cs="宋体"/>
                <w:b/>
                <w:bCs/>
                <w:color w:val="auto"/>
                <w:sz w:val="24"/>
                <w:highlight w:val="none"/>
                <w:lang w:val="zh-CN"/>
              </w:rPr>
            </w:pPr>
          </w:p>
        </w:tc>
        <w:tc>
          <w:tcPr>
            <w:tcW w:w="954" w:type="dxa"/>
            <w:tcBorders>
              <w:top w:val="single" w:color="auto" w:sz="6" w:space="0"/>
              <w:left w:val="single" w:color="auto" w:sz="12" w:space="0"/>
              <w:bottom w:val="single" w:color="auto" w:sz="6" w:space="0"/>
              <w:right w:val="single" w:color="auto" w:sz="6" w:space="0"/>
            </w:tcBorders>
            <w:vAlign w:val="center"/>
          </w:tcPr>
          <w:p w14:paraId="624FD0BB">
            <w:pPr>
              <w:autoSpaceDE w:val="0"/>
              <w:autoSpaceDN w:val="0"/>
              <w:adjustRightInd w:val="0"/>
              <w:snapToGrid w:val="0"/>
              <w:spacing w:line="240" w:lineRule="auto"/>
              <w:jc w:val="center"/>
              <w:rPr>
                <w:rFonts w:ascii="宋体" w:hAnsi="宋体" w:cs="宋体"/>
                <w:b/>
                <w:bCs/>
                <w:color w:val="auto"/>
                <w:szCs w:val="21"/>
                <w:highlight w:val="none"/>
                <w:lang w:val="zh-CN"/>
              </w:rPr>
            </w:pPr>
            <w:r>
              <w:rPr>
                <w:rFonts w:hint="eastAsia" w:ascii="宋体" w:hAnsi="宋体" w:cs="宋体"/>
                <w:b/>
                <w:bCs/>
                <w:color w:val="auto"/>
                <w:szCs w:val="21"/>
                <w:highlight w:val="none"/>
                <w:lang w:val="zh-CN"/>
              </w:rPr>
              <w:t>2</w:t>
            </w:r>
          </w:p>
        </w:tc>
        <w:tc>
          <w:tcPr>
            <w:tcW w:w="2051" w:type="dxa"/>
            <w:tcBorders>
              <w:top w:val="single" w:color="auto" w:sz="6" w:space="0"/>
              <w:left w:val="single" w:color="auto" w:sz="6" w:space="0"/>
              <w:bottom w:val="single" w:color="auto" w:sz="6" w:space="0"/>
              <w:right w:val="single" w:color="auto" w:sz="6" w:space="0"/>
            </w:tcBorders>
            <w:vAlign w:val="center"/>
          </w:tcPr>
          <w:p w14:paraId="0DC25773">
            <w:pPr>
              <w:autoSpaceDE w:val="0"/>
              <w:autoSpaceDN w:val="0"/>
              <w:adjustRightInd w:val="0"/>
              <w:snapToGrid w:val="0"/>
              <w:spacing w:line="240" w:lineRule="auto"/>
              <w:jc w:val="center"/>
              <w:rPr>
                <w:rFonts w:ascii="宋体" w:hAnsi="宋体" w:cs="宋体"/>
                <w:b/>
                <w:bCs/>
                <w:color w:val="auto"/>
                <w:sz w:val="24"/>
                <w:highlight w:val="none"/>
                <w:lang w:val="zh-CN"/>
              </w:rPr>
            </w:pPr>
            <w:r>
              <w:rPr>
                <w:rFonts w:hint="eastAsia" w:ascii="宋体" w:hAnsi="宋体" w:cs="宋体"/>
                <w:b/>
                <w:bCs/>
                <w:color w:val="auto"/>
                <w:sz w:val="24"/>
                <w:highlight w:val="none"/>
                <w:lang w:val="zh-CN"/>
              </w:rPr>
              <w:t>标段（包）内容（范围）及基本技术要求</w:t>
            </w:r>
          </w:p>
        </w:tc>
        <w:tc>
          <w:tcPr>
            <w:tcW w:w="6240" w:type="dxa"/>
            <w:tcBorders>
              <w:top w:val="single" w:color="auto" w:sz="6" w:space="0"/>
              <w:left w:val="single" w:color="auto" w:sz="6" w:space="0"/>
              <w:bottom w:val="single" w:color="auto" w:sz="6" w:space="0"/>
              <w:right w:val="single" w:color="auto" w:sz="12" w:space="0"/>
            </w:tcBorders>
            <w:vAlign w:val="center"/>
          </w:tcPr>
          <w:p w14:paraId="4BA6A98E">
            <w:pPr>
              <w:autoSpaceDE w:val="0"/>
              <w:autoSpaceDN w:val="0"/>
              <w:adjustRightInd w:val="0"/>
              <w:snapToGrid w:val="0"/>
              <w:spacing w:before="120" w:beforeLines="50" w:line="360" w:lineRule="auto"/>
              <w:rPr>
                <w:rFonts w:ascii="宋体" w:hAnsi="宋体" w:cs="宋体"/>
                <w:color w:val="auto"/>
                <w:sz w:val="24"/>
                <w:highlight w:val="none"/>
                <w:lang w:val="zh-CN"/>
              </w:rPr>
            </w:pPr>
            <w:r>
              <w:rPr>
                <w:rFonts w:hint="eastAsia" w:ascii="宋体" w:hAnsi="宋体" w:cs="宋体"/>
                <w:color w:val="auto"/>
                <w:sz w:val="24"/>
                <w:highlight w:val="none"/>
                <w:lang w:val="zh-CN"/>
              </w:rPr>
              <w:t>见“第二</w:t>
            </w:r>
            <w:r>
              <w:rPr>
                <w:rFonts w:hint="eastAsia" w:ascii="宋体" w:hAnsi="宋体" w:cs="宋体"/>
                <w:color w:val="auto"/>
                <w:sz w:val="24"/>
                <w:szCs w:val="24"/>
                <w:highlight w:val="none"/>
              </w:rPr>
              <w:t xml:space="preserve">章 </w:t>
            </w:r>
            <w:r>
              <w:rPr>
                <w:rFonts w:hint="eastAsia" w:ascii="宋体" w:hAnsi="宋体" w:cs="宋体"/>
                <w:color w:val="auto"/>
                <w:sz w:val="24"/>
                <w:highlight w:val="none"/>
                <w:lang w:val="zh-CN"/>
              </w:rPr>
              <w:t>采购项目及技术服务要求”</w:t>
            </w:r>
            <w:r>
              <w:rPr>
                <w:rFonts w:hint="eastAsia" w:ascii="宋体" w:hAnsi="宋体" w:cs="宋体"/>
                <w:color w:val="auto"/>
                <w:sz w:val="24"/>
                <w:szCs w:val="24"/>
                <w:highlight w:val="none"/>
              </w:rPr>
              <w:t>相应条款</w:t>
            </w:r>
          </w:p>
        </w:tc>
      </w:tr>
      <w:tr w14:paraId="59D700B4">
        <w:tblPrEx>
          <w:tblCellMar>
            <w:top w:w="0" w:type="dxa"/>
            <w:left w:w="108" w:type="dxa"/>
            <w:bottom w:w="0" w:type="dxa"/>
            <w:right w:w="108" w:type="dxa"/>
          </w:tblCellMar>
        </w:tblPrEx>
        <w:trPr>
          <w:trHeight w:val="321" w:hRule="atLeast"/>
          <w:jc w:val="center"/>
        </w:trPr>
        <w:tc>
          <w:tcPr>
            <w:tcW w:w="508" w:type="dxa"/>
            <w:vMerge w:val="continue"/>
            <w:tcBorders>
              <w:left w:val="single" w:color="auto" w:sz="12" w:space="0"/>
              <w:right w:val="single" w:color="auto" w:sz="6" w:space="0"/>
            </w:tcBorders>
            <w:vAlign w:val="center"/>
          </w:tcPr>
          <w:p w14:paraId="098C5282">
            <w:pPr>
              <w:autoSpaceDE w:val="0"/>
              <w:autoSpaceDN w:val="0"/>
              <w:adjustRightInd w:val="0"/>
              <w:snapToGrid w:val="0"/>
              <w:spacing w:line="240" w:lineRule="auto"/>
              <w:jc w:val="center"/>
              <w:rPr>
                <w:rFonts w:ascii="宋体" w:hAnsi="宋体" w:cs="宋体"/>
                <w:b/>
                <w:bCs/>
                <w:color w:val="auto"/>
                <w:sz w:val="24"/>
                <w:highlight w:val="none"/>
                <w:lang w:val="zh-CN"/>
              </w:rPr>
            </w:pPr>
          </w:p>
        </w:tc>
        <w:tc>
          <w:tcPr>
            <w:tcW w:w="954" w:type="dxa"/>
            <w:tcBorders>
              <w:top w:val="single" w:color="auto" w:sz="6" w:space="0"/>
              <w:left w:val="single" w:color="auto" w:sz="12" w:space="0"/>
              <w:bottom w:val="single" w:color="auto" w:sz="6" w:space="0"/>
              <w:right w:val="single" w:color="auto" w:sz="6" w:space="0"/>
            </w:tcBorders>
            <w:vAlign w:val="center"/>
          </w:tcPr>
          <w:p w14:paraId="757749A4">
            <w:pPr>
              <w:autoSpaceDE w:val="0"/>
              <w:autoSpaceDN w:val="0"/>
              <w:adjustRightInd w:val="0"/>
              <w:snapToGrid w:val="0"/>
              <w:spacing w:line="240" w:lineRule="auto"/>
              <w:jc w:val="center"/>
              <w:rPr>
                <w:rFonts w:ascii="宋体" w:hAnsi="宋体" w:cs="宋体"/>
                <w:b/>
                <w:bCs/>
                <w:color w:val="auto"/>
                <w:szCs w:val="21"/>
                <w:highlight w:val="none"/>
                <w:lang w:val="zh-CN"/>
              </w:rPr>
            </w:pPr>
            <w:r>
              <w:rPr>
                <w:rFonts w:hint="eastAsia" w:ascii="宋体" w:hAnsi="宋体" w:cs="宋体"/>
                <w:b/>
                <w:bCs/>
                <w:color w:val="auto"/>
                <w:szCs w:val="21"/>
                <w:highlight w:val="none"/>
                <w:lang w:val="zh-CN"/>
              </w:rPr>
              <w:t>2.7</w:t>
            </w:r>
          </w:p>
        </w:tc>
        <w:tc>
          <w:tcPr>
            <w:tcW w:w="2051" w:type="dxa"/>
            <w:tcBorders>
              <w:top w:val="single" w:color="auto" w:sz="6" w:space="0"/>
              <w:left w:val="single" w:color="auto" w:sz="6" w:space="0"/>
              <w:bottom w:val="single" w:color="auto" w:sz="6" w:space="0"/>
              <w:right w:val="single" w:color="auto" w:sz="6" w:space="0"/>
            </w:tcBorders>
            <w:vAlign w:val="center"/>
          </w:tcPr>
          <w:p w14:paraId="65594813">
            <w:pPr>
              <w:autoSpaceDE w:val="0"/>
              <w:autoSpaceDN w:val="0"/>
              <w:adjustRightInd w:val="0"/>
              <w:snapToGrid w:val="0"/>
              <w:spacing w:line="240" w:lineRule="auto"/>
              <w:jc w:val="center"/>
              <w:rPr>
                <w:rFonts w:ascii="宋体" w:hAnsi="宋体" w:cs="宋体"/>
                <w:b/>
                <w:bCs/>
                <w:color w:val="auto"/>
                <w:sz w:val="24"/>
                <w:highlight w:val="none"/>
                <w:lang w:val="zh-CN"/>
              </w:rPr>
            </w:pPr>
            <w:r>
              <w:rPr>
                <w:rFonts w:hint="eastAsia" w:ascii="宋体" w:hAnsi="宋体" w:cs="宋体"/>
                <w:b/>
                <w:bCs/>
                <w:color w:val="auto"/>
                <w:sz w:val="24"/>
                <w:highlight w:val="none"/>
                <w:lang w:val="zh-CN"/>
              </w:rPr>
              <w:t>技术偏离</w:t>
            </w:r>
          </w:p>
        </w:tc>
        <w:tc>
          <w:tcPr>
            <w:tcW w:w="6240" w:type="dxa"/>
            <w:tcBorders>
              <w:top w:val="single" w:color="auto" w:sz="6" w:space="0"/>
              <w:left w:val="single" w:color="auto" w:sz="6" w:space="0"/>
              <w:bottom w:val="single" w:color="auto" w:sz="6" w:space="0"/>
              <w:right w:val="single" w:color="auto" w:sz="12" w:space="0"/>
            </w:tcBorders>
            <w:vAlign w:val="center"/>
          </w:tcPr>
          <w:p w14:paraId="1E9E19DB">
            <w:pPr>
              <w:autoSpaceDE w:val="0"/>
              <w:autoSpaceDN w:val="0"/>
              <w:adjustRightInd w:val="0"/>
              <w:snapToGrid w:val="0"/>
              <w:spacing w:before="120" w:beforeLines="50" w:line="360" w:lineRule="auto"/>
              <w:rPr>
                <w:rFonts w:ascii="宋体" w:hAnsi="宋体" w:cs="宋体"/>
                <w:color w:val="auto"/>
                <w:sz w:val="24"/>
                <w:highlight w:val="none"/>
                <w:lang w:val="zh-CN"/>
              </w:rPr>
            </w:pPr>
            <w:r>
              <w:rPr>
                <w:rFonts w:hint="eastAsia" w:ascii="宋体" w:hAnsi="宋体" w:cs="宋体"/>
                <w:color w:val="auto"/>
                <w:sz w:val="24"/>
                <w:highlight w:val="none"/>
                <w:lang w:val="zh-CN"/>
              </w:rPr>
              <w:t>见“第二</w:t>
            </w:r>
            <w:r>
              <w:rPr>
                <w:rFonts w:hint="eastAsia" w:ascii="宋体" w:hAnsi="宋体" w:cs="宋体"/>
                <w:color w:val="auto"/>
                <w:sz w:val="24"/>
                <w:szCs w:val="24"/>
                <w:highlight w:val="none"/>
              </w:rPr>
              <w:t xml:space="preserve">章 </w:t>
            </w:r>
            <w:r>
              <w:rPr>
                <w:rFonts w:hint="eastAsia" w:ascii="宋体" w:hAnsi="宋体" w:cs="宋体"/>
                <w:color w:val="auto"/>
                <w:sz w:val="24"/>
                <w:highlight w:val="none"/>
                <w:lang w:val="zh-CN"/>
              </w:rPr>
              <w:t>采购项目及技术服务要求”</w:t>
            </w:r>
            <w:r>
              <w:rPr>
                <w:rFonts w:hint="eastAsia" w:ascii="宋体" w:hAnsi="宋体" w:cs="宋体"/>
                <w:color w:val="auto"/>
                <w:sz w:val="24"/>
                <w:szCs w:val="24"/>
                <w:highlight w:val="none"/>
              </w:rPr>
              <w:t>相应条款</w:t>
            </w:r>
          </w:p>
        </w:tc>
      </w:tr>
      <w:tr w14:paraId="3462EFC1">
        <w:tblPrEx>
          <w:tblCellMar>
            <w:top w:w="0" w:type="dxa"/>
            <w:left w:w="108" w:type="dxa"/>
            <w:bottom w:w="0" w:type="dxa"/>
            <w:right w:w="108" w:type="dxa"/>
          </w:tblCellMar>
        </w:tblPrEx>
        <w:trPr>
          <w:trHeight w:val="303" w:hRule="atLeast"/>
          <w:jc w:val="center"/>
        </w:trPr>
        <w:tc>
          <w:tcPr>
            <w:tcW w:w="508" w:type="dxa"/>
            <w:vMerge w:val="continue"/>
            <w:tcBorders>
              <w:left w:val="single" w:color="auto" w:sz="12" w:space="0"/>
              <w:bottom w:val="single" w:color="auto" w:sz="6" w:space="0"/>
              <w:right w:val="single" w:color="auto" w:sz="6" w:space="0"/>
            </w:tcBorders>
            <w:vAlign w:val="center"/>
          </w:tcPr>
          <w:p w14:paraId="7532E1D6">
            <w:pPr>
              <w:autoSpaceDE w:val="0"/>
              <w:autoSpaceDN w:val="0"/>
              <w:adjustRightInd w:val="0"/>
              <w:snapToGrid w:val="0"/>
              <w:spacing w:line="240" w:lineRule="auto"/>
              <w:jc w:val="center"/>
              <w:rPr>
                <w:rFonts w:ascii="宋体" w:hAnsi="宋体" w:cs="宋体"/>
                <w:b/>
                <w:bCs/>
                <w:color w:val="auto"/>
                <w:sz w:val="24"/>
                <w:highlight w:val="none"/>
                <w:lang w:val="zh-CN"/>
              </w:rPr>
            </w:pPr>
          </w:p>
        </w:tc>
        <w:tc>
          <w:tcPr>
            <w:tcW w:w="954" w:type="dxa"/>
            <w:tcBorders>
              <w:top w:val="single" w:color="auto" w:sz="6" w:space="0"/>
              <w:left w:val="single" w:color="auto" w:sz="12" w:space="0"/>
              <w:bottom w:val="single" w:color="auto" w:sz="6" w:space="0"/>
              <w:right w:val="single" w:color="auto" w:sz="6" w:space="0"/>
            </w:tcBorders>
            <w:vAlign w:val="center"/>
          </w:tcPr>
          <w:p w14:paraId="571509A2">
            <w:pPr>
              <w:autoSpaceDE w:val="0"/>
              <w:autoSpaceDN w:val="0"/>
              <w:adjustRightInd w:val="0"/>
              <w:snapToGrid w:val="0"/>
              <w:spacing w:line="240" w:lineRule="auto"/>
              <w:jc w:val="center"/>
              <w:rPr>
                <w:rFonts w:ascii="宋体" w:hAnsi="宋体" w:cs="宋体"/>
                <w:b/>
                <w:bCs/>
                <w:color w:val="auto"/>
                <w:szCs w:val="21"/>
                <w:highlight w:val="none"/>
                <w:lang w:val="zh-CN"/>
              </w:rPr>
            </w:pPr>
            <w:r>
              <w:rPr>
                <w:rFonts w:hint="eastAsia" w:ascii="宋体" w:hAnsi="宋体" w:cs="宋体"/>
                <w:b/>
                <w:bCs/>
                <w:color w:val="auto"/>
                <w:szCs w:val="21"/>
                <w:highlight w:val="none"/>
                <w:lang w:val="zh-CN"/>
              </w:rPr>
              <w:t>2.8</w:t>
            </w:r>
          </w:p>
        </w:tc>
        <w:tc>
          <w:tcPr>
            <w:tcW w:w="2051" w:type="dxa"/>
            <w:tcBorders>
              <w:top w:val="single" w:color="auto" w:sz="6" w:space="0"/>
              <w:left w:val="single" w:color="auto" w:sz="6" w:space="0"/>
              <w:bottom w:val="single" w:color="auto" w:sz="6" w:space="0"/>
              <w:right w:val="single" w:color="auto" w:sz="6" w:space="0"/>
            </w:tcBorders>
            <w:vAlign w:val="center"/>
          </w:tcPr>
          <w:p w14:paraId="0F847B9A">
            <w:pPr>
              <w:autoSpaceDE w:val="0"/>
              <w:autoSpaceDN w:val="0"/>
              <w:adjustRightInd w:val="0"/>
              <w:snapToGrid w:val="0"/>
              <w:spacing w:line="240" w:lineRule="auto"/>
              <w:jc w:val="center"/>
              <w:rPr>
                <w:rFonts w:ascii="宋体" w:hAnsi="宋体" w:cs="宋体"/>
                <w:b/>
                <w:bCs/>
                <w:color w:val="auto"/>
                <w:sz w:val="24"/>
                <w:highlight w:val="none"/>
                <w:lang w:val="zh-CN"/>
              </w:rPr>
            </w:pPr>
            <w:r>
              <w:rPr>
                <w:rFonts w:hint="eastAsia" w:ascii="宋体" w:hAnsi="宋体" w:cs="宋体"/>
                <w:b/>
                <w:bCs/>
                <w:color w:val="auto"/>
                <w:sz w:val="24"/>
                <w:highlight w:val="none"/>
                <w:lang w:val="zh-CN"/>
              </w:rPr>
              <w:t>售后服务</w:t>
            </w:r>
          </w:p>
        </w:tc>
        <w:tc>
          <w:tcPr>
            <w:tcW w:w="6240" w:type="dxa"/>
            <w:tcBorders>
              <w:top w:val="single" w:color="auto" w:sz="6" w:space="0"/>
              <w:left w:val="single" w:color="auto" w:sz="6" w:space="0"/>
              <w:bottom w:val="single" w:color="auto" w:sz="6" w:space="0"/>
              <w:right w:val="single" w:color="auto" w:sz="12" w:space="0"/>
            </w:tcBorders>
            <w:vAlign w:val="center"/>
          </w:tcPr>
          <w:p w14:paraId="0F166D66">
            <w:pPr>
              <w:autoSpaceDE w:val="0"/>
              <w:autoSpaceDN w:val="0"/>
              <w:adjustRightInd w:val="0"/>
              <w:snapToGrid w:val="0"/>
              <w:spacing w:before="120" w:beforeLines="50" w:line="360" w:lineRule="auto"/>
              <w:rPr>
                <w:rFonts w:ascii="宋体" w:hAnsi="宋体" w:cs="宋体"/>
                <w:color w:val="auto"/>
                <w:sz w:val="24"/>
                <w:highlight w:val="none"/>
                <w:lang w:val="zh-CN"/>
              </w:rPr>
            </w:pPr>
            <w:r>
              <w:rPr>
                <w:rFonts w:hint="eastAsia" w:ascii="宋体" w:hAnsi="宋体" w:cs="宋体"/>
                <w:color w:val="auto"/>
                <w:sz w:val="24"/>
                <w:highlight w:val="none"/>
                <w:lang w:val="zh-CN"/>
              </w:rPr>
              <w:t>见“第二章 采购项目及技术服务要求”</w:t>
            </w:r>
            <w:r>
              <w:rPr>
                <w:rFonts w:hint="eastAsia" w:ascii="宋体" w:hAnsi="宋体" w:cs="宋体"/>
                <w:color w:val="auto"/>
                <w:sz w:val="24"/>
                <w:szCs w:val="24"/>
                <w:highlight w:val="none"/>
              </w:rPr>
              <w:t>相应条款</w:t>
            </w:r>
          </w:p>
        </w:tc>
      </w:tr>
      <w:tr w14:paraId="417D7609">
        <w:tblPrEx>
          <w:tblCellMar>
            <w:top w:w="0" w:type="dxa"/>
            <w:left w:w="108" w:type="dxa"/>
            <w:bottom w:w="0" w:type="dxa"/>
            <w:right w:w="108" w:type="dxa"/>
          </w:tblCellMar>
        </w:tblPrEx>
        <w:trPr>
          <w:trHeight w:val="366" w:hRule="atLeast"/>
          <w:jc w:val="center"/>
        </w:trPr>
        <w:tc>
          <w:tcPr>
            <w:tcW w:w="508" w:type="dxa"/>
            <w:vMerge w:val="restart"/>
            <w:tcBorders>
              <w:top w:val="single" w:color="auto" w:sz="6" w:space="0"/>
              <w:left w:val="single" w:color="auto" w:sz="12" w:space="0"/>
              <w:right w:val="single" w:color="auto" w:sz="6" w:space="0"/>
            </w:tcBorders>
            <w:vAlign w:val="center"/>
          </w:tcPr>
          <w:p w14:paraId="12DAE506">
            <w:pPr>
              <w:autoSpaceDE w:val="0"/>
              <w:autoSpaceDN w:val="0"/>
              <w:adjustRightInd w:val="0"/>
              <w:snapToGrid w:val="0"/>
              <w:spacing w:line="240" w:lineRule="auto"/>
              <w:jc w:val="center"/>
              <w:rPr>
                <w:rFonts w:ascii="宋体" w:hAnsi="宋体" w:cs="宋体"/>
                <w:b/>
                <w:bCs/>
                <w:color w:val="auto"/>
                <w:sz w:val="24"/>
                <w:highlight w:val="none"/>
                <w:lang w:val="zh-CN"/>
              </w:rPr>
            </w:pPr>
            <w:r>
              <w:rPr>
                <w:rFonts w:hint="eastAsia" w:ascii="宋体" w:hAnsi="宋体" w:cs="宋体"/>
                <w:b/>
                <w:bCs/>
                <w:color w:val="auto"/>
                <w:sz w:val="24"/>
                <w:highlight w:val="none"/>
                <w:lang w:val="zh-CN"/>
              </w:rPr>
              <w:t>第三章</w:t>
            </w:r>
          </w:p>
        </w:tc>
        <w:tc>
          <w:tcPr>
            <w:tcW w:w="954" w:type="dxa"/>
            <w:tcBorders>
              <w:top w:val="single" w:color="auto" w:sz="6" w:space="0"/>
              <w:left w:val="single" w:color="auto" w:sz="12" w:space="0"/>
              <w:bottom w:val="single" w:color="auto" w:sz="6" w:space="0"/>
              <w:right w:val="single" w:color="auto" w:sz="6" w:space="0"/>
            </w:tcBorders>
            <w:vAlign w:val="center"/>
          </w:tcPr>
          <w:p w14:paraId="12F66417">
            <w:pPr>
              <w:autoSpaceDE w:val="0"/>
              <w:autoSpaceDN w:val="0"/>
              <w:adjustRightInd w:val="0"/>
              <w:snapToGrid w:val="0"/>
              <w:spacing w:line="240" w:lineRule="auto"/>
              <w:jc w:val="center"/>
              <w:rPr>
                <w:rFonts w:ascii="宋体" w:hAnsi="宋体" w:cs="宋体"/>
                <w:b/>
                <w:bCs/>
                <w:color w:val="auto"/>
                <w:szCs w:val="21"/>
                <w:highlight w:val="none"/>
                <w:lang w:val="zh-CN"/>
              </w:rPr>
            </w:pPr>
            <w:r>
              <w:rPr>
                <w:rFonts w:hint="eastAsia" w:ascii="宋体" w:hAnsi="宋体" w:cs="宋体"/>
                <w:b/>
                <w:bCs/>
                <w:color w:val="auto"/>
                <w:szCs w:val="21"/>
                <w:highlight w:val="none"/>
                <w:lang w:val="zh-CN"/>
              </w:rPr>
              <w:t>1.4</w:t>
            </w:r>
          </w:p>
        </w:tc>
        <w:tc>
          <w:tcPr>
            <w:tcW w:w="2051" w:type="dxa"/>
            <w:tcBorders>
              <w:top w:val="single" w:color="auto" w:sz="6" w:space="0"/>
              <w:left w:val="single" w:color="auto" w:sz="6" w:space="0"/>
              <w:bottom w:val="single" w:color="auto" w:sz="6" w:space="0"/>
              <w:right w:val="single" w:color="auto" w:sz="6" w:space="0"/>
            </w:tcBorders>
            <w:vAlign w:val="center"/>
          </w:tcPr>
          <w:p w14:paraId="49C2610C">
            <w:pPr>
              <w:autoSpaceDE w:val="0"/>
              <w:autoSpaceDN w:val="0"/>
              <w:adjustRightInd w:val="0"/>
              <w:snapToGrid w:val="0"/>
              <w:spacing w:line="240" w:lineRule="auto"/>
              <w:jc w:val="center"/>
              <w:rPr>
                <w:rFonts w:ascii="宋体" w:hAnsi="宋体" w:cs="宋体"/>
                <w:b/>
                <w:bCs/>
                <w:color w:val="auto"/>
                <w:sz w:val="24"/>
                <w:highlight w:val="none"/>
                <w:lang w:val="zh-CN"/>
              </w:rPr>
            </w:pPr>
            <w:r>
              <w:rPr>
                <w:rFonts w:hint="eastAsia" w:ascii="宋体" w:hAnsi="宋体" w:cs="宋体"/>
                <w:b/>
                <w:bCs/>
                <w:color w:val="auto"/>
                <w:sz w:val="24"/>
                <w:highlight w:val="none"/>
                <w:lang w:val="zh-CN"/>
              </w:rPr>
              <w:t>联合体投标</w:t>
            </w:r>
          </w:p>
        </w:tc>
        <w:tc>
          <w:tcPr>
            <w:tcW w:w="6240" w:type="dxa"/>
            <w:tcBorders>
              <w:top w:val="single" w:color="auto" w:sz="6" w:space="0"/>
              <w:left w:val="single" w:color="auto" w:sz="6" w:space="0"/>
              <w:bottom w:val="single" w:color="auto" w:sz="6" w:space="0"/>
              <w:right w:val="single" w:color="auto" w:sz="12" w:space="0"/>
            </w:tcBorders>
            <w:vAlign w:val="center"/>
          </w:tcPr>
          <w:p w14:paraId="3CB745E6">
            <w:pPr>
              <w:autoSpaceDE w:val="0"/>
              <w:autoSpaceDN w:val="0"/>
              <w:adjustRightInd w:val="0"/>
              <w:snapToGrid w:val="0"/>
              <w:spacing w:before="120" w:beforeLines="50" w:line="360" w:lineRule="auto"/>
              <w:rPr>
                <w:rFonts w:ascii="宋体" w:hAnsi="宋体" w:cs="宋体"/>
                <w:color w:val="auto"/>
                <w:sz w:val="24"/>
                <w:highlight w:val="none"/>
                <w:lang w:val="zh-CN"/>
              </w:rPr>
            </w:pPr>
            <w:r>
              <w:rPr>
                <w:rFonts w:hint="eastAsia" w:ascii="宋体" w:hAnsi="宋体" w:cs="宋体"/>
                <w:color w:val="auto"/>
                <w:sz w:val="24"/>
                <w:highlight w:val="none"/>
                <w:lang w:val="zh-CN"/>
              </w:rPr>
              <w:t xml:space="preserve">不接受  </w:t>
            </w:r>
          </w:p>
        </w:tc>
      </w:tr>
      <w:tr w14:paraId="3A12E30F">
        <w:tblPrEx>
          <w:tblCellMar>
            <w:top w:w="0" w:type="dxa"/>
            <w:left w:w="108" w:type="dxa"/>
            <w:bottom w:w="0" w:type="dxa"/>
            <w:right w:w="108" w:type="dxa"/>
          </w:tblCellMar>
        </w:tblPrEx>
        <w:trPr>
          <w:trHeight w:val="447" w:hRule="atLeast"/>
          <w:jc w:val="center"/>
        </w:trPr>
        <w:tc>
          <w:tcPr>
            <w:tcW w:w="508" w:type="dxa"/>
            <w:vMerge w:val="continue"/>
            <w:tcBorders>
              <w:left w:val="single" w:color="auto" w:sz="12" w:space="0"/>
              <w:right w:val="single" w:color="auto" w:sz="6" w:space="0"/>
            </w:tcBorders>
            <w:vAlign w:val="center"/>
          </w:tcPr>
          <w:p w14:paraId="3FA659DB">
            <w:pPr>
              <w:autoSpaceDE w:val="0"/>
              <w:autoSpaceDN w:val="0"/>
              <w:adjustRightInd w:val="0"/>
              <w:snapToGrid w:val="0"/>
              <w:spacing w:line="240" w:lineRule="auto"/>
              <w:jc w:val="center"/>
              <w:rPr>
                <w:rFonts w:ascii="宋体" w:hAnsi="宋体" w:cs="宋体"/>
                <w:b/>
                <w:bCs/>
                <w:color w:val="auto"/>
                <w:sz w:val="24"/>
                <w:highlight w:val="none"/>
              </w:rPr>
            </w:pPr>
          </w:p>
        </w:tc>
        <w:tc>
          <w:tcPr>
            <w:tcW w:w="954" w:type="dxa"/>
            <w:tcBorders>
              <w:top w:val="single" w:color="auto" w:sz="6" w:space="0"/>
              <w:left w:val="single" w:color="auto" w:sz="12" w:space="0"/>
              <w:bottom w:val="single" w:color="auto" w:sz="6" w:space="0"/>
              <w:right w:val="single" w:color="auto" w:sz="6" w:space="0"/>
            </w:tcBorders>
            <w:vAlign w:val="center"/>
          </w:tcPr>
          <w:p w14:paraId="450481F8">
            <w:pPr>
              <w:autoSpaceDE w:val="0"/>
              <w:autoSpaceDN w:val="0"/>
              <w:adjustRightInd w:val="0"/>
              <w:snapToGrid w:val="0"/>
              <w:spacing w:line="240" w:lineRule="auto"/>
              <w:jc w:val="center"/>
              <w:rPr>
                <w:rFonts w:ascii="宋体" w:hAnsi="宋体" w:cs="宋体"/>
                <w:b/>
                <w:bCs/>
                <w:color w:val="auto"/>
                <w:szCs w:val="21"/>
                <w:highlight w:val="none"/>
              </w:rPr>
            </w:pPr>
            <w:r>
              <w:rPr>
                <w:rFonts w:hint="eastAsia" w:ascii="宋体" w:hAnsi="宋体" w:cs="宋体"/>
                <w:b/>
                <w:bCs/>
                <w:color w:val="auto"/>
                <w:szCs w:val="21"/>
                <w:highlight w:val="none"/>
              </w:rPr>
              <w:t>1.10</w:t>
            </w:r>
          </w:p>
        </w:tc>
        <w:tc>
          <w:tcPr>
            <w:tcW w:w="2051" w:type="dxa"/>
            <w:tcBorders>
              <w:top w:val="single" w:color="auto" w:sz="6" w:space="0"/>
              <w:left w:val="single" w:color="auto" w:sz="6" w:space="0"/>
              <w:bottom w:val="single" w:color="auto" w:sz="6" w:space="0"/>
              <w:right w:val="single" w:color="auto" w:sz="6" w:space="0"/>
            </w:tcBorders>
            <w:vAlign w:val="center"/>
          </w:tcPr>
          <w:p w14:paraId="0AF3FA3D">
            <w:pPr>
              <w:autoSpaceDE w:val="0"/>
              <w:autoSpaceDN w:val="0"/>
              <w:adjustRightInd w:val="0"/>
              <w:snapToGrid w:val="0"/>
              <w:spacing w:line="240" w:lineRule="auto"/>
              <w:jc w:val="center"/>
              <w:rPr>
                <w:rFonts w:ascii="宋体" w:hAnsi="宋体" w:cs="宋体"/>
                <w:b/>
                <w:bCs/>
                <w:color w:val="auto"/>
                <w:sz w:val="24"/>
                <w:highlight w:val="none"/>
                <w:lang w:val="zh-CN"/>
              </w:rPr>
            </w:pPr>
            <w:r>
              <w:rPr>
                <w:rFonts w:hint="eastAsia" w:ascii="宋体" w:hAnsi="宋体" w:cs="宋体"/>
                <w:b/>
                <w:bCs/>
                <w:color w:val="auto"/>
                <w:sz w:val="24"/>
                <w:highlight w:val="none"/>
                <w:lang w:val="zh-CN"/>
              </w:rPr>
              <w:t>踏勘现场</w:t>
            </w:r>
          </w:p>
        </w:tc>
        <w:tc>
          <w:tcPr>
            <w:tcW w:w="6240" w:type="dxa"/>
            <w:tcBorders>
              <w:top w:val="single" w:color="auto" w:sz="6" w:space="0"/>
              <w:left w:val="single" w:color="auto" w:sz="6" w:space="0"/>
              <w:bottom w:val="single" w:color="auto" w:sz="6" w:space="0"/>
              <w:right w:val="single" w:color="auto" w:sz="12" w:space="0"/>
            </w:tcBorders>
            <w:vAlign w:val="center"/>
          </w:tcPr>
          <w:p w14:paraId="4B3430E3">
            <w:pPr>
              <w:autoSpaceDE w:val="0"/>
              <w:autoSpaceDN w:val="0"/>
              <w:adjustRightInd w:val="0"/>
              <w:snapToGrid w:val="0"/>
              <w:spacing w:before="120" w:beforeLines="50" w:line="360" w:lineRule="auto"/>
              <w:rPr>
                <w:rFonts w:ascii="宋体" w:hAnsi="宋体" w:cs="宋体"/>
                <w:color w:val="auto"/>
                <w:sz w:val="24"/>
                <w:highlight w:val="none"/>
                <w:lang w:val="zh-CN"/>
              </w:rPr>
            </w:pPr>
            <w:r>
              <w:rPr>
                <w:rFonts w:hint="eastAsia" w:ascii="宋体" w:hAnsi="宋体" w:cs="宋体"/>
                <w:color w:val="auto"/>
                <w:sz w:val="24"/>
                <w:highlight w:val="none"/>
                <w:lang w:val="zh-CN"/>
              </w:rPr>
              <w:t>不组织</w:t>
            </w:r>
          </w:p>
        </w:tc>
      </w:tr>
      <w:tr w14:paraId="677A01E8">
        <w:tblPrEx>
          <w:tblCellMar>
            <w:top w:w="0" w:type="dxa"/>
            <w:left w:w="108" w:type="dxa"/>
            <w:bottom w:w="0" w:type="dxa"/>
            <w:right w:w="108" w:type="dxa"/>
          </w:tblCellMar>
        </w:tblPrEx>
        <w:trPr>
          <w:trHeight w:val="447" w:hRule="atLeast"/>
          <w:jc w:val="center"/>
        </w:trPr>
        <w:tc>
          <w:tcPr>
            <w:tcW w:w="508" w:type="dxa"/>
            <w:vMerge w:val="continue"/>
            <w:tcBorders>
              <w:left w:val="single" w:color="auto" w:sz="12" w:space="0"/>
              <w:right w:val="single" w:color="auto" w:sz="6" w:space="0"/>
            </w:tcBorders>
            <w:vAlign w:val="center"/>
          </w:tcPr>
          <w:p w14:paraId="41A8B197">
            <w:pPr>
              <w:autoSpaceDE w:val="0"/>
              <w:autoSpaceDN w:val="0"/>
              <w:adjustRightInd w:val="0"/>
              <w:snapToGrid w:val="0"/>
              <w:spacing w:line="240" w:lineRule="auto"/>
              <w:jc w:val="center"/>
              <w:rPr>
                <w:rFonts w:ascii="宋体" w:hAnsi="宋体" w:cs="宋体"/>
                <w:b/>
                <w:bCs/>
                <w:color w:val="auto"/>
                <w:sz w:val="24"/>
                <w:highlight w:val="none"/>
              </w:rPr>
            </w:pPr>
          </w:p>
        </w:tc>
        <w:tc>
          <w:tcPr>
            <w:tcW w:w="954" w:type="dxa"/>
            <w:tcBorders>
              <w:top w:val="single" w:color="auto" w:sz="6" w:space="0"/>
              <w:left w:val="single" w:color="auto" w:sz="12" w:space="0"/>
              <w:bottom w:val="single" w:color="auto" w:sz="6" w:space="0"/>
              <w:right w:val="single" w:color="auto" w:sz="6" w:space="0"/>
            </w:tcBorders>
            <w:vAlign w:val="center"/>
          </w:tcPr>
          <w:p w14:paraId="09772437">
            <w:pPr>
              <w:autoSpaceDE w:val="0"/>
              <w:autoSpaceDN w:val="0"/>
              <w:adjustRightInd w:val="0"/>
              <w:snapToGrid w:val="0"/>
              <w:spacing w:line="240" w:lineRule="auto"/>
              <w:ind w:right="-88" w:rightChars="-42"/>
              <w:jc w:val="center"/>
              <w:rPr>
                <w:rFonts w:ascii="宋体" w:hAnsi="宋体" w:cs="宋体"/>
                <w:b/>
                <w:bCs/>
                <w:color w:val="auto"/>
                <w:szCs w:val="21"/>
                <w:highlight w:val="none"/>
              </w:rPr>
            </w:pPr>
            <w:r>
              <w:rPr>
                <w:rFonts w:hint="eastAsia" w:ascii="宋体" w:hAnsi="宋体" w:cs="宋体"/>
                <w:b/>
                <w:bCs/>
                <w:color w:val="auto"/>
                <w:szCs w:val="21"/>
                <w:highlight w:val="none"/>
              </w:rPr>
              <w:t>1.11</w:t>
            </w:r>
          </w:p>
        </w:tc>
        <w:tc>
          <w:tcPr>
            <w:tcW w:w="2051" w:type="dxa"/>
            <w:tcBorders>
              <w:top w:val="single" w:color="auto" w:sz="6" w:space="0"/>
              <w:left w:val="single" w:color="auto" w:sz="6" w:space="0"/>
              <w:bottom w:val="single" w:color="auto" w:sz="6" w:space="0"/>
              <w:right w:val="single" w:color="auto" w:sz="6" w:space="0"/>
            </w:tcBorders>
            <w:vAlign w:val="center"/>
          </w:tcPr>
          <w:p w14:paraId="4C606011">
            <w:pPr>
              <w:autoSpaceDE w:val="0"/>
              <w:autoSpaceDN w:val="0"/>
              <w:adjustRightInd w:val="0"/>
              <w:snapToGrid w:val="0"/>
              <w:spacing w:line="240" w:lineRule="auto"/>
              <w:jc w:val="center"/>
              <w:rPr>
                <w:rFonts w:ascii="宋体" w:hAnsi="宋体" w:cs="宋体"/>
                <w:b/>
                <w:bCs/>
                <w:color w:val="auto"/>
                <w:sz w:val="24"/>
                <w:highlight w:val="none"/>
                <w:lang w:val="zh-CN"/>
              </w:rPr>
            </w:pPr>
            <w:r>
              <w:rPr>
                <w:rFonts w:hint="eastAsia" w:ascii="宋体" w:hAnsi="宋体" w:cs="宋体"/>
                <w:b/>
                <w:bCs/>
                <w:color w:val="auto"/>
                <w:sz w:val="24"/>
                <w:highlight w:val="none"/>
                <w:lang w:val="zh-CN"/>
              </w:rPr>
              <w:t>投标预备会</w:t>
            </w:r>
          </w:p>
        </w:tc>
        <w:tc>
          <w:tcPr>
            <w:tcW w:w="6240" w:type="dxa"/>
            <w:tcBorders>
              <w:top w:val="single" w:color="auto" w:sz="6" w:space="0"/>
              <w:left w:val="single" w:color="auto" w:sz="6" w:space="0"/>
              <w:bottom w:val="single" w:color="auto" w:sz="6" w:space="0"/>
              <w:right w:val="single" w:color="auto" w:sz="12" w:space="0"/>
            </w:tcBorders>
            <w:vAlign w:val="center"/>
          </w:tcPr>
          <w:p w14:paraId="2E14C7DE">
            <w:pPr>
              <w:autoSpaceDE w:val="0"/>
              <w:autoSpaceDN w:val="0"/>
              <w:adjustRightInd w:val="0"/>
              <w:snapToGrid w:val="0"/>
              <w:spacing w:before="120" w:beforeLines="50" w:line="360" w:lineRule="auto"/>
              <w:rPr>
                <w:rFonts w:ascii="宋体" w:hAnsi="宋体" w:cs="宋体"/>
                <w:color w:val="auto"/>
                <w:sz w:val="24"/>
                <w:highlight w:val="none"/>
                <w:lang w:val="zh-CN"/>
              </w:rPr>
            </w:pPr>
            <w:r>
              <w:rPr>
                <w:rFonts w:hint="eastAsia" w:ascii="宋体" w:hAnsi="宋体" w:cs="宋体"/>
                <w:color w:val="auto"/>
                <w:sz w:val="24"/>
                <w:highlight w:val="none"/>
                <w:lang w:val="zh-CN"/>
              </w:rPr>
              <w:t>不召开</w:t>
            </w:r>
          </w:p>
        </w:tc>
      </w:tr>
      <w:tr w14:paraId="41C24AD6">
        <w:tblPrEx>
          <w:tblCellMar>
            <w:top w:w="0" w:type="dxa"/>
            <w:left w:w="108" w:type="dxa"/>
            <w:bottom w:w="0" w:type="dxa"/>
            <w:right w:w="108" w:type="dxa"/>
          </w:tblCellMar>
        </w:tblPrEx>
        <w:trPr>
          <w:trHeight w:val="447" w:hRule="atLeast"/>
          <w:jc w:val="center"/>
        </w:trPr>
        <w:tc>
          <w:tcPr>
            <w:tcW w:w="508" w:type="dxa"/>
            <w:vMerge w:val="continue"/>
            <w:tcBorders>
              <w:left w:val="single" w:color="auto" w:sz="12" w:space="0"/>
              <w:right w:val="single" w:color="auto" w:sz="6" w:space="0"/>
            </w:tcBorders>
            <w:vAlign w:val="center"/>
          </w:tcPr>
          <w:p w14:paraId="2E72B64B">
            <w:pPr>
              <w:autoSpaceDE w:val="0"/>
              <w:autoSpaceDN w:val="0"/>
              <w:adjustRightInd w:val="0"/>
              <w:snapToGrid w:val="0"/>
              <w:spacing w:line="240" w:lineRule="auto"/>
              <w:jc w:val="center"/>
              <w:rPr>
                <w:rFonts w:ascii="宋体" w:hAnsi="宋体" w:cs="宋体"/>
                <w:b/>
                <w:bCs/>
                <w:color w:val="auto"/>
                <w:sz w:val="24"/>
                <w:highlight w:val="none"/>
              </w:rPr>
            </w:pPr>
          </w:p>
        </w:tc>
        <w:tc>
          <w:tcPr>
            <w:tcW w:w="954" w:type="dxa"/>
            <w:tcBorders>
              <w:top w:val="single" w:color="auto" w:sz="6" w:space="0"/>
              <w:left w:val="single" w:color="auto" w:sz="12" w:space="0"/>
              <w:bottom w:val="single" w:color="auto" w:sz="6" w:space="0"/>
              <w:right w:val="single" w:color="auto" w:sz="6" w:space="0"/>
            </w:tcBorders>
            <w:vAlign w:val="center"/>
          </w:tcPr>
          <w:p w14:paraId="208561B0">
            <w:pPr>
              <w:autoSpaceDE w:val="0"/>
              <w:autoSpaceDN w:val="0"/>
              <w:adjustRightInd w:val="0"/>
              <w:snapToGrid w:val="0"/>
              <w:spacing w:line="240" w:lineRule="auto"/>
              <w:ind w:right="-88" w:rightChars="-42"/>
              <w:jc w:val="center"/>
              <w:rPr>
                <w:rFonts w:ascii="宋体" w:hAnsi="宋体" w:cs="宋体"/>
                <w:b/>
                <w:bCs/>
                <w:color w:val="auto"/>
                <w:szCs w:val="21"/>
                <w:highlight w:val="none"/>
              </w:rPr>
            </w:pPr>
            <w:r>
              <w:rPr>
                <w:rFonts w:hint="eastAsia" w:ascii="宋体" w:hAnsi="宋体" w:cs="宋体"/>
                <w:b/>
                <w:bCs/>
                <w:color w:val="auto"/>
                <w:szCs w:val="21"/>
                <w:highlight w:val="none"/>
              </w:rPr>
              <w:t>1.12</w:t>
            </w:r>
          </w:p>
        </w:tc>
        <w:tc>
          <w:tcPr>
            <w:tcW w:w="2051" w:type="dxa"/>
            <w:tcBorders>
              <w:top w:val="single" w:color="auto" w:sz="6" w:space="0"/>
              <w:left w:val="single" w:color="auto" w:sz="6" w:space="0"/>
              <w:bottom w:val="single" w:color="auto" w:sz="6" w:space="0"/>
              <w:right w:val="single" w:color="auto" w:sz="6" w:space="0"/>
            </w:tcBorders>
            <w:vAlign w:val="center"/>
          </w:tcPr>
          <w:p w14:paraId="4695874D">
            <w:pPr>
              <w:autoSpaceDE w:val="0"/>
              <w:autoSpaceDN w:val="0"/>
              <w:adjustRightInd w:val="0"/>
              <w:snapToGrid w:val="0"/>
              <w:spacing w:line="240" w:lineRule="auto"/>
              <w:jc w:val="center"/>
              <w:rPr>
                <w:rFonts w:ascii="宋体" w:hAnsi="宋体" w:cs="宋体"/>
                <w:b/>
                <w:bCs/>
                <w:color w:val="auto"/>
                <w:sz w:val="24"/>
                <w:highlight w:val="none"/>
                <w:lang w:val="zh-CN"/>
              </w:rPr>
            </w:pPr>
            <w:r>
              <w:rPr>
                <w:rFonts w:hint="eastAsia" w:ascii="宋体" w:hAnsi="宋体" w:cs="宋体"/>
                <w:b/>
                <w:bCs/>
                <w:color w:val="auto"/>
                <w:sz w:val="24"/>
                <w:highlight w:val="none"/>
                <w:lang w:val="zh-CN"/>
              </w:rPr>
              <w:t>分包</w:t>
            </w:r>
          </w:p>
        </w:tc>
        <w:tc>
          <w:tcPr>
            <w:tcW w:w="6240" w:type="dxa"/>
            <w:tcBorders>
              <w:top w:val="single" w:color="auto" w:sz="6" w:space="0"/>
              <w:left w:val="single" w:color="auto" w:sz="6" w:space="0"/>
              <w:bottom w:val="single" w:color="auto" w:sz="6" w:space="0"/>
              <w:right w:val="single" w:color="auto" w:sz="12" w:space="0"/>
            </w:tcBorders>
            <w:vAlign w:val="center"/>
          </w:tcPr>
          <w:p w14:paraId="347908B1">
            <w:pPr>
              <w:autoSpaceDE w:val="0"/>
              <w:autoSpaceDN w:val="0"/>
              <w:adjustRightInd w:val="0"/>
              <w:snapToGrid w:val="0"/>
              <w:spacing w:before="120" w:beforeLines="50" w:line="360" w:lineRule="auto"/>
              <w:rPr>
                <w:rFonts w:ascii="宋体" w:hAnsi="宋体" w:cs="宋体"/>
                <w:color w:val="auto"/>
                <w:sz w:val="24"/>
                <w:highlight w:val="none"/>
                <w:lang w:val="zh-CN"/>
              </w:rPr>
            </w:pPr>
            <w:r>
              <w:rPr>
                <w:rFonts w:hint="eastAsia" w:ascii="宋体" w:hAnsi="宋体" w:cs="宋体"/>
                <w:color w:val="auto"/>
                <w:sz w:val="24"/>
                <w:highlight w:val="none"/>
                <w:lang w:val="zh-CN"/>
              </w:rPr>
              <w:t xml:space="preserve">不允许  </w:t>
            </w:r>
          </w:p>
        </w:tc>
      </w:tr>
      <w:tr w14:paraId="251D32B9">
        <w:tblPrEx>
          <w:tblCellMar>
            <w:top w:w="0" w:type="dxa"/>
            <w:left w:w="108" w:type="dxa"/>
            <w:bottom w:w="0" w:type="dxa"/>
            <w:right w:w="108" w:type="dxa"/>
          </w:tblCellMar>
        </w:tblPrEx>
        <w:trPr>
          <w:trHeight w:val="447" w:hRule="atLeast"/>
          <w:jc w:val="center"/>
        </w:trPr>
        <w:tc>
          <w:tcPr>
            <w:tcW w:w="508" w:type="dxa"/>
            <w:vMerge w:val="continue"/>
            <w:tcBorders>
              <w:left w:val="single" w:color="auto" w:sz="12" w:space="0"/>
              <w:right w:val="single" w:color="auto" w:sz="6" w:space="0"/>
            </w:tcBorders>
            <w:vAlign w:val="center"/>
          </w:tcPr>
          <w:p w14:paraId="69A3A774">
            <w:pPr>
              <w:autoSpaceDE w:val="0"/>
              <w:autoSpaceDN w:val="0"/>
              <w:adjustRightInd w:val="0"/>
              <w:snapToGrid w:val="0"/>
              <w:spacing w:line="240" w:lineRule="auto"/>
              <w:jc w:val="center"/>
              <w:rPr>
                <w:rFonts w:ascii="宋体" w:hAnsi="宋体" w:cs="宋体"/>
                <w:b/>
                <w:bCs/>
                <w:color w:val="auto"/>
                <w:sz w:val="24"/>
                <w:highlight w:val="none"/>
              </w:rPr>
            </w:pPr>
          </w:p>
        </w:tc>
        <w:tc>
          <w:tcPr>
            <w:tcW w:w="954" w:type="dxa"/>
            <w:tcBorders>
              <w:top w:val="single" w:color="auto" w:sz="6" w:space="0"/>
              <w:left w:val="single" w:color="auto" w:sz="12" w:space="0"/>
              <w:bottom w:val="single" w:color="auto" w:sz="6" w:space="0"/>
              <w:right w:val="single" w:color="auto" w:sz="6" w:space="0"/>
            </w:tcBorders>
            <w:vAlign w:val="center"/>
          </w:tcPr>
          <w:p w14:paraId="34188BF1">
            <w:pPr>
              <w:autoSpaceDE w:val="0"/>
              <w:autoSpaceDN w:val="0"/>
              <w:adjustRightInd w:val="0"/>
              <w:snapToGrid w:val="0"/>
              <w:spacing w:line="240" w:lineRule="auto"/>
              <w:ind w:right="-88" w:rightChars="-42"/>
              <w:jc w:val="center"/>
              <w:rPr>
                <w:rFonts w:ascii="宋体" w:hAnsi="宋体" w:cs="宋体"/>
                <w:b/>
                <w:bCs/>
                <w:color w:val="auto"/>
                <w:szCs w:val="21"/>
                <w:highlight w:val="none"/>
              </w:rPr>
            </w:pPr>
            <w:r>
              <w:rPr>
                <w:rFonts w:hint="eastAsia" w:ascii="宋体" w:hAnsi="宋体" w:cs="宋体"/>
                <w:b/>
                <w:bCs/>
                <w:color w:val="auto"/>
                <w:szCs w:val="21"/>
                <w:highlight w:val="none"/>
              </w:rPr>
              <w:t>2.1</w:t>
            </w:r>
          </w:p>
        </w:tc>
        <w:tc>
          <w:tcPr>
            <w:tcW w:w="2051" w:type="dxa"/>
            <w:tcBorders>
              <w:top w:val="single" w:color="auto" w:sz="6" w:space="0"/>
              <w:left w:val="single" w:color="auto" w:sz="6" w:space="0"/>
              <w:bottom w:val="single" w:color="auto" w:sz="6" w:space="0"/>
              <w:right w:val="single" w:color="auto" w:sz="6" w:space="0"/>
            </w:tcBorders>
            <w:vAlign w:val="center"/>
          </w:tcPr>
          <w:p w14:paraId="28D65A75">
            <w:pPr>
              <w:autoSpaceDE w:val="0"/>
              <w:autoSpaceDN w:val="0"/>
              <w:adjustRightInd w:val="0"/>
              <w:snapToGrid w:val="0"/>
              <w:spacing w:line="240" w:lineRule="auto"/>
              <w:jc w:val="center"/>
              <w:rPr>
                <w:rFonts w:ascii="宋体" w:hAnsi="宋体" w:cs="宋体"/>
                <w:b/>
                <w:bCs/>
                <w:color w:val="auto"/>
                <w:sz w:val="24"/>
                <w:highlight w:val="none"/>
              </w:rPr>
            </w:pPr>
            <w:r>
              <w:rPr>
                <w:rFonts w:hint="eastAsia" w:ascii="宋体" w:hAnsi="宋体" w:cs="宋体"/>
                <w:b/>
                <w:bCs/>
                <w:color w:val="auto"/>
                <w:sz w:val="24"/>
                <w:highlight w:val="none"/>
                <w:lang w:val="zh-CN"/>
              </w:rPr>
              <w:t>构成《磋商文件》的其他材料</w:t>
            </w:r>
          </w:p>
        </w:tc>
        <w:tc>
          <w:tcPr>
            <w:tcW w:w="6240" w:type="dxa"/>
            <w:tcBorders>
              <w:top w:val="single" w:color="auto" w:sz="6" w:space="0"/>
              <w:left w:val="single" w:color="auto" w:sz="6" w:space="0"/>
              <w:bottom w:val="single" w:color="auto" w:sz="6" w:space="0"/>
              <w:right w:val="single" w:color="auto" w:sz="12" w:space="0"/>
            </w:tcBorders>
            <w:vAlign w:val="center"/>
          </w:tcPr>
          <w:p w14:paraId="24DB72B2">
            <w:pPr>
              <w:autoSpaceDE w:val="0"/>
              <w:autoSpaceDN w:val="0"/>
              <w:adjustRightInd w:val="0"/>
              <w:snapToGrid w:val="0"/>
              <w:spacing w:before="120" w:beforeLines="50" w:line="360" w:lineRule="auto"/>
              <w:rPr>
                <w:rFonts w:ascii="宋体" w:hAnsi="宋体" w:cs="宋体"/>
                <w:color w:val="auto"/>
                <w:sz w:val="24"/>
                <w:highlight w:val="none"/>
                <w:lang w:val="zh-CN"/>
              </w:rPr>
            </w:pPr>
            <w:r>
              <w:rPr>
                <w:rFonts w:hint="eastAsia" w:ascii="宋体" w:hAnsi="宋体" w:cs="宋体"/>
                <w:color w:val="auto"/>
                <w:sz w:val="24"/>
                <w:highlight w:val="none"/>
                <w:lang w:val="zh-CN"/>
              </w:rPr>
              <w:t>见“第三章 供应商须知”相应条款</w:t>
            </w:r>
          </w:p>
        </w:tc>
      </w:tr>
      <w:tr w14:paraId="4F1E0F04">
        <w:tblPrEx>
          <w:tblCellMar>
            <w:top w:w="0" w:type="dxa"/>
            <w:left w:w="108" w:type="dxa"/>
            <w:bottom w:w="0" w:type="dxa"/>
            <w:right w:w="108" w:type="dxa"/>
          </w:tblCellMar>
        </w:tblPrEx>
        <w:trPr>
          <w:trHeight w:val="604" w:hRule="atLeast"/>
          <w:jc w:val="center"/>
        </w:trPr>
        <w:tc>
          <w:tcPr>
            <w:tcW w:w="508" w:type="dxa"/>
            <w:vMerge w:val="continue"/>
            <w:tcBorders>
              <w:left w:val="single" w:color="auto" w:sz="12" w:space="0"/>
              <w:right w:val="single" w:color="auto" w:sz="6" w:space="0"/>
            </w:tcBorders>
            <w:vAlign w:val="center"/>
          </w:tcPr>
          <w:p w14:paraId="7685AD6F">
            <w:pPr>
              <w:autoSpaceDE w:val="0"/>
              <w:autoSpaceDN w:val="0"/>
              <w:adjustRightInd w:val="0"/>
              <w:snapToGrid w:val="0"/>
              <w:spacing w:line="240" w:lineRule="auto"/>
              <w:jc w:val="center"/>
              <w:rPr>
                <w:rFonts w:ascii="宋体" w:hAnsi="宋体" w:cs="宋体"/>
                <w:b/>
                <w:bCs/>
                <w:color w:val="auto"/>
                <w:sz w:val="24"/>
                <w:highlight w:val="none"/>
              </w:rPr>
            </w:pPr>
          </w:p>
        </w:tc>
        <w:tc>
          <w:tcPr>
            <w:tcW w:w="954" w:type="dxa"/>
            <w:tcBorders>
              <w:top w:val="single" w:color="auto" w:sz="6" w:space="0"/>
              <w:left w:val="single" w:color="auto" w:sz="12" w:space="0"/>
              <w:bottom w:val="single" w:color="auto" w:sz="6" w:space="0"/>
              <w:right w:val="single" w:color="auto" w:sz="6" w:space="0"/>
            </w:tcBorders>
            <w:vAlign w:val="center"/>
          </w:tcPr>
          <w:p w14:paraId="01ED375B">
            <w:pPr>
              <w:autoSpaceDE w:val="0"/>
              <w:autoSpaceDN w:val="0"/>
              <w:adjustRightInd w:val="0"/>
              <w:snapToGrid w:val="0"/>
              <w:spacing w:line="240" w:lineRule="auto"/>
              <w:ind w:left="-134" w:leftChars="-64" w:right="-88" w:rightChars="-42"/>
              <w:jc w:val="center"/>
              <w:rPr>
                <w:rFonts w:ascii="宋体" w:hAnsi="宋体" w:cs="宋体"/>
                <w:b/>
                <w:bCs/>
                <w:color w:val="auto"/>
                <w:szCs w:val="21"/>
                <w:highlight w:val="none"/>
                <w:lang w:val="zh-CN"/>
              </w:rPr>
            </w:pPr>
            <w:r>
              <w:rPr>
                <w:rFonts w:hint="eastAsia" w:ascii="宋体" w:hAnsi="宋体" w:cs="宋体"/>
                <w:b/>
                <w:bCs/>
                <w:color w:val="auto"/>
                <w:szCs w:val="21"/>
                <w:highlight w:val="none"/>
              </w:rPr>
              <w:t>2.2.1</w:t>
            </w:r>
          </w:p>
        </w:tc>
        <w:tc>
          <w:tcPr>
            <w:tcW w:w="2051" w:type="dxa"/>
            <w:tcBorders>
              <w:top w:val="single" w:color="auto" w:sz="6" w:space="0"/>
              <w:left w:val="single" w:color="auto" w:sz="6" w:space="0"/>
              <w:bottom w:val="single" w:color="auto" w:sz="6" w:space="0"/>
              <w:right w:val="single" w:color="auto" w:sz="6" w:space="0"/>
            </w:tcBorders>
            <w:vAlign w:val="center"/>
          </w:tcPr>
          <w:p w14:paraId="2A750AAB">
            <w:pPr>
              <w:autoSpaceDE w:val="0"/>
              <w:autoSpaceDN w:val="0"/>
              <w:adjustRightInd w:val="0"/>
              <w:snapToGrid w:val="0"/>
              <w:spacing w:line="240" w:lineRule="auto"/>
              <w:ind w:right="-178" w:rightChars="-85"/>
              <w:jc w:val="center"/>
              <w:rPr>
                <w:rFonts w:ascii="宋体" w:hAnsi="宋体" w:cs="宋体"/>
                <w:b/>
                <w:bCs/>
                <w:color w:val="auto"/>
                <w:sz w:val="24"/>
                <w:highlight w:val="none"/>
                <w:lang w:val="zh-CN"/>
              </w:rPr>
            </w:pPr>
            <w:r>
              <w:rPr>
                <w:rFonts w:hint="eastAsia" w:ascii="宋体" w:hAnsi="宋体" w:cs="宋体"/>
                <w:b/>
                <w:bCs/>
                <w:color w:val="auto"/>
                <w:sz w:val="24"/>
                <w:highlight w:val="none"/>
                <w:lang w:val="zh-CN"/>
              </w:rPr>
              <w:t>供应商提出问题的截止时间</w:t>
            </w:r>
          </w:p>
        </w:tc>
        <w:tc>
          <w:tcPr>
            <w:tcW w:w="6240" w:type="dxa"/>
            <w:tcBorders>
              <w:top w:val="single" w:color="auto" w:sz="6" w:space="0"/>
              <w:left w:val="single" w:color="auto" w:sz="6" w:space="0"/>
              <w:bottom w:val="single" w:color="auto" w:sz="6" w:space="0"/>
              <w:right w:val="single" w:color="auto" w:sz="12" w:space="0"/>
            </w:tcBorders>
            <w:vAlign w:val="center"/>
          </w:tcPr>
          <w:p w14:paraId="10861F5E">
            <w:pPr>
              <w:autoSpaceDE w:val="0"/>
              <w:autoSpaceDN w:val="0"/>
              <w:adjustRightInd w:val="0"/>
              <w:snapToGrid w:val="0"/>
              <w:spacing w:before="120" w:beforeLines="50" w:line="360" w:lineRule="auto"/>
              <w:rPr>
                <w:rFonts w:ascii="宋体" w:hAnsi="宋体" w:cs="宋体"/>
                <w:color w:val="auto"/>
                <w:sz w:val="24"/>
                <w:highlight w:val="none"/>
                <w:lang w:val="zh-CN"/>
              </w:rPr>
            </w:pPr>
            <w:r>
              <w:rPr>
                <w:rFonts w:hint="eastAsia" w:ascii="宋体" w:hAnsi="宋体" w:cs="宋体"/>
                <w:color w:val="auto"/>
                <w:sz w:val="24"/>
                <w:highlight w:val="none"/>
                <w:lang w:val="zh-CN"/>
              </w:rPr>
              <w:t xml:space="preserve">投标截止时间2日前 </w:t>
            </w:r>
          </w:p>
        </w:tc>
      </w:tr>
      <w:tr w14:paraId="5AED5BB3">
        <w:tblPrEx>
          <w:tblCellMar>
            <w:top w:w="0" w:type="dxa"/>
            <w:left w:w="108" w:type="dxa"/>
            <w:bottom w:w="0" w:type="dxa"/>
            <w:right w:w="108" w:type="dxa"/>
          </w:tblCellMar>
        </w:tblPrEx>
        <w:trPr>
          <w:trHeight w:val="604" w:hRule="atLeast"/>
          <w:jc w:val="center"/>
        </w:trPr>
        <w:tc>
          <w:tcPr>
            <w:tcW w:w="508" w:type="dxa"/>
            <w:vMerge w:val="continue"/>
            <w:tcBorders>
              <w:left w:val="single" w:color="auto" w:sz="12" w:space="0"/>
              <w:right w:val="single" w:color="auto" w:sz="6" w:space="0"/>
            </w:tcBorders>
            <w:vAlign w:val="center"/>
          </w:tcPr>
          <w:p w14:paraId="22F1EA87">
            <w:pPr>
              <w:autoSpaceDE w:val="0"/>
              <w:autoSpaceDN w:val="0"/>
              <w:adjustRightInd w:val="0"/>
              <w:snapToGrid w:val="0"/>
              <w:spacing w:line="240" w:lineRule="auto"/>
              <w:jc w:val="center"/>
              <w:rPr>
                <w:rFonts w:ascii="宋体" w:hAnsi="宋体" w:cs="宋体"/>
                <w:b/>
                <w:bCs/>
                <w:color w:val="auto"/>
                <w:sz w:val="24"/>
                <w:highlight w:val="none"/>
              </w:rPr>
            </w:pPr>
          </w:p>
        </w:tc>
        <w:tc>
          <w:tcPr>
            <w:tcW w:w="954" w:type="dxa"/>
            <w:tcBorders>
              <w:top w:val="single" w:color="auto" w:sz="6" w:space="0"/>
              <w:left w:val="single" w:color="auto" w:sz="12" w:space="0"/>
              <w:bottom w:val="single" w:color="auto" w:sz="6" w:space="0"/>
              <w:right w:val="single" w:color="auto" w:sz="6" w:space="0"/>
            </w:tcBorders>
            <w:vAlign w:val="center"/>
          </w:tcPr>
          <w:p w14:paraId="0A86D139">
            <w:pPr>
              <w:autoSpaceDE w:val="0"/>
              <w:autoSpaceDN w:val="0"/>
              <w:adjustRightInd w:val="0"/>
              <w:snapToGrid w:val="0"/>
              <w:spacing w:line="240" w:lineRule="auto"/>
              <w:ind w:right="-88" w:rightChars="-42"/>
              <w:jc w:val="center"/>
              <w:rPr>
                <w:rFonts w:ascii="宋体" w:hAnsi="宋体" w:cs="宋体"/>
                <w:b/>
                <w:bCs/>
                <w:color w:val="auto"/>
                <w:szCs w:val="21"/>
                <w:highlight w:val="none"/>
                <w:lang w:val="zh-CN"/>
              </w:rPr>
            </w:pPr>
            <w:r>
              <w:rPr>
                <w:rFonts w:hint="eastAsia" w:ascii="宋体" w:hAnsi="宋体" w:cs="宋体"/>
                <w:b/>
                <w:bCs/>
                <w:color w:val="auto"/>
                <w:szCs w:val="21"/>
                <w:highlight w:val="none"/>
                <w:lang w:val="zh-CN"/>
              </w:rPr>
              <w:t>2.3</w:t>
            </w:r>
          </w:p>
        </w:tc>
        <w:tc>
          <w:tcPr>
            <w:tcW w:w="2051" w:type="dxa"/>
            <w:tcBorders>
              <w:top w:val="single" w:color="auto" w:sz="6" w:space="0"/>
              <w:left w:val="single" w:color="auto" w:sz="6" w:space="0"/>
              <w:bottom w:val="single" w:color="auto" w:sz="6" w:space="0"/>
              <w:right w:val="single" w:color="auto" w:sz="6" w:space="0"/>
            </w:tcBorders>
            <w:vAlign w:val="center"/>
          </w:tcPr>
          <w:p w14:paraId="05316111">
            <w:pPr>
              <w:autoSpaceDE w:val="0"/>
              <w:autoSpaceDN w:val="0"/>
              <w:adjustRightInd w:val="0"/>
              <w:snapToGrid w:val="0"/>
              <w:spacing w:line="240" w:lineRule="auto"/>
              <w:ind w:right="-178" w:rightChars="-85"/>
              <w:jc w:val="center"/>
              <w:rPr>
                <w:rFonts w:ascii="宋体" w:hAnsi="宋体" w:cs="宋体"/>
                <w:b/>
                <w:bCs/>
                <w:color w:val="auto"/>
                <w:sz w:val="24"/>
                <w:highlight w:val="none"/>
                <w:lang w:val="zh-CN"/>
              </w:rPr>
            </w:pPr>
            <w:r>
              <w:rPr>
                <w:rFonts w:hint="eastAsia" w:ascii="宋体" w:hAnsi="宋体" w:cs="宋体"/>
                <w:b/>
                <w:bCs/>
                <w:color w:val="auto"/>
                <w:sz w:val="24"/>
                <w:highlight w:val="none"/>
                <w:lang w:val="zh-CN"/>
              </w:rPr>
              <w:t>《磋商文件》澄清修改补充时间</w:t>
            </w:r>
          </w:p>
        </w:tc>
        <w:tc>
          <w:tcPr>
            <w:tcW w:w="6240" w:type="dxa"/>
            <w:tcBorders>
              <w:top w:val="single" w:color="auto" w:sz="6" w:space="0"/>
              <w:left w:val="single" w:color="auto" w:sz="6" w:space="0"/>
              <w:bottom w:val="single" w:color="auto" w:sz="6" w:space="0"/>
              <w:right w:val="single" w:color="auto" w:sz="12" w:space="0"/>
            </w:tcBorders>
            <w:vAlign w:val="center"/>
          </w:tcPr>
          <w:p w14:paraId="525CA981">
            <w:pPr>
              <w:autoSpaceDE w:val="0"/>
              <w:autoSpaceDN w:val="0"/>
              <w:adjustRightInd w:val="0"/>
              <w:snapToGrid w:val="0"/>
              <w:spacing w:before="120" w:beforeLines="50" w:line="360" w:lineRule="auto"/>
              <w:rPr>
                <w:rFonts w:ascii="宋体" w:hAnsi="宋体" w:cs="宋体"/>
                <w:color w:val="auto"/>
                <w:sz w:val="24"/>
                <w:highlight w:val="none"/>
                <w:lang w:val="zh-CN"/>
              </w:rPr>
            </w:pPr>
            <w:r>
              <w:rPr>
                <w:rFonts w:hint="eastAsia" w:ascii="宋体" w:hAnsi="宋体" w:cs="宋体"/>
                <w:color w:val="auto"/>
                <w:sz w:val="24"/>
                <w:highlight w:val="none"/>
                <w:lang w:val="zh-CN"/>
              </w:rPr>
              <w:t>投标截止时间</w:t>
            </w:r>
            <w:r>
              <w:rPr>
                <w:rFonts w:hint="eastAsia" w:ascii="宋体" w:hAnsi="宋体" w:cs="宋体"/>
                <w:color w:val="auto"/>
                <w:sz w:val="24"/>
                <w:highlight w:val="none"/>
              </w:rPr>
              <w:t>5</w:t>
            </w:r>
            <w:r>
              <w:rPr>
                <w:rFonts w:hint="eastAsia" w:ascii="宋体" w:hAnsi="宋体" w:cs="宋体"/>
                <w:color w:val="auto"/>
                <w:sz w:val="24"/>
                <w:highlight w:val="none"/>
                <w:lang w:val="zh-CN"/>
              </w:rPr>
              <w:t>日前</w:t>
            </w:r>
          </w:p>
        </w:tc>
      </w:tr>
      <w:tr w14:paraId="508D8E84">
        <w:tblPrEx>
          <w:tblCellMar>
            <w:top w:w="0" w:type="dxa"/>
            <w:left w:w="108" w:type="dxa"/>
            <w:bottom w:w="0" w:type="dxa"/>
            <w:right w:w="108" w:type="dxa"/>
          </w:tblCellMar>
        </w:tblPrEx>
        <w:trPr>
          <w:trHeight w:val="300" w:hRule="atLeast"/>
          <w:jc w:val="center"/>
        </w:trPr>
        <w:tc>
          <w:tcPr>
            <w:tcW w:w="508" w:type="dxa"/>
            <w:vMerge w:val="continue"/>
            <w:tcBorders>
              <w:left w:val="single" w:color="auto" w:sz="12" w:space="0"/>
              <w:right w:val="single" w:color="auto" w:sz="6" w:space="0"/>
            </w:tcBorders>
            <w:vAlign w:val="center"/>
          </w:tcPr>
          <w:p w14:paraId="2E0D5FC8">
            <w:pPr>
              <w:autoSpaceDE w:val="0"/>
              <w:autoSpaceDN w:val="0"/>
              <w:adjustRightInd w:val="0"/>
              <w:snapToGrid w:val="0"/>
              <w:spacing w:line="240" w:lineRule="auto"/>
              <w:jc w:val="center"/>
              <w:rPr>
                <w:rFonts w:ascii="宋体" w:hAnsi="宋体" w:cs="宋体"/>
                <w:b/>
                <w:bCs/>
                <w:color w:val="auto"/>
                <w:sz w:val="24"/>
                <w:highlight w:val="none"/>
                <w:lang w:val="zh-CN"/>
              </w:rPr>
            </w:pPr>
          </w:p>
        </w:tc>
        <w:tc>
          <w:tcPr>
            <w:tcW w:w="954" w:type="dxa"/>
            <w:tcBorders>
              <w:top w:val="single" w:color="auto" w:sz="6" w:space="0"/>
              <w:left w:val="single" w:color="auto" w:sz="12" w:space="0"/>
              <w:bottom w:val="single" w:color="auto" w:sz="6" w:space="0"/>
              <w:right w:val="single" w:color="auto" w:sz="6" w:space="0"/>
            </w:tcBorders>
            <w:vAlign w:val="center"/>
          </w:tcPr>
          <w:p w14:paraId="21F67212">
            <w:pPr>
              <w:autoSpaceDE w:val="0"/>
              <w:autoSpaceDN w:val="0"/>
              <w:adjustRightInd w:val="0"/>
              <w:snapToGrid w:val="0"/>
              <w:spacing w:line="240" w:lineRule="auto"/>
              <w:ind w:right="-88" w:rightChars="-42"/>
              <w:jc w:val="center"/>
              <w:rPr>
                <w:rFonts w:ascii="宋体" w:hAnsi="宋体" w:cs="宋体"/>
                <w:b/>
                <w:bCs/>
                <w:color w:val="auto"/>
                <w:szCs w:val="21"/>
                <w:highlight w:val="none"/>
              </w:rPr>
            </w:pPr>
            <w:r>
              <w:rPr>
                <w:rFonts w:hint="eastAsia" w:ascii="宋体" w:hAnsi="宋体" w:cs="宋体"/>
                <w:b/>
                <w:bCs/>
                <w:color w:val="auto"/>
                <w:szCs w:val="21"/>
                <w:highlight w:val="none"/>
                <w:lang w:val="zh-CN"/>
              </w:rPr>
              <w:t>2.4</w:t>
            </w:r>
          </w:p>
        </w:tc>
        <w:tc>
          <w:tcPr>
            <w:tcW w:w="2051" w:type="dxa"/>
            <w:tcBorders>
              <w:top w:val="single" w:color="auto" w:sz="6" w:space="0"/>
              <w:left w:val="single" w:color="auto" w:sz="6" w:space="0"/>
              <w:bottom w:val="single" w:color="auto" w:sz="6" w:space="0"/>
              <w:right w:val="single" w:color="auto" w:sz="6" w:space="0"/>
            </w:tcBorders>
            <w:vAlign w:val="center"/>
          </w:tcPr>
          <w:p w14:paraId="35CC9997">
            <w:pPr>
              <w:autoSpaceDE w:val="0"/>
              <w:autoSpaceDN w:val="0"/>
              <w:adjustRightInd w:val="0"/>
              <w:snapToGrid w:val="0"/>
              <w:spacing w:line="240" w:lineRule="auto"/>
              <w:ind w:left="-126" w:leftChars="-60" w:right="-36" w:rightChars="-17"/>
              <w:jc w:val="center"/>
              <w:rPr>
                <w:rFonts w:ascii="宋体" w:hAnsi="宋体" w:cs="宋体"/>
                <w:b/>
                <w:bCs/>
                <w:color w:val="auto"/>
                <w:szCs w:val="21"/>
                <w:highlight w:val="none"/>
                <w:lang w:val="zh-CN"/>
              </w:rPr>
            </w:pPr>
            <w:r>
              <w:rPr>
                <w:rFonts w:hint="eastAsia" w:ascii="宋体" w:hAnsi="宋体" w:cs="宋体"/>
                <w:b/>
                <w:bCs/>
                <w:color w:val="auto"/>
                <w:szCs w:val="21"/>
                <w:highlight w:val="none"/>
                <w:lang w:val="zh-CN"/>
              </w:rPr>
              <w:t>《磋商文件》的澄清修改补充告知方式</w:t>
            </w:r>
          </w:p>
        </w:tc>
        <w:tc>
          <w:tcPr>
            <w:tcW w:w="6240" w:type="dxa"/>
            <w:tcBorders>
              <w:top w:val="single" w:color="auto" w:sz="6" w:space="0"/>
              <w:left w:val="single" w:color="auto" w:sz="6" w:space="0"/>
              <w:bottom w:val="single" w:color="auto" w:sz="6" w:space="0"/>
              <w:right w:val="single" w:color="auto" w:sz="12" w:space="0"/>
            </w:tcBorders>
            <w:vAlign w:val="center"/>
          </w:tcPr>
          <w:p w14:paraId="6EAF91BC">
            <w:pPr>
              <w:autoSpaceDE w:val="0"/>
              <w:autoSpaceDN w:val="0"/>
              <w:adjustRightInd w:val="0"/>
              <w:snapToGrid w:val="0"/>
              <w:spacing w:before="120" w:beforeLines="50" w:line="360" w:lineRule="auto"/>
              <w:rPr>
                <w:rFonts w:ascii="宋体" w:hAnsi="宋体" w:cs="宋体"/>
                <w:color w:val="auto"/>
                <w:sz w:val="24"/>
                <w:highlight w:val="none"/>
                <w:lang w:val="zh-CN"/>
              </w:rPr>
            </w:pPr>
            <w:r>
              <w:rPr>
                <w:rFonts w:hint="eastAsia" w:ascii="宋体" w:hAnsi="宋体" w:cs="宋体"/>
                <w:color w:val="auto"/>
                <w:sz w:val="24"/>
                <w:highlight w:val="none"/>
                <w:lang w:val="zh-CN"/>
              </w:rPr>
              <w:t>见“第三章 供应商须知”相应条款</w:t>
            </w:r>
          </w:p>
        </w:tc>
      </w:tr>
      <w:tr w14:paraId="4B1DE9D8">
        <w:tblPrEx>
          <w:tblCellMar>
            <w:top w:w="0" w:type="dxa"/>
            <w:left w:w="108" w:type="dxa"/>
            <w:bottom w:w="0" w:type="dxa"/>
            <w:right w:w="108" w:type="dxa"/>
          </w:tblCellMar>
        </w:tblPrEx>
        <w:trPr>
          <w:trHeight w:val="535" w:hRule="atLeast"/>
          <w:jc w:val="center"/>
        </w:trPr>
        <w:tc>
          <w:tcPr>
            <w:tcW w:w="508" w:type="dxa"/>
            <w:vMerge w:val="continue"/>
            <w:tcBorders>
              <w:left w:val="single" w:color="auto" w:sz="12" w:space="0"/>
              <w:bottom w:val="single" w:color="auto" w:sz="6" w:space="0"/>
              <w:right w:val="single" w:color="auto" w:sz="6" w:space="0"/>
            </w:tcBorders>
          </w:tcPr>
          <w:p w14:paraId="545849D1">
            <w:pPr>
              <w:autoSpaceDE w:val="0"/>
              <w:autoSpaceDN w:val="0"/>
              <w:adjustRightInd w:val="0"/>
              <w:snapToGrid w:val="0"/>
              <w:spacing w:line="240" w:lineRule="auto"/>
              <w:jc w:val="center"/>
              <w:rPr>
                <w:rFonts w:ascii="宋体" w:hAnsi="宋体" w:cs="宋体"/>
                <w:b/>
                <w:bCs/>
                <w:color w:val="auto"/>
                <w:sz w:val="24"/>
                <w:highlight w:val="none"/>
                <w:lang w:val="zh-CN"/>
              </w:rPr>
            </w:pPr>
          </w:p>
        </w:tc>
        <w:tc>
          <w:tcPr>
            <w:tcW w:w="954" w:type="dxa"/>
            <w:tcBorders>
              <w:top w:val="single" w:color="auto" w:sz="6" w:space="0"/>
              <w:left w:val="single" w:color="auto" w:sz="12" w:space="0"/>
              <w:bottom w:val="single" w:color="auto" w:sz="6" w:space="0"/>
              <w:right w:val="single" w:color="auto" w:sz="6" w:space="0"/>
            </w:tcBorders>
            <w:vAlign w:val="center"/>
          </w:tcPr>
          <w:p w14:paraId="35465A35">
            <w:pPr>
              <w:autoSpaceDE w:val="0"/>
              <w:autoSpaceDN w:val="0"/>
              <w:adjustRightInd w:val="0"/>
              <w:snapToGrid w:val="0"/>
              <w:spacing w:line="240" w:lineRule="auto"/>
              <w:ind w:right="-88" w:rightChars="-42"/>
              <w:jc w:val="center"/>
              <w:rPr>
                <w:rFonts w:ascii="宋体" w:hAnsi="宋体" w:cs="宋体"/>
                <w:b/>
                <w:bCs/>
                <w:color w:val="auto"/>
                <w:szCs w:val="21"/>
                <w:highlight w:val="none"/>
                <w:lang w:val="zh-CN"/>
              </w:rPr>
            </w:pPr>
            <w:r>
              <w:rPr>
                <w:rFonts w:hint="eastAsia" w:ascii="宋体" w:hAnsi="宋体" w:cs="宋体"/>
                <w:b/>
                <w:bCs/>
                <w:color w:val="auto"/>
                <w:szCs w:val="21"/>
                <w:highlight w:val="none"/>
                <w:lang w:val="zh-CN"/>
              </w:rPr>
              <w:t>3.2</w:t>
            </w:r>
          </w:p>
        </w:tc>
        <w:tc>
          <w:tcPr>
            <w:tcW w:w="2051" w:type="dxa"/>
            <w:tcBorders>
              <w:top w:val="single" w:color="auto" w:sz="6" w:space="0"/>
              <w:left w:val="single" w:color="auto" w:sz="6" w:space="0"/>
              <w:bottom w:val="single" w:color="auto" w:sz="6" w:space="0"/>
              <w:right w:val="single" w:color="auto" w:sz="6" w:space="0"/>
            </w:tcBorders>
            <w:vAlign w:val="center"/>
          </w:tcPr>
          <w:p w14:paraId="77B659BE">
            <w:pPr>
              <w:autoSpaceDE w:val="0"/>
              <w:autoSpaceDN w:val="0"/>
              <w:adjustRightInd w:val="0"/>
              <w:snapToGrid w:val="0"/>
              <w:spacing w:line="240" w:lineRule="auto"/>
              <w:jc w:val="center"/>
              <w:rPr>
                <w:rFonts w:ascii="宋体" w:hAnsi="宋体" w:cs="宋体"/>
                <w:b/>
                <w:bCs/>
                <w:color w:val="auto"/>
                <w:sz w:val="24"/>
                <w:highlight w:val="none"/>
                <w:lang w:val="zh-CN"/>
              </w:rPr>
            </w:pPr>
            <w:r>
              <w:rPr>
                <w:rFonts w:hint="eastAsia" w:ascii="宋体" w:hAnsi="宋体" w:cs="宋体"/>
                <w:b/>
                <w:bCs/>
                <w:color w:val="auto"/>
                <w:sz w:val="24"/>
                <w:highlight w:val="none"/>
                <w:lang w:val="zh-CN"/>
              </w:rPr>
              <w:t>构成《响应文件》的其他材料</w:t>
            </w:r>
          </w:p>
        </w:tc>
        <w:tc>
          <w:tcPr>
            <w:tcW w:w="6240" w:type="dxa"/>
            <w:tcBorders>
              <w:top w:val="single" w:color="auto" w:sz="6" w:space="0"/>
              <w:left w:val="single" w:color="auto" w:sz="6" w:space="0"/>
              <w:bottom w:val="single" w:color="auto" w:sz="6" w:space="0"/>
              <w:right w:val="single" w:color="auto" w:sz="12" w:space="0"/>
            </w:tcBorders>
            <w:vAlign w:val="center"/>
          </w:tcPr>
          <w:p w14:paraId="0091DC0E">
            <w:pPr>
              <w:autoSpaceDE w:val="0"/>
              <w:autoSpaceDN w:val="0"/>
              <w:adjustRightInd w:val="0"/>
              <w:snapToGrid w:val="0"/>
              <w:spacing w:before="120" w:beforeLines="50" w:line="360" w:lineRule="auto"/>
              <w:rPr>
                <w:rFonts w:ascii="宋体" w:hAnsi="宋体" w:cs="宋体"/>
                <w:color w:val="auto"/>
                <w:sz w:val="24"/>
                <w:highlight w:val="none"/>
                <w:lang w:val="zh-CN"/>
              </w:rPr>
            </w:pPr>
            <w:r>
              <w:rPr>
                <w:rFonts w:hint="eastAsia" w:ascii="宋体" w:hAnsi="宋体" w:cs="宋体"/>
                <w:color w:val="auto"/>
                <w:sz w:val="24"/>
                <w:highlight w:val="none"/>
                <w:lang w:val="zh-CN"/>
              </w:rPr>
              <w:t>见“第三章 供应商须知”相应条款</w:t>
            </w:r>
          </w:p>
        </w:tc>
      </w:tr>
      <w:tr w14:paraId="4E0369E6">
        <w:tblPrEx>
          <w:tblCellMar>
            <w:top w:w="0" w:type="dxa"/>
            <w:left w:w="108" w:type="dxa"/>
            <w:bottom w:w="0" w:type="dxa"/>
            <w:right w:w="108" w:type="dxa"/>
          </w:tblCellMar>
        </w:tblPrEx>
        <w:trPr>
          <w:trHeight w:val="535" w:hRule="atLeast"/>
          <w:jc w:val="center"/>
        </w:trPr>
        <w:tc>
          <w:tcPr>
            <w:tcW w:w="508" w:type="dxa"/>
            <w:vMerge w:val="restart"/>
            <w:tcBorders>
              <w:top w:val="single" w:color="auto" w:sz="6" w:space="0"/>
              <w:left w:val="single" w:color="auto" w:sz="12" w:space="0"/>
              <w:right w:val="single" w:color="auto" w:sz="6" w:space="0"/>
            </w:tcBorders>
            <w:vAlign w:val="center"/>
          </w:tcPr>
          <w:p w14:paraId="4E738E4A">
            <w:pPr>
              <w:autoSpaceDE w:val="0"/>
              <w:autoSpaceDN w:val="0"/>
              <w:adjustRightInd w:val="0"/>
              <w:snapToGrid w:val="0"/>
              <w:spacing w:line="240" w:lineRule="auto"/>
              <w:jc w:val="center"/>
              <w:rPr>
                <w:rFonts w:ascii="宋体" w:hAnsi="宋体" w:cs="宋体"/>
                <w:b/>
                <w:bCs/>
                <w:color w:val="auto"/>
                <w:sz w:val="24"/>
                <w:highlight w:val="none"/>
                <w:lang w:val="zh-CN"/>
              </w:rPr>
            </w:pPr>
            <w:r>
              <w:rPr>
                <w:rFonts w:hint="eastAsia" w:ascii="宋体" w:hAnsi="宋体" w:cs="宋体"/>
                <w:b/>
                <w:bCs/>
                <w:color w:val="auto"/>
                <w:sz w:val="24"/>
                <w:highlight w:val="none"/>
                <w:lang w:val="zh-CN"/>
              </w:rPr>
              <w:t>第三章</w:t>
            </w:r>
          </w:p>
        </w:tc>
        <w:tc>
          <w:tcPr>
            <w:tcW w:w="954" w:type="dxa"/>
            <w:tcBorders>
              <w:top w:val="single" w:color="auto" w:sz="6" w:space="0"/>
              <w:left w:val="single" w:color="auto" w:sz="12" w:space="0"/>
              <w:bottom w:val="single" w:color="auto" w:sz="6" w:space="0"/>
              <w:right w:val="single" w:color="auto" w:sz="6" w:space="0"/>
            </w:tcBorders>
            <w:vAlign w:val="center"/>
          </w:tcPr>
          <w:p w14:paraId="4C3F7AA9">
            <w:pPr>
              <w:autoSpaceDE w:val="0"/>
              <w:autoSpaceDN w:val="0"/>
              <w:adjustRightInd w:val="0"/>
              <w:snapToGrid w:val="0"/>
              <w:spacing w:line="240" w:lineRule="auto"/>
              <w:ind w:right="-88" w:rightChars="-42"/>
              <w:jc w:val="center"/>
              <w:rPr>
                <w:rFonts w:ascii="宋体" w:hAnsi="宋体" w:cs="宋体"/>
                <w:b/>
                <w:bCs/>
                <w:color w:val="auto"/>
                <w:szCs w:val="21"/>
                <w:highlight w:val="none"/>
                <w:lang w:val="zh-CN"/>
              </w:rPr>
            </w:pPr>
            <w:r>
              <w:rPr>
                <w:rFonts w:hint="eastAsia" w:ascii="宋体" w:hAnsi="宋体" w:cs="宋体"/>
                <w:b/>
                <w:bCs/>
                <w:color w:val="auto"/>
                <w:szCs w:val="21"/>
                <w:highlight w:val="none"/>
                <w:lang w:val="zh-CN"/>
              </w:rPr>
              <w:t>3.4.1</w:t>
            </w:r>
          </w:p>
        </w:tc>
        <w:tc>
          <w:tcPr>
            <w:tcW w:w="2051" w:type="dxa"/>
            <w:tcBorders>
              <w:top w:val="single" w:color="auto" w:sz="6" w:space="0"/>
              <w:left w:val="single" w:color="auto" w:sz="6" w:space="0"/>
              <w:bottom w:val="single" w:color="auto" w:sz="6" w:space="0"/>
              <w:right w:val="single" w:color="auto" w:sz="6" w:space="0"/>
            </w:tcBorders>
            <w:vAlign w:val="center"/>
          </w:tcPr>
          <w:p w14:paraId="3151ECF4">
            <w:pPr>
              <w:autoSpaceDE w:val="0"/>
              <w:autoSpaceDN w:val="0"/>
              <w:adjustRightInd w:val="0"/>
              <w:snapToGrid w:val="0"/>
              <w:spacing w:line="240" w:lineRule="auto"/>
              <w:jc w:val="center"/>
              <w:rPr>
                <w:rFonts w:ascii="宋体" w:hAnsi="宋体" w:cs="宋体"/>
                <w:b/>
                <w:bCs/>
                <w:color w:val="auto"/>
                <w:sz w:val="24"/>
                <w:highlight w:val="none"/>
                <w:lang w:val="zh-CN"/>
              </w:rPr>
            </w:pPr>
            <w:r>
              <w:rPr>
                <w:rFonts w:hint="eastAsia" w:ascii="宋体" w:hAnsi="宋体" w:cs="宋体"/>
                <w:b/>
                <w:bCs/>
                <w:color w:val="auto"/>
                <w:sz w:val="24"/>
                <w:highlight w:val="none"/>
                <w:lang w:val="zh-CN"/>
              </w:rPr>
              <w:t>响应有效期</w:t>
            </w:r>
          </w:p>
        </w:tc>
        <w:tc>
          <w:tcPr>
            <w:tcW w:w="6240" w:type="dxa"/>
            <w:tcBorders>
              <w:top w:val="single" w:color="auto" w:sz="6" w:space="0"/>
              <w:left w:val="single" w:color="auto" w:sz="6" w:space="0"/>
              <w:bottom w:val="single" w:color="auto" w:sz="6" w:space="0"/>
              <w:right w:val="single" w:color="auto" w:sz="12" w:space="0"/>
            </w:tcBorders>
            <w:vAlign w:val="center"/>
          </w:tcPr>
          <w:p w14:paraId="41530091">
            <w:pPr>
              <w:autoSpaceDE w:val="0"/>
              <w:autoSpaceDN w:val="0"/>
              <w:adjustRightInd w:val="0"/>
              <w:snapToGrid w:val="0"/>
              <w:spacing w:before="120" w:beforeLines="50" w:line="360" w:lineRule="auto"/>
              <w:rPr>
                <w:rFonts w:ascii="宋体" w:hAnsi="宋体" w:cs="宋体"/>
                <w:color w:val="auto"/>
                <w:sz w:val="24"/>
                <w:highlight w:val="none"/>
                <w:lang w:val="zh-CN"/>
              </w:rPr>
            </w:pPr>
            <w:r>
              <w:rPr>
                <w:rFonts w:hint="eastAsia" w:ascii="宋体" w:hAnsi="宋体" w:cs="宋体"/>
                <w:color w:val="auto"/>
                <w:sz w:val="24"/>
                <w:highlight w:val="none"/>
                <w:lang w:val="zh-CN"/>
              </w:rPr>
              <w:t>从《响应文件》开启之日起，响应有效期为90日历天</w:t>
            </w:r>
          </w:p>
        </w:tc>
      </w:tr>
      <w:tr w14:paraId="2F60F051">
        <w:tblPrEx>
          <w:tblCellMar>
            <w:top w:w="0" w:type="dxa"/>
            <w:left w:w="108" w:type="dxa"/>
            <w:bottom w:w="0" w:type="dxa"/>
            <w:right w:w="108" w:type="dxa"/>
          </w:tblCellMar>
        </w:tblPrEx>
        <w:trPr>
          <w:trHeight w:val="694" w:hRule="atLeast"/>
          <w:jc w:val="center"/>
        </w:trPr>
        <w:tc>
          <w:tcPr>
            <w:tcW w:w="508" w:type="dxa"/>
            <w:vMerge w:val="continue"/>
            <w:tcBorders>
              <w:left w:val="single" w:color="auto" w:sz="12" w:space="0"/>
              <w:right w:val="single" w:color="auto" w:sz="6" w:space="0"/>
            </w:tcBorders>
            <w:vAlign w:val="center"/>
          </w:tcPr>
          <w:p w14:paraId="23790C30">
            <w:pPr>
              <w:autoSpaceDE w:val="0"/>
              <w:autoSpaceDN w:val="0"/>
              <w:adjustRightInd w:val="0"/>
              <w:snapToGrid w:val="0"/>
              <w:spacing w:line="240" w:lineRule="auto"/>
              <w:jc w:val="center"/>
              <w:rPr>
                <w:rFonts w:ascii="宋体" w:hAnsi="宋体" w:cs="宋体"/>
                <w:b/>
                <w:bCs/>
                <w:color w:val="auto"/>
                <w:sz w:val="24"/>
                <w:highlight w:val="none"/>
                <w:lang w:val="zh-CN"/>
              </w:rPr>
            </w:pPr>
          </w:p>
        </w:tc>
        <w:tc>
          <w:tcPr>
            <w:tcW w:w="954" w:type="dxa"/>
            <w:tcBorders>
              <w:top w:val="single" w:color="auto" w:sz="6" w:space="0"/>
              <w:left w:val="single" w:color="auto" w:sz="12" w:space="0"/>
              <w:right w:val="single" w:color="auto" w:sz="6" w:space="0"/>
            </w:tcBorders>
            <w:vAlign w:val="center"/>
          </w:tcPr>
          <w:p w14:paraId="2496E723">
            <w:pPr>
              <w:autoSpaceDE w:val="0"/>
              <w:autoSpaceDN w:val="0"/>
              <w:adjustRightInd w:val="0"/>
              <w:snapToGrid w:val="0"/>
              <w:spacing w:line="240" w:lineRule="auto"/>
              <w:ind w:right="-88" w:rightChars="-42"/>
              <w:jc w:val="center"/>
              <w:rPr>
                <w:rFonts w:ascii="宋体" w:hAnsi="宋体" w:cs="宋体"/>
                <w:b/>
                <w:bCs/>
                <w:color w:val="auto"/>
                <w:szCs w:val="21"/>
                <w:highlight w:val="none"/>
                <w:lang w:val="zh-CN"/>
              </w:rPr>
            </w:pPr>
            <w:r>
              <w:rPr>
                <w:rFonts w:hint="eastAsia" w:ascii="宋体" w:hAnsi="宋体" w:cs="宋体"/>
                <w:b/>
                <w:bCs/>
                <w:color w:val="auto"/>
                <w:szCs w:val="21"/>
                <w:highlight w:val="none"/>
                <w:lang w:val="zh-CN"/>
              </w:rPr>
              <w:t>3.5</w:t>
            </w:r>
          </w:p>
        </w:tc>
        <w:tc>
          <w:tcPr>
            <w:tcW w:w="2051" w:type="dxa"/>
            <w:tcBorders>
              <w:top w:val="single" w:color="auto" w:sz="6" w:space="0"/>
              <w:left w:val="single" w:color="auto" w:sz="6" w:space="0"/>
              <w:right w:val="single" w:color="auto" w:sz="6" w:space="0"/>
            </w:tcBorders>
            <w:vAlign w:val="center"/>
          </w:tcPr>
          <w:p w14:paraId="2E88CB0A">
            <w:pPr>
              <w:autoSpaceDE w:val="0"/>
              <w:autoSpaceDN w:val="0"/>
              <w:adjustRightInd w:val="0"/>
              <w:snapToGrid w:val="0"/>
              <w:spacing w:line="240" w:lineRule="auto"/>
              <w:jc w:val="center"/>
              <w:rPr>
                <w:rFonts w:ascii="宋体" w:hAnsi="宋体" w:cs="宋体"/>
                <w:b/>
                <w:bCs/>
                <w:color w:val="auto"/>
                <w:sz w:val="24"/>
                <w:highlight w:val="none"/>
                <w:lang w:val="zh-CN"/>
              </w:rPr>
            </w:pPr>
            <w:r>
              <w:rPr>
                <w:rFonts w:hint="eastAsia" w:ascii="宋体" w:hAnsi="宋体" w:cs="宋体"/>
                <w:b/>
                <w:bCs/>
                <w:color w:val="auto"/>
                <w:sz w:val="24"/>
                <w:highlight w:val="none"/>
                <w:lang w:val="zh-CN"/>
              </w:rPr>
              <w:t>投标承诺函</w:t>
            </w:r>
          </w:p>
          <w:p w14:paraId="6E184765">
            <w:pPr>
              <w:autoSpaceDE w:val="0"/>
              <w:autoSpaceDN w:val="0"/>
              <w:adjustRightInd w:val="0"/>
              <w:snapToGrid w:val="0"/>
              <w:spacing w:line="240" w:lineRule="auto"/>
              <w:jc w:val="center"/>
              <w:rPr>
                <w:rFonts w:ascii="宋体" w:hAnsi="宋体" w:cs="宋体"/>
                <w:b/>
                <w:bCs/>
                <w:color w:val="auto"/>
                <w:sz w:val="24"/>
                <w:highlight w:val="none"/>
                <w:lang w:val="zh-CN"/>
              </w:rPr>
            </w:pPr>
            <w:r>
              <w:rPr>
                <w:rFonts w:hint="eastAsia" w:ascii="宋体" w:hAnsi="宋体" w:cs="宋体"/>
                <w:b/>
                <w:bCs/>
                <w:color w:val="auto"/>
                <w:sz w:val="24"/>
                <w:highlight w:val="none"/>
                <w:lang w:val="zh-CN"/>
              </w:rPr>
              <w:t>（替代投标保证金）</w:t>
            </w:r>
          </w:p>
        </w:tc>
        <w:tc>
          <w:tcPr>
            <w:tcW w:w="6240" w:type="dxa"/>
            <w:tcBorders>
              <w:top w:val="single" w:color="auto" w:sz="6" w:space="0"/>
              <w:left w:val="single" w:color="auto" w:sz="6" w:space="0"/>
              <w:right w:val="single" w:color="auto" w:sz="12" w:space="0"/>
            </w:tcBorders>
            <w:vAlign w:val="center"/>
          </w:tcPr>
          <w:p w14:paraId="687BDD4A">
            <w:pPr>
              <w:widowControl w:val="0"/>
              <w:snapToGrid w:val="0"/>
              <w:spacing w:before="120" w:beforeLines="50" w:line="360" w:lineRule="auto"/>
              <w:rPr>
                <w:rFonts w:ascii="宋体" w:hAnsi="宋体" w:cs="宋体"/>
                <w:color w:val="auto"/>
                <w:sz w:val="24"/>
                <w:szCs w:val="24"/>
                <w:highlight w:val="none"/>
              </w:rPr>
            </w:pPr>
            <w:r>
              <w:rPr>
                <w:rFonts w:hint="eastAsia" w:ascii="宋体" w:hAnsi="宋体" w:cs="宋体"/>
                <w:color w:val="auto"/>
                <w:sz w:val="24"/>
                <w:szCs w:val="24"/>
                <w:highlight w:val="none"/>
              </w:rPr>
              <w:t>以投标承诺函形式替代投标保证金。</w:t>
            </w:r>
          </w:p>
          <w:p w14:paraId="094C3666">
            <w:pPr>
              <w:widowControl w:val="0"/>
              <w:snapToGrid w:val="0"/>
              <w:spacing w:before="120" w:beforeLines="50" w:line="360" w:lineRule="auto"/>
              <w:rPr>
                <w:rFonts w:ascii="宋体" w:hAnsi="宋体" w:cs="宋体"/>
                <w:color w:val="auto"/>
                <w:sz w:val="24"/>
                <w:szCs w:val="24"/>
                <w:highlight w:val="none"/>
              </w:rPr>
            </w:pPr>
            <w:r>
              <w:rPr>
                <w:rFonts w:hint="eastAsia" w:ascii="宋体" w:hAnsi="宋体" w:cs="宋体"/>
                <w:color w:val="auto"/>
                <w:sz w:val="24"/>
                <w:szCs w:val="24"/>
                <w:highlight w:val="none"/>
              </w:rPr>
              <w:t>供应商应按附件格式进行投标承诺、违背承诺的责任追究。</w:t>
            </w:r>
          </w:p>
        </w:tc>
      </w:tr>
      <w:tr w14:paraId="1CB81621">
        <w:tblPrEx>
          <w:tblCellMar>
            <w:top w:w="0" w:type="dxa"/>
            <w:left w:w="108" w:type="dxa"/>
            <w:bottom w:w="0" w:type="dxa"/>
            <w:right w:w="108" w:type="dxa"/>
          </w:tblCellMar>
        </w:tblPrEx>
        <w:trPr>
          <w:trHeight w:val="577" w:hRule="atLeast"/>
          <w:jc w:val="center"/>
        </w:trPr>
        <w:tc>
          <w:tcPr>
            <w:tcW w:w="508" w:type="dxa"/>
            <w:vMerge w:val="continue"/>
            <w:tcBorders>
              <w:left w:val="single" w:color="auto" w:sz="12" w:space="0"/>
              <w:right w:val="single" w:color="auto" w:sz="6" w:space="0"/>
            </w:tcBorders>
            <w:vAlign w:val="center"/>
          </w:tcPr>
          <w:p w14:paraId="187C01D0">
            <w:pPr>
              <w:autoSpaceDE w:val="0"/>
              <w:autoSpaceDN w:val="0"/>
              <w:adjustRightInd w:val="0"/>
              <w:snapToGrid w:val="0"/>
              <w:spacing w:line="240" w:lineRule="auto"/>
              <w:jc w:val="center"/>
              <w:rPr>
                <w:rFonts w:ascii="宋体" w:hAnsi="宋体" w:cs="宋体"/>
                <w:b/>
                <w:bCs/>
                <w:color w:val="auto"/>
                <w:sz w:val="24"/>
                <w:highlight w:val="none"/>
                <w:lang w:val="zh-CN"/>
              </w:rPr>
            </w:pPr>
          </w:p>
        </w:tc>
        <w:tc>
          <w:tcPr>
            <w:tcW w:w="954" w:type="dxa"/>
            <w:tcBorders>
              <w:top w:val="single" w:color="auto" w:sz="4" w:space="0"/>
              <w:left w:val="single" w:color="auto" w:sz="12" w:space="0"/>
              <w:bottom w:val="single" w:color="auto" w:sz="6" w:space="0"/>
              <w:right w:val="single" w:color="auto" w:sz="6" w:space="0"/>
            </w:tcBorders>
            <w:vAlign w:val="center"/>
          </w:tcPr>
          <w:p w14:paraId="4B69C740">
            <w:pPr>
              <w:autoSpaceDE w:val="0"/>
              <w:autoSpaceDN w:val="0"/>
              <w:adjustRightInd w:val="0"/>
              <w:snapToGrid w:val="0"/>
              <w:spacing w:line="240" w:lineRule="auto"/>
              <w:ind w:right="-88" w:rightChars="-42"/>
              <w:jc w:val="center"/>
              <w:rPr>
                <w:rFonts w:ascii="宋体" w:hAnsi="宋体" w:cs="宋体"/>
                <w:b/>
                <w:bCs/>
                <w:color w:val="auto"/>
                <w:szCs w:val="21"/>
                <w:highlight w:val="none"/>
                <w:lang w:val="zh-CN"/>
              </w:rPr>
            </w:pPr>
            <w:r>
              <w:rPr>
                <w:rFonts w:hint="eastAsia" w:ascii="宋体" w:hAnsi="宋体" w:cs="宋体"/>
                <w:b/>
                <w:bCs/>
                <w:color w:val="auto"/>
                <w:szCs w:val="21"/>
                <w:highlight w:val="none"/>
                <w:lang w:val="zh-CN"/>
              </w:rPr>
              <w:t>3.7.3</w:t>
            </w:r>
          </w:p>
        </w:tc>
        <w:tc>
          <w:tcPr>
            <w:tcW w:w="2051" w:type="dxa"/>
            <w:tcBorders>
              <w:top w:val="single" w:color="auto" w:sz="4" w:space="0"/>
              <w:left w:val="single" w:color="auto" w:sz="6" w:space="0"/>
              <w:bottom w:val="single" w:color="auto" w:sz="6" w:space="0"/>
              <w:right w:val="single" w:color="auto" w:sz="6" w:space="0"/>
            </w:tcBorders>
            <w:vAlign w:val="center"/>
          </w:tcPr>
          <w:p w14:paraId="3A5D29AC">
            <w:pPr>
              <w:autoSpaceDE w:val="0"/>
              <w:autoSpaceDN w:val="0"/>
              <w:adjustRightInd w:val="0"/>
              <w:snapToGrid w:val="0"/>
              <w:spacing w:line="240" w:lineRule="auto"/>
              <w:jc w:val="center"/>
              <w:rPr>
                <w:rFonts w:ascii="宋体" w:hAnsi="宋体" w:cs="宋体"/>
                <w:b/>
                <w:bCs/>
                <w:color w:val="auto"/>
                <w:sz w:val="24"/>
                <w:highlight w:val="none"/>
                <w:lang w:val="zh-CN"/>
              </w:rPr>
            </w:pPr>
            <w:r>
              <w:rPr>
                <w:rFonts w:hint="eastAsia" w:ascii="宋体" w:hAnsi="宋体" w:cs="宋体"/>
                <w:b/>
                <w:bCs/>
                <w:color w:val="auto"/>
                <w:sz w:val="24"/>
                <w:highlight w:val="none"/>
                <w:lang w:val="zh-CN"/>
              </w:rPr>
              <w:t>偏差描述</w:t>
            </w:r>
          </w:p>
        </w:tc>
        <w:tc>
          <w:tcPr>
            <w:tcW w:w="6240" w:type="dxa"/>
            <w:tcBorders>
              <w:top w:val="single" w:color="auto" w:sz="4" w:space="0"/>
              <w:left w:val="single" w:color="auto" w:sz="6" w:space="0"/>
              <w:bottom w:val="single" w:color="auto" w:sz="6" w:space="0"/>
              <w:right w:val="single" w:color="auto" w:sz="12" w:space="0"/>
            </w:tcBorders>
            <w:vAlign w:val="center"/>
          </w:tcPr>
          <w:p w14:paraId="4B9B7213">
            <w:pPr>
              <w:widowControl w:val="0"/>
              <w:snapToGrid w:val="0"/>
              <w:spacing w:before="120" w:beforeLines="50" w:line="360" w:lineRule="auto"/>
              <w:rPr>
                <w:rFonts w:ascii="宋体" w:hAnsi="宋体" w:cs="宋体"/>
                <w:b/>
                <w:color w:val="auto"/>
                <w:sz w:val="24"/>
                <w:szCs w:val="24"/>
                <w:highlight w:val="none"/>
              </w:rPr>
            </w:pPr>
            <w:r>
              <w:rPr>
                <w:rFonts w:hint="eastAsia" w:ascii="宋体" w:hAnsi="宋体" w:cs="宋体"/>
                <w:color w:val="auto"/>
                <w:sz w:val="24"/>
                <w:highlight w:val="none"/>
                <w:lang w:val="zh-CN"/>
              </w:rPr>
              <w:t>见“第三章 供应商须知”相应条款</w:t>
            </w:r>
          </w:p>
        </w:tc>
      </w:tr>
      <w:tr w14:paraId="24AA190A">
        <w:tblPrEx>
          <w:tblCellMar>
            <w:top w:w="0" w:type="dxa"/>
            <w:left w:w="108" w:type="dxa"/>
            <w:bottom w:w="0" w:type="dxa"/>
            <w:right w:w="108" w:type="dxa"/>
          </w:tblCellMar>
        </w:tblPrEx>
        <w:trPr>
          <w:trHeight w:val="65" w:hRule="atLeast"/>
          <w:jc w:val="center"/>
        </w:trPr>
        <w:tc>
          <w:tcPr>
            <w:tcW w:w="508" w:type="dxa"/>
            <w:vMerge w:val="continue"/>
            <w:tcBorders>
              <w:left w:val="single" w:color="auto" w:sz="12" w:space="0"/>
              <w:right w:val="single" w:color="auto" w:sz="6" w:space="0"/>
            </w:tcBorders>
            <w:vAlign w:val="center"/>
          </w:tcPr>
          <w:p w14:paraId="65285295">
            <w:pPr>
              <w:autoSpaceDE w:val="0"/>
              <w:autoSpaceDN w:val="0"/>
              <w:adjustRightInd w:val="0"/>
              <w:snapToGrid w:val="0"/>
              <w:spacing w:line="240" w:lineRule="auto"/>
              <w:jc w:val="center"/>
              <w:rPr>
                <w:rFonts w:ascii="宋体" w:hAnsi="宋体" w:cs="宋体"/>
                <w:b/>
                <w:bCs/>
                <w:color w:val="auto"/>
                <w:sz w:val="24"/>
                <w:highlight w:val="none"/>
              </w:rPr>
            </w:pPr>
          </w:p>
        </w:tc>
        <w:tc>
          <w:tcPr>
            <w:tcW w:w="954" w:type="dxa"/>
            <w:tcBorders>
              <w:top w:val="single" w:color="auto" w:sz="6" w:space="0"/>
              <w:left w:val="single" w:color="auto" w:sz="12" w:space="0"/>
              <w:bottom w:val="single" w:color="auto" w:sz="6" w:space="0"/>
              <w:right w:val="single" w:color="auto" w:sz="6" w:space="0"/>
            </w:tcBorders>
            <w:vAlign w:val="center"/>
          </w:tcPr>
          <w:p w14:paraId="65369808">
            <w:pPr>
              <w:autoSpaceDE w:val="0"/>
              <w:autoSpaceDN w:val="0"/>
              <w:adjustRightInd w:val="0"/>
              <w:snapToGrid w:val="0"/>
              <w:spacing w:line="240" w:lineRule="auto"/>
              <w:ind w:right="-88" w:rightChars="-42"/>
              <w:jc w:val="center"/>
              <w:rPr>
                <w:rFonts w:ascii="宋体" w:hAnsi="宋体" w:cs="宋体"/>
                <w:b/>
                <w:bCs/>
                <w:color w:val="auto"/>
                <w:szCs w:val="21"/>
                <w:highlight w:val="none"/>
                <w:lang w:val="zh-CN"/>
              </w:rPr>
            </w:pPr>
            <w:r>
              <w:rPr>
                <w:rFonts w:hint="eastAsia" w:ascii="宋体" w:hAnsi="宋体" w:cs="宋体"/>
                <w:b/>
                <w:bCs/>
                <w:color w:val="auto"/>
                <w:szCs w:val="21"/>
                <w:highlight w:val="none"/>
              </w:rPr>
              <w:t>3.7.4</w:t>
            </w:r>
          </w:p>
        </w:tc>
        <w:tc>
          <w:tcPr>
            <w:tcW w:w="2051" w:type="dxa"/>
            <w:tcBorders>
              <w:top w:val="single" w:color="auto" w:sz="6" w:space="0"/>
              <w:left w:val="single" w:color="auto" w:sz="6" w:space="0"/>
              <w:bottom w:val="single" w:color="auto" w:sz="6" w:space="0"/>
              <w:right w:val="single" w:color="auto" w:sz="6" w:space="0"/>
            </w:tcBorders>
            <w:vAlign w:val="center"/>
          </w:tcPr>
          <w:p w14:paraId="4335E1B6">
            <w:pPr>
              <w:autoSpaceDE w:val="0"/>
              <w:autoSpaceDN w:val="0"/>
              <w:adjustRightInd w:val="0"/>
              <w:snapToGrid w:val="0"/>
              <w:spacing w:line="240" w:lineRule="auto"/>
              <w:jc w:val="center"/>
              <w:rPr>
                <w:rFonts w:ascii="宋体" w:hAnsi="宋体" w:cs="宋体"/>
                <w:b/>
                <w:bCs/>
                <w:color w:val="auto"/>
                <w:sz w:val="24"/>
                <w:highlight w:val="none"/>
                <w:lang w:val="zh-CN"/>
              </w:rPr>
            </w:pPr>
            <w:r>
              <w:rPr>
                <w:rFonts w:hint="eastAsia" w:ascii="宋体" w:hAnsi="宋体" w:cs="宋体"/>
                <w:b/>
                <w:bCs/>
                <w:color w:val="auto"/>
                <w:sz w:val="24"/>
                <w:highlight w:val="none"/>
                <w:lang w:val="zh-CN"/>
              </w:rPr>
              <w:t>签字或盖章要求</w:t>
            </w:r>
          </w:p>
        </w:tc>
        <w:tc>
          <w:tcPr>
            <w:tcW w:w="6240" w:type="dxa"/>
            <w:tcBorders>
              <w:top w:val="single" w:color="auto" w:sz="6" w:space="0"/>
              <w:left w:val="single" w:color="auto" w:sz="6" w:space="0"/>
              <w:bottom w:val="single" w:color="auto" w:sz="6" w:space="0"/>
              <w:right w:val="single" w:color="auto" w:sz="12" w:space="0"/>
            </w:tcBorders>
            <w:vAlign w:val="center"/>
          </w:tcPr>
          <w:p w14:paraId="6EC1477B">
            <w:pPr>
              <w:autoSpaceDE w:val="0"/>
              <w:autoSpaceDN w:val="0"/>
              <w:adjustRightInd w:val="0"/>
              <w:snapToGrid w:val="0"/>
              <w:spacing w:before="120" w:beforeLines="50" w:line="360" w:lineRule="auto"/>
              <w:rPr>
                <w:rFonts w:ascii="宋体" w:hAnsi="宋体" w:cs="宋体"/>
                <w:color w:val="auto"/>
                <w:sz w:val="24"/>
                <w:highlight w:val="none"/>
                <w:lang w:val="zh-CN"/>
              </w:rPr>
            </w:pPr>
            <w:r>
              <w:rPr>
                <w:rFonts w:hint="eastAsia" w:ascii="宋体" w:hAnsi="宋体" w:cs="宋体"/>
                <w:color w:val="auto"/>
                <w:sz w:val="24"/>
                <w:highlight w:val="none"/>
                <w:lang w:val="zh-CN"/>
              </w:rPr>
              <w:t>见“第三章 供应商须知”相应条款</w:t>
            </w:r>
          </w:p>
        </w:tc>
      </w:tr>
      <w:tr w14:paraId="5A239B03">
        <w:tblPrEx>
          <w:tblCellMar>
            <w:top w:w="0" w:type="dxa"/>
            <w:left w:w="108" w:type="dxa"/>
            <w:bottom w:w="0" w:type="dxa"/>
            <w:right w:w="108" w:type="dxa"/>
          </w:tblCellMar>
        </w:tblPrEx>
        <w:trPr>
          <w:trHeight w:val="343" w:hRule="atLeast"/>
          <w:jc w:val="center"/>
        </w:trPr>
        <w:tc>
          <w:tcPr>
            <w:tcW w:w="508" w:type="dxa"/>
            <w:vMerge w:val="continue"/>
            <w:tcBorders>
              <w:left w:val="single" w:color="auto" w:sz="12" w:space="0"/>
              <w:right w:val="single" w:color="auto" w:sz="6" w:space="0"/>
            </w:tcBorders>
            <w:vAlign w:val="center"/>
          </w:tcPr>
          <w:p w14:paraId="1094A79A">
            <w:pPr>
              <w:autoSpaceDE w:val="0"/>
              <w:autoSpaceDN w:val="0"/>
              <w:adjustRightInd w:val="0"/>
              <w:snapToGrid w:val="0"/>
              <w:spacing w:line="240" w:lineRule="auto"/>
              <w:jc w:val="center"/>
              <w:rPr>
                <w:rFonts w:ascii="宋体" w:hAnsi="宋体" w:cs="宋体"/>
                <w:b/>
                <w:bCs/>
                <w:color w:val="auto"/>
                <w:sz w:val="24"/>
                <w:highlight w:val="none"/>
              </w:rPr>
            </w:pPr>
          </w:p>
        </w:tc>
        <w:tc>
          <w:tcPr>
            <w:tcW w:w="954" w:type="dxa"/>
            <w:tcBorders>
              <w:top w:val="single" w:color="auto" w:sz="6" w:space="0"/>
              <w:left w:val="single" w:color="auto" w:sz="12" w:space="0"/>
              <w:bottom w:val="single" w:color="auto" w:sz="6" w:space="0"/>
              <w:right w:val="single" w:color="auto" w:sz="6" w:space="0"/>
            </w:tcBorders>
            <w:vAlign w:val="center"/>
          </w:tcPr>
          <w:p w14:paraId="2D416DD1">
            <w:pPr>
              <w:autoSpaceDE w:val="0"/>
              <w:autoSpaceDN w:val="0"/>
              <w:adjustRightInd w:val="0"/>
              <w:snapToGrid w:val="0"/>
              <w:spacing w:line="240" w:lineRule="auto"/>
              <w:ind w:right="-88" w:rightChars="-42"/>
              <w:jc w:val="center"/>
              <w:rPr>
                <w:rFonts w:ascii="宋体" w:hAnsi="宋体" w:cs="宋体"/>
                <w:b/>
                <w:bCs/>
                <w:color w:val="auto"/>
                <w:szCs w:val="21"/>
                <w:highlight w:val="none"/>
                <w:lang w:val="zh-CN"/>
              </w:rPr>
            </w:pPr>
            <w:r>
              <w:rPr>
                <w:rFonts w:hint="eastAsia" w:ascii="宋体" w:hAnsi="宋体" w:cs="宋体"/>
                <w:b/>
                <w:bCs/>
                <w:color w:val="auto"/>
                <w:szCs w:val="21"/>
                <w:highlight w:val="none"/>
              </w:rPr>
              <w:t>4.2.4</w:t>
            </w:r>
          </w:p>
        </w:tc>
        <w:tc>
          <w:tcPr>
            <w:tcW w:w="2051" w:type="dxa"/>
            <w:tcBorders>
              <w:top w:val="single" w:color="auto" w:sz="6" w:space="0"/>
              <w:left w:val="single" w:color="auto" w:sz="6" w:space="0"/>
              <w:bottom w:val="single" w:color="auto" w:sz="6" w:space="0"/>
              <w:right w:val="single" w:color="auto" w:sz="6" w:space="0"/>
            </w:tcBorders>
            <w:vAlign w:val="center"/>
          </w:tcPr>
          <w:p w14:paraId="67F42235">
            <w:pPr>
              <w:autoSpaceDE w:val="0"/>
              <w:autoSpaceDN w:val="0"/>
              <w:adjustRightInd w:val="0"/>
              <w:snapToGrid w:val="0"/>
              <w:spacing w:line="240" w:lineRule="auto"/>
              <w:jc w:val="center"/>
              <w:rPr>
                <w:rFonts w:ascii="宋体" w:hAnsi="宋体" w:cs="宋体"/>
                <w:b/>
                <w:bCs/>
                <w:color w:val="auto"/>
                <w:sz w:val="24"/>
                <w:highlight w:val="none"/>
                <w:lang w:val="zh-CN"/>
              </w:rPr>
            </w:pPr>
            <w:r>
              <w:rPr>
                <w:rFonts w:hint="eastAsia" w:ascii="宋体" w:hAnsi="宋体" w:cs="宋体"/>
                <w:b/>
                <w:bCs/>
                <w:color w:val="auto"/>
                <w:sz w:val="24"/>
                <w:highlight w:val="none"/>
                <w:lang w:val="zh-CN"/>
              </w:rPr>
              <w:t>是否退还《响应文件》</w:t>
            </w:r>
          </w:p>
        </w:tc>
        <w:tc>
          <w:tcPr>
            <w:tcW w:w="6240" w:type="dxa"/>
            <w:tcBorders>
              <w:top w:val="single" w:color="auto" w:sz="6" w:space="0"/>
              <w:left w:val="single" w:color="auto" w:sz="6" w:space="0"/>
              <w:bottom w:val="single" w:color="auto" w:sz="6" w:space="0"/>
              <w:right w:val="single" w:color="auto" w:sz="12" w:space="0"/>
            </w:tcBorders>
            <w:vAlign w:val="center"/>
          </w:tcPr>
          <w:p w14:paraId="0071CE5E">
            <w:pPr>
              <w:autoSpaceDE w:val="0"/>
              <w:autoSpaceDN w:val="0"/>
              <w:adjustRightInd w:val="0"/>
              <w:snapToGrid w:val="0"/>
              <w:spacing w:before="120" w:beforeLines="50" w:line="360" w:lineRule="auto"/>
              <w:rPr>
                <w:rFonts w:ascii="宋体" w:hAnsi="宋体" w:cs="宋体"/>
                <w:color w:val="auto"/>
                <w:sz w:val="24"/>
                <w:highlight w:val="none"/>
                <w:lang w:val="zh-CN"/>
              </w:rPr>
            </w:pPr>
            <w:r>
              <w:rPr>
                <w:rFonts w:hint="eastAsia" w:ascii="宋体" w:hAnsi="宋体" w:cs="宋体"/>
                <w:color w:val="auto"/>
                <w:sz w:val="24"/>
                <w:highlight w:val="none"/>
                <w:lang w:val="zh-CN"/>
              </w:rPr>
              <w:t>否</w:t>
            </w:r>
          </w:p>
        </w:tc>
      </w:tr>
      <w:tr w14:paraId="38173B3D">
        <w:tblPrEx>
          <w:tblCellMar>
            <w:top w:w="0" w:type="dxa"/>
            <w:left w:w="108" w:type="dxa"/>
            <w:bottom w:w="0" w:type="dxa"/>
            <w:right w:w="108" w:type="dxa"/>
          </w:tblCellMar>
        </w:tblPrEx>
        <w:trPr>
          <w:trHeight w:val="507" w:hRule="atLeast"/>
          <w:jc w:val="center"/>
        </w:trPr>
        <w:tc>
          <w:tcPr>
            <w:tcW w:w="508" w:type="dxa"/>
            <w:vMerge w:val="continue"/>
            <w:tcBorders>
              <w:left w:val="single" w:color="auto" w:sz="12" w:space="0"/>
              <w:bottom w:val="single" w:color="auto" w:sz="6" w:space="0"/>
              <w:right w:val="single" w:color="auto" w:sz="6" w:space="0"/>
            </w:tcBorders>
            <w:vAlign w:val="center"/>
          </w:tcPr>
          <w:p w14:paraId="7585C8AA">
            <w:pPr>
              <w:autoSpaceDE w:val="0"/>
              <w:autoSpaceDN w:val="0"/>
              <w:adjustRightInd w:val="0"/>
              <w:snapToGrid w:val="0"/>
              <w:spacing w:line="240" w:lineRule="auto"/>
              <w:jc w:val="center"/>
              <w:rPr>
                <w:rFonts w:ascii="宋体" w:hAnsi="宋体" w:cs="宋体"/>
                <w:b/>
                <w:bCs/>
                <w:color w:val="auto"/>
                <w:sz w:val="24"/>
                <w:highlight w:val="none"/>
              </w:rPr>
            </w:pPr>
          </w:p>
        </w:tc>
        <w:tc>
          <w:tcPr>
            <w:tcW w:w="954" w:type="dxa"/>
            <w:tcBorders>
              <w:top w:val="single" w:color="auto" w:sz="6" w:space="0"/>
              <w:left w:val="single" w:color="auto" w:sz="12" w:space="0"/>
              <w:bottom w:val="single" w:color="auto" w:sz="6" w:space="0"/>
              <w:right w:val="single" w:color="auto" w:sz="6" w:space="0"/>
            </w:tcBorders>
            <w:vAlign w:val="center"/>
          </w:tcPr>
          <w:p w14:paraId="38F98FE0">
            <w:pPr>
              <w:autoSpaceDE w:val="0"/>
              <w:autoSpaceDN w:val="0"/>
              <w:adjustRightInd w:val="0"/>
              <w:snapToGrid w:val="0"/>
              <w:spacing w:line="240" w:lineRule="auto"/>
              <w:ind w:left="-134" w:leftChars="-64" w:right="-88" w:rightChars="-42"/>
              <w:jc w:val="center"/>
              <w:rPr>
                <w:rFonts w:ascii="宋体" w:hAnsi="宋体" w:cs="宋体"/>
                <w:b/>
                <w:bCs/>
                <w:color w:val="auto"/>
                <w:szCs w:val="21"/>
                <w:highlight w:val="none"/>
                <w:lang w:val="zh-CN"/>
              </w:rPr>
            </w:pPr>
            <w:r>
              <w:rPr>
                <w:rFonts w:hint="eastAsia" w:ascii="宋体" w:hAnsi="宋体" w:cs="宋体"/>
                <w:b/>
                <w:bCs/>
                <w:color w:val="auto"/>
                <w:szCs w:val="21"/>
                <w:highlight w:val="none"/>
              </w:rPr>
              <w:t>6.1</w:t>
            </w:r>
          </w:p>
        </w:tc>
        <w:tc>
          <w:tcPr>
            <w:tcW w:w="2051" w:type="dxa"/>
            <w:tcBorders>
              <w:top w:val="single" w:color="auto" w:sz="6" w:space="0"/>
              <w:left w:val="single" w:color="auto" w:sz="6" w:space="0"/>
              <w:bottom w:val="single" w:color="auto" w:sz="6" w:space="0"/>
              <w:right w:val="single" w:color="auto" w:sz="6" w:space="0"/>
            </w:tcBorders>
            <w:vAlign w:val="center"/>
          </w:tcPr>
          <w:p w14:paraId="4E5DAC27">
            <w:pPr>
              <w:autoSpaceDE w:val="0"/>
              <w:autoSpaceDN w:val="0"/>
              <w:adjustRightInd w:val="0"/>
              <w:snapToGrid w:val="0"/>
              <w:spacing w:line="240" w:lineRule="auto"/>
              <w:jc w:val="center"/>
              <w:rPr>
                <w:rFonts w:ascii="宋体" w:hAnsi="宋体" w:cs="宋体"/>
                <w:b/>
                <w:bCs/>
                <w:color w:val="auto"/>
                <w:sz w:val="24"/>
                <w:highlight w:val="none"/>
                <w:lang w:val="zh-CN"/>
              </w:rPr>
            </w:pPr>
            <w:r>
              <w:rPr>
                <w:rFonts w:hint="eastAsia" w:ascii="宋体" w:hAnsi="宋体" w:cs="宋体"/>
                <w:b/>
                <w:bCs/>
                <w:color w:val="auto"/>
                <w:sz w:val="24"/>
                <w:highlight w:val="none"/>
                <w:lang w:val="zh-CN"/>
              </w:rPr>
              <w:t>磋商小组的组建</w:t>
            </w:r>
          </w:p>
        </w:tc>
        <w:tc>
          <w:tcPr>
            <w:tcW w:w="6240" w:type="dxa"/>
            <w:tcBorders>
              <w:top w:val="single" w:color="auto" w:sz="6" w:space="0"/>
              <w:left w:val="single" w:color="auto" w:sz="6" w:space="0"/>
              <w:bottom w:val="single" w:color="auto" w:sz="6" w:space="0"/>
              <w:right w:val="single" w:color="auto" w:sz="12" w:space="0"/>
            </w:tcBorders>
            <w:vAlign w:val="center"/>
          </w:tcPr>
          <w:p w14:paraId="22D8FD99">
            <w:pPr>
              <w:autoSpaceDE w:val="0"/>
              <w:autoSpaceDN w:val="0"/>
              <w:adjustRightInd w:val="0"/>
              <w:snapToGrid w:val="0"/>
              <w:spacing w:before="120" w:beforeLines="50" w:line="360" w:lineRule="auto"/>
              <w:rPr>
                <w:rFonts w:ascii="宋体" w:hAnsi="宋体" w:cs="宋体"/>
                <w:color w:val="auto"/>
                <w:sz w:val="24"/>
                <w:highlight w:val="none"/>
                <w:lang w:val="zh-CN"/>
              </w:rPr>
            </w:pPr>
            <w:r>
              <w:rPr>
                <w:rFonts w:hint="eastAsia" w:ascii="宋体" w:hAnsi="宋体" w:cs="宋体"/>
                <w:color w:val="auto"/>
                <w:sz w:val="24"/>
                <w:highlight w:val="none"/>
                <w:lang w:val="zh-CN"/>
              </w:rPr>
              <w:t>见“第三章 供应商须知”相应条款</w:t>
            </w:r>
          </w:p>
        </w:tc>
      </w:tr>
      <w:tr w14:paraId="58DDE8AA">
        <w:tblPrEx>
          <w:tblCellMar>
            <w:top w:w="0" w:type="dxa"/>
            <w:left w:w="108" w:type="dxa"/>
            <w:bottom w:w="0" w:type="dxa"/>
            <w:right w:w="108" w:type="dxa"/>
          </w:tblCellMar>
        </w:tblPrEx>
        <w:trPr>
          <w:trHeight w:val="543" w:hRule="atLeast"/>
          <w:jc w:val="center"/>
        </w:trPr>
        <w:tc>
          <w:tcPr>
            <w:tcW w:w="508" w:type="dxa"/>
            <w:vMerge w:val="restart"/>
            <w:tcBorders>
              <w:left w:val="single" w:color="auto" w:sz="12" w:space="0"/>
              <w:right w:val="single" w:color="auto" w:sz="6" w:space="0"/>
            </w:tcBorders>
            <w:vAlign w:val="center"/>
          </w:tcPr>
          <w:p w14:paraId="4C5CE06A">
            <w:pPr>
              <w:autoSpaceDE w:val="0"/>
              <w:autoSpaceDN w:val="0"/>
              <w:adjustRightInd w:val="0"/>
              <w:snapToGrid w:val="0"/>
              <w:spacing w:line="240" w:lineRule="auto"/>
              <w:jc w:val="center"/>
              <w:rPr>
                <w:rFonts w:ascii="宋体" w:hAnsi="宋体" w:cs="宋体"/>
                <w:b/>
                <w:bCs/>
                <w:color w:val="auto"/>
                <w:sz w:val="24"/>
                <w:highlight w:val="none"/>
              </w:rPr>
            </w:pPr>
            <w:r>
              <w:rPr>
                <w:rFonts w:hint="eastAsia" w:ascii="宋体" w:hAnsi="宋体" w:cs="宋体"/>
                <w:b/>
                <w:bCs/>
                <w:color w:val="auto"/>
                <w:sz w:val="24"/>
                <w:highlight w:val="none"/>
              </w:rPr>
              <w:t>第三章</w:t>
            </w:r>
          </w:p>
        </w:tc>
        <w:tc>
          <w:tcPr>
            <w:tcW w:w="954" w:type="dxa"/>
            <w:tcBorders>
              <w:top w:val="single" w:color="auto" w:sz="6" w:space="0"/>
              <w:left w:val="single" w:color="auto" w:sz="12" w:space="0"/>
              <w:bottom w:val="single" w:color="auto" w:sz="6" w:space="0"/>
              <w:right w:val="single" w:color="auto" w:sz="6" w:space="0"/>
            </w:tcBorders>
            <w:vAlign w:val="center"/>
          </w:tcPr>
          <w:p w14:paraId="73C720F7">
            <w:pPr>
              <w:autoSpaceDE w:val="0"/>
              <w:autoSpaceDN w:val="0"/>
              <w:adjustRightInd w:val="0"/>
              <w:snapToGrid w:val="0"/>
              <w:spacing w:line="240" w:lineRule="auto"/>
              <w:ind w:left="-134" w:leftChars="-64" w:right="-88" w:rightChars="-42"/>
              <w:jc w:val="center"/>
              <w:rPr>
                <w:rFonts w:ascii="宋体" w:hAnsi="宋体" w:cs="宋体"/>
                <w:b/>
                <w:bCs/>
                <w:color w:val="auto"/>
                <w:szCs w:val="21"/>
                <w:highlight w:val="none"/>
              </w:rPr>
            </w:pPr>
            <w:r>
              <w:rPr>
                <w:rFonts w:hint="eastAsia" w:ascii="宋体" w:hAnsi="宋体" w:cs="宋体"/>
                <w:b/>
                <w:bCs/>
                <w:color w:val="auto"/>
                <w:szCs w:val="21"/>
                <w:highlight w:val="none"/>
              </w:rPr>
              <w:t>7.1</w:t>
            </w:r>
          </w:p>
        </w:tc>
        <w:tc>
          <w:tcPr>
            <w:tcW w:w="2051" w:type="dxa"/>
            <w:tcBorders>
              <w:top w:val="single" w:color="auto" w:sz="6" w:space="0"/>
              <w:left w:val="single" w:color="auto" w:sz="6" w:space="0"/>
              <w:bottom w:val="single" w:color="auto" w:sz="6" w:space="0"/>
              <w:right w:val="single" w:color="auto" w:sz="6" w:space="0"/>
            </w:tcBorders>
            <w:vAlign w:val="center"/>
          </w:tcPr>
          <w:p w14:paraId="4276B129">
            <w:pPr>
              <w:autoSpaceDE w:val="0"/>
              <w:autoSpaceDN w:val="0"/>
              <w:adjustRightInd w:val="0"/>
              <w:snapToGrid w:val="0"/>
              <w:spacing w:line="240" w:lineRule="auto"/>
              <w:jc w:val="center"/>
              <w:rPr>
                <w:rFonts w:ascii="宋体" w:hAnsi="宋体" w:cs="宋体"/>
                <w:b/>
                <w:color w:val="auto"/>
                <w:sz w:val="24"/>
                <w:highlight w:val="none"/>
              </w:rPr>
            </w:pPr>
            <w:r>
              <w:rPr>
                <w:rFonts w:hint="eastAsia" w:ascii="宋体" w:hAnsi="宋体" w:cs="宋体"/>
                <w:b/>
                <w:color w:val="auto"/>
                <w:sz w:val="24"/>
                <w:highlight w:val="none"/>
              </w:rPr>
              <w:t>是否授权磋商小组确定成交供应商</w:t>
            </w:r>
          </w:p>
        </w:tc>
        <w:tc>
          <w:tcPr>
            <w:tcW w:w="6240" w:type="dxa"/>
            <w:tcBorders>
              <w:top w:val="single" w:color="auto" w:sz="6" w:space="0"/>
              <w:left w:val="single" w:color="auto" w:sz="6" w:space="0"/>
              <w:bottom w:val="single" w:color="auto" w:sz="6" w:space="0"/>
              <w:right w:val="single" w:color="auto" w:sz="12" w:space="0"/>
            </w:tcBorders>
            <w:vAlign w:val="center"/>
          </w:tcPr>
          <w:p w14:paraId="2B54CF0B">
            <w:pPr>
              <w:adjustRightInd w:val="0"/>
              <w:snapToGrid w:val="0"/>
              <w:spacing w:before="120" w:beforeLines="50" w:line="360" w:lineRule="auto"/>
              <w:rPr>
                <w:rFonts w:ascii="宋体" w:hAnsi="宋体" w:cs="宋体"/>
                <w:color w:val="auto"/>
                <w:sz w:val="24"/>
                <w:highlight w:val="none"/>
              </w:rPr>
            </w:pPr>
            <w:r>
              <w:rPr>
                <w:rFonts w:hint="eastAsia" w:ascii="宋体" w:hAnsi="宋体" w:cs="宋体"/>
                <w:color w:val="auto"/>
                <w:sz w:val="24"/>
                <w:highlight w:val="none"/>
              </w:rPr>
              <w:t>是。按照评审得分由高到低顺序推荐3名以上成交候选供应商，并确定排名第一的成交候选人为成交供应商。</w:t>
            </w:r>
          </w:p>
        </w:tc>
      </w:tr>
      <w:tr w14:paraId="0B68860A">
        <w:tblPrEx>
          <w:tblCellMar>
            <w:top w:w="0" w:type="dxa"/>
            <w:left w:w="108" w:type="dxa"/>
            <w:bottom w:w="0" w:type="dxa"/>
            <w:right w:w="108" w:type="dxa"/>
          </w:tblCellMar>
        </w:tblPrEx>
        <w:trPr>
          <w:trHeight w:val="453" w:hRule="atLeast"/>
          <w:jc w:val="center"/>
        </w:trPr>
        <w:tc>
          <w:tcPr>
            <w:tcW w:w="508" w:type="dxa"/>
            <w:vMerge w:val="continue"/>
            <w:tcBorders>
              <w:left w:val="single" w:color="auto" w:sz="12" w:space="0"/>
              <w:right w:val="single" w:color="auto" w:sz="6" w:space="0"/>
            </w:tcBorders>
            <w:vAlign w:val="center"/>
          </w:tcPr>
          <w:p w14:paraId="73E7FECB">
            <w:pPr>
              <w:autoSpaceDE w:val="0"/>
              <w:autoSpaceDN w:val="0"/>
              <w:adjustRightInd w:val="0"/>
              <w:snapToGrid w:val="0"/>
              <w:spacing w:line="240" w:lineRule="auto"/>
              <w:jc w:val="center"/>
              <w:rPr>
                <w:rFonts w:ascii="宋体" w:hAnsi="宋体" w:cs="宋体"/>
                <w:b/>
                <w:bCs/>
                <w:color w:val="auto"/>
                <w:sz w:val="24"/>
                <w:highlight w:val="none"/>
              </w:rPr>
            </w:pPr>
          </w:p>
        </w:tc>
        <w:tc>
          <w:tcPr>
            <w:tcW w:w="954" w:type="dxa"/>
            <w:tcBorders>
              <w:top w:val="single" w:color="auto" w:sz="6" w:space="0"/>
              <w:left w:val="single" w:color="auto" w:sz="12" w:space="0"/>
              <w:bottom w:val="single" w:color="auto" w:sz="6" w:space="0"/>
              <w:right w:val="single" w:color="auto" w:sz="6" w:space="0"/>
            </w:tcBorders>
            <w:vAlign w:val="center"/>
          </w:tcPr>
          <w:p w14:paraId="46D01B4B">
            <w:pPr>
              <w:autoSpaceDE w:val="0"/>
              <w:autoSpaceDN w:val="0"/>
              <w:adjustRightInd w:val="0"/>
              <w:snapToGrid w:val="0"/>
              <w:spacing w:line="240" w:lineRule="auto"/>
              <w:jc w:val="center"/>
              <w:rPr>
                <w:rFonts w:ascii="宋体" w:hAnsi="宋体" w:cs="宋体"/>
                <w:b/>
                <w:bCs/>
                <w:color w:val="auto"/>
                <w:sz w:val="24"/>
                <w:highlight w:val="none"/>
              </w:rPr>
            </w:pPr>
            <w:r>
              <w:rPr>
                <w:rFonts w:hint="eastAsia" w:ascii="宋体" w:hAnsi="宋体" w:cs="宋体"/>
                <w:b/>
                <w:bCs/>
                <w:color w:val="auto"/>
                <w:sz w:val="24"/>
                <w:highlight w:val="none"/>
              </w:rPr>
              <w:t>7.2</w:t>
            </w:r>
          </w:p>
        </w:tc>
        <w:tc>
          <w:tcPr>
            <w:tcW w:w="2051" w:type="dxa"/>
            <w:tcBorders>
              <w:top w:val="single" w:color="auto" w:sz="6" w:space="0"/>
              <w:left w:val="single" w:color="auto" w:sz="6" w:space="0"/>
              <w:bottom w:val="single" w:color="auto" w:sz="6" w:space="0"/>
              <w:right w:val="single" w:color="auto" w:sz="6" w:space="0"/>
            </w:tcBorders>
            <w:vAlign w:val="center"/>
          </w:tcPr>
          <w:p w14:paraId="0F92CDCE">
            <w:pPr>
              <w:autoSpaceDE w:val="0"/>
              <w:autoSpaceDN w:val="0"/>
              <w:adjustRightInd w:val="0"/>
              <w:snapToGrid w:val="0"/>
              <w:spacing w:line="240" w:lineRule="auto"/>
              <w:jc w:val="center"/>
              <w:rPr>
                <w:rFonts w:ascii="宋体" w:hAnsi="宋体" w:cs="宋体"/>
                <w:b/>
                <w:color w:val="auto"/>
                <w:sz w:val="24"/>
                <w:highlight w:val="none"/>
              </w:rPr>
            </w:pPr>
            <w:r>
              <w:rPr>
                <w:rFonts w:hint="eastAsia" w:ascii="宋体" w:hAnsi="宋体" w:cs="宋体"/>
                <w:b/>
                <w:color w:val="auto"/>
                <w:sz w:val="24"/>
                <w:highlight w:val="none"/>
              </w:rPr>
              <w:t>成交结果公告</w:t>
            </w:r>
          </w:p>
        </w:tc>
        <w:tc>
          <w:tcPr>
            <w:tcW w:w="6240" w:type="dxa"/>
            <w:tcBorders>
              <w:top w:val="single" w:color="auto" w:sz="6" w:space="0"/>
              <w:left w:val="single" w:color="auto" w:sz="6" w:space="0"/>
              <w:bottom w:val="single" w:color="auto" w:sz="6" w:space="0"/>
              <w:right w:val="single" w:color="auto" w:sz="12" w:space="0"/>
            </w:tcBorders>
            <w:vAlign w:val="center"/>
          </w:tcPr>
          <w:p w14:paraId="070662AE">
            <w:pPr>
              <w:adjustRightInd w:val="0"/>
              <w:snapToGrid w:val="0"/>
              <w:spacing w:before="120" w:beforeLines="50" w:line="360" w:lineRule="auto"/>
              <w:rPr>
                <w:rFonts w:ascii="宋体" w:hAnsi="宋体" w:cs="宋体"/>
                <w:color w:val="auto"/>
                <w:sz w:val="24"/>
                <w:highlight w:val="none"/>
              </w:rPr>
            </w:pPr>
            <w:r>
              <w:rPr>
                <w:rFonts w:hint="eastAsia" w:ascii="宋体" w:hAnsi="宋体" w:cs="宋体"/>
                <w:color w:val="auto"/>
                <w:sz w:val="24"/>
                <w:highlight w:val="none"/>
              </w:rPr>
              <w:t>本次竞争性磋商评标结束并确定成交结果后，由采购人或者代理机构在竞争性磋商公告所述媒介公告1个工作日。</w:t>
            </w:r>
          </w:p>
        </w:tc>
      </w:tr>
      <w:tr w14:paraId="16065F13">
        <w:tblPrEx>
          <w:tblCellMar>
            <w:top w:w="0" w:type="dxa"/>
            <w:left w:w="108" w:type="dxa"/>
            <w:bottom w:w="0" w:type="dxa"/>
            <w:right w:w="108" w:type="dxa"/>
          </w:tblCellMar>
        </w:tblPrEx>
        <w:trPr>
          <w:trHeight w:val="453" w:hRule="atLeast"/>
          <w:jc w:val="center"/>
        </w:trPr>
        <w:tc>
          <w:tcPr>
            <w:tcW w:w="508" w:type="dxa"/>
            <w:vMerge w:val="continue"/>
            <w:tcBorders>
              <w:left w:val="single" w:color="auto" w:sz="12" w:space="0"/>
              <w:right w:val="single" w:color="auto" w:sz="6" w:space="0"/>
            </w:tcBorders>
            <w:vAlign w:val="center"/>
          </w:tcPr>
          <w:p w14:paraId="2279ACEC">
            <w:pPr>
              <w:autoSpaceDE w:val="0"/>
              <w:autoSpaceDN w:val="0"/>
              <w:adjustRightInd w:val="0"/>
              <w:snapToGrid w:val="0"/>
              <w:spacing w:line="240" w:lineRule="auto"/>
              <w:jc w:val="center"/>
              <w:rPr>
                <w:rFonts w:ascii="宋体" w:hAnsi="宋体" w:cs="宋体"/>
                <w:b/>
                <w:bCs/>
                <w:color w:val="auto"/>
                <w:sz w:val="24"/>
                <w:highlight w:val="none"/>
              </w:rPr>
            </w:pPr>
          </w:p>
        </w:tc>
        <w:tc>
          <w:tcPr>
            <w:tcW w:w="954" w:type="dxa"/>
            <w:tcBorders>
              <w:top w:val="single" w:color="auto" w:sz="6" w:space="0"/>
              <w:left w:val="single" w:color="auto" w:sz="12" w:space="0"/>
              <w:bottom w:val="single" w:color="auto" w:sz="6" w:space="0"/>
              <w:right w:val="single" w:color="auto" w:sz="6" w:space="0"/>
            </w:tcBorders>
            <w:vAlign w:val="center"/>
          </w:tcPr>
          <w:p w14:paraId="773CDC1F">
            <w:pPr>
              <w:autoSpaceDE w:val="0"/>
              <w:autoSpaceDN w:val="0"/>
              <w:adjustRightInd w:val="0"/>
              <w:snapToGrid w:val="0"/>
              <w:spacing w:line="240" w:lineRule="auto"/>
              <w:jc w:val="center"/>
              <w:rPr>
                <w:rFonts w:ascii="宋体" w:hAnsi="宋体" w:cs="宋体"/>
                <w:b/>
                <w:bCs/>
                <w:color w:val="auto"/>
                <w:sz w:val="24"/>
                <w:highlight w:val="none"/>
              </w:rPr>
            </w:pPr>
            <w:r>
              <w:rPr>
                <w:rFonts w:hint="eastAsia" w:ascii="宋体" w:hAnsi="宋体" w:cs="宋体"/>
                <w:b/>
                <w:bCs/>
                <w:color w:val="auto"/>
                <w:sz w:val="24"/>
                <w:highlight w:val="none"/>
              </w:rPr>
              <w:t>7.3</w:t>
            </w:r>
          </w:p>
        </w:tc>
        <w:tc>
          <w:tcPr>
            <w:tcW w:w="2051" w:type="dxa"/>
            <w:tcBorders>
              <w:top w:val="single" w:color="auto" w:sz="6" w:space="0"/>
              <w:left w:val="single" w:color="auto" w:sz="6" w:space="0"/>
              <w:bottom w:val="single" w:color="auto" w:sz="6" w:space="0"/>
              <w:right w:val="single" w:color="auto" w:sz="6" w:space="0"/>
            </w:tcBorders>
            <w:vAlign w:val="center"/>
          </w:tcPr>
          <w:p w14:paraId="204D666A">
            <w:pPr>
              <w:autoSpaceDE w:val="0"/>
              <w:autoSpaceDN w:val="0"/>
              <w:adjustRightInd w:val="0"/>
              <w:snapToGrid w:val="0"/>
              <w:spacing w:line="240" w:lineRule="auto"/>
              <w:jc w:val="center"/>
              <w:rPr>
                <w:rFonts w:ascii="宋体" w:hAnsi="宋体" w:cs="宋体"/>
                <w:b/>
                <w:bCs/>
                <w:color w:val="auto"/>
                <w:sz w:val="24"/>
                <w:highlight w:val="none"/>
              </w:rPr>
            </w:pPr>
            <w:r>
              <w:rPr>
                <w:rFonts w:hint="eastAsia" w:ascii="宋体" w:hAnsi="宋体" w:cs="宋体"/>
                <w:b/>
                <w:bCs/>
                <w:color w:val="auto"/>
                <w:sz w:val="24"/>
                <w:highlight w:val="none"/>
              </w:rPr>
              <w:t>质疑</w:t>
            </w:r>
          </w:p>
        </w:tc>
        <w:tc>
          <w:tcPr>
            <w:tcW w:w="6240" w:type="dxa"/>
            <w:tcBorders>
              <w:top w:val="single" w:color="auto" w:sz="6" w:space="0"/>
              <w:left w:val="single" w:color="auto" w:sz="6" w:space="0"/>
              <w:bottom w:val="single" w:color="auto" w:sz="6" w:space="0"/>
              <w:right w:val="single" w:color="auto" w:sz="12" w:space="0"/>
            </w:tcBorders>
            <w:vAlign w:val="center"/>
          </w:tcPr>
          <w:p w14:paraId="39583D81">
            <w:pPr>
              <w:spacing w:line="360" w:lineRule="auto"/>
              <w:rPr>
                <w:rFonts w:ascii="宋体" w:hAnsi="宋体" w:cs="宋体"/>
                <w:color w:val="auto"/>
                <w:sz w:val="24"/>
                <w:highlight w:val="none"/>
              </w:rPr>
            </w:pPr>
            <w:r>
              <w:rPr>
                <w:rFonts w:hint="eastAsia" w:ascii="宋体" w:hAnsi="宋体" w:cs="宋体"/>
                <w:color w:val="auto"/>
                <w:sz w:val="24"/>
                <w:highlight w:val="none"/>
              </w:rPr>
              <w:t>参与本次采购活动的供应商如有异议，可在各环节法定质疑期内向采购代理机构一次性提出针对该采购程序环节的书面质疑函，书面原件送达至磋商文件列示的采购代理机构及采购单位联系人处；依据法规规定，质疑函应当有明确的请求和必要的证明材料，应当包括下列内容：1、供应商的姓名或者名称、地址、邮编、联系人及联系电话；2、质疑项目的名称、编号；3、具体、明确的质疑事项和与质疑事项相关的请求；4、事实依据；5、必要的法律依据；6、提出质</w:t>
            </w:r>
            <w:r>
              <w:rPr>
                <w:rFonts w:hint="eastAsia" w:ascii="宋体" w:hAnsi="宋体" w:cs="宋体"/>
                <w:bCs/>
                <w:color w:val="auto"/>
                <w:sz w:val="24"/>
                <w:szCs w:val="24"/>
                <w:highlight w:val="none"/>
              </w:rPr>
              <w:t>疑的日期。供应商为自然人的，应当由本人签字；供应商为法人或者其他组织的，应当由法定代表人、主要负责人，或者其授权代表签字或者盖章，并加盖公章。</w:t>
            </w:r>
            <w:r>
              <w:rPr>
                <w:rFonts w:hint="eastAsia" w:ascii="宋体" w:hAnsi="宋体" w:cs="宋体"/>
                <w:color w:val="auto"/>
                <w:sz w:val="24"/>
                <w:highlight w:val="none"/>
              </w:rPr>
              <w:t>如对采购代理机构的答复仍有异议的，可向同级财政局政府采购监督管理办公室提出书面投诉。（具体程序按照《政府采购质疑和投诉办法》执行）。</w:t>
            </w:r>
          </w:p>
        </w:tc>
      </w:tr>
      <w:tr w14:paraId="7E2F8707">
        <w:tblPrEx>
          <w:tblCellMar>
            <w:top w:w="0" w:type="dxa"/>
            <w:left w:w="108" w:type="dxa"/>
            <w:bottom w:w="0" w:type="dxa"/>
            <w:right w:w="108" w:type="dxa"/>
          </w:tblCellMar>
        </w:tblPrEx>
        <w:trPr>
          <w:trHeight w:val="453" w:hRule="atLeast"/>
          <w:jc w:val="center"/>
        </w:trPr>
        <w:tc>
          <w:tcPr>
            <w:tcW w:w="508" w:type="dxa"/>
            <w:vMerge w:val="continue"/>
            <w:tcBorders>
              <w:left w:val="single" w:color="auto" w:sz="12" w:space="0"/>
              <w:right w:val="single" w:color="auto" w:sz="6" w:space="0"/>
            </w:tcBorders>
            <w:vAlign w:val="center"/>
          </w:tcPr>
          <w:p w14:paraId="2E84A18A">
            <w:pPr>
              <w:autoSpaceDE w:val="0"/>
              <w:autoSpaceDN w:val="0"/>
              <w:adjustRightInd w:val="0"/>
              <w:snapToGrid w:val="0"/>
              <w:spacing w:line="240" w:lineRule="auto"/>
              <w:jc w:val="center"/>
              <w:rPr>
                <w:rFonts w:ascii="宋体" w:hAnsi="宋体" w:cs="宋体"/>
                <w:b/>
                <w:bCs/>
                <w:color w:val="auto"/>
                <w:sz w:val="24"/>
                <w:highlight w:val="none"/>
              </w:rPr>
            </w:pPr>
          </w:p>
        </w:tc>
        <w:tc>
          <w:tcPr>
            <w:tcW w:w="954" w:type="dxa"/>
            <w:tcBorders>
              <w:top w:val="single" w:color="auto" w:sz="6" w:space="0"/>
              <w:left w:val="single" w:color="auto" w:sz="12" w:space="0"/>
              <w:bottom w:val="single" w:color="auto" w:sz="6" w:space="0"/>
              <w:right w:val="single" w:color="auto" w:sz="6" w:space="0"/>
            </w:tcBorders>
            <w:vAlign w:val="center"/>
          </w:tcPr>
          <w:p w14:paraId="07BC50C7">
            <w:pPr>
              <w:autoSpaceDE w:val="0"/>
              <w:autoSpaceDN w:val="0"/>
              <w:adjustRightInd w:val="0"/>
              <w:snapToGrid w:val="0"/>
              <w:spacing w:line="240" w:lineRule="auto"/>
              <w:jc w:val="center"/>
              <w:rPr>
                <w:rFonts w:ascii="宋体" w:hAnsi="宋体" w:cs="宋体"/>
                <w:b/>
                <w:bCs/>
                <w:color w:val="auto"/>
                <w:sz w:val="24"/>
                <w:highlight w:val="none"/>
              </w:rPr>
            </w:pPr>
            <w:r>
              <w:rPr>
                <w:rFonts w:hint="eastAsia" w:ascii="宋体" w:hAnsi="宋体" w:cs="宋体"/>
                <w:b/>
                <w:bCs/>
                <w:color w:val="auto"/>
                <w:sz w:val="24"/>
                <w:highlight w:val="none"/>
              </w:rPr>
              <w:t>7.4</w:t>
            </w:r>
          </w:p>
        </w:tc>
        <w:tc>
          <w:tcPr>
            <w:tcW w:w="2051" w:type="dxa"/>
            <w:tcBorders>
              <w:top w:val="single" w:color="auto" w:sz="6" w:space="0"/>
              <w:left w:val="single" w:color="auto" w:sz="6" w:space="0"/>
              <w:bottom w:val="single" w:color="auto" w:sz="6" w:space="0"/>
              <w:right w:val="single" w:color="auto" w:sz="6" w:space="0"/>
            </w:tcBorders>
            <w:vAlign w:val="center"/>
          </w:tcPr>
          <w:p w14:paraId="1D08AEEA">
            <w:pPr>
              <w:autoSpaceDE w:val="0"/>
              <w:autoSpaceDN w:val="0"/>
              <w:adjustRightInd w:val="0"/>
              <w:snapToGrid w:val="0"/>
              <w:spacing w:line="240" w:lineRule="auto"/>
              <w:jc w:val="center"/>
              <w:rPr>
                <w:rFonts w:ascii="宋体" w:hAnsi="宋体" w:cs="宋体"/>
                <w:b/>
                <w:bCs/>
                <w:color w:val="auto"/>
                <w:sz w:val="24"/>
                <w:highlight w:val="none"/>
              </w:rPr>
            </w:pPr>
            <w:r>
              <w:rPr>
                <w:rFonts w:hint="eastAsia" w:ascii="宋体" w:hAnsi="宋体" w:cs="宋体"/>
                <w:b/>
                <w:bCs/>
                <w:color w:val="auto"/>
                <w:sz w:val="24"/>
                <w:highlight w:val="none"/>
              </w:rPr>
              <w:t>成交通知书</w:t>
            </w:r>
          </w:p>
        </w:tc>
        <w:tc>
          <w:tcPr>
            <w:tcW w:w="6240" w:type="dxa"/>
            <w:tcBorders>
              <w:top w:val="single" w:color="auto" w:sz="6" w:space="0"/>
              <w:left w:val="single" w:color="auto" w:sz="6" w:space="0"/>
              <w:bottom w:val="single" w:color="auto" w:sz="6" w:space="0"/>
              <w:right w:val="single" w:color="auto" w:sz="12" w:space="0"/>
            </w:tcBorders>
            <w:vAlign w:val="center"/>
          </w:tcPr>
          <w:p w14:paraId="17B882B3">
            <w:pPr>
              <w:adjustRightInd w:val="0"/>
              <w:snapToGrid w:val="0"/>
              <w:spacing w:before="120" w:beforeLines="50" w:line="360" w:lineRule="auto"/>
              <w:rPr>
                <w:rFonts w:ascii="宋体" w:hAnsi="宋体" w:cs="宋体"/>
                <w:color w:val="auto"/>
                <w:sz w:val="24"/>
                <w:highlight w:val="none"/>
                <w:lang w:val="zh-CN"/>
              </w:rPr>
            </w:pPr>
            <w:r>
              <w:rPr>
                <w:rFonts w:hint="eastAsia" w:ascii="宋体" w:hAnsi="宋体" w:cs="宋体"/>
                <w:color w:val="auto"/>
                <w:sz w:val="24"/>
                <w:highlight w:val="none"/>
                <w:lang w:val="zh-CN"/>
              </w:rPr>
              <w:t>采购代理机构在成交供应商确定后</w:t>
            </w:r>
            <w:r>
              <w:rPr>
                <w:rFonts w:hint="eastAsia" w:ascii="宋体" w:hAnsi="宋体" w:cs="宋体"/>
                <w:color w:val="auto"/>
                <w:sz w:val="24"/>
                <w:highlight w:val="none"/>
              </w:rPr>
              <w:t>1</w:t>
            </w:r>
            <w:r>
              <w:rPr>
                <w:rFonts w:hint="eastAsia" w:ascii="宋体" w:hAnsi="宋体" w:cs="宋体"/>
                <w:color w:val="auto"/>
                <w:sz w:val="24"/>
                <w:highlight w:val="none"/>
                <w:lang w:val="zh-CN"/>
              </w:rPr>
              <w:t>个工作日内，向成交供应商发出成交通知书。</w:t>
            </w:r>
          </w:p>
        </w:tc>
      </w:tr>
      <w:tr w14:paraId="34152F15">
        <w:tblPrEx>
          <w:tblCellMar>
            <w:top w:w="0" w:type="dxa"/>
            <w:left w:w="108" w:type="dxa"/>
            <w:bottom w:w="0" w:type="dxa"/>
            <w:right w:w="108" w:type="dxa"/>
          </w:tblCellMar>
        </w:tblPrEx>
        <w:trPr>
          <w:trHeight w:val="453" w:hRule="atLeast"/>
          <w:jc w:val="center"/>
        </w:trPr>
        <w:tc>
          <w:tcPr>
            <w:tcW w:w="508" w:type="dxa"/>
            <w:vMerge w:val="continue"/>
            <w:tcBorders>
              <w:left w:val="single" w:color="auto" w:sz="12" w:space="0"/>
              <w:right w:val="single" w:color="auto" w:sz="6" w:space="0"/>
            </w:tcBorders>
            <w:vAlign w:val="center"/>
          </w:tcPr>
          <w:p w14:paraId="6B1FDBA8">
            <w:pPr>
              <w:autoSpaceDE w:val="0"/>
              <w:autoSpaceDN w:val="0"/>
              <w:adjustRightInd w:val="0"/>
              <w:snapToGrid w:val="0"/>
              <w:spacing w:line="240" w:lineRule="auto"/>
              <w:jc w:val="center"/>
              <w:rPr>
                <w:rFonts w:ascii="宋体" w:hAnsi="宋体" w:cs="宋体"/>
                <w:b/>
                <w:bCs/>
                <w:color w:val="auto"/>
                <w:sz w:val="24"/>
                <w:highlight w:val="none"/>
                <w:lang w:val="zh-CN"/>
              </w:rPr>
            </w:pPr>
          </w:p>
        </w:tc>
        <w:tc>
          <w:tcPr>
            <w:tcW w:w="954" w:type="dxa"/>
            <w:tcBorders>
              <w:top w:val="single" w:color="auto" w:sz="6" w:space="0"/>
              <w:left w:val="single" w:color="auto" w:sz="12" w:space="0"/>
              <w:bottom w:val="single" w:color="auto" w:sz="6" w:space="0"/>
              <w:right w:val="single" w:color="auto" w:sz="6" w:space="0"/>
            </w:tcBorders>
            <w:vAlign w:val="center"/>
          </w:tcPr>
          <w:p w14:paraId="3BF395E9">
            <w:pPr>
              <w:autoSpaceDE w:val="0"/>
              <w:autoSpaceDN w:val="0"/>
              <w:adjustRightInd w:val="0"/>
              <w:snapToGrid w:val="0"/>
              <w:spacing w:line="240" w:lineRule="auto"/>
              <w:jc w:val="center"/>
              <w:rPr>
                <w:rFonts w:ascii="宋体" w:hAnsi="宋体" w:cs="宋体"/>
                <w:b/>
                <w:bCs/>
                <w:color w:val="auto"/>
                <w:sz w:val="24"/>
                <w:highlight w:val="none"/>
                <w:lang w:val="zh-CN"/>
              </w:rPr>
            </w:pPr>
            <w:r>
              <w:rPr>
                <w:rFonts w:hint="eastAsia" w:ascii="宋体" w:hAnsi="宋体" w:cs="宋体"/>
                <w:b/>
                <w:bCs/>
                <w:color w:val="auto"/>
                <w:sz w:val="24"/>
                <w:highlight w:val="none"/>
                <w:lang w:val="zh-CN"/>
              </w:rPr>
              <w:t>7.5</w:t>
            </w:r>
          </w:p>
        </w:tc>
        <w:tc>
          <w:tcPr>
            <w:tcW w:w="2051" w:type="dxa"/>
            <w:tcBorders>
              <w:top w:val="single" w:color="auto" w:sz="6" w:space="0"/>
              <w:left w:val="single" w:color="auto" w:sz="6" w:space="0"/>
              <w:bottom w:val="single" w:color="auto" w:sz="6" w:space="0"/>
              <w:right w:val="single" w:color="auto" w:sz="6" w:space="0"/>
            </w:tcBorders>
            <w:vAlign w:val="center"/>
          </w:tcPr>
          <w:p w14:paraId="3418A7D9">
            <w:pPr>
              <w:autoSpaceDE w:val="0"/>
              <w:autoSpaceDN w:val="0"/>
              <w:adjustRightInd w:val="0"/>
              <w:snapToGrid w:val="0"/>
              <w:spacing w:line="240" w:lineRule="auto"/>
              <w:jc w:val="center"/>
              <w:rPr>
                <w:rFonts w:ascii="宋体" w:hAnsi="宋体" w:cs="宋体"/>
                <w:b/>
                <w:bCs/>
                <w:color w:val="auto"/>
                <w:sz w:val="24"/>
                <w:highlight w:val="none"/>
                <w:lang w:val="zh-CN"/>
              </w:rPr>
            </w:pPr>
            <w:r>
              <w:rPr>
                <w:rFonts w:hint="eastAsia" w:ascii="宋体" w:hAnsi="宋体" w:cs="宋体"/>
                <w:b/>
                <w:bCs/>
                <w:color w:val="auto"/>
                <w:sz w:val="24"/>
                <w:highlight w:val="none"/>
                <w:lang w:val="zh-CN"/>
              </w:rPr>
              <w:t>履约保证金</w:t>
            </w:r>
          </w:p>
        </w:tc>
        <w:tc>
          <w:tcPr>
            <w:tcW w:w="6240" w:type="dxa"/>
            <w:tcBorders>
              <w:top w:val="single" w:color="auto" w:sz="6" w:space="0"/>
              <w:left w:val="single" w:color="auto" w:sz="6" w:space="0"/>
              <w:bottom w:val="single" w:color="auto" w:sz="6" w:space="0"/>
              <w:right w:val="single" w:color="auto" w:sz="12" w:space="0"/>
            </w:tcBorders>
            <w:vAlign w:val="center"/>
          </w:tcPr>
          <w:p w14:paraId="0C748D10">
            <w:pPr>
              <w:adjustRightInd w:val="0"/>
              <w:snapToGrid w:val="0"/>
              <w:spacing w:before="120" w:beforeLines="50" w:line="360" w:lineRule="auto"/>
              <w:rPr>
                <w:rFonts w:ascii="宋体" w:hAnsi="宋体" w:cs="宋体"/>
                <w:color w:val="auto"/>
                <w:sz w:val="24"/>
                <w:highlight w:val="none"/>
                <w:lang w:val="zh-CN"/>
              </w:rPr>
            </w:pPr>
            <w:r>
              <w:rPr>
                <w:rFonts w:hint="eastAsia" w:ascii="宋体" w:hAnsi="宋体" w:cs="宋体"/>
                <w:color w:val="auto"/>
                <w:sz w:val="24"/>
                <w:highlight w:val="none"/>
                <w:lang w:val="zh-CN"/>
              </w:rPr>
              <w:t>本项目不再收取履约保证金</w:t>
            </w:r>
          </w:p>
        </w:tc>
      </w:tr>
      <w:tr w14:paraId="3553E33E">
        <w:tblPrEx>
          <w:tblCellMar>
            <w:top w:w="0" w:type="dxa"/>
            <w:left w:w="108" w:type="dxa"/>
            <w:bottom w:w="0" w:type="dxa"/>
            <w:right w:w="108" w:type="dxa"/>
          </w:tblCellMar>
        </w:tblPrEx>
        <w:trPr>
          <w:trHeight w:val="453" w:hRule="atLeast"/>
          <w:jc w:val="center"/>
        </w:trPr>
        <w:tc>
          <w:tcPr>
            <w:tcW w:w="508" w:type="dxa"/>
            <w:vMerge w:val="continue"/>
            <w:tcBorders>
              <w:left w:val="single" w:color="auto" w:sz="12" w:space="0"/>
              <w:right w:val="single" w:color="auto" w:sz="6" w:space="0"/>
            </w:tcBorders>
          </w:tcPr>
          <w:p w14:paraId="1B2D5527">
            <w:pPr>
              <w:autoSpaceDE w:val="0"/>
              <w:autoSpaceDN w:val="0"/>
              <w:adjustRightInd w:val="0"/>
              <w:snapToGrid w:val="0"/>
              <w:spacing w:line="240" w:lineRule="auto"/>
              <w:jc w:val="center"/>
              <w:rPr>
                <w:rFonts w:ascii="宋体" w:hAnsi="宋体" w:cs="宋体"/>
                <w:b/>
                <w:bCs/>
                <w:color w:val="auto"/>
                <w:sz w:val="24"/>
                <w:highlight w:val="none"/>
                <w:lang w:val="zh-CN"/>
              </w:rPr>
            </w:pPr>
          </w:p>
        </w:tc>
        <w:tc>
          <w:tcPr>
            <w:tcW w:w="954" w:type="dxa"/>
            <w:tcBorders>
              <w:top w:val="single" w:color="auto" w:sz="6" w:space="0"/>
              <w:left w:val="single" w:color="auto" w:sz="12" w:space="0"/>
              <w:bottom w:val="single" w:color="auto" w:sz="6" w:space="0"/>
              <w:right w:val="single" w:color="auto" w:sz="6" w:space="0"/>
            </w:tcBorders>
            <w:vAlign w:val="center"/>
          </w:tcPr>
          <w:p w14:paraId="57160650">
            <w:pPr>
              <w:autoSpaceDE w:val="0"/>
              <w:autoSpaceDN w:val="0"/>
              <w:adjustRightInd w:val="0"/>
              <w:snapToGrid w:val="0"/>
              <w:spacing w:line="240" w:lineRule="auto"/>
              <w:jc w:val="center"/>
              <w:rPr>
                <w:rFonts w:ascii="宋体" w:hAnsi="宋体" w:cs="宋体"/>
                <w:b/>
                <w:bCs/>
                <w:color w:val="auto"/>
                <w:sz w:val="24"/>
                <w:highlight w:val="none"/>
                <w:lang w:val="zh-CN"/>
              </w:rPr>
            </w:pPr>
            <w:r>
              <w:rPr>
                <w:rFonts w:hint="eastAsia" w:ascii="宋体" w:hAnsi="宋体" w:cs="宋体"/>
                <w:b/>
                <w:bCs/>
                <w:color w:val="auto"/>
                <w:sz w:val="24"/>
                <w:highlight w:val="none"/>
                <w:lang w:val="zh-CN"/>
              </w:rPr>
              <w:t>8</w:t>
            </w:r>
          </w:p>
        </w:tc>
        <w:tc>
          <w:tcPr>
            <w:tcW w:w="2051" w:type="dxa"/>
            <w:tcBorders>
              <w:top w:val="single" w:color="auto" w:sz="6" w:space="0"/>
              <w:left w:val="single" w:color="auto" w:sz="6" w:space="0"/>
              <w:bottom w:val="single" w:color="auto" w:sz="6" w:space="0"/>
              <w:right w:val="single" w:color="auto" w:sz="6" w:space="0"/>
            </w:tcBorders>
            <w:vAlign w:val="center"/>
          </w:tcPr>
          <w:p w14:paraId="3DC215AF">
            <w:pPr>
              <w:autoSpaceDE w:val="0"/>
              <w:autoSpaceDN w:val="0"/>
              <w:adjustRightInd w:val="0"/>
              <w:snapToGrid w:val="0"/>
              <w:spacing w:line="240" w:lineRule="auto"/>
              <w:jc w:val="center"/>
              <w:rPr>
                <w:rFonts w:ascii="宋体" w:hAnsi="宋体" w:cs="宋体"/>
                <w:b/>
                <w:bCs/>
                <w:color w:val="auto"/>
                <w:sz w:val="24"/>
                <w:highlight w:val="none"/>
                <w:lang w:val="zh-CN"/>
              </w:rPr>
            </w:pPr>
            <w:r>
              <w:rPr>
                <w:rFonts w:hint="eastAsia" w:ascii="宋体" w:hAnsi="宋体" w:cs="宋体"/>
                <w:b/>
                <w:bCs/>
                <w:color w:val="auto"/>
                <w:sz w:val="24"/>
                <w:highlight w:val="none"/>
                <w:lang w:val="zh-CN"/>
              </w:rPr>
              <w:t>验收</w:t>
            </w:r>
          </w:p>
        </w:tc>
        <w:tc>
          <w:tcPr>
            <w:tcW w:w="6240" w:type="dxa"/>
            <w:tcBorders>
              <w:top w:val="single" w:color="auto" w:sz="6" w:space="0"/>
              <w:left w:val="single" w:color="auto" w:sz="6" w:space="0"/>
              <w:bottom w:val="single" w:color="auto" w:sz="6" w:space="0"/>
              <w:right w:val="single" w:color="auto" w:sz="12" w:space="0"/>
            </w:tcBorders>
            <w:vAlign w:val="center"/>
          </w:tcPr>
          <w:p w14:paraId="14849506">
            <w:pPr>
              <w:widowControl w:val="0"/>
              <w:snapToGrid w:val="0"/>
              <w:spacing w:before="120" w:beforeLines="50" w:line="360" w:lineRule="auto"/>
              <w:rPr>
                <w:rFonts w:ascii="宋体" w:hAnsi="宋体" w:cs="宋体"/>
                <w:color w:val="auto"/>
                <w:sz w:val="24"/>
                <w:szCs w:val="24"/>
                <w:highlight w:val="none"/>
              </w:rPr>
            </w:pPr>
            <w:r>
              <w:rPr>
                <w:rFonts w:hint="eastAsia" w:ascii="宋体" w:hAnsi="宋体" w:cs="宋体"/>
                <w:color w:val="auto"/>
                <w:sz w:val="24"/>
                <w:szCs w:val="24"/>
                <w:highlight w:val="none"/>
              </w:rPr>
              <w:t>见“第三章 供应商须知”相应条款</w:t>
            </w:r>
          </w:p>
        </w:tc>
      </w:tr>
      <w:tr w14:paraId="71E1A586">
        <w:tblPrEx>
          <w:tblCellMar>
            <w:top w:w="0" w:type="dxa"/>
            <w:left w:w="108" w:type="dxa"/>
            <w:bottom w:w="0" w:type="dxa"/>
            <w:right w:w="108" w:type="dxa"/>
          </w:tblCellMar>
        </w:tblPrEx>
        <w:trPr>
          <w:trHeight w:val="453" w:hRule="atLeast"/>
          <w:jc w:val="center"/>
        </w:trPr>
        <w:tc>
          <w:tcPr>
            <w:tcW w:w="508" w:type="dxa"/>
            <w:vMerge w:val="continue"/>
            <w:tcBorders>
              <w:left w:val="single" w:color="auto" w:sz="12" w:space="0"/>
              <w:right w:val="single" w:color="auto" w:sz="6" w:space="0"/>
            </w:tcBorders>
          </w:tcPr>
          <w:p w14:paraId="45C5C0F8">
            <w:pPr>
              <w:autoSpaceDE w:val="0"/>
              <w:autoSpaceDN w:val="0"/>
              <w:adjustRightInd w:val="0"/>
              <w:spacing w:line="360" w:lineRule="auto"/>
              <w:rPr>
                <w:rFonts w:ascii="宋体" w:hAnsi="宋体" w:cs="宋体"/>
                <w:b/>
                <w:bCs/>
                <w:color w:val="auto"/>
                <w:sz w:val="24"/>
                <w:highlight w:val="none"/>
              </w:rPr>
            </w:pPr>
          </w:p>
        </w:tc>
        <w:tc>
          <w:tcPr>
            <w:tcW w:w="954" w:type="dxa"/>
            <w:tcBorders>
              <w:top w:val="single" w:color="auto" w:sz="6" w:space="0"/>
              <w:left w:val="single" w:color="auto" w:sz="12" w:space="0"/>
              <w:bottom w:val="single" w:color="auto" w:sz="6" w:space="0"/>
              <w:right w:val="single" w:color="auto" w:sz="6" w:space="0"/>
            </w:tcBorders>
            <w:vAlign w:val="center"/>
          </w:tcPr>
          <w:p w14:paraId="5D848610">
            <w:pPr>
              <w:autoSpaceDE w:val="0"/>
              <w:autoSpaceDN w:val="0"/>
              <w:adjustRightInd w:val="0"/>
              <w:spacing w:line="360" w:lineRule="auto"/>
              <w:jc w:val="center"/>
              <w:rPr>
                <w:rFonts w:ascii="宋体" w:hAnsi="宋体" w:cs="宋体"/>
                <w:b/>
                <w:bCs/>
                <w:color w:val="auto"/>
                <w:sz w:val="24"/>
                <w:highlight w:val="none"/>
              </w:rPr>
            </w:pPr>
            <w:r>
              <w:rPr>
                <w:rFonts w:hint="eastAsia" w:ascii="宋体" w:hAnsi="宋体" w:cs="宋体"/>
                <w:b/>
                <w:bCs/>
                <w:color w:val="auto"/>
                <w:sz w:val="24"/>
                <w:highlight w:val="none"/>
              </w:rPr>
              <w:t>9</w:t>
            </w:r>
          </w:p>
        </w:tc>
        <w:tc>
          <w:tcPr>
            <w:tcW w:w="2051" w:type="dxa"/>
            <w:tcBorders>
              <w:top w:val="single" w:color="auto" w:sz="6" w:space="0"/>
              <w:left w:val="single" w:color="auto" w:sz="6" w:space="0"/>
              <w:bottom w:val="single" w:color="auto" w:sz="6" w:space="0"/>
              <w:right w:val="single" w:color="auto" w:sz="6" w:space="0"/>
            </w:tcBorders>
            <w:vAlign w:val="center"/>
          </w:tcPr>
          <w:p w14:paraId="0EE38085">
            <w:pPr>
              <w:autoSpaceDE w:val="0"/>
              <w:autoSpaceDN w:val="0"/>
              <w:adjustRightInd w:val="0"/>
              <w:snapToGrid w:val="0"/>
              <w:spacing w:line="240" w:lineRule="auto"/>
              <w:jc w:val="center"/>
              <w:rPr>
                <w:rFonts w:ascii="宋体" w:hAnsi="宋体" w:cs="宋体"/>
                <w:b/>
                <w:bCs/>
                <w:color w:val="auto"/>
                <w:sz w:val="24"/>
                <w:highlight w:val="none"/>
                <w:lang w:val="zh-CN"/>
              </w:rPr>
            </w:pPr>
            <w:r>
              <w:rPr>
                <w:rFonts w:hint="eastAsia" w:ascii="宋体" w:hAnsi="宋体" w:cs="宋体"/>
                <w:b/>
                <w:bCs/>
                <w:color w:val="auto"/>
                <w:sz w:val="24"/>
                <w:highlight w:val="none"/>
                <w:lang w:val="zh-CN"/>
              </w:rPr>
              <w:t>付款</w:t>
            </w:r>
          </w:p>
        </w:tc>
        <w:tc>
          <w:tcPr>
            <w:tcW w:w="6240" w:type="dxa"/>
            <w:tcBorders>
              <w:top w:val="single" w:color="auto" w:sz="6" w:space="0"/>
              <w:left w:val="single" w:color="auto" w:sz="6" w:space="0"/>
              <w:bottom w:val="single" w:color="auto" w:sz="6" w:space="0"/>
              <w:right w:val="single" w:color="auto" w:sz="12" w:space="0"/>
            </w:tcBorders>
            <w:vAlign w:val="center"/>
          </w:tcPr>
          <w:p w14:paraId="05AE669A">
            <w:pPr>
              <w:snapToGrid w:val="0"/>
              <w:spacing w:before="120" w:beforeLines="50" w:line="360" w:lineRule="auto"/>
              <w:rPr>
                <w:rFonts w:ascii="宋体" w:hAnsi="宋体" w:cs="宋体"/>
                <w:color w:val="auto"/>
                <w:sz w:val="24"/>
                <w:szCs w:val="24"/>
                <w:highlight w:val="none"/>
              </w:rPr>
            </w:pPr>
            <w:r>
              <w:rPr>
                <w:rFonts w:hint="eastAsia" w:ascii="宋体" w:hAnsi="宋体" w:cs="宋体"/>
                <w:color w:val="auto"/>
                <w:sz w:val="24"/>
                <w:szCs w:val="24"/>
                <w:highlight w:val="none"/>
              </w:rPr>
              <w:t>项目完成后，采购人需持从“安阳市政府采购网”登录系统下载本项目带水印的《安阳市政府采购资金申请表》和《安阳市政府采购申报表》，以及《政府采购验收报告》和发票等，作为付款依据，报安阳市财政局相关部门审核确认后，一次</w:t>
            </w:r>
            <w:r>
              <w:rPr>
                <w:rFonts w:hint="eastAsia" w:ascii="宋体" w:hAnsi="宋体" w:cs="宋体"/>
                <w:color w:val="auto"/>
                <w:sz w:val="24"/>
                <w:szCs w:val="24"/>
                <w:highlight w:val="none"/>
                <w:lang w:val="en-US" w:eastAsia="zh-CN"/>
              </w:rPr>
              <w:t>性</w:t>
            </w:r>
            <w:r>
              <w:rPr>
                <w:rFonts w:hint="eastAsia" w:ascii="宋体" w:hAnsi="宋体" w:cs="宋体"/>
                <w:color w:val="auto"/>
                <w:sz w:val="24"/>
                <w:szCs w:val="24"/>
                <w:highlight w:val="none"/>
              </w:rPr>
              <w:t>无息付款。</w:t>
            </w:r>
          </w:p>
          <w:p w14:paraId="67FC039A">
            <w:pPr>
              <w:spacing w:line="360" w:lineRule="auto"/>
              <w:ind w:firstLine="352" w:firstLineChars="147"/>
              <w:rPr>
                <w:rFonts w:ascii="宋体" w:hAnsi="宋体" w:cs="宋体"/>
                <w:color w:val="auto"/>
                <w:sz w:val="24"/>
                <w:szCs w:val="24"/>
                <w:highlight w:val="none"/>
              </w:rPr>
            </w:pPr>
            <w:r>
              <w:rPr>
                <w:rFonts w:hint="eastAsia" w:ascii="宋体" w:hAnsi="宋体" w:cs="宋体"/>
                <w:color w:val="auto"/>
                <w:sz w:val="24"/>
                <w:szCs w:val="24"/>
                <w:highlight w:val="none"/>
              </w:rPr>
              <w:t>( 另：为优化政府采购营商环境，根据安财购﹝2022﹞8 号文件提高政府采购首付款比例的规定，对于合同约定的分期付款的政府采购项目，首付款的比例由采购人、供应商在合同中约定。对中小微企业首付款比例，原则上不低于合同金额的50%。非分期付款项目不约定首付款事宜，按照验收完成100%全额支付执行。合同约定有首付款的，成交供应商应向采购人提交预付款保函，未提供保函的，视同其放弃项目预付款的支付。）</w:t>
            </w:r>
          </w:p>
        </w:tc>
      </w:tr>
      <w:tr w14:paraId="51651AA5">
        <w:tblPrEx>
          <w:tblCellMar>
            <w:top w:w="0" w:type="dxa"/>
            <w:left w:w="108" w:type="dxa"/>
            <w:bottom w:w="0" w:type="dxa"/>
            <w:right w:w="108" w:type="dxa"/>
          </w:tblCellMar>
        </w:tblPrEx>
        <w:trPr>
          <w:trHeight w:val="453" w:hRule="atLeast"/>
          <w:jc w:val="center"/>
        </w:trPr>
        <w:tc>
          <w:tcPr>
            <w:tcW w:w="508" w:type="dxa"/>
            <w:tcBorders>
              <w:left w:val="single" w:color="auto" w:sz="12" w:space="0"/>
              <w:bottom w:val="single" w:color="auto" w:sz="6" w:space="0"/>
              <w:right w:val="single" w:color="auto" w:sz="6" w:space="0"/>
            </w:tcBorders>
          </w:tcPr>
          <w:p w14:paraId="35071DF8">
            <w:pPr>
              <w:autoSpaceDE w:val="0"/>
              <w:autoSpaceDN w:val="0"/>
              <w:adjustRightInd w:val="0"/>
              <w:spacing w:line="360" w:lineRule="auto"/>
              <w:rPr>
                <w:rFonts w:ascii="宋体" w:hAnsi="宋体" w:cs="宋体"/>
                <w:b/>
                <w:bCs/>
                <w:color w:val="auto"/>
                <w:sz w:val="24"/>
                <w:highlight w:val="none"/>
              </w:rPr>
            </w:pPr>
          </w:p>
        </w:tc>
        <w:tc>
          <w:tcPr>
            <w:tcW w:w="954" w:type="dxa"/>
            <w:tcBorders>
              <w:top w:val="single" w:color="auto" w:sz="6" w:space="0"/>
              <w:left w:val="single" w:color="auto" w:sz="12" w:space="0"/>
              <w:bottom w:val="single" w:color="auto" w:sz="6" w:space="0"/>
              <w:right w:val="single" w:color="auto" w:sz="6" w:space="0"/>
            </w:tcBorders>
            <w:vAlign w:val="center"/>
          </w:tcPr>
          <w:p w14:paraId="3C2188B5">
            <w:pPr>
              <w:autoSpaceDE w:val="0"/>
              <w:autoSpaceDN w:val="0"/>
              <w:adjustRightInd w:val="0"/>
              <w:spacing w:line="360" w:lineRule="auto"/>
              <w:jc w:val="center"/>
              <w:rPr>
                <w:rFonts w:ascii="宋体" w:hAnsi="宋体" w:cs="宋体"/>
                <w:b/>
                <w:bCs/>
                <w:color w:val="auto"/>
                <w:sz w:val="24"/>
                <w:highlight w:val="none"/>
              </w:rPr>
            </w:pPr>
            <w:r>
              <w:rPr>
                <w:rFonts w:hint="eastAsia" w:ascii="宋体" w:hAnsi="宋体" w:cs="宋体"/>
                <w:b/>
                <w:bCs/>
                <w:color w:val="auto"/>
                <w:sz w:val="24"/>
                <w:highlight w:val="none"/>
              </w:rPr>
              <w:t>10.1</w:t>
            </w:r>
          </w:p>
        </w:tc>
        <w:tc>
          <w:tcPr>
            <w:tcW w:w="2051" w:type="dxa"/>
            <w:tcBorders>
              <w:top w:val="single" w:color="auto" w:sz="6" w:space="0"/>
              <w:left w:val="single" w:color="auto" w:sz="6" w:space="0"/>
              <w:bottom w:val="single" w:color="auto" w:sz="6" w:space="0"/>
              <w:right w:val="single" w:color="auto" w:sz="6" w:space="0"/>
            </w:tcBorders>
            <w:vAlign w:val="center"/>
          </w:tcPr>
          <w:p w14:paraId="573853C3">
            <w:pPr>
              <w:autoSpaceDE w:val="0"/>
              <w:autoSpaceDN w:val="0"/>
              <w:adjustRightInd w:val="0"/>
              <w:snapToGrid w:val="0"/>
              <w:spacing w:line="240" w:lineRule="auto"/>
              <w:jc w:val="center"/>
              <w:rPr>
                <w:rFonts w:ascii="宋体" w:hAnsi="宋体" w:cs="宋体"/>
                <w:b/>
                <w:color w:val="auto"/>
                <w:sz w:val="24"/>
                <w:highlight w:val="none"/>
              </w:rPr>
            </w:pPr>
            <w:r>
              <w:rPr>
                <w:rFonts w:hint="eastAsia" w:ascii="宋体" w:hAnsi="宋体" w:cs="宋体"/>
                <w:b/>
                <w:color w:val="auto"/>
                <w:sz w:val="24"/>
                <w:highlight w:val="none"/>
              </w:rPr>
              <w:t>代理服务费</w:t>
            </w:r>
          </w:p>
        </w:tc>
        <w:tc>
          <w:tcPr>
            <w:tcW w:w="6240" w:type="dxa"/>
            <w:tcBorders>
              <w:top w:val="single" w:color="auto" w:sz="6" w:space="0"/>
              <w:left w:val="single" w:color="auto" w:sz="6" w:space="0"/>
              <w:bottom w:val="single" w:color="auto" w:sz="6" w:space="0"/>
              <w:right w:val="single" w:color="auto" w:sz="12" w:space="0"/>
            </w:tcBorders>
            <w:vAlign w:val="center"/>
          </w:tcPr>
          <w:p w14:paraId="130E4982">
            <w:pPr>
              <w:adjustRightInd w:val="0"/>
              <w:snapToGrid w:val="0"/>
              <w:spacing w:before="120" w:beforeLines="50" w:line="360" w:lineRule="auto"/>
              <w:rPr>
                <w:rFonts w:ascii="宋体" w:hAnsi="宋体" w:cs="宋体"/>
                <w:color w:val="auto"/>
                <w:sz w:val="24"/>
                <w:highlight w:val="none"/>
              </w:rPr>
            </w:pPr>
            <w:r>
              <w:rPr>
                <w:rFonts w:hint="eastAsia" w:ascii="宋体" w:hAnsi="宋体" w:cs="宋体"/>
                <w:color w:val="auto"/>
                <w:sz w:val="24"/>
                <w:highlight w:val="none"/>
              </w:rPr>
              <w:t>参照《河南省招标代理服务收费指导意见》的通知（豫招协[2023]002号）文件的规定，招标代理服务费金额为人民币</w:t>
            </w:r>
            <w:r>
              <w:rPr>
                <w:rFonts w:hint="eastAsia" w:ascii="宋体" w:hAnsi="宋体" w:cs="宋体"/>
                <w:color w:val="auto"/>
                <w:sz w:val="24"/>
                <w:highlight w:val="none"/>
                <w:lang w:val="en-US" w:eastAsia="zh-CN"/>
              </w:rPr>
              <w:t>贰万叁仟玖佰玖拾元整</w:t>
            </w:r>
            <w:r>
              <w:rPr>
                <w:rFonts w:hint="eastAsia" w:ascii="宋体" w:hAnsi="宋体" w:cs="宋体"/>
                <w:color w:val="auto"/>
                <w:sz w:val="24"/>
                <w:highlight w:val="none"/>
              </w:rPr>
              <w:t>，由中标（成交）供应商支付。</w:t>
            </w:r>
          </w:p>
        </w:tc>
      </w:tr>
    </w:tbl>
    <w:p w14:paraId="5EFCBC67">
      <w:pPr>
        <w:autoSpaceDE w:val="0"/>
        <w:autoSpaceDN w:val="0"/>
        <w:adjustRightInd w:val="0"/>
        <w:snapToGrid w:val="0"/>
        <w:spacing w:before="120" w:beforeLines="50" w:line="300" w:lineRule="auto"/>
        <w:ind w:firstLine="539"/>
        <w:outlineLvl w:val="1"/>
        <w:rPr>
          <w:rFonts w:ascii="宋体" w:hAnsi="宋体" w:cs="宋体"/>
          <w:color w:val="auto"/>
          <w:sz w:val="28"/>
          <w:szCs w:val="28"/>
          <w:highlight w:val="none"/>
          <w:lang w:val="zh-CN"/>
        </w:rPr>
      </w:pPr>
      <w:bookmarkStart w:id="15" w:name="_Toc83372543"/>
      <w:r>
        <w:rPr>
          <w:rFonts w:hint="eastAsia" w:ascii="宋体" w:hAnsi="宋体" w:cs="宋体"/>
          <w:b/>
          <w:bCs/>
          <w:color w:val="auto"/>
          <w:sz w:val="28"/>
          <w:szCs w:val="28"/>
          <w:highlight w:val="none"/>
          <w:lang w:val="zh-CN"/>
        </w:rPr>
        <w:t>1. 总则</w:t>
      </w:r>
      <w:bookmarkEnd w:id="15"/>
    </w:p>
    <w:p w14:paraId="69ACB57D">
      <w:pPr>
        <w:autoSpaceDE w:val="0"/>
        <w:autoSpaceDN w:val="0"/>
        <w:adjustRightInd w:val="0"/>
        <w:snapToGrid w:val="0"/>
        <w:spacing w:before="120" w:beforeLines="50" w:line="360" w:lineRule="auto"/>
        <w:ind w:firstLine="539"/>
        <w:rPr>
          <w:rFonts w:ascii="宋体" w:hAnsi="宋体" w:cs="宋体"/>
          <w:color w:val="auto"/>
          <w:sz w:val="24"/>
          <w:szCs w:val="24"/>
          <w:highlight w:val="none"/>
        </w:rPr>
      </w:pPr>
      <w:r>
        <w:rPr>
          <w:rFonts w:hint="eastAsia" w:ascii="宋体" w:hAnsi="宋体" w:cs="宋体"/>
          <w:b/>
          <w:color w:val="auto"/>
          <w:sz w:val="24"/>
          <w:highlight w:val="none"/>
          <w:lang w:val="zh-CN"/>
        </w:rPr>
        <w:t xml:space="preserve">1.1 </w:t>
      </w:r>
      <w:r>
        <w:rPr>
          <w:rFonts w:hint="eastAsia" w:ascii="宋体" w:hAnsi="宋体" w:cs="宋体"/>
          <w:color w:val="auto"/>
          <w:sz w:val="24"/>
          <w:szCs w:val="24"/>
          <w:highlight w:val="none"/>
        </w:rPr>
        <w:t>根据《中华人民共和国政府采购法》、《中华人民共和国政府采购法实施条例》、《政府采购竞争性磋商采购方式管理暂行办法》及相关政府采购法律法规等制定本文件。</w:t>
      </w:r>
    </w:p>
    <w:p w14:paraId="5B8FC91E">
      <w:pPr>
        <w:autoSpaceDE w:val="0"/>
        <w:autoSpaceDN w:val="0"/>
        <w:adjustRightInd w:val="0"/>
        <w:snapToGrid w:val="0"/>
        <w:spacing w:before="120" w:beforeLines="50" w:line="300" w:lineRule="auto"/>
        <w:ind w:firstLine="539"/>
        <w:rPr>
          <w:rFonts w:ascii="宋体" w:hAnsi="宋体" w:cs="宋体"/>
          <w:b/>
          <w:color w:val="auto"/>
          <w:sz w:val="24"/>
          <w:highlight w:val="none"/>
        </w:rPr>
      </w:pPr>
      <w:r>
        <w:rPr>
          <w:rFonts w:hint="eastAsia" w:ascii="宋体" w:hAnsi="宋体" w:cs="宋体"/>
          <w:b/>
          <w:color w:val="auto"/>
          <w:sz w:val="24"/>
          <w:highlight w:val="none"/>
        </w:rPr>
        <w:t xml:space="preserve">1.2 </w:t>
      </w:r>
      <w:r>
        <w:rPr>
          <w:rFonts w:hint="eastAsia" w:ascii="宋体" w:hAnsi="宋体" w:cs="宋体"/>
          <w:b/>
          <w:color w:val="auto"/>
          <w:sz w:val="24"/>
          <w:highlight w:val="none"/>
          <w:lang w:val="zh-CN"/>
        </w:rPr>
        <w:t>《磋商文件》的法律适用及法律效力</w:t>
      </w:r>
    </w:p>
    <w:p w14:paraId="2F8CC505">
      <w:pPr>
        <w:adjustRightInd w:val="0"/>
        <w:snapToGrid w:val="0"/>
        <w:spacing w:before="120" w:beforeLines="50" w:line="300" w:lineRule="auto"/>
        <w:ind w:right="240" w:firstLine="547" w:firstLineChars="228"/>
        <w:rPr>
          <w:rFonts w:ascii="宋体" w:hAnsi="宋体" w:cs="宋体"/>
          <w:color w:val="auto"/>
          <w:sz w:val="24"/>
          <w:szCs w:val="24"/>
          <w:highlight w:val="none"/>
        </w:rPr>
      </w:pPr>
      <w:r>
        <w:rPr>
          <w:rFonts w:hint="eastAsia" w:ascii="宋体" w:hAnsi="宋体" w:cs="宋体"/>
          <w:color w:val="auto"/>
          <w:sz w:val="24"/>
          <w:szCs w:val="24"/>
          <w:highlight w:val="none"/>
        </w:rPr>
        <w:t>1.2.1 本《磋商文件》所述内容，仅适用于本次项目采购。</w:t>
      </w:r>
    </w:p>
    <w:p w14:paraId="5770000F">
      <w:pPr>
        <w:adjustRightInd w:val="0"/>
        <w:snapToGrid w:val="0"/>
        <w:spacing w:before="120" w:beforeLines="50" w:line="300" w:lineRule="auto"/>
        <w:ind w:right="240" w:firstLine="547" w:firstLineChars="228"/>
        <w:rPr>
          <w:rFonts w:ascii="宋体" w:hAnsi="宋体" w:cs="宋体"/>
          <w:color w:val="auto"/>
          <w:sz w:val="24"/>
          <w:szCs w:val="24"/>
          <w:highlight w:val="none"/>
        </w:rPr>
      </w:pPr>
      <w:r>
        <w:rPr>
          <w:rFonts w:hint="eastAsia" w:ascii="宋体" w:hAnsi="宋体" w:cs="宋体"/>
          <w:color w:val="auto"/>
          <w:sz w:val="24"/>
          <w:szCs w:val="24"/>
          <w:highlight w:val="none"/>
        </w:rPr>
        <w:t>1.2.2 《磋商文件》的修改性文件、补充文件、澄清文件或说明具有同等法律效力。</w:t>
      </w:r>
    </w:p>
    <w:p w14:paraId="3342C5A4">
      <w:pPr>
        <w:adjustRightInd w:val="0"/>
        <w:snapToGrid w:val="0"/>
        <w:spacing w:before="120" w:beforeLines="50" w:line="300" w:lineRule="auto"/>
        <w:ind w:right="240" w:firstLine="547" w:firstLineChars="228"/>
        <w:rPr>
          <w:rFonts w:ascii="宋体" w:hAnsi="宋体" w:cs="宋体"/>
          <w:color w:val="auto"/>
          <w:sz w:val="24"/>
          <w:szCs w:val="24"/>
          <w:highlight w:val="none"/>
        </w:rPr>
      </w:pPr>
      <w:r>
        <w:rPr>
          <w:rFonts w:hint="eastAsia" w:ascii="宋体" w:hAnsi="宋体" w:cs="宋体"/>
          <w:color w:val="auto"/>
          <w:sz w:val="24"/>
          <w:szCs w:val="24"/>
          <w:highlight w:val="none"/>
        </w:rPr>
        <w:t>1.2.3 本《磋商文件》适用于并执行《政府采购法》和其它相关的法律、法规。</w:t>
      </w:r>
    </w:p>
    <w:p w14:paraId="7AA53277">
      <w:pPr>
        <w:adjustRightInd w:val="0"/>
        <w:snapToGrid w:val="0"/>
        <w:spacing w:before="120" w:beforeLines="50" w:line="300" w:lineRule="auto"/>
        <w:ind w:right="240" w:firstLine="600" w:firstLineChars="250"/>
        <w:rPr>
          <w:rFonts w:ascii="宋体" w:hAnsi="宋体" w:cs="宋体"/>
          <w:color w:val="auto"/>
          <w:sz w:val="24"/>
          <w:szCs w:val="24"/>
          <w:highlight w:val="none"/>
        </w:rPr>
      </w:pPr>
      <w:r>
        <w:rPr>
          <w:rFonts w:hint="eastAsia" w:ascii="宋体" w:hAnsi="宋体" w:cs="宋体"/>
          <w:color w:val="auto"/>
          <w:sz w:val="24"/>
          <w:szCs w:val="24"/>
          <w:highlight w:val="none"/>
        </w:rPr>
        <w:t>1.2.4 本《磋商文件》的解释权属采购人及代理机构。</w:t>
      </w:r>
    </w:p>
    <w:p w14:paraId="0AE8DCA5">
      <w:pPr>
        <w:autoSpaceDE w:val="0"/>
        <w:autoSpaceDN w:val="0"/>
        <w:adjustRightInd w:val="0"/>
        <w:snapToGrid w:val="0"/>
        <w:spacing w:before="120" w:beforeLines="50" w:line="300" w:lineRule="auto"/>
        <w:ind w:firstLine="539"/>
        <w:rPr>
          <w:rFonts w:ascii="宋体" w:hAnsi="宋体" w:cs="宋体"/>
          <w:b/>
          <w:color w:val="auto"/>
          <w:sz w:val="24"/>
          <w:highlight w:val="none"/>
          <w:lang w:val="zh-CN"/>
        </w:rPr>
      </w:pPr>
      <w:r>
        <w:rPr>
          <w:rFonts w:hint="eastAsia" w:ascii="宋体" w:hAnsi="宋体" w:cs="宋体"/>
          <w:b/>
          <w:color w:val="auto"/>
          <w:sz w:val="24"/>
          <w:highlight w:val="none"/>
          <w:lang w:val="zh-CN"/>
        </w:rPr>
        <w:t>1.3 合格的供应商</w:t>
      </w:r>
    </w:p>
    <w:p w14:paraId="0C1FED2E">
      <w:pPr>
        <w:autoSpaceDE w:val="0"/>
        <w:autoSpaceDN w:val="0"/>
        <w:adjustRightInd w:val="0"/>
        <w:snapToGrid w:val="0"/>
        <w:spacing w:before="120" w:beforeLines="50" w:line="360" w:lineRule="auto"/>
        <w:ind w:firstLine="539"/>
        <w:rPr>
          <w:rFonts w:ascii="宋体" w:hAnsi="宋体" w:cs="宋体"/>
          <w:color w:val="auto"/>
          <w:sz w:val="24"/>
          <w:highlight w:val="none"/>
          <w:lang w:val="zh-CN"/>
        </w:rPr>
      </w:pPr>
      <w:r>
        <w:rPr>
          <w:rFonts w:hint="eastAsia" w:ascii="宋体" w:hAnsi="宋体" w:cs="宋体"/>
          <w:color w:val="auto"/>
          <w:sz w:val="24"/>
          <w:highlight w:val="none"/>
          <w:lang w:val="zh-CN"/>
        </w:rPr>
        <w:t>1.3.1 凡符合《磋商文件》规定，承认本《磋商文件》所有内容的供应商为合格的供应商。</w:t>
      </w:r>
    </w:p>
    <w:p w14:paraId="3231DC66">
      <w:pPr>
        <w:autoSpaceDE w:val="0"/>
        <w:autoSpaceDN w:val="0"/>
        <w:adjustRightInd w:val="0"/>
        <w:snapToGrid w:val="0"/>
        <w:spacing w:before="120" w:beforeLines="50" w:line="360" w:lineRule="auto"/>
        <w:ind w:firstLine="539"/>
        <w:rPr>
          <w:rFonts w:ascii="宋体" w:hAnsi="宋体" w:cs="宋体"/>
          <w:color w:val="auto"/>
          <w:sz w:val="24"/>
          <w:highlight w:val="none"/>
          <w:lang w:val="zh-CN"/>
        </w:rPr>
      </w:pPr>
      <w:r>
        <w:rPr>
          <w:rFonts w:hint="eastAsia" w:ascii="宋体" w:hAnsi="宋体" w:cs="宋体"/>
          <w:color w:val="auto"/>
          <w:sz w:val="24"/>
          <w:highlight w:val="none"/>
          <w:lang w:val="zh-CN"/>
        </w:rPr>
        <w:t>1.3.2 单位负责人为同一人或者存在直接控股、管理关系的不同供应商，不得参加同一合同项下的政府采购活动。</w:t>
      </w:r>
    </w:p>
    <w:p w14:paraId="50FE3669">
      <w:pPr>
        <w:autoSpaceDE w:val="0"/>
        <w:autoSpaceDN w:val="0"/>
        <w:adjustRightInd w:val="0"/>
        <w:snapToGrid w:val="0"/>
        <w:spacing w:before="120" w:beforeLines="50" w:line="360" w:lineRule="auto"/>
        <w:ind w:firstLine="539"/>
        <w:rPr>
          <w:rFonts w:ascii="宋体" w:hAnsi="宋体" w:cs="宋体"/>
          <w:color w:val="auto"/>
          <w:sz w:val="24"/>
          <w:highlight w:val="none"/>
          <w:lang w:val="zh-CN"/>
        </w:rPr>
      </w:pPr>
      <w:r>
        <w:rPr>
          <w:rFonts w:hint="eastAsia" w:ascii="宋体" w:hAnsi="宋体" w:cs="宋体"/>
          <w:color w:val="auto"/>
          <w:sz w:val="24"/>
          <w:highlight w:val="none"/>
          <w:lang w:val="zh-CN"/>
        </w:rPr>
        <w:t>1.3.3 为采购项目提供整体设计、规范编制或者项目管理、监理、检测等服务的供应商，不得再参加该采购项目的其他采购活动。</w:t>
      </w:r>
    </w:p>
    <w:p w14:paraId="01B1C252">
      <w:pPr>
        <w:autoSpaceDE w:val="0"/>
        <w:autoSpaceDN w:val="0"/>
        <w:adjustRightInd w:val="0"/>
        <w:snapToGrid w:val="0"/>
        <w:spacing w:before="120" w:beforeLines="50" w:line="360" w:lineRule="auto"/>
        <w:ind w:firstLine="539"/>
        <w:rPr>
          <w:rFonts w:ascii="宋体" w:hAnsi="宋体" w:cs="宋体"/>
          <w:color w:val="auto"/>
          <w:sz w:val="24"/>
          <w:highlight w:val="none"/>
          <w:lang w:val="zh-CN"/>
        </w:rPr>
      </w:pPr>
      <w:r>
        <w:rPr>
          <w:rFonts w:hint="eastAsia" w:ascii="宋体" w:hAnsi="宋体" w:cs="宋体"/>
          <w:color w:val="auto"/>
          <w:sz w:val="24"/>
          <w:highlight w:val="none"/>
          <w:lang w:val="zh-CN"/>
        </w:rPr>
        <w:t>1.3.4 供应商应遵守国家法律、法规和《磋商文件》的规定。</w:t>
      </w:r>
    </w:p>
    <w:p w14:paraId="70D81248">
      <w:pPr>
        <w:autoSpaceDE w:val="0"/>
        <w:autoSpaceDN w:val="0"/>
        <w:adjustRightInd w:val="0"/>
        <w:snapToGrid w:val="0"/>
        <w:spacing w:before="120" w:beforeLines="50" w:line="300" w:lineRule="auto"/>
        <w:ind w:firstLine="539"/>
        <w:rPr>
          <w:rFonts w:ascii="宋体" w:hAnsi="宋体" w:cs="宋体"/>
          <w:b/>
          <w:color w:val="auto"/>
          <w:sz w:val="24"/>
          <w:highlight w:val="none"/>
          <w:lang w:val="zh-CN"/>
        </w:rPr>
      </w:pPr>
      <w:r>
        <w:rPr>
          <w:rFonts w:hint="eastAsia" w:ascii="宋体" w:hAnsi="宋体" w:cs="宋体"/>
          <w:b/>
          <w:color w:val="auto"/>
          <w:sz w:val="24"/>
          <w:highlight w:val="none"/>
          <w:lang w:val="zh-CN"/>
        </w:rPr>
        <w:t>1.4 联合体</w:t>
      </w:r>
    </w:p>
    <w:p w14:paraId="34AE9299">
      <w:pPr>
        <w:autoSpaceDE w:val="0"/>
        <w:autoSpaceDN w:val="0"/>
        <w:adjustRightInd w:val="0"/>
        <w:snapToGrid w:val="0"/>
        <w:spacing w:before="120" w:beforeLines="50" w:line="360" w:lineRule="auto"/>
        <w:ind w:firstLine="539"/>
        <w:rPr>
          <w:rFonts w:ascii="宋体" w:hAnsi="宋体" w:cs="宋体"/>
          <w:color w:val="auto"/>
          <w:sz w:val="24"/>
          <w:highlight w:val="none"/>
          <w:lang w:val="zh-CN"/>
        </w:rPr>
      </w:pPr>
      <w:r>
        <w:rPr>
          <w:rFonts w:hint="eastAsia" w:ascii="宋体" w:hAnsi="宋体" w:cs="宋体"/>
          <w:color w:val="auto"/>
          <w:sz w:val="24"/>
          <w:highlight w:val="none"/>
          <w:lang w:val="zh-CN"/>
        </w:rPr>
        <w:t>如供应商须知前附表规定接受联合体投标的，应遵守以下规定：</w:t>
      </w:r>
    </w:p>
    <w:p w14:paraId="5351A8BE">
      <w:pPr>
        <w:autoSpaceDE w:val="0"/>
        <w:autoSpaceDN w:val="0"/>
        <w:adjustRightInd w:val="0"/>
        <w:snapToGrid w:val="0"/>
        <w:spacing w:before="120" w:beforeLines="50" w:line="360" w:lineRule="auto"/>
        <w:ind w:firstLine="539"/>
        <w:rPr>
          <w:rFonts w:ascii="宋体" w:hAnsi="宋体" w:cs="宋体"/>
          <w:color w:val="auto"/>
          <w:sz w:val="24"/>
          <w:highlight w:val="none"/>
          <w:lang w:val="zh-CN"/>
        </w:rPr>
      </w:pPr>
      <w:r>
        <w:rPr>
          <w:rFonts w:hint="eastAsia" w:ascii="宋体" w:hAnsi="宋体" w:cs="宋体"/>
          <w:color w:val="auto"/>
          <w:sz w:val="24"/>
          <w:highlight w:val="none"/>
          <w:lang w:val="zh-CN"/>
        </w:rPr>
        <w:t>（1）两个以上的自然人、法人或者其他组织组成一个联合体，以一个供应商的身份共同参加政府采购活动的，应当对所有的联合体成员进行信用记录查询，联合体成员存在不良信用记录的，视同联合体存在不良信用记录。</w:t>
      </w:r>
    </w:p>
    <w:p w14:paraId="2667F744">
      <w:pPr>
        <w:autoSpaceDE w:val="0"/>
        <w:autoSpaceDN w:val="0"/>
        <w:adjustRightInd w:val="0"/>
        <w:snapToGrid w:val="0"/>
        <w:spacing w:before="120" w:beforeLines="50" w:line="360" w:lineRule="auto"/>
        <w:ind w:firstLine="539"/>
        <w:rPr>
          <w:rFonts w:ascii="宋体" w:hAnsi="宋体" w:cs="宋体"/>
          <w:color w:val="auto"/>
          <w:sz w:val="24"/>
          <w:highlight w:val="none"/>
          <w:lang w:val="zh-CN"/>
        </w:rPr>
      </w:pPr>
      <w:r>
        <w:rPr>
          <w:rFonts w:hint="eastAsia" w:ascii="宋体" w:hAnsi="宋体" w:cs="宋体"/>
          <w:color w:val="auto"/>
          <w:sz w:val="24"/>
          <w:highlight w:val="none"/>
          <w:lang w:val="zh-CN"/>
        </w:rPr>
        <w:t>（2）两个以上供应商可以组成一个投标联合体，以一个供应商的身份投标，但必须确定其中一个单位为投标的全权代表参加投标活动，并承担投标及履约中应承担的全部责任和义务。</w:t>
      </w:r>
    </w:p>
    <w:p w14:paraId="447E5725">
      <w:pPr>
        <w:autoSpaceDE w:val="0"/>
        <w:autoSpaceDN w:val="0"/>
        <w:adjustRightInd w:val="0"/>
        <w:snapToGrid w:val="0"/>
        <w:spacing w:before="120" w:beforeLines="50" w:line="360" w:lineRule="auto"/>
        <w:ind w:firstLine="539"/>
        <w:rPr>
          <w:rFonts w:ascii="宋体" w:hAnsi="宋体" w:cs="宋体"/>
          <w:color w:val="auto"/>
          <w:sz w:val="24"/>
          <w:highlight w:val="none"/>
          <w:lang w:val="zh-CN"/>
        </w:rPr>
      </w:pPr>
      <w:r>
        <w:rPr>
          <w:rFonts w:hint="eastAsia" w:ascii="宋体" w:hAnsi="宋体" w:cs="宋体"/>
          <w:color w:val="auto"/>
          <w:sz w:val="24"/>
          <w:highlight w:val="none"/>
          <w:lang w:val="zh-CN"/>
        </w:rPr>
        <w:t>（3）以联合体形式参加投标的，应符供应商须知前附表的要求，联合体各方均应当符合政府采购法第二十二条第一款规定的条件，联合体各方均应当具备承担采购项目（标段&lt;包&gt;）的相应能力、具备规定的相应资格条件。</w:t>
      </w:r>
    </w:p>
    <w:p w14:paraId="544BE3DE">
      <w:pPr>
        <w:autoSpaceDE w:val="0"/>
        <w:autoSpaceDN w:val="0"/>
        <w:adjustRightInd w:val="0"/>
        <w:snapToGrid w:val="0"/>
        <w:spacing w:before="120" w:beforeLines="50" w:line="360" w:lineRule="auto"/>
        <w:ind w:firstLine="539"/>
        <w:rPr>
          <w:rFonts w:ascii="宋体" w:hAnsi="宋体" w:cs="宋体"/>
          <w:color w:val="auto"/>
          <w:sz w:val="24"/>
          <w:highlight w:val="none"/>
          <w:lang w:val="zh-CN"/>
        </w:rPr>
      </w:pPr>
      <w:r>
        <w:rPr>
          <w:rFonts w:hint="eastAsia" w:ascii="宋体" w:hAnsi="宋体" w:cs="宋体"/>
          <w:color w:val="auto"/>
          <w:sz w:val="24"/>
          <w:highlight w:val="none"/>
          <w:lang w:val="zh-CN"/>
        </w:rPr>
        <w:t>（4）联合体中有同类资质的供应商按照联合体分工承担相同工作的，应当按照资质等级较低的供应商确定资质等级。</w:t>
      </w:r>
    </w:p>
    <w:p w14:paraId="439620CD">
      <w:pPr>
        <w:autoSpaceDE w:val="0"/>
        <w:autoSpaceDN w:val="0"/>
        <w:adjustRightInd w:val="0"/>
        <w:snapToGrid w:val="0"/>
        <w:spacing w:before="120" w:beforeLines="50" w:line="360" w:lineRule="auto"/>
        <w:ind w:firstLine="539"/>
        <w:rPr>
          <w:rFonts w:ascii="宋体" w:hAnsi="宋体" w:cs="宋体"/>
          <w:color w:val="auto"/>
          <w:sz w:val="24"/>
          <w:highlight w:val="none"/>
          <w:lang w:val="zh-CN"/>
        </w:rPr>
      </w:pPr>
      <w:r>
        <w:rPr>
          <w:rFonts w:hint="eastAsia" w:ascii="宋体" w:hAnsi="宋体" w:cs="宋体"/>
          <w:color w:val="auto"/>
          <w:sz w:val="24"/>
          <w:highlight w:val="none"/>
          <w:lang w:val="zh-CN"/>
        </w:rPr>
        <w:t>（5）联合体各方之间应当签订联合投标协议，明确约定联合体各方承担的工作和相应的责任，并将联合投标协议连同《响应文件》一并提交采购代理机构。</w:t>
      </w:r>
    </w:p>
    <w:p w14:paraId="6E0F3520">
      <w:pPr>
        <w:autoSpaceDE w:val="0"/>
        <w:autoSpaceDN w:val="0"/>
        <w:adjustRightInd w:val="0"/>
        <w:snapToGrid w:val="0"/>
        <w:spacing w:before="120" w:beforeLines="50" w:line="360" w:lineRule="auto"/>
        <w:ind w:firstLine="539"/>
        <w:rPr>
          <w:rFonts w:ascii="宋体" w:hAnsi="宋体" w:cs="宋体"/>
          <w:color w:val="auto"/>
          <w:sz w:val="24"/>
          <w:highlight w:val="none"/>
          <w:lang w:val="zh-CN"/>
        </w:rPr>
      </w:pPr>
      <w:r>
        <w:rPr>
          <w:rFonts w:hint="eastAsia" w:ascii="宋体" w:hAnsi="宋体" w:cs="宋体"/>
          <w:color w:val="auto"/>
          <w:sz w:val="24"/>
          <w:highlight w:val="none"/>
          <w:lang w:val="zh-CN"/>
        </w:rPr>
        <w:t>（6）联合体各方签订联合投标协议后，不得再以自己名义单独在同一项目中投标，也不得组成新的联合体参加同一项目投标。</w:t>
      </w:r>
    </w:p>
    <w:p w14:paraId="1A8C77FF">
      <w:pPr>
        <w:autoSpaceDE w:val="0"/>
        <w:autoSpaceDN w:val="0"/>
        <w:adjustRightInd w:val="0"/>
        <w:snapToGrid w:val="0"/>
        <w:spacing w:before="120" w:beforeLines="50" w:line="360" w:lineRule="auto"/>
        <w:ind w:firstLine="539"/>
        <w:rPr>
          <w:rFonts w:ascii="宋体" w:hAnsi="宋体" w:cs="宋体"/>
          <w:color w:val="auto"/>
          <w:sz w:val="24"/>
          <w:highlight w:val="none"/>
          <w:lang w:val="zh-CN"/>
        </w:rPr>
      </w:pPr>
      <w:r>
        <w:rPr>
          <w:rFonts w:hint="eastAsia" w:ascii="宋体" w:hAnsi="宋体" w:cs="宋体"/>
          <w:color w:val="auto"/>
          <w:sz w:val="24"/>
          <w:highlight w:val="none"/>
          <w:lang w:val="zh-CN"/>
        </w:rPr>
        <w:t>（7）联合体中标（成交）的，联合体各方应当共同与采购人签订合同，就中标（成交）项目（标段&lt;包&gt;）向采购人承担连带责任。</w:t>
      </w:r>
    </w:p>
    <w:p w14:paraId="0849AD50">
      <w:pPr>
        <w:autoSpaceDE w:val="0"/>
        <w:autoSpaceDN w:val="0"/>
        <w:adjustRightInd w:val="0"/>
        <w:snapToGrid w:val="0"/>
        <w:spacing w:before="120" w:beforeLines="50" w:line="360" w:lineRule="auto"/>
        <w:ind w:firstLine="539"/>
        <w:rPr>
          <w:rFonts w:ascii="宋体" w:hAnsi="宋体" w:cs="宋体"/>
          <w:color w:val="auto"/>
          <w:sz w:val="24"/>
          <w:highlight w:val="none"/>
          <w:lang w:val="zh-CN"/>
        </w:rPr>
      </w:pPr>
      <w:r>
        <w:rPr>
          <w:rFonts w:hint="eastAsia" w:ascii="宋体" w:hAnsi="宋体" w:cs="宋体"/>
          <w:color w:val="auto"/>
          <w:sz w:val="24"/>
          <w:highlight w:val="none"/>
          <w:lang w:val="zh-CN"/>
        </w:rPr>
        <w:t>（8）预留中小企业份额项目中，</w:t>
      </w:r>
      <w:r>
        <w:rPr>
          <w:rFonts w:hint="eastAsia" w:ascii="宋体" w:hAnsi="宋体" w:cs="宋体"/>
          <w:color w:val="auto"/>
          <w:sz w:val="24"/>
          <w:szCs w:val="24"/>
          <w:highlight w:val="none"/>
        </w:rPr>
        <w:t>组成联合体的中小企业与联合体内其他企业不得存在直接控股、管理关系。</w:t>
      </w:r>
    </w:p>
    <w:p w14:paraId="31F15FD8">
      <w:pPr>
        <w:autoSpaceDE w:val="0"/>
        <w:autoSpaceDN w:val="0"/>
        <w:adjustRightInd w:val="0"/>
        <w:snapToGrid w:val="0"/>
        <w:spacing w:before="120" w:beforeLines="50" w:line="300" w:lineRule="auto"/>
        <w:ind w:firstLine="539"/>
        <w:rPr>
          <w:rFonts w:ascii="宋体" w:hAnsi="宋体" w:cs="宋体"/>
          <w:b/>
          <w:color w:val="auto"/>
          <w:sz w:val="24"/>
          <w:highlight w:val="none"/>
          <w:lang w:val="zh-CN"/>
        </w:rPr>
      </w:pPr>
      <w:r>
        <w:rPr>
          <w:rFonts w:hint="eastAsia" w:ascii="宋体" w:hAnsi="宋体" w:cs="宋体"/>
          <w:b/>
          <w:color w:val="auto"/>
          <w:sz w:val="24"/>
          <w:highlight w:val="none"/>
          <w:lang w:val="zh-CN"/>
        </w:rPr>
        <w:t>1.5 知识产权</w:t>
      </w:r>
    </w:p>
    <w:p w14:paraId="6796687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zh-CN"/>
        </w:rPr>
        <w:t>1.5.1 供应商须保证采购人使用投标货物、资料、技术、服务或其任何一部分时，享有不受限制的无偿使用权，不会产生因第三方提出侵犯其专利权、商标权或其它知识产权而引起的法律或经济纠纷。</w:t>
      </w:r>
      <w:r>
        <w:rPr>
          <w:rFonts w:hint="eastAsia" w:ascii="宋体" w:hAnsi="宋体" w:cs="宋体"/>
          <w:color w:val="auto"/>
          <w:sz w:val="24"/>
          <w:highlight w:val="none"/>
        </w:rPr>
        <w:t>如因专利权、商标权或其它知识产权而引起法律和经济纠纷，由供应商承担所有相关责任。</w:t>
      </w:r>
    </w:p>
    <w:p w14:paraId="7FACA76F">
      <w:pPr>
        <w:autoSpaceDE w:val="0"/>
        <w:autoSpaceDN w:val="0"/>
        <w:adjustRightInd w:val="0"/>
        <w:snapToGrid w:val="0"/>
        <w:spacing w:before="120" w:beforeLines="50" w:line="360" w:lineRule="auto"/>
        <w:ind w:firstLine="539"/>
        <w:rPr>
          <w:rFonts w:ascii="宋体" w:hAnsi="宋体" w:cs="宋体"/>
          <w:color w:val="auto"/>
          <w:sz w:val="24"/>
          <w:highlight w:val="none"/>
          <w:lang w:val="zh-CN"/>
        </w:rPr>
      </w:pPr>
      <w:r>
        <w:rPr>
          <w:rFonts w:hint="eastAsia" w:ascii="宋体" w:hAnsi="宋体" w:cs="宋体"/>
          <w:color w:val="auto"/>
          <w:sz w:val="24"/>
          <w:highlight w:val="none"/>
          <w:lang w:val="zh-CN"/>
        </w:rPr>
        <w:t>如供应商不拥有相应的知识产权，则在投标报价中必须包括合法获取该知识产权的一切相关费用。如因此导致采购人损失的，供应商须承担全部赔偿责任。</w:t>
      </w:r>
    </w:p>
    <w:p w14:paraId="309D5726">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1.5.2供应商将在采购项目实施过程中采用自有或者第三方知识成果的，应当在投标文件中载明，并提供相关知识产权证明文件。使用该知识成果后，供应商需提供开发接口和开发手册等技术资料，并承诺提供无限期支持，采购人享有使用权（含采购人委托第三方在该项目后续开发的使用权）。</w:t>
      </w:r>
    </w:p>
    <w:p w14:paraId="1AB26B9E">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1.5.3 除非磋商文件特别规定，采购人享有本项目实施过程中产生的知识成果及知识产权。</w:t>
      </w:r>
    </w:p>
    <w:p w14:paraId="53411045">
      <w:pPr>
        <w:autoSpaceDE w:val="0"/>
        <w:autoSpaceDN w:val="0"/>
        <w:adjustRightInd w:val="0"/>
        <w:snapToGrid w:val="0"/>
        <w:spacing w:before="120" w:beforeLines="50" w:line="300" w:lineRule="auto"/>
        <w:ind w:firstLine="539"/>
        <w:rPr>
          <w:rFonts w:ascii="宋体" w:hAnsi="宋体" w:cs="宋体"/>
          <w:b/>
          <w:color w:val="auto"/>
          <w:sz w:val="24"/>
          <w:highlight w:val="none"/>
          <w:lang w:val="zh-CN"/>
        </w:rPr>
      </w:pPr>
      <w:r>
        <w:rPr>
          <w:rFonts w:hint="eastAsia" w:ascii="宋体" w:hAnsi="宋体" w:cs="宋体"/>
          <w:b/>
          <w:color w:val="auto"/>
          <w:sz w:val="24"/>
          <w:highlight w:val="none"/>
          <w:lang w:val="zh-CN"/>
        </w:rPr>
        <w:t>1.6 费用</w:t>
      </w:r>
    </w:p>
    <w:p w14:paraId="437E2701">
      <w:pPr>
        <w:autoSpaceDE w:val="0"/>
        <w:autoSpaceDN w:val="0"/>
        <w:adjustRightInd w:val="0"/>
        <w:snapToGrid w:val="0"/>
        <w:spacing w:before="120" w:beforeLines="50" w:line="360" w:lineRule="auto"/>
        <w:ind w:firstLine="539"/>
        <w:rPr>
          <w:rFonts w:ascii="宋体" w:hAnsi="宋体" w:cs="宋体"/>
          <w:color w:val="auto"/>
          <w:sz w:val="24"/>
          <w:highlight w:val="none"/>
          <w:lang w:val="zh-CN"/>
        </w:rPr>
      </w:pPr>
      <w:r>
        <w:rPr>
          <w:rFonts w:hint="eastAsia" w:ascii="宋体" w:hAnsi="宋体" w:cs="宋体"/>
          <w:color w:val="auto"/>
          <w:sz w:val="24"/>
          <w:highlight w:val="none"/>
          <w:lang w:val="zh-CN"/>
        </w:rPr>
        <w:t>无论磋商过程中的做法和结果如何，无论何种原因的磋商失败或终止，供应商应自行承担所有与准备和参加磋商有关的全部费用（类比商业采购中的客户洽谈费用），采购代理机构在任何情况下均无义务和责任承担供应商的任何费用。</w:t>
      </w:r>
    </w:p>
    <w:p w14:paraId="33CF7051">
      <w:pPr>
        <w:autoSpaceDE w:val="0"/>
        <w:autoSpaceDN w:val="0"/>
        <w:adjustRightInd w:val="0"/>
        <w:snapToGrid w:val="0"/>
        <w:spacing w:before="120" w:beforeLines="50" w:line="300" w:lineRule="auto"/>
        <w:ind w:firstLine="539"/>
        <w:rPr>
          <w:rFonts w:ascii="宋体" w:hAnsi="宋体" w:cs="宋体"/>
          <w:b/>
          <w:color w:val="auto"/>
          <w:sz w:val="24"/>
          <w:highlight w:val="none"/>
          <w:lang w:val="zh-CN"/>
        </w:rPr>
      </w:pPr>
      <w:r>
        <w:rPr>
          <w:rFonts w:hint="eastAsia" w:ascii="宋体" w:hAnsi="宋体" w:cs="宋体"/>
          <w:b/>
          <w:color w:val="auto"/>
          <w:sz w:val="24"/>
          <w:highlight w:val="none"/>
          <w:lang w:val="zh-CN"/>
        </w:rPr>
        <w:t>1.7 保密</w:t>
      </w:r>
    </w:p>
    <w:p w14:paraId="664A1722">
      <w:pPr>
        <w:autoSpaceDE w:val="0"/>
        <w:autoSpaceDN w:val="0"/>
        <w:adjustRightInd w:val="0"/>
        <w:snapToGrid w:val="0"/>
        <w:spacing w:before="120" w:beforeLines="50" w:line="360" w:lineRule="auto"/>
        <w:ind w:firstLine="539"/>
        <w:rPr>
          <w:rFonts w:ascii="宋体" w:hAnsi="宋体" w:cs="宋体"/>
          <w:color w:val="auto"/>
          <w:sz w:val="24"/>
          <w:highlight w:val="none"/>
          <w:lang w:val="zh-CN"/>
        </w:rPr>
      </w:pPr>
      <w:r>
        <w:rPr>
          <w:rFonts w:hint="eastAsia" w:ascii="宋体" w:hAnsi="宋体" w:cs="宋体"/>
          <w:color w:val="auto"/>
          <w:sz w:val="24"/>
          <w:highlight w:val="none"/>
          <w:lang w:val="zh-CN"/>
        </w:rPr>
        <w:t>1.7.1 参与竞争性磋商活动的各方应对《磋商文件》和《响应文件》中的商业和技术等秘密保密，供应商应在《响应文件》中对需保密事项予以书面声明，否则视为非保密事项。</w:t>
      </w:r>
    </w:p>
    <w:p w14:paraId="4B21225F">
      <w:pPr>
        <w:autoSpaceDE w:val="0"/>
        <w:autoSpaceDN w:val="0"/>
        <w:adjustRightInd w:val="0"/>
        <w:snapToGrid w:val="0"/>
        <w:spacing w:before="120" w:beforeLines="50" w:line="360" w:lineRule="auto"/>
        <w:ind w:firstLine="539"/>
        <w:rPr>
          <w:rFonts w:ascii="宋体" w:hAnsi="宋体" w:cs="宋体"/>
          <w:color w:val="auto"/>
          <w:sz w:val="24"/>
          <w:highlight w:val="none"/>
          <w:lang w:val="zh-CN"/>
        </w:rPr>
      </w:pPr>
      <w:r>
        <w:rPr>
          <w:rFonts w:hint="eastAsia" w:ascii="宋体" w:hAnsi="宋体" w:cs="宋体"/>
          <w:color w:val="auto"/>
          <w:sz w:val="24"/>
          <w:highlight w:val="none"/>
          <w:lang w:val="zh-CN"/>
        </w:rPr>
        <w:t>1.7.2 依据政府采购成交结果及合同公告规定，成交（合同）标的名称、规格型号、单价及成交（合同）金额等内容不得作为商业秘密。</w:t>
      </w:r>
    </w:p>
    <w:p w14:paraId="46584072">
      <w:pPr>
        <w:autoSpaceDE w:val="0"/>
        <w:autoSpaceDN w:val="0"/>
        <w:adjustRightInd w:val="0"/>
        <w:snapToGrid w:val="0"/>
        <w:spacing w:before="120" w:beforeLines="50" w:line="300" w:lineRule="auto"/>
        <w:ind w:firstLine="539"/>
        <w:rPr>
          <w:rFonts w:ascii="宋体" w:hAnsi="宋体" w:cs="宋体"/>
          <w:b/>
          <w:color w:val="auto"/>
          <w:sz w:val="24"/>
          <w:highlight w:val="none"/>
          <w:lang w:val="zh-CN"/>
        </w:rPr>
      </w:pPr>
      <w:r>
        <w:rPr>
          <w:rFonts w:hint="eastAsia" w:ascii="宋体" w:hAnsi="宋体" w:cs="宋体"/>
          <w:b/>
          <w:color w:val="auto"/>
          <w:sz w:val="24"/>
          <w:highlight w:val="none"/>
          <w:lang w:val="zh-CN"/>
        </w:rPr>
        <w:t>1.8 语言文字</w:t>
      </w:r>
    </w:p>
    <w:p w14:paraId="6B9084AE">
      <w:pPr>
        <w:autoSpaceDE w:val="0"/>
        <w:autoSpaceDN w:val="0"/>
        <w:adjustRightInd w:val="0"/>
        <w:snapToGrid w:val="0"/>
        <w:spacing w:before="120" w:beforeLines="50" w:line="360" w:lineRule="auto"/>
        <w:ind w:firstLine="539"/>
        <w:rPr>
          <w:rFonts w:hint="eastAsia" w:ascii="宋体" w:hAnsi="宋体" w:cs="宋体"/>
          <w:color w:val="auto"/>
          <w:sz w:val="24"/>
          <w:highlight w:val="none"/>
          <w:lang w:val="zh-CN"/>
        </w:rPr>
      </w:pPr>
      <w:r>
        <w:rPr>
          <w:rFonts w:hint="eastAsia" w:ascii="宋体" w:hAnsi="宋体" w:cs="宋体"/>
          <w:color w:val="auto"/>
          <w:sz w:val="24"/>
          <w:highlight w:val="none"/>
          <w:lang w:val="zh-CN"/>
        </w:rPr>
        <w:t>除专用术语外，与竞争性磋商有关的语言均使用中文。必要时专用术语应附有中文注释。如果《响应文件》或与投标有关的其它文件、信件及来往函电以其它语言书写，供应商应将其译成中文，并对中文译稿的真实、准确、完整承担责任。</w:t>
      </w:r>
    </w:p>
    <w:p w14:paraId="074EDB8A">
      <w:pPr>
        <w:autoSpaceDE w:val="0"/>
        <w:autoSpaceDN w:val="0"/>
        <w:adjustRightInd w:val="0"/>
        <w:snapToGrid w:val="0"/>
        <w:spacing w:before="120" w:beforeLines="50" w:line="300" w:lineRule="auto"/>
        <w:ind w:firstLine="539"/>
        <w:rPr>
          <w:rFonts w:ascii="宋体" w:hAnsi="宋体" w:cs="宋体"/>
          <w:b/>
          <w:color w:val="auto"/>
          <w:sz w:val="24"/>
          <w:highlight w:val="none"/>
          <w:lang w:val="zh-CN"/>
        </w:rPr>
      </w:pPr>
      <w:r>
        <w:rPr>
          <w:rFonts w:hint="eastAsia" w:ascii="宋体" w:hAnsi="宋体" w:cs="宋体"/>
          <w:b/>
          <w:color w:val="auto"/>
          <w:sz w:val="24"/>
          <w:highlight w:val="none"/>
          <w:lang w:val="zh-CN"/>
        </w:rPr>
        <w:t>1.9 计量单位</w:t>
      </w:r>
    </w:p>
    <w:p w14:paraId="0DC73D83">
      <w:pPr>
        <w:autoSpaceDE w:val="0"/>
        <w:autoSpaceDN w:val="0"/>
        <w:adjustRightInd w:val="0"/>
        <w:snapToGrid w:val="0"/>
        <w:spacing w:before="120" w:beforeLines="50" w:line="360" w:lineRule="auto"/>
        <w:ind w:firstLine="539"/>
        <w:rPr>
          <w:rFonts w:hint="eastAsia" w:ascii="宋体" w:hAnsi="宋体" w:cs="宋体"/>
          <w:color w:val="auto"/>
          <w:sz w:val="24"/>
          <w:highlight w:val="none"/>
          <w:lang w:val="zh-CN"/>
        </w:rPr>
      </w:pPr>
      <w:r>
        <w:rPr>
          <w:rFonts w:hint="eastAsia" w:ascii="宋体" w:hAnsi="宋体" w:cs="宋体"/>
          <w:color w:val="auto"/>
          <w:sz w:val="24"/>
          <w:highlight w:val="none"/>
          <w:lang w:val="zh-CN"/>
        </w:rPr>
        <w:t>所有计量均采用中华人民共和国法定计量单位。</w:t>
      </w:r>
    </w:p>
    <w:p w14:paraId="229215FB">
      <w:pPr>
        <w:autoSpaceDE w:val="0"/>
        <w:autoSpaceDN w:val="0"/>
        <w:adjustRightInd w:val="0"/>
        <w:snapToGrid w:val="0"/>
        <w:spacing w:before="120" w:beforeLines="50" w:line="300" w:lineRule="auto"/>
        <w:ind w:firstLine="539"/>
        <w:rPr>
          <w:rFonts w:ascii="宋体" w:hAnsi="宋体" w:cs="宋体"/>
          <w:b/>
          <w:color w:val="auto"/>
          <w:sz w:val="24"/>
          <w:highlight w:val="none"/>
          <w:lang w:val="zh-CN"/>
        </w:rPr>
      </w:pPr>
      <w:r>
        <w:rPr>
          <w:rFonts w:hint="eastAsia" w:ascii="宋体" w:hAnsi="宋体" w:cs="宋体"/>
          <w:b/>
          <w:color w:val="auto"/>
          <w:sz w:val="24"/>
          <w:highlight w:val="none"/>
          <w:lang w:val="zh-CN"/>
        </w:rPr>
        <w:t>1.10 踏勘现场</w:t>
      </w:r>
    </w:p>
    <w:p w14:paraId="3C640B6B">
      <w:pPr>
        <w:autoSpaceDE w:val="0"/>
        <w:autoSpaceDN w:val="0"/>
        <w:adjustRightInd w:val="0"/>
        <w:snapToGrid w:val="0"/>
        <w:spacing w:before="120" w:beforeLines="50" w:line="360" w:lineRule="auto"/>
        <w:ind w:firstLine="539"/>
        <w:rPr>
          <w:rFonts w:hint="eastAsia" w:ascii="宋体" w:hAnsi="宋体" w:cs="宋体"/>
          <w:color w:val="auto"/>
          <w:sz w:val="24"/>
          <w:highlight w:val="none"/>
          <w:lang w:val="zh-CN"/>
        </w:rPr>
      </w:pPr>
      <w:r>
        <w:rPr>
          <w:rFonts w:hint="eastAsia" w:ascii="宋体" w:hAnsi="宋体" w:cs="宋体"/>
          <w:color w:val="auto"/>
          <w:sz w:val="24"/>
          <w:highlight w:val="none"/>
          <w:lang w:val="zh-CN"/>
        </w:rPr>
        <w:t>1.10.1 供应商踏勘现场发生的费用自理，供应商自行负责在踏勘现场中所发生的人员伤亡和财产损失。</w:t>
      </w:r>
    </w:p>
    <w:p w14:paraId="6F60DB18">
      <w:pPr>
        <w:autoSpaceDE w:val="0"/>
        <w:autoSpaceDN w:val="0"/>
        <w:adjustRightInd w:val="0"/>
        <w:snapToGrid w:val="0"/>
        <w:spacing w:before="120" w:beforeLines="50" w:line="360" w:lineRule="auto"/>
        <w:ind w:firstLine="539"/>
        <w:rPr>
          <w:rFonts w:hint="eastAsia" w:ascii="宋体" w:hAnsi="宋体" w:cs="宋体"/>
          <w:color w:val="auto"/>
          <w:sz w:val="24"/>
          <w:highlight w:val="none"/>
          <w:lang w:val="zh-CN"/>
        </w:rPr>
      </w:pPr>
      <w:r>
        <w:rPr>
          <w:rFonts w:hint="eastAsia" w:ascii="宋体" w:hAnsi="宋体" w:cs="宋体"/>
          <w:color w:val="auto"/>
          <w:sz w:val="24"/>
          <w:highlight w:val="none"/>
          <w:lang w:val="zh-CN"/>
        </w:rPr>
        <w:t>1.10.2 供应商须知前附表规定组织踏勘现场的，采购人及代理机构按供应商须知前附表规定的时间、地点组织供应商踏勘项目现场。采购人及代理机构在踏勘现场中介绍的交验安装条件和相关的周边环境情况，供应商在编制《响应文件》时参考，采购人及代理机构不对供应商据此作出的判断和决策负责。</w:t>
      </w:r>
    </w:p>
    <w:p w14:paraId="44DBCC3B">
      <w:pPr>
        <w:autoSpaceDE w:val="0"/>
        <w:autoSpaceDN w:val="0"/>
        <w:adjustRightInd w:val="0"/>
        <w:snapToGrid w:val="0"/>
        <w:spacing w:before="120" w:beforeLines="50" w:line="360" w:lineRule="auto"/>
        <w:ind w:firstLine="539"/>
        <w:rPr>
          <w:rFonts w:hint="eastAsia" w:ascii="宋体" w:hAnsi="宋体" w:cs="宋体"/>
          <w:color w:val="auto"/>
          <w:sz w:val="24"/>
          <w:highlight w:val="none"/>
          <w:lang w:val="zh-CN"/>
        </w:rPr>
      </w:pPr>
      <w:r>
        <w:rPr>
          <w:rFonts w:hint="eastAsia" w:ascii="宋体" w:hAnsi="宋体" w:cs="宋体"/>
          <w:color w:val="auto"/>
          <w:sz w:val="24"/>
          <w:highlight w:val="none"/>
          <w:lang w:val="zh-CN"/>
        </w:rPr>
        <w:t>1.10.3 供应商须知前附表规定不组织踏勘现场的，《磋商文件》不单独提供交验地自然环境、气候条件、交验安装条件等情况说明，供应商被视为熟悉前述与履行合同有关的一切情况，供应商可自行踏勘现场并自行了解相关情况。</w:t>
      </w:r>
    </w:p>
    <w:p w14:paraId="657248F4">
      <w:pPr>
        <w:autoSpaceDE w:val="0"/>
        <w:autoSpaceDN w:val="0"/>
        <w:adjustRightInd w:val="0"/>
        <w:snapToGrid w:val="0"/>
        <w:spacing w:before="120" w:beforeLines="50" w:line="300" w:lineRule="auto"/>
        <w:ind w:firstLine="539"/>
        <w:rPr>
          <w:rFonts w:ascii="宋体" w:hAnsi="宋体" w:cs="宋体"/>
          <w:b/>
          <w:color w:val="auto"/>
          <w:sz w:val="24"/>
          <w:highlight w:val="none"/>
          <w:lang w:val="zh-CN"/>
        </w:rPr>
      </w:pPr>
      <w:r>
        <w:rPr>
          <w:rFonts w:hint="eastAsia" w:ascii="宋体" w:hAnsi="宋体" w:cs="宋体"/>
          <w:b/>
          <w:color w:val="auto"/>
          <w:sz w:val="24"/>
          <w:highlight w:val="none"/>
          <w:lang w:val="zh-CN"/>
        </w:rPr>
        <w:t>1.11 投标预备会</w:t>
      </w:r>
    </w:p>
    <w:p w14:paraId="65C3567D">
      <w:pPr>
        <w:autoSpaceDE w:val="0"/>
        <w:autoSpaceDN w:val="0"/>
        <w:adjustRightInd w:val="0"/>
        <w:snapToGrid w:val="0"/>
        <w:spacing w:before="120" w:beforeLines="50" w:line="360" w:lineRule="auto"/>
        <w:ind w:firstLine="539"/>
        <w:rPr>
          <w:rFonts w:hint="eastAsia" w:ascii="宋体" w:hAnsi="宋体" w:cs="宋体"/>
          <w:color w:val="auto"/>
          <w:sz w:val="24"/>
          <w:highlight w:val="none"/>
          <w:lang w:val="zh-CN"/>
        </w:rPr>
      </w:pPr>
      <w:r>
        <w:rPr>
          <w:rFonts w:hint="eastAsia" w:ascii="宋体" w:hAnsi="宋体" w:cs="宋体"/>
          <w:color w:val="auto"/>
          <w:sz w:val="24"/>
          <w:highlight w:val="none"/>
          <w:lang w:val="zh-CN"/>
        </w:rPr>
        <w:t>1.11.1 供应商须知前附表规定召开投标预备会的，采购人及代理机构按供应商须知前附表规定的时间和地点召开投标预备会，澄清供应商提出的问题。</w:t>
      </w:r>
    </w:p>
    <w:p w14:paraId="66B2EFEF">
      <w:pPr>
        <w:autoSpaceDE w:val="0"/>
        <w:autoSpaceDN w:val="0"/>
        <w:adjustRightInd w:val="0"/>
        <w:snapToGrid w:val="0"/>
        <w:spacing w:before="120" w:beforeLines="50" w:line="360" w:lineRule="auto"/>
        <w:ind w:firstLine="539"/>
        <w:rPr>
          <w:rFonts w:hint="eastAsia" w:ascii="宋体" w:hAnsi="宋体" w:cs="宋体"/>
          <w:color w:val="auto"/>
          <w:sz w:val="24"/>
          <w:highlight w:val="none"/>
          <w:lang w:val="zh-CN"/>
        </w:rPr>
      </w:pPr>
      <w:r>
        <w:rPr>
          <w:rFonts w:hint="eastAsia" w:ascii="宋体" w:hAnsi="宋体" w:cs="宋体"/>
          <w:color w:val="auto"/>
          <w:sz w:val="24"/>
          <w:highlight w:val="none"/>
          <w:lang w:val="zh-CN"/>
        </w:rPr>
        <w:t>1.11.2 供应商应在供应商须知前附表规定的时间前，以书面形式将提出的问题送达采购人及代理机构，以便采购人及代理机构在会议期间澄清。</w:t>
      </w:r>
    </w:p>
    <w:p w14:paraId="11AAE9C4">
      <w:pPr>
        <w:autoSpaceDE w:val="0"/>
        <w:autoSpaceDN w:val="0"/>
        <w:adjustRightInd w:val="0"/>
        <w:snapToGrid w:val="0"/>
        <w:spacing w:before="120" w:beforeLines="50" w:line="360" w:lineRule="auto"/>
        <w:ind w:firstLine="539"/>
        <w:rPr>
          <w:rFonts w:hint="eastAsia" w:ascii="宋体" w:hAnsi="宋体" w:cs="宋体"/>
          <w:color w:val="auto"/>
          <w:sz w:val="24"/>
          <w:highlight w:val="none"/>
          <w:lang w:val="zh-CN"/>
        </w:rPr>
      </w:pPr>
      <w:r>
        <w:rPr>
          <w:rFonts w:hint="eastAsia" w:ascii="宋体" w:hAnsi="宋体" w:cs="宋体"/>
          <w:color w:val="auto"/>
          <w:sz w:val="24"/>
          <w:highlight w:val="none"/>
          <w:lang w:val="zh-CN"/>
        </w:rPr>
        <w:t>1.11.3 投标预备会后，采购人及代理机构在供应商须知前附表规定的时间内，将对供应商所提问题的澄清，以本章2.3.2项方式通告潜在供应商。该澄清内容为《磋商文件》的组成部分。</w:t>
      </w:r>
    </w:p>
    <w:p w14:paraId="551FE196">
      <w:pPr>
        <w:autoSpaceDE w:val="0"/>
        <w:autoSpaceDN w:val="0"/>
        <w:adjustRightInd w:val="0"/>
        <w:snapToGrid w:val="0"/>
        <w:spacing w:before="120" w:beforeLines="50" w:line="300" w:lineRule="auto"/>
        <w:ind w:firstLine="539"/>
        <w:rPr>
          <w:rFonts w:ascii="宋体" w:hAnsi="宋体" w:cs="宋体"/>
          <w:b/>
          <w:color w:val="auto"/>
          <w:sz w:val="24"/>
          <w:highlight w:val="none"/>
          <w:lang w:val="zh-CN"/>
        </w:rPr>
      </w:pPr>
      <w:r>
        <w:rPr>
          <w:rFonts w:hint="eastAsia" w:ascii="宋体" w:hAnsi="宋体" w:cs="宋体"/>
          <w:b/>
          <w:color w:val="auto"/>
          <w:sz w:val="24"/>
          <w:highlight w:val="none"/>
          <w:lang w:val="zh-CN"/>
        </w:rPr>
        <w:t>1.12 分包</w:t>
      </w:r>
    </w:p>
    <w:p w14:paraId="3B3E7E9C">
      <w:pPr>
        <w:autoSpaceDE w:val="0"/>
        <w:autoSpaceDN w:val="0"/>
        <w:adjustRightInd w:val="0"/>
        <w:snapToGrid w:val="0"/>
        <w:spacing w:before="120" w:beforeLines="50" w:line="360" w:lineRule="auto"/>
        <w:ind w:firstLine="539"/>
        <w:rPr>
          <w:rFonts w:hint="eastAsia" w:ascii="宋体" w:hAnsi="宋体" w:cs="宋体"/>
          <w:color w:val="auto"/>
          <w:sz w:val="24"/>
          <w:highlight w:val="none"/>
          <w:lang w:val="zh-CN"/>
        </w:rPr>
      </w:pPr>
      <w:r>
        <w:rPr>
          <w:rFonts w:hint="eastAsia" w:ascii="宋体" w:hAnsi="宋体" w:cs="宋体"/>
          <w:color w:val="auto"/>
          <w:sz w:val="24"/>
          <w:highlight w:val="none"/>
          <w:lang w:val="zh-CN"/>
        </w:rPr>
        <w:t>供应商拟在成交后将成交项目(标段&lt;包&gt;)的部分非主体、非关键性工作进行分包的，应符合供应商须知前附表规定的分包内容、分包金额和接受分包的第三人资质要求等限制性条件。</w:t>
      </w:r>
    </w:p>
    <w:p w14:paraId="08132E41">
      <w:pPr>
        <w:autoSpaceDE w:val="0"/>
        <w:autoSpaceDN w:val="0"/>
        <w:adjustRightInd w:val="0"/>
        <w:snapToGrid w:val="0"/>
        <w:spacing w:before="120" w:beforeLines="50" w:line="360" w:lineRule="auto"/>
        <w:ind w:firstLine="539"/>
        <w:rPr>
          <w:rFonts w:hint="eastAsia" w:ascii="宋体" w:hAnsi="宋体" w:cs="宋体"/>
          <w:color w:val="auto"/>
          <w:sz w:val="24"/>
          <w:highlight w:val="none"/>
          <w:lang w:val="zh-CN"/>
        </w:rPr>
      </w:pPr>
      <w:r>
        <w:rPr>
          <w:rFonts w:hint="eastAsia" w:ascii="宋体" w:hAnsi="宋体" w:cs="宋体"/>
          <w:color w:val="auto"/>
          <w:sz w:val="24"/>
          <w:highlight w:val="none"/>
          <w:lang w:val="zh-CN"/>
        </w:rPr>
        <w:t>预留中小企业份额项目中，接受分包合同的中小企业与分包企业之间不得存在直接控股、管理关系</w:t>
      </w:r>
    </w:p>
    <w:p w14:paraId="762377AF">
      <w:pPr>
        <w:autoSpaceDE w:val="0"/>
        <w:autoSpaceDN w:val="0"/>
        <w:adjustRightInd w:val="0"/>
        <w:snapToGrid w:val="0"/>
        <w:spacing w:before="120" w:beforeLines="50" w:line="360" w:lineRule="auto"/>
        <w:ind w:firstLine="539"/>
        <w:rPr>
          <w:rFonts w:hint="eastAsia" w:ascii="宋体" w:hAnsi="宋体" w:cs="宋体"/>
          <w:color w:val="auto"/>
          <w:sz w:val="24"/>
          <w:highlight w:val="none"/>
          <w:lang w:val="zh-CN"/>
        </w:rPr>
      </w:pPr>
      <w:r>
        <w:rPr>
          <w:rFonts w:hint="eastAsia" w:ascii="宋体" w:hAnsi="宋体" w:cs="宋体"/>
          <w:color w:val="auto"/>
          <w:sz w:val="24"/>
          <w:highlight w:val="none"/>
          <w:lang w:val="zh-CN"/>
        </w:rPr>
        <w:t>依法享受扶持政策获得政府采购合同的，小微企业不得将合同分包给大中型企业，中型企业不得将合同分包给大型企业。</w:t>
      </w:r>
    </w:p>
    <w:p w14:paraId="41D3DB08">
      <w:pPr>
        <w:autoSpaceDE w:val="0"/>
        <w:autoSpaceDN w:val="0"/>
        <w:adjustRightInd w:val="0"/>
        <w:snapToGrid w:val="0"/>
        <w:spacing w:before="120" w:beforeLines="50" w:line="300" w:lineRule="auto"/>
        <w:ind w:firstLine="539"/>
        <w:rPr>
          <w:rFonts w:ascii="宋体" w:hAnsi="宋体" w:cs="宋体"/>
          <w:b/>
          <w:color w:val="auto"/>
          <w:sz w:val="24"/>
          <w:highlight w:val="none"/>
          <w:lang w:val="zh-CN"/>
        </w:rPr>
      </w:pPr>
      <w:r>
        <w:rPr>
          <w:rFonts w:hint="eastAsia" w:ascii="宋体" w:hAnsi="宋体" w:cs="宋体"/>
          <w:b/>
          <w:color w:val="auto"/>
          <w:sz w:val="24"/>
          <w:highlight w:val="none"/>
          <w:lang w:val="zh-CN"/>
        </w:rPr>
        <w:t>1.13 偏离</w:t>
      </w:r>
    </w:p>
    <w:p w14:paraId="3B3BF22F">
      <w:pPr>
        <w:autoSpaceDE w:val="0"/>
        <w:autoSpaceDN w:val="0"/>
        <w:adjustRightInd w:val="0"/>
        <w:snapToGrid w:val="0"/>
        <w:spacing w:before="120" w:beforeLines="50" w:line="360" w:lineRule="auto"/>
        <w:ind w:firstLine="539"/>
        <w:rPr>
          <w:rFonts w:ascii="宋体" w:hAnsi="宋体" w:cs="宋体"/>
          <w:b/>
          <w:bCs/>
          <w:color w:val="auto"/>
          <w:sz w:val="28"/>
          <w:szCs w:val="28"/>
          <w:highlight w:val="none"/>
          <w:lang w:val="zh-CN"/>
        </w:rPr>
      </w:pPr>
      <w:r>
        <w:rPr>
          <w:rFonts w:hint="eastAsia" w:ascii="宋体" w:hAnsi="宋体" w:cs="宋体"/>
          <w:color w:val="auto"/>
          <w:sz w:val="24"/>
          <w:highlight w:val="none"/>
          <w:lang w:val="zh-CN"/>
        </w:rPr>
        <w:t>《磋商文件》允许《响应文件》偏离《磋商文件》某些要求的，偏离应当符合《磋商文件》规定的偏离范围和幅度。</w:t>
      </w:r>
    </w:p>
    <w:p w14:paraId="4EB5A309">
      <w:pPr>
        <w:autoSpaceDE w:val="0"/>
        <w:autoSpaceDN w:val="0"/>
        <w:adjustRightInd w:val="0"/>
        <w:snapToGrid w:val="0"/>
        <w:spacing w:before="120" w:beforeLines="50" w:line="300" w:lineRule="auto"/>
        <w:ind w:firstLine="539"/>
        <w:outlineLvl w:val="1"/>
        <w:rPr>
          <w:rFonts w:ascii="宋体" w:hAnsi="宋体" w:cs="宋体"/>
          <w:b/>
          <w:bCs/>
          <w:color w:val="auto"/>
          <w:sz w:val="28"/>
          <w:szCs w:val="28"/>
          <w:highlight w:val="none"/>
          <w:lang w:val="zh-CN"/>
        </w:rPr>
      </w:pPr>
      <w:bookmarkStart w:id="16" w:name="_Toc83372544"/>
      <w:r>
        <w:rPr>
          <w:rFonts w:hint="eastAsia" w:ascii="宋体" w:hAnsi="宋体" w:cs="宋体"/>
          <w:b/>
          <w:bCs/>
          <w:color w:val="auto"/>
          <w:sz w:val="28"/>
          <w:szCs w:val="28"/>
          <w:highlight w:val="none"/>
          <w:lang w:val="zh-CN"/>
        </w:rPr>
        <w:t>2.《磋商文件》</w:t>
      </w:r>
      <w:bookmarkEnd w:id="16"/>
    </w:p>
    <w:p w14:paraId="050860BF">
      <w:pPr>
        <w:autoSpaceDE w:val="0"/>
        <w:autoSpaceDN w:val="0"/>
        <w:adjustRightInd w:val="0"/>
        <w:snapToGrid w:val="0"/>
        <w:spacing w:before="120" w:beforeLines="50" w:line="300" w:lineRule="auto"/>
        <w:ind w:firstLine="539"/>
        <w:rPr>
          <w:rFonts w:ascii="宋体" w:hAnsi="宋体" w:cs="宋体"/>
          <w:color w:val="auto"/>
          <w:sz w:val="24"/>
          <w:highlight w:val="none"/>
          <w:lang w:val="zh-CN"/>
        </w:rPr>
      </w:pPr>
      <w:r>
        <w:rPr>
          <w:rFonts w:hint="eastAsia" w:ascii="宋体" w:hAnsi="宋体" w:cs="宋体"/>
          <w:b/>
          <w:color w:val="auto"/>
          <w:sz w:val="24"/>
          <w:highlight w:val="none"/>
          <w:lang w:val="zh-CN"/>
        </w:rPr>
        <w:t>2.1《磋商文件》的组成</w:t>
      </w:r>
    </w:p>
    <w:p w14:paraId="3F029D7E">
      <w:pPr>
        <w:autoSpaceDE w:val="0"/>
        <w:autoSpaceDN w:val="0"/>
        <w:adjustRightInd w:val="0"/>
        <w:snapToGrid w:val="0"/>
        <w:spacing w:before="120" w:beforeLines="50" w:line="360" w:lineRule="auto"/>
        <w:ind w:firstLine="539"/>
        <w:rPr>
          <w:rFonts w:hint="eastAsia" w:ascii="宋体" w:hAnsi="宋体" w:cs="宋体"/>
          <w:color w:val="auto"/>
          <w:sz w:val="24"/>
          <w:highlight w:val="none"/>
          <w:lang w:val="zh-CN"/>
        </w:rPr>
      </w:pPr>
      <w:r>
        <w:rPr>
          <w:rFonts w:hint="eastAsia" w:ascii="宋体" w:hAnsi="宋体" w:cs="宋体"/>
          <w:color w:val="auto"/>
          <w:sz w:val="24"/>
          <w:highlight w:val="none"/>
          <w:lang w:val="zh-CN"/>
        </w:rPr>
        <w:t>2.1.1 《磋商文件》用以阐明采购项目的内容、程序和合同主要条款。《磋商文件》由下述部分组成：</w:t>
      </w:r>
    </w:p>
    <w:p w14:paraId="1FFD5649">
      <w:pPr>
        <w:autoSpaceDE w:val="0"/>
        <w:autoSpaceDN w:val="0"/>
        <w:adjustRightInd w:val="0"/>
        <w:snapToGrid w:val="0"/>
        <w:spacing w:before="120" w:beforeLines="50" w:line="360" w:lineRule="auto"/>
        <w:ind w:firstLine="539"/>
        <w:rPr>
          <w:rFonts w:hint="eastAsia" w:ascii="宋体" w:hAnsi="宋体" w:cs="宋体"/>
          <w:color w:val="auto"/>
          <w:sz w:val="24"/>
          <w:highlight w:val="none"/>
          <w:lang w:val="zh-CN"/>
        </w:rPr>
      </w:pPr>
      <w:r>
        <w:rPr>
          <w:rFonts w:hint="eastAsia" w:ascii="宋体" w:hAnsi="宋体" w:cs="宋体"/>
          <w:color w:val="auto"/>
          <w:sz w:val="24"/>
          <w:highlight w:val="none"/>
          <w:lang w:val="zh-CN"/>
        </w:rPr>
        <w:t>（1）竞争性磋商公告</w:t>
      </w:r>
    </w:p>
    <w:p w14:paraId="52487D7A">
      <w:pPr>
        <w:autoSpaceDE w:val="0"/>
        <w:autoSpaceDN w:val="0"/>
        <w:adjustRightInd w:val="0"/>
        <w:snapToGrid w:val="0"/>
        <w:spacing w:before="120" w:beforeLines="50" w:line="360" w:lineRule="auto"/>
        <w:ind w:firstLine="539"/>
        <w:rPr>
          <w:rFonts w:hint="eastAsia" w:ascii="宋体" w:hAnsi="宋体" w:cs="宋体"/>
          <w:color w:val="auto"/>
          <w:sz w:val="24"/>
          <w:highlight w:val="none"/>
          <w:lang w:val="zh-CN"/>
        </w:rPr>
      </w:pPr>
      <w:r>
        <w:rPr>
          <w:rFonts w:hint="eastAsia" w:ascii="宋体" w:hAnsi="宋体" w:cs="宋体"/>
          <w:color w:val="auto"/>
          <w:sz w:val="24"/>
          <w:highlight w:val="none"/>
          <w:lang w:val="zh-CN"/>
        </w:rPr>
        <w:t>（2）采购项目及技术、服务要求</w:t>
      </w:r>
    </w:p>
    <w:p w14:paraId="3DB7C136">
      <w:pPr>
        <w:autoSpaceDE w:val="0"/>
        <w:autoSpaceDN w:val="0"/>
        <w:adjustRightInd w:val="0"/>
        <w:snapToGrid w:val="0"/>
        <w:spacing w:before="120" w:beforeLines="50" w:line="360" w:lineRule="auto"/>
        <w:ind w:firstLine="539"/>
        <w:rPr>
          <w:rFonts w:hint="eastAsia" w:ascii="宋体" w:hAnsi="宋体" w:cs="宋体"/>
          <w:color w:val="auto"/>
          <w:sz w:val="24"/>
          <w:highlight w:val="none"/>
          <w:lang w:val="zh-CN"/>
        </w:rPr>
      </w:pPr>
      <w:r>
        <w:rPr>
          <w:rFonts w:hint="eastAsia" w:ascii="宋体" w:hAnsi="宋体" w:cs="宋体"/>
          <w:color w:val="auto"/>
          <w:sz w:val="24"/>
          <w:highlight w:val="none"/>
          <w:lang w:val="zh-CN"/>
        </w:rPr>
        <w:t>（3）供应商须知</w:t>
      </w:r>
    </w:p>
    <w:p w14:paraId="2034AA48">
      <w:pPr>
        <w:autoSpaceDE w:val="0"/>
        <w:autoSpaceDN w:val="0"/>
        <w:adjustRightInd w:val="0"/>
        <w:snapToGrid w:val="0"/>
        <w:spacing w:before="120" w:beforeLines="50" w:line="360" w:lineRule="auto"/>
        <w:ind w:firstLine="539"/>
        <w:rPr>
          <w:rFonts w:hint="eastAsia" w:ascii="宋体" w:hAnsi="宋体" w:cs="宋体"/>
          <w:color w:val="auto"/>
          <w:sz w:val="24"/>
          <w:highlight w:val="none"/>
          <w:lang w:val="zh-CN"/>
        </w:rPr>
      </w:pPr>
      <w:r>
        <w:rPr>
          <w:rFonts w:hint="eastAsia" w:ascii="宋体" w:hAnsi="宋体" w:cs="宋体"/>
          <w:color w:val="auto"/>
          <w:sz w:val="24"/>
          <w:highlight w:val="none"/>
          <w:lang w:val="zh-CN"/>
        </w:rPr>
        <w:t>（4）评审办法</w:t>
      </w:r>
    </w:p>
    <w:p w14:paraId="6A8244E6">
      <w:pPr>
        <w:autoSpaceDE w:val="0"/>
        <w:autoSpaceDN w:val="0"/>
        <w:adjustRightInd w:val="0"/>
        <w:snapToGrid w:val="0"/>
        <w:spacing w:before="120" w:beforeLines="50" w:line="360" w:lineRule="auto"/>
        <w:ind w:firstLine="539"/>
        <w:rPr>
          <w:rFonts w:hint="eastAsia" w:ascii="宋体" w:hAnsi="宋体" w:cs="宋体"/>
          <w:color w:val="auto"/>
          <w:sz w:val="24"/>
          <w:highlight w:val="none"/>
          <w:lang w:val="zh-CN"/>
        </w:rPr>
      </w:pPr>
      <w:r>
        <w:rPr>
          <w:rFonts w:hint="eastAsia" w:ascii="宋体" w:hAnsi="宋体" w:cs="宋体"/>
          <w:color w:val="auto"/>
          <w:sz w:val="24"/>
          <w:highlight w:val="none"/>
          <w:lang w:val="zh-CN"/>
        </w:rPr>
        <w:t>（5）合同主要条款</w:t>
      </w:r>
    </w:p>
    <w:p w14:paraId="399B12C4">
      <w:pPr>
        <w:autoSpaceDE w:val="0"/>
        <w:autoSpaceDN w:val="0"/>
        <w:adjustRightInd w:val="0"/>
        <w:snapToGrid w:val="0"/>
        <w:spacing w:before="120" w:beforeLines="50" w:line="360" w:lineRule="auto"/>
        <w:ind w:firstLine="539"/>
        <w:rPr>
          <w:rFonts w:hint="eastAsia" w:ascii="宋体" w:hAnsi="宋体" w:cs="宋体"/>
          <w:color w:val="auto"/>
          <w:sz w:val="24"/>
          <w:highlight w:val="none"/>
          <w:lang w:val="zh-CN"/>
        </w:rPr>
      </w:pPr>
      <w:r>
        <w:rPr>
          <w:rFonts w:hint="eastAsia" w:ascii="宋体" w:hAnsi="宋体" w:cs="宋体"/>
          <w:color w:val="auto"/>
          <w:sz w:val="24"/>
          <w:highlight w:val="none"/>
          <w:lang w:val="zh-CN"/>
        </w:rPr>
        <w:t>（6）《响应文件》格式</w:t>
      </w:r>
    </w:p>
    <w:p w14:paraId="2C9B0093">
      <w:pPr>
        <w:autoSpaceDE w:val="0"/>
        <w:autoSpaceDN w:val="0"/>
        <w:adjustRightInd w:val="0"/>
        <w:snapToGrid w:val="0"/>
        <w:spacing w:before="120" w:beforeLines="50" w:line="360" w:lineRule="auto"/>
        <w:ind w:firstLine="539"/>
        <w:rPr>
          <w:rFonts w:hint="eastAsia" w:ascii="宋体" w:hAnsi="宋体" w:cs="宋体"/>
          <w:color w:val="auto"/>
          <w:sz w:val="24"/>
          <w:highlight w:val="none"/>
          <w:lang w:val="zh-CN"/>
        </w:rPr>
      </w:pPr>
      <w:r>
        <w:rPr>
          <w:rFonts w:hint="eastAsia" w:ascii="宋体" w:hAnsi="宋体" w:cs="宋体"/>
          <w:color w:val="auto"/>
          <w:sz w:val="24"/>
          <w:highlight w:val="none"/>
          <w:lang w:val="zh-CN"/>
        </w:rPr>
        <w:t>2.1.2 根据本章第1.11款、第2.2款和第2.3款、对《磋商文件》的澄清、修改、补充书构成《磋商文件》的组成部分，并取代《磋商文件》中被澄清、修改处，对所有供应商均有约束力。</w:t>
      </w:r>
    </w:p>
    <w:p w14:paraId="36D1E809">
      <w:pPr>
        <w:autoSpaceDE w:val="0"/>
        <w:autoSpaceDN w:val="0"/>
        <w:adjustRightInd w:val="0"/>
        <w:snapToGrid w:val="0"/>
        <w:spacing w:before="120" w:beforeLines="50" w:line="360" w:lineRule="auto"/>
        <w:ind w:firstLine="539"/>
        <w:rPr>
          <w:rFonts w:hint="eastAsia" w:ascii="宋体" w:hAnsi="宋体" w:cs="宋体"/>
          <w:color w:val="auto"/>
          <w:sz w:val="24"/>
          <w:highlight w:val="none"/>
          <w:lang w:val="zh-CN"/>
        </w:rPr>
      </w:pPr>
      <w:r>
        <w:rPr>
          <w:rFonts w:hint="eastAsia" w:ascii="宋体" w:hAnsi="宋体" w:cs="宋体"/>
          <w:color w:val="auto"/>
          <w:sz w:val="24"/>
          <w:highlight w:val="none"/>
          <w:lang w:val="zh-CN"/>
        </w:rPr>
        <w:t>2.1.3 当《磋商文件》、《磋商文件》的澄清、修改、补充等在同一内容的表述上不一致时，以最后发出（发布）的文件为准。</w:t>
      </w:r>
    </w:p>
    <w:p w14:paraId="557B38CE">
      <w:pPr>
        <w:autoSpaceDE w:val="0"/>
        <w:autoSpaceDN w:val="0"/>
        <w:adjustRightInd w:val="0"/>
        <w:snapToGrid w:val="0"/>
        <w:spacing w:before="120" w:beforeLines="50" w:line="360" w:lineRule="auto"/>
        <w:ind w:firstLine="539"/>
        <w:rPr>
          <w:rFonts w:hint="eastAsia" w:ascii="宋体" w:hAnsi="宋体" w:cs="宋体"/>
          <w:color w:val="auto"/>
          <w:sz w:val="24"/>
          <w:highlight w:val="none"/>
          <w:lang w:val="zh-CN"/>
        </w:rPr>
      </w:pPr>
      <w:r>
        <w:rPr>
          <w:rFonts w:hint="eastAsia" w:ascii="宋体" w:hAnsi="宋体" w:cs="宋体"/>
          <w:color w:val="auto"/>
          <w:sz w:val="24"/>
          <w:highlight w:val="none"/>
          <w:lang w:val="zh-CN"/>
        </w:rPr>
        <w:t>2.1.4 供应商与任何人的口头协议不影响《磋商文件》的任何条款和内容。</w:t>
      </w:r>
    </w:p>
    <w:p w14:paraId="3A39379F">
      <w:pPr>
        <w:autoSpaceDE w:val="0"/>
        <w:autoSpaceDN w:val="0"/>
        <w:adjustRightInd w:val="0"/>
        <w:snapToGrid w:val="0"/>
        <w:spacing w:before="120" w:beforeLines="50" w:line="360" w:lineRule="auto"/>
        <w:ind w:firstLine="539"/>
        <w:rPr>
          <w:rFonts w:hint="eastAsia" w:ascii="宋体" w:hAnsi="宋体" w:cs="宋体"/>
          <w:color w:val="auto"/>
          <w:sz w:val="24"/>
          <w:highlight w:val="none"/>
          <w:lang w:val="zh-CN"/>
        </w:rPr>
      </w:pPr>
      <w:r>
        <w:rPr>
          <w:rFonts w:hint="eastAsia" w:ascii="宋体" w:hAnsi="宋体" w:cs="宋体"/>
          <w:color w:val="auto"/>
          <w:sz w:val="24"/>
          <w:highlight w:val="none"/>
          <w:lang w:val="zh-CN"/>
        </w:rPr>
        <w:t>2.1.5 供应商应仔细阅读和检查《磋商文件》的全部内容是否齐全，如发现缺页或附件不全等遗漏，应及时向采购代理机构提出并索取补齐，否则责任及风险自负。</w:t>
      </w:r>
    </w:p>
    <w:p w14:paraId="5769A4D4">
      <w:pPr>
        <w:autoSpaceDE w:val="0"/>
        <w:autoSpaceDN w:val="0"/>
        <w:adjustRightInd w:val="0"/>
        <w:snapToGrid w:val="0"/>
        <w:spacing w:before="120" w:beforeLines="50" w:line="300" w:lineRule="auto"/>
        <w:ind w:firstLine="539"/>
        <w:rPr>
          <w:rFonts w:ascii="宋体" w:hAnsi="宋体" w:cs="宋体"/>
          <w:b/>
          <w:color w:val="auto"/>
          <w:sz w:val="24"/>
          <w:highlight w:val="none"/>
          <w:lang w:val="zh-CN"/>
        </w:rPr>
      </w:pPr>
      <w:r>
        <w:rPr>
          <w:rFonts w:hint="eastAsia" w:ascii="宋体" w:hAnsi="宋体" w:cs="宋体"/>
          <w:b/>
          <w:color w:val="auto"/>
          <w:sz w:val="24"/>
          <w:highlight w:val="none"/>
          <w:lang w:val="zh-CN"/>
        </w:rPr>
        <w:t>2.2 《磋商文件》的澄清</w:t>
      </w:r>
    </w:p>
    <w:p w14:paraId="5834A29D">
      <w:pPr>
        <w:autoSpaceDE w:val="0"/>
        <w:autoSpaceDN w:val="0"/>
        <w:adjustRightInd w:val="0"/>
        <w:snapToGrid w:val="0"/>
        <w:spacing w:before="120" w:beforeLines="50" w:line="360" w:lineRule="auto"/>
        <w:ind w:firstLine="539"/>
        <w:rPr>
          <w:rFonts w:hint="eastAsia" w:ascii="宋体" w:hAnsi="宋体" w:cs="宋体"/>
          <w:color w:val="auto"/>
          <w:sz w:val="24"/>
          <w:highlight w:val="none"/>
          <w:lang w:val="zh-CN"/>
        </w:rPr>
      </w:pPr>
      <w:r>
        <w:rPr>
          <w:rFonts w:hint="eastAsia" w:ascii="宋体" w:hAnsi="宋体" w:cs="宋体"/>
          <w:color w:val="auto"/>
          <w:sz w:val="24"/>
          <w:highlight w:val="none"/>
          <w:lang w:val="zh-CN"/>
        </w:rPr>
        <w:t>2.2.1 合规获取《磋商文件》的所有潜在供应商对《磋商文件》如有需澄清的疑问，应在供应商须知前附表规定的时间内按竞争性磋商公告中载明的地址以纸质书面形式通知到采购代理机构。在规定的时间内未提出疑问的，将视为对《磋商文件》的完全认可。</w:t>
      </w:r>
    </w:p>
    <w:p w14:paraId="31DBE964">
      <w:pPr>
        <w:autoSpaceDE w:val="0"/>
        <w:autoSpaceDN w:val="0"/>
        <w:adjustRightInd w:val="0"/>
        <w:snapToGrid w:val="0"/>
        <w:spacing w:before="120" w:beforeLines="50" w:line="360" w:lineRule="auto"/>
        <w:ind w:firstLine="539"/>
        <w:rPr>
          <w:rFonts w:hint="eastAsia" w:ascii="宋体" w:hAnsi="宋体" w:cs="宋体"/>
          <w:color w:val="auto"/>
          <w:sz w:val="24"/>
          <w:highlight w:val="none"/>
          <w:lang w:val="zh-CN"/>
        </w:rPr>
      </w:pPr>
      <w:r>
        <w:rPr>
          <w:rFonts w:hint="eastAsia" w:ascii="宋体" w:hAnsi="宋体" w:cs="宋体"/>
          <w:color w:val="auto"/>
          <w:sz w:val="24"/>
          <w:highlight w:val="none"/>
          <w:lang w:val="zh-CN"/>
        </w:rPr>
        <w:t>2.2.2 采购代理机构对潜在供应商在规定的时间内提出的疑问，将视情况以书面形式予以答复，并在其认为必要时，将不标明查询来源的书面答复，在“竞争性磋商公告”所述媒体通告所有潜在供应商。</w:t>
      </w:r>
    </w:p>
    <w:p w14:paraId="3F9A5130">
      <w:pPr>
        <w:autoSpaceDE w:val="0"/>
        <w:autoSpaceDN w:val="0"/>
        <w:adjustRightInd w:val="0"/>
        <w:snapToGrid w:val="0"/>
        <w:spacing w:before="120" w:beforeLines="50" w:line="360" w:lineRule="auto"/>
        <w:ind w:firstLine="539"/>
        <w:rPr>
          <w:rFonts w:hint="eastAsia" w:ascii="宋体" w:hAnsi="宋体" w:cs="宋体"/>
          <w:color w:val="auto"/>
          <w:sz w:val="24"/>
          <w:highlight w:val="none"/>
          <w:lang w:val="zh-CN"/>
        </w:rPr>
      </w:pPr>
      <w:r>
        <w:rPr>
          <w:rFonts w:hint="eastAsia" w:ascii="宋体" w:hAnsi="宋体" w:cs="宋体"/>
          <w:color w:val="auto"/>
          <w:sz w:val="24"/>
          <w:highlight w:val="none"/>
          <w:lang w:val="zh-CN"/>
        </w:rPr>
        <w:t>2.2.3 《磋商文件》中如有不符合国家有关强制性规定、不符合国家标准及行业标准的，供应商应在投标阶段或成交实施阶段予以纠正或尽提醒义务。如作为有经验的供应商（成交供应商）应当知道而未尽提醒义务的，执行指令而造成的损失及风险由供应商（成交供应商）承担。</w:t>
      </w:r>
    </w:p>
    <w:p w14:paraId="7043B961">
      <w:pPr>
        <w:autoSpaceDE w:val="0"/>
        <w:autoSpaceDN w:val="0"/>
        <w:adjustRightInd w:val="0"/>
        <w:snapToGrid w:val="0"/>
        <w:spacing w:before="120" w:beforeLines="50" w:line="360" w:lineRule="auto"/>
        <w:ind w:firstLine="539"/>
        <w:rPr>
          <w:rFonts w:hint="eastAsia" w:ascii="宋体" w:hAnsi="宋体" w:cs="宋体"/>
          <w:color w:val="auto"/>
          <w:sz w:val="24"/>
          <w:highlight w:val="none"/>
          <w:lang w:val="zh-CN"/>
        </w:rPr>
      </w:pPr>
      <w:r>
        <w:rPr>
          <w:rFonts w:hint="eastAsia" w:ascii="宋体" w:hAnsi="宋体" w:cs="宋体"/>
          <w:color w:val="auto"/>
          <w:sz w:val="24"/>
          <w:highlight w:val="none"/>
          <w:lang w:val="zh-CN"/>
        </w:rPr>
        <w:t>2.2.4 采购代理机构可视情况在投标截止前答疑。</w:t>
      </w:r>
    </w:p>
    <w:p w14:paraId="07E1B620">
      <w:pPr>
        <w:autoSpaceDE w:val="0"/>
        <w:autoSpaceDN w:val="0"/>
        <w:adjustRightInd w:val="0"/>
        <w:snapToGrid w:val="0"/>
        <w:spacing w:before="120" w:beforeLines="50" w:line="300" w:lineRule="auto"/>
        <w:ind w:firstLine="539"/>
        <w:rPr>
          <w:rFonts w:ascii="宋体" w:hAnsi="宋体" w:cs="宋体"/>
          <w:b/>
          <w:color w:val="auto"/>
          <w:sz w:val="24"/>
          <w:highlight w:val="none"/>
          <w:lang w:val="zh-CN"/>
        </w:rPr>
      </w:pPr>
      <w:r>
        <w:rPr>
          <w:rFonts w:hint="eastAsia" w:ascii="宋体" w:hAnsi="宋体" w:cs="宋体"/>
          <w:b/>
          <w:color w:val="auto"/>
          <w:sz w:val="24"/>
          <w:highlight w:val="none"/>
          <w:lang w:val="zh-CN"/>
        </w:rPr>
        <w:t>2.3 《磋商文件》的澄清、修改、补充</w:t>
      </w:r>
    </w:p>
    <w:p w14:paraId="5A0CF2B7">
      <w:pPr>
        <w:autoSpaceDE w:val="0"/>
        <w:autoSpaceDN w:val="0"/>
        <w:adjustRightInd w:val="0"/>
        <w:snapToGrid w:val="0"/>
        <w:spacing w:before="120" w:beforeLines="50" w:line="360" w:lineRule="auto"/>
        <w:ind w:firstLine="539"/>
        <w:rPr>
          <w:rFonts w:hint="eastAsia" w:ascii="宋体" w:hAnsi="宋体" w:cs="宋体"/>
          <w:color w:val="auto"/>
          <w:sz w:val="24"/>
          <w:highlight w:val="none"/>
          <w:lang w:val="zh-CN"/>
        </w:rPr>
      </w:pPr>
      <w:r>
        <w:rPr>
          <w:rFonts w:hint="eastAsia" w:ascii="宋体" w:hAnsi="宋体" w:cs="宋体"/>
          <w:color w:val="auto"/>
          <w:sz w:val="24"/>
          <w:highlight w:val="none"/>
          <w:lang w:val="zh-CN"/>
        </w:rPr>
        <w:t>2.3.1 采购人、代理机构在投标截止时间前有权澄清修改、补充已发售的《磋商文件》。</w:t>
      </w:r>
    </w:p>
    <w:p w14:paraId="2ADC3673">
      <w:pPr>
        <w:autoSpaceDE w:val="0"/>
        <w:autoSpaceDN w:val="0"/>
        <w:adjustRightInd w:val="0"/>
        <w:snapToGrid w:val="0"/>
        <w:spacing w:before="120" w:beforeLines="50" w:line="360" w:lineRule="auto"/>
        <w:ind w:firstLine="539"/>
        <w:rPr>
          <w:rFonts w:hint="eastAsia" w:ascii="宋体" w:hAnsi="宋体" w:cs="宋体"/>
          <w:color w:val="auto"/>
          <w:sz w:val="24"/>
          <w:highlight w:val="none"/>
          <w:lang w:val="zh-CN"/>
        </w:rPr>
      </w:pPr>
      <w:r>
        <w:rPr>
          <w:rFonts w:hint="eastAsia" w:ascii="宋体" w:hAnsi="宋体" w:cs="宋体"/>
          <w:color w:val="auto"/>
          <w:sz w:val="24"/>
          <w:highlight w:val="none"/>
          <w:lang w:val="zh-CN"/>
        </w:rPr>
        <w:t>2.3.2 磋商过程中对《磋商文件》的变动见第四章评审办法3.4款磋商规则。</w:t>
      </w:r>
    </w:p>
    <w:p w14:paraId="62ECC65A">
      <w:pPr>
        <w:autoSpaceDE w:val="0"/>
        <w:autoSpaceDN w:val="0"/>
        <w:adjustRightInd w:val="0"/>
        <w:snapToGrid w:val="0"/>
        <w:spacing w:before="120" w:beforeLines="50" w:line="300" w:lineRule="auto"/>
        <w:ind w:firstLine="539"/>
        <w:rPr>
          <w:rFonts w:ascii="宋体" w:hAnsi="宋体" w:cs="宋体"/>
          <w:color w:val="auto"/>
          <w:sz w:val="24"/>
          <w:highlight w:val="none"/>
          <w:lang w:val="zh-CN"/>
        </w:rPr>
      </w:pPr>
      <w:r>
        <w:rPr>
          <w:rFonts w:hint="eastAsia" w:ascii="宋体" w:hAnsi="宋体" w:cs="宋体"/>
          <w:b/>
          <w:color w:val="auto"/>
          <w:sz w:val="24"/>
          <w:highlight w:val="none"/>
          <w:lang w:val="zh-CN"/>
        </w:rPr>
        <w:t>2.4 《磋商文件》的澄清、修改、补充的通知，及相应时间变更</w:t>
      </w:r>
    </w:p>
    <w:p w14:paraId="69373064">
      <w:pPr>
        <w:autoSpaceDE w:val="0"/>
        <w:autoSpaceDN w:val="0"/>
        <w:adjustRightInd w:val="0"/>
        <w:snapToGrid w:val="0"/>
        <w:spacing w:before="120" w:beforeLines="50" w:line="360" w:lineRule="auto"/>
        <w:ind w:firstLine="539"/>
        <w:rPr>
          <w:rFonts w:ascii="宋体" w:hAnsi="宋体" w:cs="宋体"/>
          <w:b/>
          <w:color w:val="auto"/>
          <w:sz w:val="24"/>
          <w:highlight w:val="none"/>
          <w:lang w:val="zh-CN"/>
        </w:rPr>
      </w:pPr>
      <w:r>
        <w:rPr>
          <w:rFonts w:hint="eastAsia" w:ascii="宋体" w:hAnsi="宋体" w:cs="宋体"/>
          <w:color w:val="auto"/>
          <w:sz w:val="24"/>
          <w:highlight w:val="none"/>
          <w:lang w:val="zh-CN"/>
        </w:rPr>
        <w:t>2.4.1 《磋商文件》在递交截止时间前的所有澄清、修改（包括时间变更等）、补充事项，均在“竞争性磋商公告”所述媒体予以公告。</w:t>
      </w:r>
      <w:r>
        <w:rPr>
          <w:rFonts w:hint="eastAsia" w:ascii="宋体" w:hAnsi="宋体" w:cs="宋体"/>
          <w:b/>
          <w:color w:val="auto"/>
          <w:sz w:val="24"/>
          <w:highlight w:val="none"/>
          <w:lang w:val="zh-CN"/>
        </w:rPr>
        <w:t>澄清或修改公告一经在法定网站以公告形式发布，依法视为书面通知，不再另行通知。</w:t>
      </w:r>
    </w:p>
    <w:p w14:paraId="7892752C">
      <w:pPr>
        <w:autoSpaceDE w:val="0"/>
        <w:autoSpaceDN w:val="0"/>
        <w:adjustRightInd w:val="0"/>
        <w:snapToGrid w:val="0"/>
        <w:spacing w:before="120" w:beforeLines="50" w:line="360" w:lineRule="auto"/>
        <w:ind w:firstLine="539"/>
        <w:rPr>
          <w:rFonts w:ascii="宋体" w:hAnsi="宋体" w:cs="宋体"/>
          <w:b/>
          <w:color w:val="auto"/>
          <w:sz w:val="24"/>
          <w:highlight w:val="none"/>
          <w:lang w:val="zh-CN"/>
        </w:rPr>
      </w:pPr>
      <w:r>
        <w:rPr>
          <w:rFonts w:hint="eastAsia" w:ascii="宋体" w:hAnsi="宋体" w:cs="宋体"/>
          <w:b/>
          <w:color w:val="auto"/>
          <w:sz w:val="24"/>
          <w:highlight w:val="none"/>
          <w:lang w:val="zh-CN"/>
        </w:rPr>
        <w:t>基于网上电子交易的特点—-无权限获知或通知潜在供应商，潜在供应商应随时关注“竞争性磋商公告”所述媒体相关项目信息（为免各部门网站出现维护等情况，潜在供应商应对“竞争性磋商公告”所述媒体逐一查阅），如有遗漏，后果自负。</w:t>
      </w:r>
    </w:p>
    <w:p w14:paraId="4274D190">
      <w:pPr>
        <w:autoSpaceDE w:val="0"/>
        <w:autoSpaceDN w:val="0"/>
        <w:adjustRightInd w:val="0"/>
        <w:snapToGrid w:val="0"/>
        <w:spacing w:before="120" w:beforeLines="50" w:line="360" w:lineRule="auto"/>
        <w:ind w:firstLine="539"/>
        <w:rPr>
          <w:rFonts w:ascii="宋体" w:hAnsi="宋体" w:cs="宋体"/>
          <w:color w:val="auto"/>
          <w:sz w:val="24"/>
          <w:highlight w:val="none"/>
          <w:lang w:val="zh-CN"/>
        </w:rPr>
      </w:pPr>
      <w:r>
        <w:rPr>
          <w:rFonts w:hint="eastAsia" w:ascii="宋体" w:hAnsi="宋体" w:cs="宋体"/>
          <w:color w:val="auto"/>
          <w:sz w:val="24"/>
          <w:highlight w:val="none"/>
          <w:lang w:val="zh-CN"/>
        </w:rPr>
        <w:t xml:space="preserve">2.4.2 </w:t>
      </w:r>
      <w:r>
        <w:rPr>
          <w:rFonts w:hint="eastAsia" w:ascii="宋体" w:hAnsi="宋体" w:cs="宋体"/>
          <w:color w:val="auto"/>
          <w:sz w:val="24"/>
          <w:highlight w:val="none"/>
        </w:rPr>
        <w:t>《磋商文件》</w:t>
      </w:r>
      <w:r>
        <w:rPr>
          <w:rFonts w:hint="eastAsia" w:ascii="宋体" w:hAnsi="宋体" w:cs="宋体"/>
          <w:color w:val="auto"/>
          <w:sz w:val="24"/>
          <w:highlight w:val="none"/>
          <w:lang w:val="zh-CN"/>
        </w:rPr>
        <w:t>的澄清、修改、补充书构成</w:t>
      </w:r>
      <w:r>
        <w:rPr>
          <w:rFonts w:hint="eastAsia" w:ascii="宋体" w:hAnsi="宋体" w:cs="宋体"/>
          <w:color w:val="auto"/>
          <w:sz w:val="24"/>
          <w:highlight w:val="none"/>
        </w:rPr>
        <w:t>《磋商文件》</w:t>
      </w:r>
      <w:r>
        <w:rPr>
          <w:rFonts w:hint="eastAsia" w:ascii="宋体" w:hAnsi="宋体" w:cs="宋体"/>
          <w:color w:val="auto"/>
          <w:sz w:val="24"/>
          <w:highlight w:val="none"/>
          <w:lang w:val="zh-CN"/>
        </w:rPr>
        <w:t>的组成部分，并取代</w:t>
      </w:r>
      <w:r>
        <w:rPr>
          <w:rFonts w:hint="eastAsia" w:ascii="宋体" w:hAnsi="宋体" w:cs="宋体"/>
          <w:color w:val="auto"/>
          <w:sz w:val="24"/>
          <w:highlight w:val="none"/>
        </w:rPr>
        <w:t>《磋商文件》</w:t>
      </w:r>
      <w:r>
        <w:rPr>
          <w:rFonts w:hint="eastAsia" w:ascii="宋体" w:hAnsi="宋体" w:cs="宋体"/>
          <w:color w:val="auto"/>
          <w:sz w:val="24"/>
          <w:highlight w:val="none"/>
          <w:lang w:val="zh-CN"/>
        </w:rPr>
        <w:t>中被澄清、修改处，对所有供应商均有约束力。</w:t>
      </w:r>
    </w:p>
    <w:p w14:paraId="70EB72AF">
      <w:pPr>
        <w:autoSpaceDE w:val="0"/>
        <w:autoSpaceDN w:val="0"/>
        <w:adjustRightInd w:val="0"/>
        <w:snapToGrid w:val="0"/>
        <w:spacing w:before="120" w:beforeLines="50" w:line="360" w:lineRule="auto"/>
        <w:ind w:firstLine="539"/>
        <w:rPr>
          <w:rFonts w:ascii="宋体" w:hAnsi="宋体" w:cs="宋体"/>
          <w:color w:val="auto"/>
          <w:sz w:val="24"/>
          <w:highlight w:val="none"/>
          <w:lang w:val="zh-CN"/>
        </w:rPr>
      </w:pPr>
      <w:r>
        <w:rPr>
          <w:rFonts w:hint="eastAsia" w:ascii="宋体" w:hAnsi="宋体" w:cs="宋体"/>
          <w:color w:val="auto"/>
          <w:sz w:val="24"/>
          <w:highlight w:val="none"/>
          <w:lang w:val="zh-CN"/>
        </w:rPr>
        <w:t>2.4.3 如果提交首次《响应文件》截止时间前的澄清修改补充发出的时间不满足供应商须知前附表规定时间，并且澄清修改补充内容影响《响应文件》编制的，代理机构可视采购具体情况延长投标截止时间和开标时间，并将在“竞争性磋商公告”所述媒体予以公告。</w:t>
      </w:r>
    </w:p>
    <w:p w14:paraId="260EFAED">
      <w:pPr>
        <w:autoSpaceDE w:val="0"/>
        <w:autoSpaceDN w:val="0"/>
        <w:adjustRightInd w:val="0"/>
        <w:snapToGrid w:val="0"/>
        <w:spacing w:before="120" w:beforeLines="50" w:line="300" w:lineRule="auto"/>
        <w:rPr>
          <w:rFonts w:ascii="宋体" w:hAnsi="宋体" w:cs="宋体"/>
          <w:color w:val="auto"/>
          <w:sz w:val="24"/>
          <w:highlight w:val="none"/>
        </w:rPr>
      </w:pPr>
    </w:p>
    <w:p w14:paraId="64E8DA06">
      <w:pPr>
        <w:autoSpaceDE w:val="0"/>
        <w:autoSpaceDN w:val="0"/>
        <w:adjustRightInd w:val="0"/>
        <w:snapToGrid w:val="0"/>
        <w:spacing w:before="120" w:beforeLines="50" w:line="300" w:lineRule="auto"/>
        <w:ind w:firstLine="539"/>
        <w:outlineLvl w:val="1"/>
        <w:rPr>
          <w:rFonts w:ascii="宋体" w:hAnsi="宋体" w:cs="宋体"/>
          <w:b/>
          <w:bCs/>
          <w:color w:val="auto"/>
          <w:sz w:val="28"/>
          <w:szCs w:val="28"/>
          <w:highlight w:val="none"/>
          <w:lang w:val="zh-CN"/>
        </w:rPr>
      </w:pPr>
      <w:bookmarkStart w:id="17" w:name="_Toc83372545"/>
      <w:r>
        <w:rPr>
          <w:rFonts w:hint="eastAsia" w:ascii="宋体" w:hAnsi="宋体" w:cs="宋体"/>
          <w:b/>
          <w:bCs/>
          <w:color w:val="auto"/>
          <w:sz w:val="28"/>
          <w:szCs w:val="28"/>
          <w:highlight w:val="none"/>
          <w:lang w:val="zh-CN"/>
        </w:rPr>
        <w:t>3.《响应文件》</w:t>
      </w:r>
      <w:bookmarkEnd w:id="17"/>
    </w:p>
    <w:p w14:paraId="3E934605">
      <w:pPr>
        <w:autoSpaceDE w:val="0"/>
        <w:autoSpaceDN w:val="0"/>
        <w:adjustRightInd w:val="0"/>
        <w:snapToGrid w:val="0"/>
        <w:spacing w:before="120" w:beforeLines="50" w:line="360" w:lineRule="auto"/>
        <w:ind w:firstLine="539"/>
        <w:rPr>
          <w:rFonts w:ascii="宋体" w:hAnsi="宋体" w:cs="宋体"/>
          <w:color w:val="auto"/>
          <w:sz w:val="24"/>
          <w:highlight w:val="none"/>
          <w:lang w:val="zh-CN"/>
        </w:rPr>
      </w:pPr>
      <w:r>
        <w:rPr>
          <w:rFonts w:hint="eastAsia" w:ascii="宋体" w:hAnsi="宋体" w:cs="宋体"/>
          <w:b/>
          <w:color w:val="auto"/>
          <w:sz w:val="24"/>
          <w:highlight w:val="none"/>
          <w:lang w:val="zh-CN"/>
        </w:rPr>
        <w:t>3.1</w:t>
      </w:r>
      <w:r>
        <w:rPr>
          <w:rFonts w:hint="eastAsia" w:ascii="宋体" w:hAnsi="宋体" w:cs="宋体"/>
          <w:color w:val="auto"/>
          <w:sz w:val="24"/>
          <w:highlight w:val="none"/>
          <w:lang w:val="zh-CN"/>
        </w:rPr>
        <w:t xml:space="preserve"> 供应商应仔细阅读《磋商文件》的所有内容，按《磋商文件》的要求提供《响应文件》，并保证所提供全部资料的真实性。《响应文件》应对《磋商文件》实质性要求作出实质性响应。磋商小组对《响应文件》的有效性、完整性和响应程度进行审查，不满足实质性要求的为</w:t>
      </w:r>
      <w:r>
        <w:rPr>
          <w:rFonts w:hint="eastAsia" w:ascii="宋体" w:hAnsi="宋体" w:cs="宋体"/>
          <w:b/>
          <w:color w:val="auto"/>
          <w:sz w:val="24"/>
          <w:highlight w:val="none"/>
          <w:lang w:val="zh-CN"/>
        </w:rPr>
        <w:t>无效文件</w:t>
      </w:r>
      <w:r>
        <w:rPr>
          <w:rFonts w:hint="eastAsia" w:ascii="宋体" w:hAnsi="宋体" w:cs="宋体"/>
          <w:color w:val="auto"/>
          <w:sz w:val="24"/>
          <w:highlight w:val="none"/>
          <w:lang w:val="zh-CN"/>
        </w:rPr>
        <w:t>。</w:t>
      </w:r>
    </w:p>
    <w:p w14:paraId="73445376">
      <w:pPr>
        <w:autoSpaceDE w:val="0"/>
        <w:autoSpaceDN w:val="0"/>
        <w:adjustRightInd w:val="0"/>
        <w:snapToGrid w:val="0"/>
        <w:spacing w:before="120" w:beforeLines="50" w:line="300" w:lineRule="auto"/>
        <w:ind w:firstLine="539"/>
        <w:rPr>
          <w:rFonts w:ascii="宋体" w:hAnsi="宋体" w:cs="宋体"/>
          <w:b/>
          <w:color w:val="auto"/>
          <w:sz w:val="24"/>
          <w:highlight w:val="none"/>
          <w:lang w:val="zh-CN"/>
        </w:rPr>
      </w:pPr>
      <w:r>
        <w:rPr>
          <w:rFonts w:hint="eastAsia" w:ascii="宋体" w:hAnsi="宋体" w:cs="宋体"/>
          <w:b/>
          <w:color w:val="auto"/>
          <w:sz w:val="24"/>
          <w:highlight w:val="none"/>
          <w:lang w:val="zh-CN"/>
        </w:rPr>
        <w:t>3.2 《响应文件》的组成</w:t>
      </w:r>
    </w:p>
    <w:p w14:paraId="79061179">
      <w:pPr>
        <w:adjustRightInd w:val="0"/>
        <w:snapToGrid w:val="0"/>
        <w:spacing w:before="120" w:beforeLines="50" w:line="360" w:lineRule="auto"/>
        <w:ind w:firstLine="539"/>
        <w:textAlignment w:val="top"/>
        <w:rPr>
          <w:rFonts w:ascii="宋体" w:hAnsi="宋体" w:cs="宋体"/>
          <w:color w:val="auto"/>
          <w:sz w:val="24"/>
          <w:highlight w:val="none"/>
          <w:lang w:val="zh-CN"/>
        </w:rPr>
      </w:pPr>
      <w:r>
        <w:rPr>
          <w:rFonts w:hint="eastAsia" w:ascii="宋体" w:hAnsi="宋体" w:cs="宋体"/>
          <w:color w:val="auto"/>
          <w:sz w:val="24"/>
          <w:highlight w:val="none"/>
          <w:lang w:val="zh-CN"/>
        </w:rPr>
        <w:t>3.2.1 《响应文件》组成如有缺项，磋商小组按照实质性判断原则（实质性要求和实质性响应两因素）、有权视情况将其作无效响应处理，供应商自负此项风险；《响应文件》组成内容未对《磋商文件》实质性要求作出实质性响应，磋商小组按照实质性判断原则、视情况将其作无效响应处理，供应商自负此项风险。</w:t>
      </w:r>
    </w:p>
    <w:p w14:paraId="5A60B73A">
      <w:pPr>
        <w:adjustRightInd w:val="0"/>
        <w:snapToGrid w:val="0"/>
        <w:spacing w:before="120" w:beforeLines="50" w:line="360" w:lineRule="auto"/>
        <w:ind w:firstLine="539"/>
        <w:textAlignment w:val="top"/>
        <w:rPr>
          <w:rFonts w:ascii="宋体" w:hAnsi="宋体" w:cs="宋体"/>
          <w:color w:val="auto"/>
          <w:sz w:val="24"/>
          <w:highlight w:val="none"/>
          <w:lang w:val="zh-CN"/>
        </w:rPr>
      </w:pPr>
      <w:r>
        <w:rPr>
          <w:rFonts w:hint="eastAsia" w:ascii="宋体" w:hAnsi="宋体" w:cs="宋体"/>
          <w:color w:val="auto"/>
          <w:sz w:val="24"/>
          <w:highlight w:val="none"/>
          <w:lang w:val="zh-CN"/>
        </w:rPr>
        <w:t>3.2.2 《响应文件》应包括下列内容：</w:t>
      </w:r>
    </w:p>
    <w:p w14:paraId="4233A434">
      <w:pPr>
        <w:adjustRightInd w:val="0"/>
        <w:snapToGrid w:val="0"/>
        <w:spacing w:line="360" w:lineRule="auto"/>
        <w:ind w:firstLine="539"/>
        <w:textAlignment w:val="top"/>
        <w:rPr>
          <w:rFonts w:ascii="宋体" w:hAnsi="宋体" w:cs="宋体"/>
          <w:color w:val="auto"/>
          <w:sz w:val="24"/>
          <w:highlight w:val="none"/>
          <w:lang w:val="zh-CN"/>
        </w:rPr>
      </w:pPr>
      <w:r>
        <w:rPr>
          <w:rFonts w:hint="eastAsia" w:ascii="宋体" w:hAnsi="宋体" w:cs="宋体"/>
          <w:color w:val="auto"/>
          <w:sz w:val="24"/>
          <w:highlight w:val="none"/>
          <w:lang w:val="zh-CN"/>
        </w:rPr>
        <w:t>（1）投标书</w:t>
      </w:r>
    </w:p>
    <w:p w14:paraId="4E69D0BB">
      <w:pPr>
        <w:adjustRightInd w:val="0"/>
        <w:snapToGrid w:val="0"/>
        <w:spacing w:line="360" w:lineRule="auto"/>
        <w:ind w:firstLine="539"/>
        <w:textAlignment w:val="top"/>
        <w:rPr>
          <w:rFonts w:ascii="宋体" w:hAnsi="宋体" w:cs="宋体"/>
          <w:color w:val="auto"/>
          <w:sz w:val="24"/>
          <w:highlight w:val="none"/>
          <w:lang w:val="zh-CN"/>
        </w:rPr>
      </w:pPr>
      <w:r>
        <w:rPr>
          <w:rFonts w:hint="eastAsia" w:ascii="宋体" w:hAnsi="宋体" w:cs="宋体"/>
          <w:color w:val="auto"/>
          <w:sz w:val="24"/>
          <w:highlight w:val="none"/>
          <w:lang w:val="zh-CN"/>
        </w:rPr>
        <w:t>（2）开标一览表</w:t>
      </w:r>
    </w:p>
    <w:p w14:paraId="5525AF03">
      <w:pPr>
        <w:adjustRightInd w:val="0"/>
        <w:snapToGrid w:val="0"/>
        <w:spacing w:line="360" w:lineRule="auto"/>
        <w:ind w:firstLine="539"/>
        <w:textAlignment w:val="top"/>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zh-CN"/>
        </w:rPr>
        <w:t>（3）分项报价</w:t>
      </w:r>
      <w:r>
        <w:rPr>
          <w:rFonts w:hint="eastAsia" w:ascii="宋体" w:hAnsi="宋体" w:cs="宋体"/>
          <w:color w:val="auto"/>
          <w:sz w:val="24"/>
          <w:highlight w:val="none"/>
          <w:lang w:val="en-US" w:eastAsia="zh-CN"/>
        </w:rPr>
        <w:t>表</w:t>
      </w:r>
    </w:p>
    <w:p w14:paraId="4145E59A">
      <w:pPr>
        <w:adjustRightInd w:val="0"/>
        <w:snapToGrid w:val="0"/>
        <w:spacing w:line="360" w:lineRule="auto"/>
        <w:ind w:firstLine="539"/>
        <w:textAlignment w:val="top"/>
        <w:rPr>
          <w:rFonts w:ascii="宋体" w:hAnsi="宋体" w:cs="宋体"/>
          <w:color w:val="auto"/>
          <w:sz w:val="24"/>
          <w:highlight w:val="none"/>
          <w:lang w:val="zh-CN"/>
        </w:rPr>
      </w:pPr>
      <w:r>
        <w:rPr>
          <w:rFonts w:hint="eastAsia" w:ascii="宋体" w:hAnsi="宋体" w:cs="宋体"/>
          <w:color w:val="auto"/>
          <w:sz w:val="24"/>
          <w:highlight w:val="none"/>
          <w:lang w:val="zh-CN"/>
        </w:rPr>
        <w:t>（4）响应产品清单及其技术参数</w:t>
      </w:r>
    </w:p>
    <w:p w14:paraId="695B5DF5">
      <w:pPr>
        <w:adjustRightInd w:val="0"/>
        <w:snapToGrid w:val="0"/>
        <w:spacing w:line="360" w:lineRule="auto"/>
        <w:ind w:firstLine="539"/>
        <w:textAlignment w:val="top"/>
        <w:rPr>
          <w:rFonts w:ascii="宋体" w:hAnsi="宋体" w:cs="宋体"/>
          <w:color w:val="auto"/>
          <w:sz w:val="24"/>
          <w:highlight w:val="none"/>
          <w:lang w:val="zh-CN"/>
        </w:rPr>
      </w:pPr>
      <w:r>
        <w:rPr>
          <w:rFonts w:hint="eastAsia" w:ascii="宋体" w:hAnsi="宋体" w:cs="宋体"/>
          <w:color w:val="auto"/>
          <w:sz w:val="24"/>
          <w:highlight w:val="none"/>
          <w:lang w:val="zh-CN"/>
        </w:rPr>
        <w:t>（6）其他偏差表</w:t>
      </w:r>
    </w:p>
    <w:p w14:paraId="34024636">
      <w:pPr>
        <w:adjustRightInd w:val="0"/>
        <w:snapToGrid w:val="0"/>
        <w:spacing w:line="360" w:lineRule="auto"/>
        <w:ind w:firstLine="539"/>
        <w:textAlignment w:val="top"/>
        <w:rPr>
          <w:rFonts w:ascii="宋体" w:hAnsi="宋体" w:cs="宋体"/>
          <w:color w:val="auto"/>
          <w:sz w:val="24"/>
          <w:highlight w:val="none"/>
          <w:lang w:val="zh-CN"/>
        </w:rPr>
      </w:pPr>
      <w:r>
        <w:rPr>
          <w:rFonts w:hint="eastAsia" w:ascii="宋体" w:hAnsi="宋体" w:cs="宋体"/>
          <w:color w:val="auto"/>
          <w:sz w:val="24"/>
          <w:highlight w:val="none"/>
          <w:lang w:val="zh-CN"/>
        </w:rPr>
        <w:t>（7）实施方案及售后服务计划</w:t>
      </w:r>
    </w:p>
    <w:p w14:paraId="59DFFA9A">
      <w:pPr>
        <w:adjustRightInd w:val="0"/>
        <w:snapToGrid w:val="0"/>
        <w:spacing w:line="360" w:lineRule="auto"/>
        <w:ind w:firstLine="539"/>
        <w:textAlignment w:val="top"/>
        <w:rPr>
          <w:rFonts w:ascii="宋体" w:hAnsi="宋体" w:cs="宋体"/>
          <w:color w:val="auto"/>
          <w:sz w:val="24"/>
          <w:highlight w:val="none"/>
          <w:lang w:val="zh-CN"/>
        </w:rPr>
      </w:pPr>
      <w:r>
        <w:rPr>
          <w:rFonts w:hint="eastAsia" w:ascii="宋体" w:hAnsi="宋体" w:cs="宋体"/>
          <w:color w:val="auto"/>
          <w:sz w:val="24"/>
          <w:highlight w:val="none"/>
          <w:lang w:val="zh-CN"/>
        </w:rPr>
        <w:t>（8）关于资格的声明函</w:t>
      </w:r>
    </w:p>
    <w:p w14:paraId="24095F1D">
      <w:pPr>
        <w:adjustRightInd w:val="0"/>
        <w:snapToGrid w:val="0"/>
        <w:spacing w:line="360" w:lineRule="auto"/>
        <w:ind w:firstLine="539"/>
        <w:textAlignment w:val="top"/>
        <w:rPr>
          <w:rFonts w:ascii="宋体" w:hAnsi="宋体" w:cs="宋体"/>
          <w:color w:val="auto"/>
          <w:sz w:val="24"/>
          <w:highlight w:val="none"/>
          <w:lang w:val="zh-CN"/>
        </w:rPr>
      </w:pPr>
      <w:r>
        <w:rPr>
          <w:rFonts w:hint="eastAsia" w:ascii="宋体" w:hAnsi="宋体" w:cs="宋体"/>
          <w:color w:val="auto"/>
          <w:sz w:val="24"/>
          <w:highlight w:val="none"/>
          <w:lang w:val="zh-CN"/>
        </w:rPr>
        <w:t>（9）反商业贿赂承诺书</w:t>
      </w:r>
    </w:p>
    <w:p w14:paraId="6BE3699B">
      <w:pPr>
        <w:adjustRightInd w:val="0"/>
        <w:snapToGrid w:val="0"/>
        <w:spacing w:line="360" w:lineRule="auto"/>
        <w:ind w:firstLine="539"/>
        <w:textAlignment w:val="top"/>
        <w:rPr>
          <w:rFonts w:ascii="宋体" w:hAnsi="宋体" w:cs="宋体"/>
          <w:color w:val="auto"/>
          <w:sz w:val="24"/>
          <w:highlight w:val="none"/>
          <w:lang w:val="zh-CN"/>
        </w:rPr>
      </w:pPr>
      <w:r>
        <w:rPr>
          <w:rFonts w:hint="eastAsia" w:ascii="宋体" w:hAnsi="宋体" w:cs="宋体"/>
          <w:color w:val="auto"/>
          <w:sz w:val="24"/>
          <w:highlight w:val="none"/>
          <w:lang w:val="zh-CN"/>
        </w:rPr>
        <w:t>（10）履约承诺书</w:t>
      </w:r>
    </w:p>
    <w:p w14:paraId="3773D0BA">
      <w:pPr>
        <w:adjustRightInd w:val="0"/>
        <w:snapToGrid w:val="0"/>
        <w:spacing w:line="360" w:lineRule="auto"/>
        <w:ind w:firstLine="539"/>
        <w:textAlignment w:val="top"/>
        <w:rPr>
          <w:rFonts w:ascii="宋体" w:hAnsi="宋体" w:cs="宋体"/>
          <w:color w:val="auto"/>
          <w:sz w:val="24"/>
          <w:highlight w:val="none"/>
        </w:rPr>
      </w:pPr>
      <w:r>
        <w:rPr>
          <w:rFonts w:hint="eastAsia" w:ascii="宋体" w:hAnsi="宋体" w:cs="宋体"/>
          <w:color w:val="auto"/>
          <w:sz w:val="24"/>
          <w:highlight w:val="none"/>
          <w:lang w:val="zh-CN"/>
        </w:rPr>
        <w:t>（11）</w:t>
      </w:r>
      <w:r>
        <w:rPr>
          <w:rFonts w:hint="eastAsia" w:ascii="宋体" w:hAnsi="宋体" w:cs="宋体"/>
          <w:color w:val="auto"/>
          <w:sz w:val="24"/>
          <w:highlight w:val="none"/>
        </w:rPr>
        <w:t>供应商基本情况一览表</w:t>
      </w:r>
    </w:p>
    <w:p w14:paraId="0FF3F4F9">
      <w:pPr>
        <w:adjustRightInd w:val="0"/>
        <w:snapToGrid w:val="0"/>
        <w:spacing w:line="360" w:lineRule="auto"/>
        <w:ind w:firstLine="539"/>
        <w:textAlignment w:val="top"/>
        <w:rPr>
          <w:rFonts w:ascii="宋体" w:hAnsi="宋体" w:cs="宋体"/>
          <w:color w:val="auto"/>
          <w:sz w:val="24"/>
          <w:highlight w:val="none"/>
          <w:lang w:val="zh-CN"/>
        </w:rPr>
      </w:pPr>
      <w:r>
        <w:rPr>
          <w:rFonts w:hint="eastAsia" w:ascii="宋体" w:hAnsi="宋体" w:cs="宋体"/>
          <w:color w:val="auto"/>
          <w:sz w:val="24"/>
          <w:highlight w:val="none"/>
          <w:lang w:val="zh-CN"/>
        </w:rPr>
        <w:t>（12）采购项目及技术服务要求所需的其他材料（按条款需要）</w:t>
      </w:r>
    </w:p>
    <w:p w14:paraId="3713D612">
      <w:pPr>
        <w:adjustRightInd w:val="0"/>
        <w:snapToGrid w:val="0"/>
        <w:spacing w:line="360" w:lineRule="auto"/>
        <w:ind w:firstLine="539"/>
        <w:textAlignment w:val="top"/>
        <w:rPr>
          <w:rFonts w:ascii="宋体" w:hAnsi="宋体" w:cs="宋体"/>
          <w:color w:val="auto"/>
          <w:sz w:val="24"/>
          <w:highlight w:val="none"/>
          <w:lang w:val="zh-CN"/>
        </w:rPr>
      </w:pPr>
      <w:r>
        <w:rPr>
          <w:rFonts w:hint="eastAsia" w:ascii="宋体" w:hAnsi="宋体" w:cs="宋体"/>
          <w:color w:val="auto"/>
          <w:sz w:val="24"/>
          <w:highlight w:val="none"/>
          <w:lang w:val="zh-CN"/>
        </w:rPr>
        <w:t>（13）供应商须知所需的其他材料（按条款需要）</w:t>
      </w:r>
    </w:p>
    <w:p w14:paraId="558A6EB6">
      <w:pPr>
        <w:adjustRightInd w:val="0"/>
        <w:snapToGrid w:val="0"/>
        <w:spacing w:line="360" w:lineRule="auto"/>
        <w:ind w:firstLine="539"/>
        <w:textAlignment w:val="top"/>
        <w:rPr>
          <w:rFonts w:ascii="宋体" w:hAnsi="宋体" w:cs="宋体"/>
          <w:color w:val="auto"/>
          <w:sz w:val="24"/>
          <w:highlight w:val="none"/>
          <w:lang w:val="zh-CN"/>
        </w:rPr>
      </w:pPr>
      <w:r>
        <w:rPr>
          <w:rFonts w:hint="eastAsia" w:ascii="宋体" w:hAnsi="宋体" w:cs="宋体"/>
          <w:color w:val="auto"/>
          <w:sz w:val="24"/>
          <w:highlight w:val="none"/>
          <w:lang w:val="zh-CN"/>
        </w:rPr>
        <w:t>（14）评审办法所需的其他材料（按条款需要）</w:t>
      </w:r>
    </w:p>
    <w:p w14:paraId="40CE231D">
      <w:pPr>
        <w:adjustRightInd w:val="0"/>
        <w:snapToGrid w:val="0"/>
        <w:spacing w:line="360" w:lineRule="auto"/>
        <w:ind w:firstLine="539"/>
        <w:textAlignment w:val="top"/>
        <w:rPr>
          <w:rFonts w:ascii="宋体" w:hAnsi="宋体" w:cs="宋体"/>
          <w:color w:val="auto"/>
          <w:sz w:val="24"/>
          <w:highlight w:val="none"/>
          <w:lang w:val="zh-CN"/>
        </w:rPr>
      </w:pPr>
      <w:r>
        <w:rPr>
          <w:rFonts w:hint="eastAsia" w:ascii="宋体" w:hAnsi="宋体" w:cs="宋体"/>
          <w:color w:val="auto"/>
          <w:sz w:val="24"/>
          <w:highlight w:val="none"/>
          <w:lang w:val="zh-CN"/>
        </w:rPr>
        <w:t>（15）供应商认为有必要提交的其它材料</w:t>
      </w:r>
    </w:p>
    <w:p w14:paraId="35A6F698">
      <w:pPr>
        <w:topLinePunct/>
        <w:adjustRightInd w:val="0"/>
        <w:snapToGrid w:val="0"/>
        <w:spacing w:before="120" w:beforeLines="50" w:line="360" w:lineRule="auto"/>
        <w:ind w:firstLine="564" w:firstLineChars="235"/>
        <w:rPr>
          <w:rFonts w:ascii="宋体" w:hAnsi="宋体" w:cs="宋体"/>
          <w:color w:val="auto"/>
          <w:sz w:val="24"/>
          <w:highlight w:val="none"/>
          <w:lang w:val="zh-CN"/>
        </w:rPr>
      </w:pPr>
      <w:r>
        <w:rPr>
          <w:rFonts w:hint="eastAsia" w:ascii="宋体" w:hAnsi="宋体" w:cs="宋体"/>
          <w:color w:val="auto"/>
          <w:sz w:val="24"/>
          <w:highlight w:val="none"/>
          <w:lang w:val="zh-CN"/>
        </w:rPr>
        <w:t>3.2.3 按照本章第4.3款、第四章第3.4款规定，对《响应文件》的补充、修改、澄清、说明或者更正构成《响应文件》的组成部分。</w:t>
      </w:r>
    </w:p>
    <w:p w14:paraId="1712422B">
      <w:pPr>
        <w:topLinePunct/>
        <w:adjustRightInd w:val="0"/>
        <w:snapToGrid w:val="0"/>
        <w:spacing w:before="120" w:beforeLines="50" w:line="300" w:lineRule="auto"/>
        <w:ind w:firstLine="566" w:firstLineChars="235"/>
        <w:rPr>
          <w:rFonts w:ascii="宋体" w:hAnsi="宋体" w:cs="宋体"/>
          <w:color w:val="auto"/>
          <w:sz w:val="24"/>
          <w:highlight w:val="none"/>
          <w:lang w:val="zh-CN"/>
        </w:rPr>
      </w:pPr>
      <w:r>
        <w:rPr>
          <w:rFonts w:hint="eastAsia" w:ascii="宋体" w:hAnsi="宋体" w:cs="宋体"/>
          <w:b/>
          <w:color w:val="auto"/>
          <w:sz w:val="24"/>
          <w:highlight w:val="none"/>
          <w:lang w:val="zh-CN"/>
        </w:rPr>
        <w:t>3.3 磋商报价</w:t>
      </w:r>
      <w:r>
        <w:rPr>
          <w:rFonts w:hint="eastAsia" w:ascii="宋体" w:hAnsi="宋体" w:cs="宋体"/>
          <w:color w:val="auto"/>
          <w:sz w:val="24"/>
          <w:highlight w:val="none"/>
          <w:lang w:val="zh-CN"/>
        </w:rPr>
        <w:t>（价格构成）：见第二章1.3款。</w:t>
      </w:r>
    </w:p>
    <w:p w14:paraId="6A191E25">
      <w:pPr>
        <w:topLinePunct/>
        <w:adjustRightInd w:val="0"/>
        <w:snapToGrid w:val="0"/>
        <w:spacing w:before="120" w:beforeLines="50" w:line="300" w:lineRule="auto"/>
        <w:ind w:firstLine="566" w:firstLineChars="235"/>
        <w:rPr>
          <w:rFonts w:ascii="宋体" w:hAnsi="宋体" w:cs="宋体"/>
          <w:b/>
          <w:color w:val="auto"/>
          <w:sz w:val="24"/>
          <w:highlight w:val="none"/>
          <w:lang w:val="zh-CN"/>
        </w:rPr>
      </w:pPr>
      <w:r>
        <w:rPr>
          <w:rFonts w:hint="eastAsia" w:ascii="宋体" w:hAnsi="宋体" w:cs="宋体"/>
          <w:b/>
          <w:color w:val="auto"/>
          <w:sz w:val="24"/>
          <w:highlight w:val="none"/>
          <w:lang w:val="zh-CN"/>
        </w:rPr>
        <w:t>3.4 响应有效期</w:t>
      </w:r>
    </w:p>
    <w:p w14:paraId="33753231">
      <w:pPr>
        <w:topLinePunct/>
        <w:adjustRightInd w:val="0"/>
        <w:snapToGrid w:val="0"/>
        <w:spacing w:before="120" w:beforeLines="50" w:line="360" w:lineRule="auto"/>
        <w:ind w:firstLine="564" w:firstLineChars="235"/>
        <w:rPr>
          <w:rFonts w:ascii="宋体" w:hAnsi="宋体" w:cs="宋体"/>
          <w:color w:val="auto"/>
          <w:sz w:val="24"/>
          <w:highlight w:val="none"/>
          <w:lang w:val="zh-CN"/>
        </w:rPr>
      </w:pPr>
      <w:r>
        <w:rPr>
          <w:rFonts w:hint="eastAsia" w:ascii="宋体" w:hAnsi="宋体" w:cs="宋体"/>
          <w:color w:val="auto"/>
          <w:sz w:val="24"/>
          <w:highlight w:val="none"/>
          <w:lang w:val="zh-CN"/>
        </w:rPr>
        <w:t>3.4.1 响应有效期见供应商须知前附表。《响应文件》在响应有效期内保持不变（包括价格等《响应文件》各项条款）。</w:t>
      </w:r>
    </w:p>
    <w:p w14:paraId="4B503B11">
      <w:pPr>
        <w:topLinePunct/>
        <w:adjustRightInd w:val="0"/>
        <w:snapToGrid w:val="0"/>
        <w:spacing w:before="120" w:beforeLines="50" w:line="360" w:lineRule="auto"/>
        <w:ind w:firstLine="564" w:firstLineChars="235"/>
        <w:rPr>
          <w:rFonts w:ascii="宋体" w:hAnsi="宋体" w:cs="宋体"/>
          <w:color w:val="auto"/>
          <w:sz w:val="24"/>
          <w:highlight w:val="none"/>
          <w:lang w:val="zh-CN"/>
        </w:rPr>
      </w:pPr>
      <w:r>
        <w:rPr>
          <w:rFonts w:hint="eastAsia" w:ascii="宋体" w:hAnsi="宋体" w:cs="宋体"/>
          <w:color w:val="auto"/>
          <w:sz w:val="24"/>
          <w:highlight w:val="none"/>
          <w:lang w:val="zh-CN"/>
        </w:rPr>
        <w:t>3.4.2 在响应有效期内，供应商撤销或修改其《响应文件》的，应承担《磋商文件》和法律规定的责任。</w:t>
      </w:r>
    </w:p>
    <w:p w14:paraId="72FCED0A">
      <w:pPr>
        <w:topLinePunct/>
        <w:adjustRightInd w:val="0"/>
        <w:snapToGrid w:val="0"/>
        <w:spacing w:before="120" w:beforeLines="50" w:line="300" w:lineRule="auto"/>
        <w:ind w:firstLine="566" w:firstLineChars="235"/>
        <w:rPr>
          <w:rFonts w:ascii="宋体" w:hAnsi="宋体" w:cs="宋体"/>
          <w:b/>
          <w:color w:val="auto"/>
          <w:sz w:val="24"/>
          <w:highlight w:val="none"/>
          <w:lang w:val="zh-CN"/>
        </w:rPr>
      </w:pPr>
      <w:r>
        <w:rPr>
          <w:rFonts w:hint="eastAsia" w:ascii="宋体" w:hAnsi="宋体" w:cs="宋体"/>
          <w:b/>
          <w:color w:val="auto"/>
          <w:sz w:val="24"/>
          <w:highlight w:val="none"/>
          <w:lang w:val="zh-CN"/>
        </w:rPr>
        <w:t xml:space="preserve">3.5 </w:t>
      </w:r>
      <w:r>
        <w:rPr>
          <w:rFonts w:hint="eastAsia" w:ascii="宋体" w:hAnsi="宋体" w:cs="宋体"/>
          <w:b/>
          <w:color w:val="auto"/>
          <w:sz w:val="24"/>
          <w:highlight w:val="none"/>
        </w:rPr>
        <w:t>投标承诺函</w:t>
      </w:r>
      <w:r>
        <w:rPr>
          <w:rFonts w:hint="eastAsia" w:ascii="宋体" w:hAnsi="宋体" w:cs="宋体"/>
          <w:b/>
          <w:color w:val="auto"/>
          <w:sz w:val="24"/>
          <w:highlight w:val="none"/>
          <w:lang w:val="zh-CN"/>
        </w:rPr>
        <w:t>（</w:t>
      </w:r>
      <w:r>
        <w:rPr>
          <w:rFonts w:hint="eastAsia" w:ascii="宋体" w:hAnsi="宋体" w:cs="宋体"/>
          <w:b/>
          <w:color w:val="auto"/>
          <w:sz w:val="24"/>
          <w:highlight w:val="none"/>
        </w:rPr>
        <w:t>替代</w:t>
      </w:r>
      <w:r>
        <w:rPr>
          <w:rFonts w:hint="eastAsia" w:ascii="宋体" w:hAnsi="宋体" w:cs="宋体"/>
          <w:b/>
          <w:color w:val="auto"/>
          <w:sz w:val="24"/>
          <w:highlight w:val="none"/>
          <w:lang w:val="zh-CN"/>
        </w:rPr>
        <w:t>投标保证金）</w:t>
      </w:r>
    </w:p>
    <w:p w14:paraId="532384EA">
      <w:pPr>
        <w:widowControl w:val="0"/>
        <w:tabs>
          <w:tab w:val="left" w:pos="65"/>
        </w:tabs>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lang w:val="zh-CN"/>
        </w:rPr>
        <w:t xml:space="preserve">3.5.1 </w:t>
      </w:r>
      <w:r>
        <w:rPr>
          <w:rFonts w:hint="eastAsia" w:ascii="宋体" w:hAnsi="宋体" w:cs="宋体"/>
          <w:color w:val="auto"/>
          <w:sz w:val="24"/>
          <w:szCs w:val="24"/>
          <w:highlight w:val="none"/>
        </w:rPr>
        <w:t>按照豫财购〔2019〕4号文件规定，本项目以投标承诺函的形式替代投标保证金，供应商应按附件格式进行投标承诺，违背承诺的将承担相应的法律责任及违约责任。</w:t>
      </w:r>
    </w:p>
    <w:p w14:paraId="31D8739C">
      <w:pPr>
        <w:widowControl w:val="0"/>
        <w:tabs>
          <w:tab w:val="left" w:pos="65"/>
        </w:tabs>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3.5.2 未提供投标承诺函的为无效投标。</w:t>
      </w:r>
    </w:p>
    <w:p w14:paraId="7978F148">
      <w:pPr>
        <w:widowControl w:val="0"/>
        <w:tabs>
          <w:tab w:val="left" w:pos="65"/>
        </w:tabs>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3.5.3 供应商的投标承诺函包含供应商承诺的事项及违背承诺的责任追究措施。</w:t>
      </w:r>
    </w:p>
    <w:p w14:paraId="4BEE40A5">
      <w:pPr>
        <w:widowControl w:val="0"/>
        <w:tabs>
          <w:tab w:val="left" w:pos="65"/>
        </w:tabs>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3.5.4 承诺事项：</w:t>
      </w:r>
    </w:p>
    <w:p w14:paraId="701014E8">
      <w:pPr>
        <w:widowControl w:val="0"/>
        <w:tabs>
          <w:tab w:val="left" w:pos="65"/>
        </w:tabs>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3.5.4.1、供应商应遵循公开、公平、公正和</w:t>
      </w:r>
      <w:r>
        <w:rPr>
          <w:color w:val="auto"/>
          <w:highlight w:val="none"/>
        </w:rPr>
        <w:fldChar w:fldCharType="begin"/>
      </w:r>
      <w:r>
        <w:rPr>
          <w:color w:val="auto"/>
          <w:highlight w:val="none"/>
        </w:rPr>
        <w:instrText xml:space="preserve"> HYPERLINK "http://www.so.com/s?q=%E8%AF%9A%E5%AE%9E%E4%BF%A1%E7%94%A8&amp;ie=utf-8&amp;src=internal_wenda_recommend_textn" \t "https://wenda.so.com/q/_blank" </w:instrText>
      </w:r>
      <w:r>
        <w:rPr>
          <w:color w:val="auto"/>
          <w:highlight w:val="none"/>
        </w:rPr>
        <w:fldChar w:fldCharType="separate"/>
      </w:r>
      <w:r>
        <w:rPr>
          <w:rFonts w:hint="eastAsia" w:ascii="宋体" w:hAnsi="宋体" w:cs="宋体"/>
          <w:color w:val="auto"/>
          <w:sz w:val="24"/>
          <w:szCs w:val="24"/>
          <w:highlight w:val="none"/>
        </w:rPr>
        <w:t>诚实信用</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t>的原则自愿参加项目的投标；</w:t>
      </w:r>
    </w:p>
    <w:p w14:paraId="318C43CD">
      <w:pPr>
        <w:widowControl w:val="0"/>
        <w:tabs>
          <w:tab w:val="left" w:pos="65"/>
        </w:tabs>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3.5.4.2、供应商在政府采购活动中应提供真实、准确、有效、合法的材料，不</w:t>
      </w:r>
      <w:r>
        <w:rPr>
          <w:rFonts w:hint="eastAsia" w:ascii="宋体" w:hAnsi="宋体" w:cs="宋体"/>
          <w:color w:val="auto"/>
          <w:sz w:val="24"/>
          <w:szCs w:val="24"/>
          <w:highlight w:val="none"/>
          <w:lang w:val="zh-CN"/>
        </w:rPr>
        <w:t>提供虚假材料；</w:t>
      </w:r>
    </w:p>
    <w:p w14:paraId="509E159B">
      <w:pPr>
        <w:widowControl w:val="0"/>
        <w:tabs>
          <w:tab w:val="left" w:pos="65"/>
        </w:tabs>
        <w:spacing w:line="360" w:lineRule="auto"/>
        <w:ind w:firstLine="480" w:firstLineChars="200"/>
        <w:textAlignment w:val="auto"/>
        <w:rPr>
          <w:rFonts w:ascii="宋体" w:hAnsi="宋体" w:cs="宋体"/>
          <w:color w:val="auto"/>
          <w:sz w:val="24"/>
          <w:szCs w:val="24"/>
          <w:highlight w:val="none"/>
          <w:lang w:val="zh-CN"/>
        </w:rPr>
      </w:pPr>
      <w:r>
        <w:rPr>
          <w:rFonts w:hint="eastAsia" w:ascii="宋体" w:hAnsi="宋体" w:cs="宋体"/>
          <w:color w:val="auto"/>
          <w:sz w:val="24"/>
          <w:szCs w:val="24"/>
          <w:highlight w:val="none"/>
        </w:rPr>
        <w:t>3.5.4.3、供应商</w:t>
      </w:r>
      <w:r>
        <w:rPr>
          <w:rFonts w:hint="eastAsia" w:ascii="宋体" w:hAnsi="宋体" w:cs="宋体"/>
          <w:color w:val="auto"/>
          <w:sz w:val="24"/>
          <w:szCs w:val="24"/>
          <w:highlight w:val="none"/>
          <w:lang w:val="zh-CN"/>
        </w:rPr>
        <w:t>按照</w:t>
      </w:r>
      <w:r>
        <w:rPr>
          <w:rFonts w:hint="eastAsia" w:ascii="宋体" w:hAnsi="宋体" w:cs="宋体"/>
          <w:color w:val="auto"/>
          <w:sz w:val="24"/>
          <w:szCs w:val="24"/>
          <w:highlight w:val="none"/>
        </w:rPr>
        <w:t>磋商</w:t>
      </w:r>
      <w:r>
        <w:rPr>
          <w:rFonts w:hint="eastAsia" w:ascii="宋体" w:hAnsi="宋体" w:cs="宋体"/>
          <w:color w:val="auto"/>
          <w:sz w:val="24"/>
          <w:szCs w:val="24"/>
          <w:highlight w:val="none"/>
          <w:lang w:val="zh-CN"/>
        </w:rPr>
        <w:t>文件规定，在提交响应文件截止时间后，在</w:t>
      </w:r>
      <w:r>
        <w:rPr>
          <w:rFonts w:hint="eastAsia" w:ascii="宋体" w:hAnsi="宋体" w:cs="宋体"/>
          <w:color w:val="auto"/>
          <w:sz w:val="24"/>
          <w:szCs w:val="24"/>
          <w:highlight w:val="none"/>
        </w:rPr>
        <w:t>磋商</w:t>
      </w:r>
      <w:r>
        <w:rPr>
          <w:rFonts w:hint="eastAsia" w:ascii="宋体" w:hAnsi="宋体" w:cs="宋体"/>
          <w:color w:val="auto"/>
          <w:sz w:val="24"/>
          <w:szCs w:val="24"/>
          <w:highlight w:val="none"/>
          <w:lang w:val="zh-CN"/>
        </w:rPr>
        <w:t>文件规定的投标有效期限内不</w:t>
      </w:r>
      <w:r>
        <w:rPr>
          <w:rFonts w:hint="eastAsia" w:ascii="宋体" w:hAnsi="宋体" w:cs="宋体"/>
          <w:color w:val="auto"/>
          <w:sz w:val="24"/>
          <w:szCs w:val="24"/>
          <w:highlight w:val="none"/>
        </w:rPr>
        <w:t>应</w:t>
      </w:r>
      <w:r>
        <w:rPr>
          <w:rFonts w:hint="eastAsia" w:ascii="宋体" w:hAnsi="宋体" w:cs="宋体"/>
          <w:color w:val="auto"/>
          <w:sz w:val="24"/>
          <w:szCs w:val="24"/>
          <w:highlight w:val="none"/>
          <w:lang w:val="zh-CN"/>
        </w:rPr>
        <w:t>撤回响应文件；</w:t>
      </w:r>
    </w:p>
    <w:p w14:paraId="44F7D71C">
      <w:pPr>
        <w:widowControl w:val="0"/>
        <w:tabs>
          <w:tab w:val="left" w:pos="65"/>
        </w:tabs>
        <w:spacing w:line="360" w:lineRule="auto"/>
        <w:ind w:firstLine="480" w:firstLineChars="200"/>
        <w:textAlignment w:val="auto"/>
        <w:rPr>
          <w:rFonts w:ascii="宋体" w:hAnsi="宋体" w:cs="宋体"/>
          <w:color w:val="auto"/>
          <w:sz w:val="24"/>
          <w:szCs w:val="24"/>
          <w:highlight w:val="none"/>
          <w:lang w:val="zh-CN"/>
        </w:rPr>
      </w:pPr>
      <w:r>
        <w:rPr>
          <w:rFonts w:hint="eastAsia" w:ascii="宋体" w:hAnsi="宋体" w:cs="宋体"/>
          <w:color w:val="auto"/>
          <w:sz w:val="24"/>
          <w:szCs w:val="24"/>
          <w:highlight w:val="none"/>
        </w:rPr>
        <w:t>3.5.4.4、不应</w:t>
      </w:r>
      <w:r>
        <w:rPr>
          <w:rFonts w:hint="eastAsia" w:ascii="宋体" w:hAnsi="宋体" w:cs="宋体"/>
          <w:color w:val="auto"/>
          <w:sz w:val="24"/>
          <w:szCs w:val="24"/>
          <w:highlight w:val="none"/>
          <w:lang w:val="zh-CN"/>
        </w:rPr>
        <w:t>与其他供应商、采购人或采购代理机构串通或恶意串通。</w:t>
      </w:r>
    </w:p>
    <w:p w14:paraId="0F2A3CBA">
      <w:pPr>
        <w:widowControl w:val="0"/>
        <w:tabs>
          <w:tab w:val="left" w:pos="65"/>
        </w:tabs>
        <w:spacing w:line="360" w:lineRule="auto"/>
        <w:ind w:firstLine="480" w:firstLineChars="200"/>
        <w:textAlignment w:val="auto"/>
        <w:rPr>
          <w:rFonts w:ascii="宋体" w:hAnsi="宋体" w:cs="宋体"/>
          <w:color w:val="auto"/>
          <w:sz w:val="24"/>
          <w:szCs w:val="24"/>
          <w:highlight w:val="none"/>
          <w:lang w:val="zh-CN"/>
        </w:rPr>
      </w:pPr>
      <w:r>
        <w:rPr>
          <w:rFonts w:hint="eastAsia" w:ascii="宋体" w:hAnsi="宋体" w:cs="宋体"/>
          <w:color w:val="auto"/>
          <w:sz w:val="24"/>
          <w:szCs w:val="24"/>
          <w:highlight w:val="none"/>
        </w:rPr>
        <w:t>3.5.4.5、中标后</w:t>
      </w:r>
      <w:r>
        <w:rPr>
          <w:rFonts w:hint="eastAsia" w:ascii="宋体" w:hAnsi="宋体" w:cs="宋体"/>
          <w:color w:val="auto"/>
          <w:sz w:val="24"/>
          <w:szCs w:val="24"/>
          <w:highlight w:val="none"/>
          <w:lang w:val="zh-CN"/>
        </w:rPr>
        <w:t>除不可抗拒力或</w:t>
      </w:r>
      <w:r>
        <w:rPr>
          <w:rFonts w:hint="eastAsia" w:ascii="宋体" w:hAnsi="宋体" w:cs="宋体"/>
          <w:color w:val="auto"/>
          <w:sz w:val="24"/>
          <w:szCs w:val="24"/>
          <w:highlight w:val="none"/>
        </w:rPr>
        <w:t>磋商</w:t>
      </w:r>
      <w:r>
        <w:rPr>
          <w:rFonts w:hint="eastAsia" w:ascii="宋体" w:hAnsi="宋体" w:cs="宋体"/>
          <w:color w:val="auto"/>
          <w:sz w:val="24"/>
          <w:szCs w:val="24"/>
          <w:highlight w:val="none"/>
          <w:lang w:val="zh-CN"/>
        </w:rPr>
        <w:t>文件认可的情形外</w:t>
      </w:r>
      <w:r>
        <w:rPr>
          <w:rFonts w:hint="eastAsia" w:ascii="宋体" w:hAnsi="宋体" w:cs="宋体"/>
          <w:color w:val="auto"/>
          <w:sz w:val="24"/>
          <w:szCs w:val="24"/>
          <w:highlight w:val="none"/>
        </w:rPr>
        <w:t>，供应商应及时领取中标通知书，</w:t>
      </w:r>
      <w:r>
        <w:rPr>
          <w:rFonts w:hint="eastAsia" w:ascii="宋体" w:hAnsi="宋体" w:cs="宋体"/>
          <w:color w:val="auto"/>
          <w:sz w:val="24"/>
          <w:szCs w:val="24"/>
          <w:highlight w:val="none"/>
          <w:lang w:val="zh-CN"/>
        </w:rPr>
        <w:t>在成交通知书规定时间、地点与采购人签订合同；</w:t>
      </w:r>
    </w:p>
    <w:p w14:paraId="7504F320">
      <w:pPr>
        <w:widowControl w:val="0"/>
        <w:tabs>
          <w:tab w:val="left" w:pos="65"/>
        </w:tabs>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3.5.4.6、供应商应</w:t>
      </w:r>
      <w:r>
        <w:rPr>
          <w:rFonts w:hint="eastAsia" w:ascii="宋体" w:hAnsi="宋体" w:cs="宋体"/>
          <w:color w:val="auto"/>
          <w:sz w:val="24"/>
          <w:szCs w:val="24"/>
          <w:highlight w:val="none"/>
          <w:lang w:val="zh-CN"/>
        </w:rPr>
        <w:t>遵守法律法规及</w:t>
      </w:r>
      <w:r>
        <w:rPr>
          <w:rFonts w:hint="eastAsia" w:ascii="宋体" w:hAnsi="宋体" w:cs="宋体"/>
          <w:color w:val="auto"/>
          <w:sz w:val="24"/>
          <w:szCs w:val="24"/>
          <w:highlight w:val="none"/>
        </w:rPr>
        <w:t>磋商</w:t>
      </w:r>
      <w:r>
        <w:rPr>
          <w:rFonts w:hint="eastAsia" w:ascii="宋体" w:hAnsi="宋体" w:cs="宋体"/>
          <w:color w:val="auto"/>
          <w:sz w:val="24"/>
          <w:szCs w:val="24"/>
          <w:highlight w:val="none"/>
          <w:lang w:val="zh-CN"/>
        </w:rPr>
        <w:t>文件规定的其他情况；</w:t>
      </w:r>
    </w:p>
    <w:p w14:paraId="724D4AC9">
      <w:pPr>
        <w:widowControl w:val="0"/>
        <w:tabs>
          <w:tab w:val="left" w:pos="65"/>
        </w:tabs>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3.5.4.7、供应商应按磋商文件规定及时缴纳中标服务费。</w:t>
      </w:r>
    </w:p>
    <w:p w14:paraId="2F8EBB56">
      <w:pPr>
        <w:widowControl w:val="0"/>
        <w:tabs>
          <w:tab w:val="left" w:pos="65"/>
        </w:tabs>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3.5.5 违背承诺的责任追究措施</w:t>
      </w:r>
    </w:p>
    <w:p w14:paraId="2974B92E">
      <w:pPr>
        <w:widowControl w:val="0"/>
        <w:tabs>
          <w:tab w:val="left" w:pos="65"/>
        </w:tabs>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供应商如违背上述承诺事项，应无条件接受以下责任追究：</w:t>
      </w:r>
    </w:p>
    <w:p w14:paraId="71219AF7">
      <w:pPr>
        <w:widowControl w:val="0"/>
        <w:tabs>
          <w:tab w:val="left" w:pos="65"/>
        </w:tabs>
        <w:spacing w:line="360" w:lineRule="auto"/>
        <w:ind w:firstLine="480" w:firstLineChars="200"/>
        <w:textAlignment w:val="auto"/>
        <w:rPr>
          <w:rFonts w:ascii="宋体" w:hAnsi="宋体" w:cs="宋体"/>
          <w:color w:val="auto"/>
          <w:sz w:val="24"/>
          <w:szCs w:val="24"/>
          <w:highlight w:val="none"/>
          <w:lang w:val="zh-CN"/>
        </w:rPr>
      </w:pPr>
      <w:r>
        <w:rPr>
          <w:rFonts w:hint="eastAsia" w:ascii="宋体" w:hAnsi="宋体" w:cs="宋体"/>
          <w:color w:val="auto"/>
          <w:sz w:val="24"/>
          <w:szCs w:val="24"/>
          <w:highlight w:val="none"/>
        </w:rPr>
        <w:t>3.5.5.1</w:t>
      </w:r>
      <w:r>
        <w:rPr>
          <w:rFonts w:hint="eastAsia" w:ascii="宋体" w:hAnsi="宋体" w:cs="宋体"/>
          <w:color w:val="auto"/>
          <w:sz w:val="24"/>
          <w:szCs w:val="24"/>
          <w:highlight w:val="none"/>
          <w:lang w:val="zh-CN"/>
        </w:rPr>
        <w:t>法定责任：</w:t>
      </w:r>
      <w:r>
        <w:rPr>
          <w:rFonts w:hint="eastAsia" w:ascii="宋体" w:hAnsi="宋体" w:cs="宋体"/>
          <w:color w:val="auto"/>
          <w:sz w:val="24"/>
          <w:szCs w:val="24"/>
          <w:highlight w:val="none"/>
        </w:rPr>
        <w:t>按照政府采购相关法规，</w:t>
      </w:r>
      <w:r>
        <w:rPr>
          <w:rFonts w:hint="eastAsia" w:ascii="宋体" w:hAnsi="宋体" w:cs="宋体"/>
          <w:color w:val="auto"/>
          <w:sz w:val="24"/>
          <w:szCs w:val="24"/>
          <w:highlight w:val="none"/>
          <w:lang w:val="zh-CN"/>
        </w:rPr>
        <w:t>处以罚款，列入不良行为记录名单，在一至三年内禁止参加政府采购活动，有违法所得的，并处没收违法所得，情节严重的，由工商行政管理机关（市场监督机关）吊销营业执照；构成犯罪的，依法追究刑事责任。</w:t>
      </w:r>
    </w:p>
    <w:p w14:paraId="20F77D77">
      <w:pPr>
        <w:widowControl w:val="0"/>
        <w:tabs>
          <w:tab w:val="left" w:pos="65"/>
        </w:tabs>
        <w:spacing w:line="360" w:lineRule="auto"/>
        <w:ind w:firstLine="480" w:firstLineChars="200"/>
        <w:textAlignment w:val="auto"/>
        <w:rPr>
          <w:rFonts w:ascii="宋体" w:hAnsi="宋体" w:cs="宋体"/>
          <w:color w:val="auto"/>
          <w:sz w:val="24"/>
          <w:szCs w:val="24"/>
          <w:highlight w:val="none"/>
          <w:lang w:val="zh-CN"/>
        </w:rPr>
      </w:pPr>
      <w:r>
        <w:rPr>
          <w:rFonts w:hint="eastAsia" w:ascii="宋体" w:hAnsi="宋体" w:cs="宋体"/>
          <w:color w:val="auto"/>
          <w:sz w:val="24"/>
          <w:szCs w:val="24"/>
          <w:highlight w:val="none"/>
        </w:rPr>
        <w:t>给采购人及他人造成损失的，应承担相应的赔偿责任。</w:t>
      </w:r>
    </w:p>
    <w:p w14:paraId="7FAF5737">
      <w:pPr>
        <w:widowControl w:val="0"/>
        <w:tabs>
          <w:tab w:val="left" w:pos="65"/>
        </w:tabs>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3.5.5.2</w:t>
      </w:r>
      <w:r>
        <w:rPr>
          <w:rFonts w:hint="eastAsia" w:ascii="宋体" w:hAnsi="宋体" w:cs="宋体"/>
          <w:color w:val="auto"/>
          <w:sz w:val="24"/>
          <w:szCs w:val="24"/>
          <w:highlight w:val="none"/>
          <w:lang w:val="zh-CN"/>
        </w:rPr>
        <w:t>违约责任：</w:t>
      </w:r>
      <w:r>
        <w:rPr>
          <w:rFonts w:hint="eastAsia" w:ascii="宋体" w:hAnsi="宋体" w:cs="宋体"/>
          <w:color w:val="auto"/>
          <w:sz w:val="24"/>
          <w:szCs w:val="24"/>
          <w:highlight w:val="none"/>
        </w:rPr>
        <w:t xml:space="preserve"> </w:t>
      </w:r>
    </w:p>
    <w:p w14:paraId="34E0663C">
      <w:pPr>
        <w:widowControl w:val="0"/>
        <w:tabs>
          <w:tab w:val="left" w:pos="65"/>
        </w:tabs>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3.5.5.2.1 已中标的，中标（成交）无效；</w:t>
      </w:r>
    </w:p>
    <w:p w14:paraId="25250107">
      <w:pPr>
        <w:widowControl w:val="0"/>
        <w:tabs>
          <w:tab w:val="left" w:pos="65"/>
        </w:tabs>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3.5.5.2.2 支付采购人违约标的预算金额2%的</w:t>
      </w:r>
      <w:r>
        <w:rPr>
          <w:rFonts w:hint="eastAsia" w:ascii="宋体" w:hAnsi="宋体" w:cs="宋体"/>
          <w:color w:val="auto"/>
          <w:sz w:val="24"/>
          <w:szCs w:val="24"/>
          <w:highlight w:val="none"/>
          <w:lang w:val="zh-CN"/>
        </w:rPr>
        <w:t>违约金</w:t>
      </w:r>
      <w:r>
        <w:rPr>
          <w:rFonts w:hint="eastAsia" w:ascii="宋体" w:hAnsi="宋体" w:cs="宋体"/>
          <w:color w:val="auto"/>
          <w:sz w:val="24"/>
          <w:szCs w:val="24"/>
          <w:highlight w:val="none"/>
        </w:rPr>
        <w:t>；</w:t>
      </w:r>
    </w:p>
    <w:p w14:paraId="20937892">
      <w:pPr>
        <w:widowControl w:val="0"/>
        <w:tabs>
          <w:tab w:val="left" w:pos="65"/>
        </w:tabs>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3.5.5.2.3中标后未缴中标服务费的，作为违约及违背</w:t>
      </w:r>
      <w:r>
        <w:rPr>
          <w:color w:val="auto"/>
          <w:highlight w:val="none"/>
        </w:rPr>
        <w:fldChar w:fldCharType="begin"/>
      </w:r>
      <w:r>
        <w:rPr>
          <w:color w:val="auto"/>
          <w:highlight w:val="none"/>
        </w:rPr>
        <w:instrText xml:space="preserve"> HYPERLINK "http://www.so.com/s?q=%E8%AF%9A%E5%AE%9E%E4%BF%A1%E7%94%A8&amp;ie=utf-8&amp;src=internal_wenda_recommend_textn" \t "https://wenda.so.com/q/_blank" </w:instrText>
      </w:r>
      <w:r>
        <w:rPr>
          <w:color w:val="auto"/>
          <w:highlight w:val="none"/>
        </w:rPr>
        <w:fldChar w:fldCharType="separate"/>
      </w:r>
      <w:r>
        <w:rPr>
          <w:rFonts w:hint="eastAsia" w:ascii="宋体" w:hAnsi="宋体" w:cs="宋体"/>
          <w:color w:val="auto"/>
          <w:sz w:val="24"/>
          <w:szCs w:val="24"/>
          <w:highlight w:val="none"/>
        </w:rPr>
        <w:t>诚实信用</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t>原则，在履行承诺前，代理机构将视该单位为失信企业、不予办理其后相关业务。</w:t>
      </w:r>
    </w:p>
    <w:p w14:paraId="3FD3C490">
      <w:pPr>
        <w:autoSpaceDE w:val="0"/>
        <w:autoSpaceDN w:val="0"/>
        <w:adjustRightInd w:val="0"/>
        <w:spacing w:before="120" w:beforeLines="50" w:line="360" w:lineRule="auto"/>
        <w:ind w:firstLine="539"/>
        <w:rPr>
          <w:rFonts w:ascii="宋体" w:hAnsi="宋体" w:cs="宋体"/>
          <w:b/>
          <w:bCs/>
          <w:color w:val="auto"/>
          <w:sz w:val="28"/>
          <w:szCs w:val="28"/>
          <w:highlight w:val="none"/>
          <w:lang w:val="zh-CN"/>
        </w:rPr>
      </w:pPr>
      <w:r>
        <w:rPr>
          <w:rFonts w:hint="eastAsia" w:ascii="宋体" w:hAnsi="宋体" w:cs="宋体"/>
          <w:b/>
          <w:color w:val="auto"/>
          <w:sz w:val="24"/>
          <w:highlight w:val="none"/>
          <w:lang w:val="zh-CN"/>
        </w:rPr>
        <w:t>3.6 投标资格文件：</w:t>
      </w:r>
      <w:r>
        <w:rPr>
          <w:rFonts w:hint="eastAsia" w:ascii="宋体" w:hAnsi="宋体" w:cs="宋体"/>
          <w:color w:val="auto"/>
          <w:sz w:val="24"/>
          <w:highlight w:val="none"/>
          <w:lang w:val="zh-CN"/>
        </w:rPr>
        <w:t>要求见竞争性磋商公告。</w:t>
      </w:r>
    </w:p>
    <w:p w14:paraId="2965AD1B">
      <w:pPr>
        <w:autoSpaceDE w:val="0"/>
        <w:autoSpaceDN w:val="0"/>
        <w:adjustRightInd w:val="0"/>
        <w:spacing w:before="120" w:beforeLines="50" w:line="360" w:lineRule="auto"/>
        <w:ind w:firstLine="539"/>
        <w:rPr>
          <w:rFonts w:ascii="宋体" w:hAnsi="宋体" w:cs="宋体"/>
          <w:b/>
          <w:color w:val="auto"/>
          <w:sz w:val="24"/>
          <w:highlight w:val="none"/>
          <w:lang w:val="zh-CN"/>
        </w:rPr>
      </w:pPr>
      <w:r>
        <w:rPr>
          <w:rFonts w:hint="eastAsia" w:ascii="宋体" w:hAnsi="宋体" w:cs="宋体"/>
          <w:b/>
          <w:color w:val="auto"/>
          <w:sz w:val="24"/>
          <w:highlight w:val="none"/>
          <w:lang w:val="zh-CN"/>
        </w:rPr>
        <w:t>3.7 《响应文件》的编制</w:t>
      </w:r>
    </w:p>
    <w:p w14:paraId="0387752D">
      <w:pPr>
        <w:topLinePunct/>
        <w:adjustRightInd w:val="0"/>
        <w:snapToGrid w:val="0"/>
        <w:spacing w:before="120" w:beforeLines="50" w:line="360" w:lineRule="auto"/>
        <w:ind w:firstLine="564" w:firstLineChars="235"/>
        <w:rPr>
          <w:rFonts w:ascii="宋体" w:hAnsi="宋体" w:cs="宋体"/>
          <w:color w:val="auto"/>
          <w:sz w:val="24"/>
          <w:highlight w:val="none"/>
          <w:lang w:val="zh-CN"/>
        </w:rPr>
      </w:pPr>
      <w:r>
        <w:rPr>
          <w:rFonts w:hint="eastAsia" w:ascii="宋体" w:hAnsi="宋体" w:cs="宋体"/>
          <w:color w:val="auto"/>
          <w:sz w:val="24"/>
          <w:highlight w:val="none"/>
          <w:lang w:val="zh-CN"/>
        </w:rPr>
        <w:t>3.7.1 《响应文件》应按第六章“《响应文件》格式”进行编写，如有必要，可以增加附页，作为《响应文件》的组成部分。《磋商文件》中未列明格式的，由供应商按一般通用格式自行设计编写。</w:t>
      </w:r>
    </w:p>
    <w:p w14:paraId="3AE67EBC">
      <w:pPr>
        <w:topLinePunct/>
        <w:adjustRightInd w:val="0"/>
        <w:snapToGrid w:val="0"/>
        <w:spacing w:before="120" w:beforeLines="50" w:line="360" w:lineRule="auto"/>
        <w:ind w:firstLine="566" w:firstLineChars="235"/>
        <w:rPr>
          <w:rFonts w:ascii="宋体" w:hAnsi="宋体" w:cs="宋体"/>
          <w:b/>
          <w:color w:val="auto"/>
          <w:sz w:val="24"/>
          <w:highlight w:val="none"/>
          <w:lang w:val="zh-CN"/>
        </w:rPr>
      </w:pPr>
      <w:r>
        <w:rPr>
          <w:rFonts w:hint="eastAsia" w:ascii="宋体" w:hAnsi="宋体" w:cs="宋体"/>
          <w:b/>
          <w:color w:val="auto"/>
          <w:sz w:val="24"/>
          <w:highlight w:val="none"/>
          <w:lang w:val="zh-CN"/>
        </w:rPr>
        <w:t>《响应文件》编制后，需录入导入“竞争性磋商公告”所述 “安阳市政府采购投标文件编制系统”，经电子签名并加密后、在《响应文件》提交截止时间前，上传至“竞争性磋商公告”所述网上电子交易系统。</w:t>
      </w:r>
    </w:p>
    <w:p w14:paraId="2D0CC6BF">
      <w:pPr>
        <w:topLinePunct/>
        <w:adjustRightInd w:val="0"/>
        <w:snapToGrid w:val="0"/>
        <w:spacing w:before="120" w:beforeLines="50" w:line="360" w:lineRule="auto"/>
        <w:ind w:firstLine="564" w:firstLineChars="235"/>
        <w:rPr>
          <w:rFonts w:ascii="宋体" w:hAnsi="宋体" w:cs="宋体"/>
          <w:color w:val="auto"/>
          <w:sz w:val="24"/>
          <w:highlight w:val="none"/>
          <w:lang w:val="zh-CN"/>
        </w:rPr>
      </w:pPr>
      <w:r>
        <w:rPr>
          <w:rFonts w:hint="eastAsia" w:ascii="宋体" w:hAnsi="宋体" w:cs="宋体"/>
          <w:color w:val="auto"/>
          <w:sz w:val="24"/>
          <w:highlight w:val="none"/>
          <w:lang w:val="zh-CN"/>
        </w:rPr>
        <w:t>3.7.2 “《响应文件》格式”仅为对《响应文件》部分内容的格式化规范，并非《响应文件》所应具备的全部内容。供应商应按本章“3.2《响应文件》的组成”列示内容编制《响应文件》。</w:t>
      </w:r>
    </w:p>
    <w:p w14:paraId="03065944">
      <w:pPr>
        <w:topLinePunct/>
        <w:adjustRightInd w:val="0"/>
        <w:snapToGrid w:val="0"/>
        <w:spacing w:before="120" w:beforeLines="50" w:line="360" w:lineRule="auto"/>
        <w:ind w:firstLine="564" w:firstLineChars="235"/>
        <w:rPr>
          <w:rFonts w:ascii="宋体" w:hAnsi="宋体" w:cs="宋体"/>
          <w:color w:val="auto"/>
          <w:sz w:val="24"/>
          <w:highlight w:val="none"/>
          <w:lang w:val="zh-CN"/>
        </w:rPr>
      </w:pPr>
      <w:r>
        <w:rPr>
          <w:rFonts w:hint="eastAsia" w:ascii="宋体" w:hAnsi="宋体" w:cs="宋体"/>
          <w:color w:val="auto"/>
          <w:sz w:val="24"/>
          <w:highlight w:val="none"/>
          <w:lang w:val="zh-CN"/>
        </w:rPr>
        <w:t>3.7.3 《响应文件》应当对《磋商文件》有关标段（包）内容（范围）、技术要求、售后服务、合同履行期限、投标有效期等实质性内容作出响应。在满足《磋商文件》实质性要求的基础上，可以提出比《磋商文件》要求更有利于采购人的承诺。并符合《磋商文件》偏差规定。</w:t>
      </w:r>
    </w:p>
    <w:p w14:paraId="153A79B8">
      <w:pPr>
        <w:topLinePunct/>
        <w:adjustRightInd w:val="0"/>
        <w:snapToGrid w:val="0"/>
        <w:spacing w:before="120" w:beforeLines="50" w:line="360" w:lineRule="auto"/>
        <w:ind w:firstLine="564" w:firstLineChars="235"/>
        <w:rPr>
          <w:rFonts w:ascii="宋体" w:hAnsi="宋体" w:cs="宋体"/>
          <w:color w:val="auto"/>
          <w:sz w:val="24"/>
          <w:highlight w:val="none"/>
          <w:lang w:val="zh-CN"/>
        </w:rPr>
      </w:pPr>
      <w:r>
        <w:rPr>
          <w:rFonts w:hint="eastAsia" w:ascii="宋体" w:hAnsi="宋体" w:cs="宋体"/>
          <w:color w:val="auto"/>
          <w:sz w:val="24"/>
          <w:highlight w:val="none"/>
          <w:lang w:val="zh-CN"/>
        </w:rPr>
        <w:t>《响应文件》的所有条款与《磋商文件》要求有任何不同之处，应按《技术偏差表》、《其他偏差表》格式逐一填列。《响应文件》与《磋商文件》所有要求存在偏差而未填列的，磋商小组有权按照实质性判断原则（实质性要求和实质性响应两因素）评定其为</w:t>
      </w:r>
      <w:r>
        <w:rPr>
          <w:rFonts w:hint="eastAsia" w:ascii="宋体" w:hAnsi="宋体" w:cs="宋体"/>
          <w:b/>
          <w:color w:val="auto"/>
          <w:sz w:val="24"/>
          <w:highlight w:val="none"/>
          <w:lang w:val="zh-CN"/>
        </w:rPr>
        <w:t>无效投标</w:t>
      </w:r>
      <w:r>
        <w:rPr>
          <w:rFonts w:hint="eastAsia" w:ascii="宋体" w:hAnsi="宋体" w:cs="宋体"/>
          <w:color w:val="auto"/>
          <w:sz w:val="24"/>
          <w:highlight w:val="none"/>
          <w:lang w:val="zh-CN"/>
        </w:rPr>
        <w:t>。供应商应认真编制《响应文件》并自负此项风险。</w:t>
      </w:r>
    </w:p>
    <w:p w14:paraId="44353225">
      <w:pPr>
        <w:topLinePunct/>
        <w:adjustRightInd w:val="0"/>
        <w:snapToGrid w:val="0"/>
        <w:spacing w:before="120" w:beforeLines="50" w:line="360" w:lineRule="auto"/>
        <w:ind w:firstLine="566" w:firstLineChars="235"/>
        <w:rPr>
          <w:rFonts w:ascii="宋体" w:hAnsi="宋体" w:cs="宋体"/>
          <w:b/>
          <w:color w:val="auto"/>
          <w:sz w:val="24"/>
          <w:highlight w:val="none"/>
        </w:rPr>
      </w:pPr>
      <w:r>
        <w:rPr>
          <w:rFonts w:hint="eastAsia" w:ascii="宋体" w:hAnsi="宋体" w:cs="宋体"/>
          <w:b/>
          <w:color w:val="auto"/>
          <w:sz w:val="24"/>
          <w:highlight w:val="none"/>
          <w:lang w:val="zh-CN"/>
        </w:rPr>
        <w:t>3</w:t>
      </w:r>
      <w:r>
        <w:rPr>
          <w:rFonts w:hint="eastAsia" w:ascii="宋体" w:hAnsi="宋体" w:cs="宋体"/>
          <w:b/>
          <w:color w:val="auto"/>
          <w:sz w:val="24"/>
          <w:highlight w:val="none"/>
        </w:rPr>
        <w:t>.7.4 《响应文件》应按《磋商文件》</w:t>
      </w:r>
      <w:r>
        <w:rPr>
          <w:rFonts w:hint="eastAsia" w:ascii="宋体" w:hAnsi="宋体" w:cs="宋体"/>
          <w:b/>
          <w:color w:val="auto"/>
          <w:sz w:val="24"/>
          <w:highlight w:val="none"/>
          <w:lang w:val="zh-CN"/>
        </w:rPr>
        <w:t>相关要求（含格式上标注的要求）、</w:t>
      </w:r>
      <w:r>
        <w:rPr>
          <w:rFonts w:hint="eastAsia" w:ascii="宋体" w:hAnsi="宋体" w:cs="宋体"/>
          <w:b/>
          <w:color w:val="auto"/>
          <w:sz w:val="24"/>
          <w:highlight w:val="none"/>
        </w:rPr>
        <w:t>使用供应商企业数字证书进行电子签章和供应商法定代表人数字证书进行电子签名、并加密，没有使用供应商企业数字证书和供应商法定代表人数字证书进行电子签名并加密的《响应文件》，属于未按照《磋商文件》要求进行签署。</w:t>
      </w:r>
    </w:p>
    <w:p w14:paraId="1310EA29">
      <w:pPr>
        <w:topLinePunct/>
        <w:adjustRightInd w:val="0"/>
        <w:snapToGrid w:val="0"/>
        <w:spacing w:before="120" w:beforeLines="50" w:line="360" w:lineRule="auto"/>
        <w:ind w:firstLine="566" w:firstLineChars="235"/>
        <w:rPr>
          <w:rFonts w:ascii="宋体" w:hAnsi="宋体" w:cs="宋体"/>
          <w:color w:val="auto"/>
          <w:sz w:val="24"/>
          <w:highlight w:val="none"/>
        </w:rPr>
      </w:pPr>
      <w:r>
        <w:rPr>
          <w:rFonts w:hint="eastAsia" w:ascii="宋体" w:hAnsi="宋体" w:cs="宋体"/>
          <w:b/>
          <w:color w:val="auto"/>
          <w:sz w:val="24"/>
          <w:highlight w:val="none"/>
        </w:rPr>
        <w:t>根据《中华人民共和国电子签名法》规定，可靠的电子签名与手写签名或者盖章具有同等的法律效力。本次采购活动中，供应商使用有效的企业数字证书对《响应文件》进行电子签章与加盖供应商公章具有同等法律效力；供应商法定代表人使用有效的个人数字证书对《响应文件》进行签名与法人签章具有同等法律效力。</w:t>
      </w:r>
    </w:p>
    <w:p w14:paraId="68D5C8AA">
      <w:pPr>
        <w:topLinePunct/>
        <w:adjustRightInd w:val="0"/>
        <w:snapToGrid w:val="0"/>
        <w:spacing w:before="120" w:beforeLines="50" w:line="360" w:lineRule="auto"/>
        <w:ind w:firstLine="564" w:firstLineChars="235"/>
        <w:rPr>
          <w:rFonts w:ascii="宋体" w:hAnsi="宋体" w:cs="宋体"/>
          <w:color w:val="auto"/>
          <w:sz w:val="24"/>
          <w:highlight w:val="none"/>
          <w:lang w:val="zh-CN"/>
        </w:rPr>
      </w:pPr>
      <w:r>
        <w:rPr>
          <w:rFonts w:hint="eastAsia" w:ascii="宋体" w:hAnsi="宋体" w:cs="宋体"/>
          <w:color w:val="auto"/>
          <w:sz w:val="24"/>
          <w:highlight w:val="none"/>
          <w:lang w:val="zh-CN"/>
        </w:rPr>
        <w:t>3.7.5 供应商可对本《磋商文件》“标段（包）一览表”中所列的所有标段（包）进行分别投标，也可选择其中一个标段（包）或几个标段（包）投标，但不得将《磋商文件》规定的同一标段（包）的内容拆开投标，否则将按</w:t>
      </w:r>
      <w:r>
        <w:rPr>
          <w:rFonts w:hint="eastAsia" w:ascii="宋体" w:hAnsi="宋体" w:cs="宋体"/>
          <w:b/>
          <w:color w:val="auto"/>
          <w:sz w:val="24"/>
          <w:highlight w:val="none"/>
          <w:lang w:val="zh-CN"/>
        </w:rPr>
        <w:t>无效投标</w:t>
      </w:r>
      <w:r>
        <w:rPr>
          <w:rFonts w:hint="eastAsia" w:ascii="宋体" w:hAnsi="宋体" w:cs="宋体"/>
          <w:color w:val="auto"/>
          <w:sz w:val="24"/>
          <w:highlight w:val="none"/>
          <w:lang w:val="zh-CN"/>
        </w:rPr>
        <w:t>处理。</w:t>
      </w:r>
    </w:p>
    <w:p w14:paraId="6723610B">
      <w:pPr>
        <w:topLinePunct/>
        <w:adjustRightInd w:val="0"/>
        <w:snapToGrid w:val="0"/>
        <w:spacing w:before="120" w:beforeLines="50" w:line="360" w:lineRule="auto"/>
        <w:ind w:firstLine="564" w:firstLineChars="235"/>
        <w:rPr>
          <w:rFonts w:ascii="宋体" w:hAnsi="宋体" w:cs="宋体"/>
          <w:color w:val="auto"/>
          <w:sz w:val="24"/>
          <w:highlight w:val="none"/>
          <w:lang w:val="zh-CN"/>
        </w:rPr>
      </w:pPr>
      <w:r>
        <w:rPr>
          <w:rFonts w:hint="eastAsia" w:ascii="宋体" w:hAnsi="宋体" w:cs="宋体"/>
          <w:color w:val="auto"/>
          <w:sz w:val="24"/>
          <w:highlight w:val="none"/>
          <w:lang w:val="zh-CN"/>
        </w:rPr>
        <w:t>3.7.6 《响应文件》因字迹或表述不清所引起的后果由供应商自行负责。</w:t>
      </w:r>
    </w:p>
    <w:p w14:paraId="60AA22B1">
      <w:pPr>
        <w:topLinePunct/>
        <w:adjustRightInd w:val="0"/>
        <w:snapToGrid w:val="0"/>
        <w:spacing w:before="120" w:beforeLines="50" w:line="360" w:lineRule="auto"/>
        <w:ind w:firstLine="564" w:firstLineChars="235"/>
        <w:rPr>
          <w:rFonts w:ascii="宋体" w:hAnsi="宋体" w:cs="宋体"/>
          <w:b/>
          <w:bCs/>
          <w:color w:val="auto"/>
          <w:sz w:val="28"/>
          <w:szCs w:val="28"/>
          <w:highlight w:val="none"/>
          <w:lang w:val="zh-CN"/>
        </w:rPr>
      </w:pPr>
      <w:r>
        <w:rPr>
          <w:rFonts w:hint="eastAsia" w:ascii="宋体" w:hAnsi="宋体" w:cs="宋体"/>
          <w:color w:val="auto"/>
          <w:sz w:val="24"/>
          <w:highlight w:val="none"/>
          <w:lang w:val="zh-CN"/>
        </w:rPr>
        <w:t>3.7.7 未按上述要求提交的《响应文件》将视为</w:t>
      </w:r>
      <w:r>
        <w:rPr>
          <w:rFonts w:hint="eastAsia" w:ascii="宋体" w:hAnsi="宋体" w:cs="宋体"/>
          <w:b/>
          <w:color w:val="auto"/>
          <w:sz w:val="24"/>
          <w:highlight w:val="none"/>
          <w:lang w:val="zh-CN"/>
        </w:rPr>
        <w:t>无效投标。</w:t>
      </w:r>
    </w:p>
    <w:p w14:paraId="1B2C662A">
      <w:pPr>
        <w:autoSpaceDE w:val="0"/>
        <w:autoSpaceDN w:val="0"/>
        <w:adjustRightInd w:val="0"/>
        <w:snapToGrid w:val="0"/>
        <w:spacing w:before="120" w:beforeLines="50" w:line="300" w:lineRule="auto"/>
        <w:ind w:firstLine="539"/>
        <w:outlineLvl w:val="1"/>
        <w:rPr>
          <w:rFonts w:ascii="宋体" w:hAnsi="宋体" w:cs="宋体"/>
          <w:b/>
          <w:bCs/>
          <w:color w:val="auto"/>
          <w:sz w:val="28"/>
          <w:szCs w:val="28"/>
          <w:highlight w:val="none"/>
          <w:lang w:val="zh-CN"/>
        </w:rPr>
      </w:pPr>
      <w:bookmarkStart w:id="18" w:name="_Toc83372546"/>
      <w:r>
        <w:rPr>
          <w:rFonts w:hint="eastAsia" w:ascii="宋体" w:hAnsi="宋体" w:cs="宋体"/>
          <w:b/>
          <w:bCs/>
          <w:color w:val="auto"/>
          <w:sz w:val="28"/>
          <w:szCs w:val="28"/>
          <w:highlight w:val="none"/>
          <w:lang w:val="zh-CN"/>
        </w:rPr>
        <w:t>4.《响应文件》的提交</w:t>
      </w:r>
      <w:bookmarkEnd w:id="18"/>
    </w:p>
    <w:p w14:paraId="0ABE468B">
      <w:pPr>
        <w:autoSpaceDE w:val="0"/>
        <w:autoSpaceDN w:val="0"/>
        <w:adjustRightInd w:val="0"/>
        <w:snapToGrid w:val="0"/>
        <w:spacing w:before="120" w:beforeLines="50" w:line="360" w:lineRule="auto"/>
        <w:ind w:firstLine="539"/>
        <w:rPr>
          <w:rFonts w:ascii="宋体" w:hAnsi="宋体" w:cs="宋体"/>
          <w:b/>
          <w:color w:val="auto"/>
          <w:sz w:val="24"/>
          <w:highlight w:val="none"/>
          <w:lang w:val="zh-CN"/>
        </w:rPr>
      </w:pPr>
      <w:bookmarkStart w:id="19" w:name="OLE_LINK2"/>
      <w:bookmarkStart w:id="20" w:name="_Toc296602445"/>
      <w:r>
        <w:rPr>
          <w:rFonts w:hint="eastAsia" w:ascii="宋体" w:hAnsi="宋体" w:cs="宋体"/>
          <w:b/>
          <w:color w:val="auto"/>
          <w:sz w:val="24"/>
          <w:highlight w:val="none"/>
          <w:lang w:val="zh-CN"/>
        </w:rPr>
        <w:t>4.1《响应文件》的密封和标记</w:t>
      </w:r>
    </w:p>
    <w:p w14:paraId="716A784F">
      <w:pPr>
        <w:autoSpaceDE w:val="0"/>
        <w:autoSpaceDN w:val="0"/>
        <w:adjustRightInd w:val="0"/>
        <w:snapToGrid w:val="0"/>
        <w:spacing w:before="120" w:beforeLines="50" w:line="360" w:lineRule="auto"/>
        <w:ind w:firstLine="539"/>
        <w:rPr>
          <w:rFonts w:ascii="宋体" w:hAnsi="宋体" w:cs="宋体"/>
          <w:b/>
          <w:color w:val="auto"/>
          <w:sz w:val="24"/>
          <w:highlight w:val="none"/>
          <w:lang w:val="zh-CN"/>
        </w:rPr>
      </w:pPr>
      <w:r>
        <w:rPr>
          <w:rFonts w:hint="eastAsia" w:ascii="宋体" w:hAnsi="宋体" w:cs="宋体"/>
          <w:b/>
          <w:color w:val="auto"/>
          <w:sz w:val="24"/>
          <w:highlight w:val="none"/>
          <w:lang w:val="zh-CN"/>
        </w:rPr>
        <w:t>4.1.1 《响应文件》应当按网上电子交易系统要求进行加密和标记，在《响应文件》提交截止时间前，将加密的《响应文件》上传至“竞争性磋商公告”所述网上电子交易系统。</w:t>
      </w:r>
    </w:p>
    <w:p w14:paraId="0FE5F15E">
      <w:pPr>
        <w:autoSpaceDE w:val="0"/>
        <w:autoSpaceDN w:val="0"/>
        <w:adjustRightInd w:val="0"/>
        <w:snapToGrid w:val="0"/>
        <w:spacing w:before="120" w:beforeLines="50" w:line="360" w:lineRule="auto"/>
        <w:ind w:firstLine="539"/>
        <w:rPr>
          <w:rFonts w:ascii="宋体" w:hAnsi="宋体" w:cs="宋体"/>
          <w:b/>
          <w:color w:val="auto"/>
          <w:sz w:val="24"/>
          <w:highlight w:val="none"/>
          <w:lang w:val="zh-CN"/>
        </w:rPr>
      </w:pPr>
      <w:bookmarkStart w:id="21" w:name="OLE_LINK1"/>
      <w:r>
        <w:rPr>
          <w:rFonts w:hint="eastAsia" w:ascii="宋体" w:hAnsi="宋体" w:cs="宋体"/>
          <w:b/>
          <w:color w:val="auto"/>
          <w:sz w:val="24"/>
          <w:highlight w:val="none"/>
          <w:lang w:val="zh-CN"/>
        </w:rPr>
        <w:t>4.1.2 《响应文件》没有按照上述要求进行加密和标记的、网上电子交易系统将据系统设定拒收其《响应文件》，供应商应自负该项风险，采购代理机构对可能产生的误投或提前启封概不负责。</w:t>
      </w:r>
      <w:bookmarkEnd w:id="21"/>
    </w:p>
    <w:bookmarkEnd w:id="19"/>
    <w:p w14:paraId="33362382">
      <w:pPr>
        <w:autoSpaceDE w:val="0"/>
        <w:autoSpaceDN w:val="0"/>
        <w:adjustRightInd w:val="0"/>
        <w:snapToGrid w:val="0"/>
        <w:spacing w:before="120" w:beforeLines="50" w:line="360" w:lineRule="auto"/>
        <w:ind w:firstLine="539"/>
        <w:rPr>
          <w:rFonts w:ascii="宋体" w:hAnsi="宋体" w:cs="宋体"/>
          <w:b/>
          <w:color w:val="auto"/>
          <w:sz w:val="24"/>
          <w:highlight w:val="none"/>
          <w:lang w:val="zh-CN"/>
        </w:rPr>
      </w:pPr>
      <w:r>
        <w:rPr>
          <w:rFonts w:hint="eastAsia" w:ascii="宋体" w:hAnsi="宋体" w:cs="宋体"/>
          <w:b/>
          <w:color w:val="auto"/>
          <w:sz w:val="24"/>
          <w:highlight w:val="none"/>
          <w:lang w:val="zh-CN"/>
        </w:rPr>
        <w:t>4.2 《响应文件》的递交</w:t>
      </w:r>
      <w:bookmarkEnd w:id="20"/>
    </w:p>
    <w:p w14:paraId="17536D05">
      <w:pPr>
        <w:autoSpaceDE w:val="0"/>
        <w:autoSpaceDN w:val="0"/>
        <w:adjustRightInd w:val="0"/>
        <w:snapToGrid w:val="0"/>
        <w:spacing w:before="120" w:beforeLines="50" w:line="360" w:lineRule="auto"/>
        <w:ind w:firstLine="539"/>
        <w:rPr>
          <w:rFonts w:ascii="宋体" w:hAnsi="宋体" w:cs="宋体"/>
          <w:b/>
          <w:color w:val="auto"/>
          <w:sz w:val="24"/>
          <w:highlight w:val="none"/>
          <w:lang w:val="zh-CN"/>
        </w:rPr>
      </w:pPr>
      <w:r>
        <w:rPr>
          <w:rFonts w:hint="eastAsia" w:ascii="宋体" w:hAnsi="宋体" w:cs="宋体"/>
          <w:b/>
          <w:color w:val="auto"/>
          <w:sz w:val="24"/>
          <w:highlight w:val="none"/>
          <w:lang w:val="zh-CN"/>
        </w:rPr>
        <w:t>4.2.1 供应商须在《响应文件》提交截止时间前，将加密的《响应文件》上传至“竞争性磋商公告”所述网上电子交易系统（在网上电子交易系统，凭企业数字证书登录</w:t>
      </w:r>
      <w:r>
        <w:rPr>
          <w:rFonts w:hint="eastAsia" w:ascii="宋体" w:hAnsi="宋体" w:cs="宋体"/>
          <w:b/>
          <w:color w:val="auto"/>
          <w:sz w:val="24"/>
          <w:highlight w:val="none"/>
          <w:lang w:val="en-US" w:eastAsia="zh-CN"/>
        </w:rPr>
        <w:t>交易主体登录</w:t>
      </w:r>
      <w:r>
        <w:rPr>
          <w:rFonts w:hint="eastAsia" w:ascii="宋体" w:hAnsi="宋体" w:cs="宋体"/>
          <w:b/>
          <w:color w:val="auto"/>
          <w:sz w:val="24"/>
          <w:highlight w:val="none"/>
          <w:lang w:val="zh-CN"/>
        </w:rPr>
        <w:t>的“政府采购”系统上传）。供应商应在上传时认真检查上传《响应文件》是否完整、正确。</w:t>
      </w:r>
    </w:p>
    <w:p w14:paraId="3620D5E2">
      <w:pPr>
        <w:autoSpaceDE w:val="0"/>
        <w:autoSpaceDN w:val="0"/>
        <w:adjustRightInd w:val="0"/>
        <w:snapToGrid w:val="0"/>
        <w:spacing w:before="120" w:beforeLines="50" w:line="360" w:lineRule="auto"/>
        <w:ind w:firstLine="539"/>
        <w:rPr>
          <w:rFonts w:ascii="宋体" w:hAnsi="宋体" w:cs="宋体"/>
          <w:b/>
          <w:color w:val="auto"/>
          <w:sz w:val="24"/>
          <w:highlight w:val="none"/>
          <w:lang w:val="zh-CN"/>
        </w:rPr>
      </w:pPr>
      <w:r>
        <w:rPr>
          <w:rFonts w:hint="eastAsia" w:ascii="宋体" w:hAnsi="宋体" w:cs="宋体"/>
          <w:b/>
          <w:color w:val="auto"/>
          <w:sz w:val="24"/>
          <w:highlight w:val="none"/>
          <w:lang w:val="zh-CN"/>
        </w:rPr>
        <w:t>4.2.2 据网上电子交易系统设定，《响应文件》提交截止时间后，系统将自动锁定已经提交的电子《响应文件》，拒绝再次提交。供应商将无法通过网上电子交易系统进行上传，采购代理机构将无法接受并拒绝接受投标截止时间以后提交的《响应文件》。</w:t>
      </w:r>
    </w:p>
    <w:p w14:paraId="7853159F">
      <w:pPr>
        <w:autoSpaceDE w:val="0"/>
        <w:autoSpaceDN w:val="0"/>
        <w:adjustRightInd w:val="0"/>
        <w:snapToGrid w:val="0"/>
        <w:spacing w:before="120" w:beforeLines="50" w:line="360" w:lineRule="auto"/>
        <w:ind w:firstLine="539"/>
        <w:rPr>
          <w:rFonts w:ascii="宋体" w:hAnsi="宋体" w:cs="宋体"/>
          <w:color w:val="auto"/>
          <w:sz w:val="24"/>
          <w:highlight w:val="none"/>
          <w:lang w:val="zh-CN"/>
        </w:rPr>
      </w:pPr>
      <w:r>
        <w:rPr>
          <w:rFonts w:hint="eastAsia" w:ascii="宋体" w:hAnsi="宋体" w:cs="宋体"/>
          <w:color w:val="auto"/>
          <w:sz w:val="24"/>
          <w:highlight w:val="none"/>
          <w:lang w:val="zh-CN"/>
        </w:rPr>
        <w:t>4.2.3 由于不可抗拒的原因，代理机构对《响应文件》的遗失和损坏不负任何责任。</w:t>
      </w:r>
    </w:p>
    <w:p w14:paraId="702939BB">
      <w:pPr>
        <w:autoSpaceDE w:val="0"/>
        <w:autoSpaceDN w:val="0"/>
        <w:adjustRightInd w:val="0"/>
        <w:snapToGrid w:val="0"/>
        <w:spacing w:before="120" w:beforeLines="50" w:line="360" w:lineRule="auto"/>
        <w:ind w:firstLine="539"/>
        <w:rPr>
          <w:rFonts w:ascii="宋体" w:hAnsi="宋体" w:cs="宋体"/>
          <w:color w:val="auto"/>
          <w:sz w:val="24"/>
          <w:highlight w:val="none"/>
          <w:lang w:val="zh-CN"/>
        </w:rPr>
      </w:pPr>
      <w:r>
        <w:rPr>
          <w:rFonts w:hint="eastAsia" w:ascii="宋体" w:hAnsi="宋体" w:cs="宋体"/>
          <w:color w:val="auto"/>
          <w:sz w:val="24"/>
          <w:highlight w:val="none"/>
          <w:lang w:val="zh-CN"/>
        </w:rPr>
        <w:t>4.2.4 除供应商须知前附表另有规定外，供应商所递交的《响应文件》不予退还。</w:t>
      </w:r>
    </w:p>
    <w:p w14:paraId="63B89444">
      <w:pPr>
        <w:autoSpaceDE w:val="0"/>
        <w:autoSpaceDN w:val="0"/>
        <w:adjustRightInd w:val="0"/>
        <w:snapToGrid w:val="0"/>
        <w:spacing w:before="120" w:beforeLines="50" w:line="360" w:lineRule="auto"/>
        <w:ind w:firstLine="539"/>
        <w:rPr>
          <w:rFonts w:ascii="宋体" w:hAnsi="宋体" w:cs="宋体"/>
          <w:b/>
          <w:color w:val="auto"/>
          <w:sz w:val="24"/>
          <w:highlight w:val="none"/>
          <w:lang w:val="zh-CN"/>
        </w:rPr>
      </w:pPr>
      <w:r>
        <w:rPr>
          <w:rFonts w:hint="eastAsia" w:ascii="宋体" w:hAnsi="宋体" w:cs="宋体"/>
          <w:b/>
          <w:color w:val="auto"/>
          <w:sz w:val="24"/>
          <w:highlight w:val="none"/>
          <w:lang w:val="zh-CN"/>
        </w:rPr>
        <w:t>4.2.5 基于网上电子交易的系统要求及特点，只接受基于符合网上电子交易系统要求的投标，其他如纸制、送达、电报、电话、电子邮件等形式的投标概不接受。</w:t>
      </w:r>
    </w:p>
    <w:p w14:paraId="2D5F99B9">
      <w:pPr>
        <w:autoSpaceDE w:val="0"/>
        <w:autoSpaceDN w:val="0"/>
        <w:adjustRightInd w:val="0"/>
        <w:snapToGrid w:val="0"/>
        <w:spacing w:before="120" w:beforeLines="50" w:line="360" w:lineRule="auto"/>
        <w:ind w:firstLine="539"/>
        <w:rPr>
          <w:rFonts w:ascii="宋体" w:hAnsi="宋体" w:cs="宋体"/>
          <w:color w:val="auto"/>
          <w:sz w:val="24"/>
          <w:highlight w:val="none"/>
          <w:lang w:val="zh-CN"/>
        </w:rPr>
      </w:pPr>
      <w:r>
        <w:rPr>
          <w:rFonts w:hint="eastAsia" w:ascii="宋体" w:hAnsi="宋体" w:cs="宋体"/>
          <w:b/>
          <w:color w:val="auto"/>
          <w:sz w:val="24"/>
          <w:highlight w:val="none"/>
          <w:lang w:val="zh-CN"/>
        </w:rPr>
        <w:t>4.3 《响应文件》的修改与撤回</w:t>
      </w:r>
    </w:p>
    <w:p w14:paraId="32E334BD">
      <w:pPr>
        <w:autoSpaceDE w:val="0"/>
        <w:autoSpaceDN w:val="0"/>
        <w:adjustRightInd w:val="0"/>
        <w:snapToGrid w:val="0"/>
        <w:spacing w:before="120" w:beforeLines="50" w:line="360" w:lineRule="auto"/>
        <w:ind w:firstLine="539"/>
        <w:rPr>
          <w:rFonts w:ascii="宋体" w:hAnsi="宋体" w:cs="宋体"/>
          <w:b/>
          <w:color w:val="auto"/>
          <w:sz w:val="24"/>
          <w:highlight w:val="none"/>
          <w:lang w:val="zh-CN"/>
        </w:rPr>
      </w:pPr>
      <w:r>
        <w:rPr>
          <w:rFonts w:hint="eastAsia" w:ascii="宋体" w:hAnsi="宋体" w:cs="宋体"/>
          <w:b/>
          <w:color w:val="auto"/>
          <w:sz w:val="24"/>
          <w:highlight w:val="none"/>
          <w:lang w:val="zh-CN"/>
        </w:rPr>
        <w:t>4.3.1 供应商于提交《响应文件》截止时间前如对《响应文件》进行补充、修改，可以上传新的《响应文件》进行覆盖。供应商如撤回《响应文件》，应及时书面通知采购代理机构进行办理。</w:t>
      </w:r>
    </w:p>
    <w:p w14:paraId="7468871D">
      <w:pPr>
        <w:autoSpaceDE w:val="0"/>
        <w:autoSpaceDN w:val="0"/>
        <w:adjustRightInd w:val="0"/>
        <w:snapToGrid w:val="0"/>
        <w:spacing w:before="120" w:beforeLines="50" w:line="360" w:lineRule="auto"/>
        <w:ind w:firstLine="539"/>
        <w:rPr>
          <w:rFonts w:ascii="宋体" w:hAnsi="宋体" w:cs="宋体"/>
          <w:color w:val="auto"/>
          <w:sz w:val="24"/>
          <w:highlight w:val="none"/>
          <w:lang w:val="zh-CN"/>
        </w:rPr>
      </w:pPr>
      <w:r>
        <w:rPr>
          <w:rFonts w:hint="eastAsia" w:ascii="宋体" w:hAnsi="宋体" w:cs="宋体"/>
          <w:b/>
          <w:color w:val="auto"/>
          <w:sz w:val="24"/>
          <w:highlight w:val="none"/>
          <w:lang w:val="zh-CN"/>
        </w:rPr>
        <w:t>4.3.2 供应商在《响应文件》提交截止时间后不得自行修改或撤回其投标，否则</w:t>
      </w:r>
      <w:r>
        <w:rPr>
          <w:rFonts w:hint="eastAsia" w:ascii="宋体" w:hAnsi="宋体" w:cs="宋体"/>
          <w:color w:val="auto"/>
          <w:sz w:val="24"/>
          <w:szCs w:val="24"/>
          <w:highlight w:val="none"/>
        </w:rPr>
        <w:t>依据磋商文件“第三章</w:t>
      </w:r>
      <w:r>
        <w:rPr>
          <w:rFonts w:hint="eastAsia" w:ascii="宋体" w:hAnsi="宋体" w:cs="宋体"/>
          <w:color w:val="auto"/>
          <w:sz w:val="24"/>
          <w:szCs w:val="22"/>
          <w:highlight w:val="none"/>
        </w:rPr>
        <w:t>3.5.5 违背承诺的责任追究措施</w:t>
      </w:r>
      <w:r>
        <w:rPr>
          <w:rFonts w:hint="eastAsia" w:ascii="宋体" w:hAnsi="宋体" w:cs="宋体"/>
          <w:color w:val="auto"/>
          <w:sz w:val="24"/>
          <w:szCs w:val="24"/>
          <w:highlight w:val="none"/>
        </w:rPr>
        <w:t>”，供应商</w:t>
      </w:r>
      <w:r>
        <w:rPr>
          <w:rFonts w:hint="eastAsia" w:ascii="宋体" w:hAnsi="宋体" w:cs="宋体"/>
          <w:color w:val="auto"/>
          <w:sz w:val="24"/>
          <w:szCs w:val="22"/>
          <w:highlight w:val="none"/>
        </w:rPr>
        <w:t>承担相应法律责任及违约责任。</w:t>
      </w:r>
    </w:p>
    <w:p w14:paraId="662479FF">
      <w:pPr>
        <w:autoSpaceDE w:val="0"/>
        <w:autoSpaceDN w:val="0"/>
        <w:adjustRightInd w:val="0"/>
        <w:snapToGrid w:val="0"/>
        <w:spacing w:before="120" w:beforeLines="50" w:line="300" w:lineRule="auto"/>
        <w:ind w:firstLine="539"/>
        <w:outlineLvl w:val="1"/>
        <w:rPr>
          <w:rFonts w:ascii="宋体" w:hAnsi="宋体" w:cs="宋体"/>
          <w:color w:val="auto"/>
          <w:sz w:val="24"/>
          <w:highlight w:val="none"/>
          <w:lang w:val="zh-CN"/>
        </w:rPr>
      </w:pPr>
      <w:bookmarkStart w:id="22" w:name="_Toc83372547"/>
      <w:r>
        <w:rPr>
          <w:rFonts w:hint="eastAsia" w:ascii="宋体" w:hAnsi="宋体" w:cs="宋体"/>
          <w:b/>
          <w:bCs/>
          <w:color w:val="auto"/>
          <w:sz w:val="28"/>
          <w:szCs w:val="28"/>
          <w:highlight w:val="none"/>
          <w:lang w:val="zh-CN"/>
        </w:rPr>
        <w:t>5.《响应文件》的开启</w:t>
      </w:r>
      <w:bookmarkEnd w:id="22"/>
    </w:p>
    <w:p w14:paraId="0DA67CCA">
      <w:pPr>
        <w:autoSpaceDE w:val="0"/>
        <w:autoSpaceDN w:val="0"/>
        <w:adjustRightInd w:val="0"/>
        <w:snapToGrid w:val="0"/>
        <w:spacing w:before="120" w:beforeLines="50" w:line="360" w:lineRule="auto"/>
        <w:ind w:firstLine="539"/>
        <w:rPr>
          <w:rFonts w:ascii="宋体" w:hAnsi="宋体" w:cs="宋体"/>
          <w:b/>
          <w:color w:val="auto"/>
          <w:sz w:val="24"/>
          <w:highlight w:val="none"/>
          <w:lang w:val="zh-CN"/>
        </w:rPr>
      </w:pPr>
      <w:r>
        <w:rPr>
          <w:rFonts w:hint="eastAsia" w:ascii="宋体" w:hAnsi="宋体" w:cs="宋体"/>
          <w:b/>
          <w:color w:val="auto"/>
          <w:sz w:val="24"/>
          <w:highlight w:val="none"/>
          <w:lang w:val="zh-CN"/>
        </w:rPr>
        <w:t>5.1 《响应文件》开启时间和地点</w:t>
      </w:r>
    </w:p>
    <w:p w14:paraId="1A2A70EA">
      <w:pPr>
        <w:autoSpaceDE w:val="0"/>
        <w:autoSpaceDN w:val="0"/>
        <w:adjustRightInd w:val="0"/>
        <w:snapToGrid w:val="0"/>
        <w:spacing w:before="120" w:beforeLines="50" w:line="360" w:lineRule="auto"/>
        <w:ind w:firstLine="539"/>
        <w:rPr>
          <w:rFonts w:ascii="宋体" w:hAnsi="宋体" w:cs="宋体"/>
          <w:b/>
          <w:color w:val="auto"/>
          <w:sz w:val="24"/>
          <w:highlight w:val="none"/>
          <w:lang w:val="zh-CN"/>
        </w:rPr>
      </w:pPr>
      <w:r>
        <w:rPr>
          <w:rFonts w:hint="eastAsia" w:ascii="宋体" w:hAnsi="宋体" w:cs="宋体"/>
          <w:b/>
          <w:color w:val="auto"/>
          <w:sz w:val="24"/>
          <w:highlight w:val="none"/>
          <w:lang w:val="zh-CN"/>
        </w:rPr>
        <w:t>5.1.1 采购人和采购代理机构按“竞争性磋商公告”规定的时间和地点于网上（竞争性磋商公告所述网上电子交易系统）公开《响应文件》开启。</w:t>
      </w:r>
    </w:p>
    <w:p w14:paraId="6B9E3936">
      <w:pPr>
        <w:autoSpaceDE w:val="0"/>
        <w:autoSpaceDN w:val="0"/>
        <w:adjustRightInd w:val="0"/>
        <w:snapToGrid w:val="0"/>
        <w:spacing w:before="120" w:beforeLines="50" w:line="360" w:lineRule="auto"/>
        <w:ind w:firstLine="539"/>
        <w:rPr>
          <w:rFonts w:ascii="宋体" w:hAnsi="宋体" w:cs="宋体"/>
          <w:b/>
          <w:color w:val="auto"/>
          <w:sz w:val="24"/>
          <w:highlight w:val="none"/>
          <w:lang w:val="zh-CN"/>
        </w:rPr>
      </w:pPr>
      <w:r>
        <w:rPr>
          <w:rFonts w:hint="eastAsia" w:ascii="宋体" w:hAnsi="宋体" w:cs="宋体"/>
          <w:b/>
          <w:color w:val="auto"/>
          <w:sz w:val="24"/>
          <w:highlight w:val="none"/>
          <w:lang w:val="zh-CN"/>
        </w:rPr>
        <w:t>5.1.2 供应商需在开标前打开“竞争性磋商公告”所述网上电子交易系统，凭企业数字证书登录投标用户入口 的“政府采购”系统，并进入本项目相匹配的网上开标室。</w:t>
      </w:r>
    </w:p>
    <w:p w14:paraId="3603A6B1">
      <w:pPr>
        <w:autoSpaceDE w:val="0"/>
        <w:autoSpaceDN w:val="0"/>
        <w:adjustRightInd w:val="0"/>
        <w:snapToGrid w:val="0"/>
        <w:spacing w:before="120" w:beforeLines="50" w:line="360" w:lineRule="auto"/>
        <w:ind w:firstLine="539"/>
        <w:rPr>
          <w:rFonts w:ascii="宋体" w:hAnsi="宋体" w:cs="宋体"/>
          <w:b/>
          <w:color w:val="auto"/>
          <w:sz w:val="24"/>
          <w:highlight w:val="none"/>
          <w:lang w:val="zh-CN"/>
        </w:rPr>
      </w:pPr>
      <w:r>
        <w:rPr>
          <w:rFonts w:hint="eastAsia" w:ascii="宋体" w:hAnsi="宋体" w:cs="宋体"/>
          <w:b/>
          <w:color w:val="auto"/>
          <w:sz w:val="24"/>
          <w:highlight w:val="none"/>
          <w:lang w:val="zh-CN"/>
        </w:rPr>
        <w:t>5.2 《响应文件》开启程序</w:t>
      </w:r>
    </w:p>
    <w:p w14:paraId="275B360C">
      <w:pPr>
        <w:autoSpaceDE w:val="0"/>
        <w:autoSpaceDN w:val="0"/>
        <w:adjustRightInd w:val="0"/>
        <w:snapToGrid w:val="0"/>
        <w:spacing w:before="120" w:beforeLines="50" w:line="360" w:lineRule="auto"/>
        <w:ind w:firstLine="539"/>
        <w:rPr>
          <w:rFonts w:ascii="宋体" w:hAnsi="宋体" w:cs="宋体"/>
          <w:b/>
          <w:color w:val="auto"/>
          <w:sz w:val="24"/>
          <w:highlight w:val="none"/>
          <w:lang w:val="zh-CN"/>
        </w:rPr>
      </w:pPr>
      <w:r>
        <w:rPr>
          <w:rFonts w:hint="eastAsia" w:ascii="宋体" w:hAnsi="宋体" w:cs="宋体"/>
          <w:b/>
          <w:color w:val="auto"/>
          <w:sz w:val="24"/>
          <w:highlight w:val="none"/>
          <w:lang w:val="zh-CN"/>
        </w:rPr>
        <w:t>5.2.1 本项目为网上电子交易方式，《响应文件》的开启方式为远程解密，为保证开启工作顺利进行，供应商需在开标阶段、在管理员下达解密指令后的指定时限内，完成对本单位的加密《响应文件》的远程解密。如供应商因自身原因、在指定时限内没有解密成功的，其投标将不能被接受，供应商自行承担相应后果。解密完成后，供应商的报价将在系统界面上显示。</w:t>
      </w:r>
    </w:p>
    <w:p w14:paraId="06405BAE">
      <w:pPr>
        <w:autoSpaceDE w:val="0"/>
        <w:autoSpaceDN w:val="0"/>
        <w:adjustRightInd w:val="0"/>
        <w:snapToGrid w:val="0"/>
        <w:spacing w:before="120" w:beforeLines="50" w:line="360" w:lineRule="auto"/>
        <w:ind w:firstLine="539"/>
        <w:rPr>
          <w:rFonts w:ascii="宋体" w:hAnsi="宋体" w:cs="宋体"/>
          <w:b/>
          <w:color w:val="auto"/>
          <w:sz w:val="24"/>
          <w:highlight w:val="none"/>
          <w:lang w:val="zh-CN"/>
        </w:rPr>
      </w:pPr>
      <w:r>
        <w:rPr>
          <w:rFonts w:hint="eastAsia" w:ascii="宋体" w:hAnsi="宋体" w:cs="宋体"/>
          <w:b/>
          <w:color w:val="auto"/>
          <w:sz w:val="24"/>
          <w:highlight w:val="none"/>
          <w:lang w:val="zh-CN"/>
        </w:rPr>
        <w:t>鉴于网上电子交易方式的特点，管理员将根据系统情况下达解密指令。</w:t>
      </w:r>
    </w:p>
    <w:p w14:paraId="1CAC03DE">
      <w:pPr>
        <w:autoSpaceDE w:val="0"/>
        <w:autoSpaceDN w:val="0"/>
        <w:adjustRightInd w:val="0"/>
        <w:snapToGrid w:val="0"/>
        <w:spacing w:before="120" w:beforeLines="50" w:line="360" w:lineRule="auto"/>
        <w:ind w:firstLine="539"/>
        <w:rPr>
          <w:rFonts w:ascii="宋体" w:hAnsi="宋体" w:cs="宋体"/>
          <w:color w:val="auto"/>
          <w:sz w:val="24"/>
          <w:highlight w:val="none"/>
          <w:lang w:val="zh-CN"/>
        </w:rPr>
      </w:pPr>
      <w:r>
        <w:rPr>
          <w:rFonts w:hint="eastAsia" w:ascii="宋体" w:hAnsi="宋体" w:cs="宋体"/>
          <w:b/>
          <w:color w:val="auto"/>
          <w:sz w:val="24"/>
          <w:highlight w:val="none"/>
          <w:lang w:val="zh-CN"/>
        </w:rPr>
        <w:t>5.2.2 供应商对开标过程和开标记录有疑义，以及认为采购人、采购代理机构相关工作人员有需要回避的情形的，应在系统中提出询问或者回避申请，否则，视为对开标无异议。</w:t>
      </w:r>
    </w:p>
    <w:p w14:paraId="0741DC84">
      <w:pPr>
        <w:autoSpaceDE w:val="0"/>
        <w:autoSpaceDN w:val="0"/>
        <w:adjustRightInd w:val="0"/>
        <w:snapToGrid w:val="0"/>
        <w:spacing w:before="120" w:beforeLines="50" w:line="360" w:lineRule="auto"/>
        <w:ind w:firstLine="539"/>
        <w:rPr>
          <w:rFonts w:ascii="宋体" w:hAnsi="宋体" w:cs="宋体"/>
          <w:color w:val="auto"/>
          <w:sz w:val="24"/>
          <w:highlight w:val="none"/>
          <w:lang w:val="zh-CN"/>
        </w:rPr>
      </w:pPr>
      <w:r>
        <w:rPr>
          <w:rFonts w:hint="eastAsia" w:ascii="宋体" w:hAnsi="宋体" w:cs="宋体"/>
          <w:color w:val="auto"/>
          <w:sz w:val="24"/>
          <w:highlight w:val="none"/>
          <w:lang w:val="zh-CN"/>
        </w:rPr>
        <w:t>5.2.3 在开标或评审过程中，有效投标应在三家以上（包括三家）；有效投标不足三家的应予终止（废标）。</w:t>
      </w:r>
    </w:p>
    <w:p w14:paraId="7E736EB7">
      <w:pPr>
        <w:autoSpaceDE w:val="0"/>
        <w:autoSpaceDN w:val="0"/>
        <w:adjustRightInd w:val="0"/>
        <w:snapToGrid w:val="0"/>
        <w:spacing w:before="120" w:beforeLines="50" w:line="300" w:lineRule="auto"/>
        <w:ind w:firstLine="539"/>
        <w:outlineLvl w:val="1"/>
        <w:rPr>
          <w:rFonts w:ascii="宋体" w:hAnsi="宋体" w:cs="宋体"/>
          <w:color w:val="auto"/>
          <w:sz w:val="24"/>
          <w:highlight w:val="none"/>
          <w:lang w:val="zh-CN"/>
        </w:rPr>
      </w:pPr>
      <w:bookmarkStart w:id="23" w:name="_Toc83372548"/>
      <w:r>
        <w:rPr>
          <w:rFonts w:hint="eastAsia" w:ascii="宋体" w:hAnsi="宋体" w:cs="宋体"/>
          <w:b/>
          <w:bCs/>
          <w:color w:val="auto"/>
          <w:sz w:val="28"/>
          <w:szCs w:val="28"/>
          <w:highlight w:val="none"/>
          <w:lang w:val="zh-CN"/>
        </w:rPr>
        <w:t>6. 评审</w:t>
      </w:r>
      <w:bookmarkEnd w:id="23"/>
    </w:p>
    <w:p w14:paraId="697B67BC">
      <w:pPr>
        <w:autoSpaceDE w:val="0"/>
        <w:autoSpaceDN w:val="0"/>
        <w:adjustRightInd w:val="0"/>
        <w:snapToGrid w:val="0"/>
        <w:spacing w:before="120" w:beforeLines="50" w:line="300" w:lineRule="auto"/>
        <w:ind w:firstLine="539"/>
        <w:rPr>
          <w:rFonts w:ascii="宋体" w:hAnsi="宋体" w:cs="宋体"/>
          <w:b/>
          <w:color w:val="auto"/>
          <w:sz w:val="24"/>
          <w:highlight w:val="none"/>
          <w:lang w:val="zh-CN"/>
        </w:rPr>
      </w:pPr>
      <w:r>
        <w:rPr>
          <w:rFonts w:hint="eastAsia" w:ascii="宋体" w:hAnsi="宋体" w:cs="宋体"/>
          <w:b/>
          <w:color w:val="auto"/>
          <w:sz w:val="24"/>
          <w:highlight w:val="none"/>
          <w:lang w:val="zh-CN"/>
        </w:rPr>
        <w:t xml:space="preserve">6.1 磋商小组 </w:t>
      </w:r>
    </w:p>
    <w:p w14:paraId="4DA5ED1F">
      <w:pPr>
        <w:autoSpaceDE w:val="0"/>
        <w:autoSpaceDN w:val="0"/>
        <w:adjustRightInd w:val="0"/>
        <w:snapToGrid w:val="0"/>
        <w:spacing w:before="120" w:beforeLines="50" w:line="360" w:lineRule="auto"/>
        <w:ind w:firstLine="539"/>
        <w:rPr>
          <w:rFonts w:ascii="宋体" w:hAnsi="宋体" w:cs="宋体"/>
          <w:color w:val="auto"/>
          <w:sz w:val="24"/>
          <w:highlight w:val="none"/>
          <w:lang w:val="zh-CN"/>
        </w:rPr>
      </w:pPr>
      <w:r>
        <w:rPr>
          <w:rFonts w:hint="eastAsia" w:ascii="宋体" w:hAnsi="宋体" w:cs="宋体"/>
          <w:color w:val="auto"/>
          <w:sz w:val="24"/>
          <w:highlight w:val="none"/>
          <w:lang w:val="zh-CN"/>
        </w:rPr>
        <w:t>评审工作由依法组建的磋商小组负责。磋商小组由采购人代表</w:t>
      </w:r>
      <w:r>
        <w:rPr>
          <w:rFonts w:hint="eastAsia" w:ascii="宋体" w:hAnsi="宋体" w:cs="宋体"/>
          <w:color w:val="auto"/>
          <w:sz w:val="24"/>
          <w:highlight w:val="none"/>
        </w:rPr>
        <w:t>1人</w:t>
      </w:r>
      <w:r>
        <w:rPr>
          <w:rFonts w:hint="eastAsia" w:ascii="宋体" w:hAnsi="宋体" w:cs="宋体"/>
          <w:color w:val="auto"/>
          <w:sz w:val="24"/>
          <w:highlight w:val="none"/>
          <w:lang w:val="zh-CN"/>
        </w:rPr>
        <w:t>和评审专家</w:t>
      </w:r>
      <w:r>
        <w:rPr>
          <w:rFonts w:hint="eastAsia" w:ascii="宋体" w:hAnsi="宋体" w:cs="宋体"/>
          <w:color w:val="auto"/>
          <w:sz w:val="24"/>
          <w:highlight w:val="none"/>
        </w:rPr>
        <w:t>2人</w:t>
      </w:r>
      <w:r>
        <w:rPr>
          <w:rFonts w:hint="eastAsia" w:ascii="宋体" w:hAnsi="宋体" w:cs="宋体"/>
          <w:color w:val="auto"/>
          <w:sz w:val="24"/>
          <w:highlight w:val="none"/>
          <w:lang w:val="zh-CN"/>
        </w:rPr>
        <w:t>共3人及以上单数组成，其中评审专家人数不少于磋商小组成员总数的2/3，评审专家是在监督部门监督下从政府采购专家库中随机抽取产生。</w:t>
      </w:r>
    </w:p>
    <w:p w14:paraId="63A38D55">
      <w:pPr>
        <w:autoSpaceDE w:val="0"/>
        <w:autoSpaceDN w:val="0"/>
        <w:adjustRightInd w:val="0"/>
        <w:snapToGrid w:val="0"/>
        <w:spacing w:before="120" w:beforeLines="50" w:line="360" w:lineRule="auto"/>
        <w:ind w:firstLine="539"/>
        <w:rPr>
          <w:rFonts w:ascii="宋体" w:hAnsi="宋体" w:cs="宋体"/>
          <w:b/>
          <w:color w:val="auto"/>
          <w:sz w:val="24"/>
          <w:highlight w:val="none"/>
          <w:lang w:val="zh-CN"/>
        </w:rPr>
      </w:pPr>
      <w:r>
        <w:rPr>
          <w:rFonts w:hint="eastAsia" w:ascii="宋体" w:hAnsi="宋体" w:cs="宋体"/>
          <w:b/>
          <w:color w:val="auto"/>
          <w:sz w:val="24"/>
          <w:highlight w:val="none"/>
          <w:lang w:val="zh-CN"/>
        </w:rPr>
        <w:t>6.2 评审原则</w:t>
      </w:r>
    </w:p>
    <w:p w14:paraId="70912838">
      <w:pPr>
        <w:autoSpaceDE w:val="0"/>
        <w:autoSpaceDN w:val="0"/>
        <w:adjustRightInd w:val="0"/>
        <w:snapToGrid w:val="0"/>
        <w:spacing w:before="120" w:beforeLines="50" w:line="360" w:lineRule="auto"/>
        <w:ind w:firstLine="539"/>
        <w:rPr>
          <w:rFonts w:ascii="宋体" w:hAnsi="宋体" w:cs="宋体"/>
          <w:color w:val="auto"/>
          <w:sz w:val="24"/>
          <w:highlight w:val="none"/>
          <w:lang w:val="zh-CN"/>
        </w:rPr>
      </w:pPr>
      <w:r>
        <w:rPr>
          <w:rFonts w:hint="eastAsia" w:ascii="宋体" w:hAnsi="宋体" w:cs="宋体"/>
          <w:color w:val="auto"/>
          <w:sz w:val="24"/>
          <w:highlight w:val="none"/>
          <w:lang w:val="zh-CN"/>
        </w:rPr>
        <w:t>6.2.1 坚持公开、公平、公正地对待所有供应商。</w:t>
      </w:r>
    </w:p>
    <w:p w14:paraId="4102EE4F">
      <w:pPr>
        <w:autoSpaceDE w:val="0"/>
        <w:autoSpaceDN w:val="0"/>
        <w:adjustRightInd w:val="0"/>
        <w:snapToGrid w:val="0"/>
        <w:spacing w:before="120" w:beforeLines="50" w:line="360" w:lineRule="auto"/>
        <w:ind w:firstLine="539"/>
        <w:rPr>
          <w:rFonts w:ascii="宋体" w:hAnsi="宋体" w:cs="宋体"/>
          <w:color w:val="auto"/>
          <w:sz w:val="24"/>
          <w:highlight w:val="none"/>
          <w:lang w:val="zh-CN"/>
        </w:rPr>
      </w:pPr>
      <w:r>
        <w:rPr>
          <w:rFonts w:hint="eastAsia" w:ascii="宋体" w:hAnsi="宋体" w:cs="宋体"/>
          <w:color w:val="auto"/>
          <w:sz w:val="24"/>
          <w:highlight w:val="none"/>
          <w:lang w:val="zh-CN"/>
        </w:rPr>
        <w:t>6.2.2 按照同一评审程序及方法审查所有供应商的《响应文件》。</w:t>
      </w:r>
    </w:p>
    <w:p w14:paraId="6D43079F">
      <w:pPr>
        <w:autoSpaceDE w:val="0"/>
        <w:autoSpaceDN w:val="0"/>
        <w:adjustRightInd w:val="0"/>
        <w:snapToGrid w:val="0"/>
        <w:spacing w:before="120" w:beforeLines="50" w:line="360" w:lineRule="auto"/>
        <w:ind w:firstLine="539"/>
        <w:rPr>
          <w:rFonts w:ascii="宋体" w:hAnsi="宋体" w:cs="宋体"/>
          <w:color w:val="auto"/>
          <w:sz w:val="24"/>
          <w:highlight w:val="none"/>
          <w:lang w:val="zh-CN"/>
        </w:rPr>
      </w:pPr>
      <w:r>
        <w:rPr>
          <w:rFonts w:hint="eastAsia" w:ascii="宋体" w:hAnsi="宋体" w:cs="宋体"/>
          <w:color w:val="auto"/>
          <w:sz w:val="24"/>
          <w:highlight w:val="none"/>
          <w:lang w:val="zh-CN"/>
        </w:rPr>
        <w:t>6.2.3 反对不正当竞争。</w:t>
      </w:r>
    </w:p>
    <w:p w14:paraId="795F2800">
      <w:pPr>
        <w:autoSpaceDE w:val="0"/>
        <w:autoSpaceDN w:val="0"/>
        <w:adjustRightInd w:val="0"/>
        <w:snapToGrid w:val="0"/>
        <w:spacing w:before="120" w:beforeLines="50" w:line="360" w:lineRule="auto"/>
        <w:ind w:firstLine="539"/>
        <w:rPr>
          <w:rFonts w:ascii="宋体" w:hAnsi="宋体" w:cs="宋体"/>
          <w:b/>
          <w:color w:val="auto"/>
          <w:sz w:val="24"/>
          <w:highlight w:val="none"/>
          <w:lang w:val="zh-CN"/>
        </w:rPr>
      </w:pPr>
      <w:r>
        <w:rPr>
          <w:rFonts w:hint="eastAsia" w:ascii="宋体" w:hAnsi="宋体" w:cs="宋体"/>
          <w:b/>
          <w:color w:val="auto"/>
          <w:sz w:val="24"/>
          <w:highlight w:val="none"/>
          <w:lang w:val="zh-CN"/>
        </w:rPr>
        <w:t>6.3 评审</w:t>
      </w:r>
    </w:p>
    <w:p w14:paraId="7378942A">
      <w:pPr>
        <w:autoSpaceDE w:val="0"/>
        <w:autoSpaceDN w:val="0"/>
        <w:adjustRightInd w:val="0"/>
        <w:snapToGrid w:val="0"/>
        <w:spacing w:before="120" w:beforeLines="50" w:line="360" w:lineRule="auto"/>
        <w:ind w:firstLine="539"/>
        <w:rPr>
          <w:rFonts w:ascii="宋体" w:hAnsi="宋体" w:cs="宋体"/>
          <w:color w:val="auto"/>
          <w:sz w:val="24"/>
          <w:highlight w:val="none"/>
          <w:lang w:val="zh-CN"/>
        </w:rPr>
      </w:pPr>
      <w:r>
        <w:rPr>
          <w:rFonts w:hint="eastAsia" w:ascii="宋体" w:hAnsi="宋体" w:cs="宋体"/>
          <w:color w:val="auto"/>
          <w:sz w:val="24"/>
          <w:highlight w:val="none"/>
          <w:lang w:val="zh-CN"/>
        </w:rPr>
        <w:t>6.3.1 评审工作在磋商小组内独立进行。磋商小组按照第四章“评审办法”规定的方法、评审因素、标准和程序对《响应文件》进行评审。第四章“评审办法”没有规定的方法、评审因素和标准，不作为评审依据。</w:t>
      </w:r>
    </w:p>
    <w:p w14:paraId="57B303E2">
      <w:pPr>
        <w:autoSpaceDE w:val="0"/>
        <w:autoSpaceDN w:val="0"/>
        <w:adjustRightInd w:val="0"/>
        <w:snapToGrid w:val="0"/>
        <w:spacing w:before="120" w:beforeLines="50" w:line="360" w:lineRule="auto"/>
        <w:ind w:firstLine="539"/>
        <w:rPr>
          <w:rFonts w:ascii="宋体" w:hAnsi="宋体" w:cs="宋体"/>
          <w:color w:val="auto"/>
          <w:sz w:val="24"/>
          <w:highlight w:val="none"/>
          <w:lang w:val="zh-CN"/>
        </w:rPr>
      </w:pPr>
      <w:r>
        <w:rPr>
          <w:rFonts w:hint="eastAsia" w:ascii="宋体" w:hAnsi="宋体" w:cs="宋体"/>
          <w:color w:val="auto"/>
          <w:sz w:val="24"/>
          <w:highlight w:val="none"/>
          <w:lang w:val="zh-CN"/>
        </w:rPr>
        <w:t>6.3.2 在《响应文件》开启、评审期间，供应商不得向磋商小组成员询问情况，不得进行旨在影响评审结果的活动。</w:t>
      </w:r>
    </w:p>
    <w:p w14:paraId="4B3ECC3D">
      <w:pPr>
        <w:autoSpaceDE w:val="0"/>
        <w:autoSpaceDN w:val="0"/>
        <w:adjustRightInd w:val="0"/>
        <w:snapToGrid w:val="0"/>
        <w:spacing w:before="120" w:beforeLines="50" w:line="360" w:lineRule="auto"/>
        <w:ind w:firstLine="539"/>
        <w:rPr>
          <w:rFonts w:ascii="宋体" w:hAnsi="宋体" w:cs="宋体"/>
          <w:color w:val="auto"/>
          <w:sz w:val="24"/>
          <w:highlight w:val="none"/>
          <w:lang w:val="zh-CN"/>
        </w:rPr>
      </w:pPr>
      <w:r>
        <w:rPr>
          <w:rFonts w:hint="eastAsia" w:ascii="宋体" w:hAnsi="宋体" w:cs="宋体"/>
          <w:b/>
          <w:color w:val="auto"/>
          <w:sz w:val="24"/>
          <w:highlight w:val="none"/>
          <w:lang w:val="zh-CN"/>
        </w:rPr>
        <w:t>6.4 磋商：</w:t>
      </w:r>
      <w:r>
        <w:rPr>
          <w:rFonts w:hint="eastAsia" w:ascii="宋体" w:hAnsi="宋体" w:cs="宋体"/>
          <w:color w:val="auto"/>
          <w:sz w:val="24"/>
          <w:highlight w:val="none"/>
          <w:lang w:val="zh-CN"/>
        </w:rPr>
        <w:t>见第四章评审办法3.4 磋商规则。</w:t>
      </w:r>
    </w:p>
    <w:p w14:paraId="01629F80">
      <w:pPr>
        <w:autoSpaceDE w:val="0"/>
        <w:autoSpaceDN w:val="0"/>
        <w:adjustRightInd w:val="0"/>
        <w:snapToGrid w:val="0"/>
        <w:spacing w:before="120" w:beforeLines="50" w:line="300" w:lineRule="auto"/>
        <w:ind w:firstLine="539"/>
        <w:outlineLvl w:val="1"/>
        <w:rPr>
          <w:rFonts w:ascii="宋体" w:hAnsi="宋体" w:cs="宋体"/>
          <w:b/>
          <w:bCs/>
          <w:color w:val="auto"/>
          <w:sz w:val="28"/>
          <w:szCs w:val="28"/>
          <w:highlight w:val="none"/>
          <w:lang w:val="zh-CN"/>
        </w:rPr>
      </w:pPr>
      <w:bookmarkStart w:id="24" w:name="_Toc83372549"/>
      <w:r>
        <w:rPr>
          <w:rFonts w:hint="eastAsia" w:ascii="宋体" w:hAnsi="宋体" w:cs="宋体"/>
          <w:b/>
          <w:bCs/>
          <w:color w:val="auto"/>
          <w:sz w:val="28"/>
          <w:szCs w:val="28"/>
          <w:highlight w:val="none"/>
          <w:lang w:val="zh-CN"/>
        </w:rPr>
        <w:t>7. 授予合同</w:t>
      </w:r>
      <w:bookmarkEnd w:id="24"/>
    </w:p>
    <w:p w14:paraId="4B4D70F6">
      <w:pPr>
        <w:autoSpaceDE w:val="0"/>
        <w:autoSpaceDN w:val="0"/>
        <w:adjustRightInd w:val="0"/>
        <w:snapToGrid w:val="0"/>
        <w:spacing w:before="120" w:beforeLines="50" w:line="360" w:lineRule="auto"/>
        <w:ind w:firstLine="539"/>
        <w:rPr>
          <w:rFonts w:ascii="宋体" w:hAnsi="宋体" w:cs="宋体"/>
          <w:b/>
          <w:color w:val="auto"/>
          <w:sz w:val="24"/>
          <w:highlight w:val="none"/>
          <w:lang w:val="zh-CN"/>
        </w:rPr>
      </w:pPr>
      <w:r>
        <w:rPr>
          <w:rFonts w:hint="eastAsia" w:ascii="宋体" w:hAnsi="宋体" w:cs="宋体"/>
          <w:b/>
          <w:color w:val="auto"/>
          <w:sz w:val="24"/>
          <w:highlight w:val="none"/>
          <w:lang w:val="zh-CN"/>
        </w:rPr>
        <w:t>7.1 确定成交供应商方式</w:t>
      </w:r>
    </w:p>
    <w:p w14:paraId="1441873A">
      <w:pPr>
        <w:autoSpaceDE w:val="0"/>
        <w:autoSpaceDN w:val="0"/>
        <w:adjustRightInd w:val="0"/>
        <w:snapToGrid w:val="0"/>
        <w:spacing w:before="120" w:beforeLines="50" w:line="360" w:lineRule="auto"/>
        <w:ind w:firstLine="539"/>
        <w:rPr>
          <w:rFonts w:hint="eastAsia" w:ascii="宋体" w:hAnsi="宋体" w:cs="宋体"/>
          <w:color w:val="auto"/>
          <w:sz w:val="24"/>
          <w:highlight w:val="none"/>
          <w:lang w:val="zh-CN"/>
        </w:rPr>
      </w:pPr>
      <w:r>
        <w:rPr>
          <w:rFonts w:hint="eastAsia" w:ascii="宋体" w:hAnsi="宋体" w:cs="宋体"/>
          <w:color w:val="auto"/>
          <w:sz w:val="24"/>
          <w:highlight w:val="none"/>
          <w:lang w:val="zh-CN"/>
        </w:rPr>
        <w:t>除供应商须知前附表规定授权磋商小组直接确定成交供应商外，采购人应当在评标结束后1个工作日内确定成交结果。若排名第一的成交候选人放弃中标（成交），或者因不可抗力不能履行合同，或者被查实存在影响成交结果的违法行为等情形、不符合成交条件的，采购人可以按照磋商小组提出的成交候选人名单排序依次确定其他成交候选人为成交供应商，也可以重新采购。</w:t>
      </w:r>
    </w:p>
    <w:p w14:paraId="1902FE36">
      <w:pPr>
        <w:autoSpaceDE w:val="0"/>
        <w:autoSpaceDN w:val="0"/>
        <w:adjustRightInd w:val="0"/>
        <w:snapToGrid w:val="0"/>
        <w:spacing w:before="120" w:beforeLines="50" w:line="360" w:lineRule="auto"/>
        <w:ind w:firstLine="539"/>
        <w:rPr>
          <w:rFonts w:ascii="宋体" w:hAnsi="宋体" w:cs="宋体"/>
          <w:b/>
          <w:bCs/>
          <w:color w:val="auto"/>
          <w:sz w:val="24"/>
          <w:highlight w:val="none"/>
          <w:lang w:val="zh-CN"/>
        </w:rPr>
      </w:pPr>
      <w:r>
        <w:rPr>
          <w:rFonts w:hint="eastAsia" w:ascii="宋体" w:hAnsi="宋体" w:cs="宋体"/>
          <w:b/>
          <w:bCs/>
          <w:color w:val="auto"/>
          <w:sz w:val="24"/>
          <w:highlight w:val="none"/>
          <w:lang w:val="en-US" w:eastAsia="zh-CN"/>
        </w:rPr>
        <w:t>备注：</w:t>
      </w:r>
      <w:r>
        <w:rPr>
          <w:rFonts w:hint="eastAsia" w:ascii="宋体" w:hAnsi="宋体" w:cs="宋体"/>
          <w:b/>
          <w:bCs/>
          <w:color w:val="auto"/>
          <w:sz w:val="24"/>
          <w:highlight w:val="none"/>
          <w:lang w:val="zh-CN"/>
        </w:rPr>
        <w:t>中标或者成交供应商拒绝与采购人签订合同的，采购人可以按照评审报告推荐的中标或者成交候选人名单排序，确定下一候选人为中标或者成交供应商。下一候选人报价高于第一候选人报价20%以上的，采购人</w:t>
      </w:r>
      <w:r>
        <w:rPr>
          <w:rFonts w:hint="eastAsia" w:ascii="宋体" w:hAnsi="宋体" w:cs="宋体"/>
          <w:b/>
          <w:bCs/>
          <w:color w:val="auto"/>
          <w:sz w:val="24"/>
          <w:highlight w:val="none"/>
          <w:lang w:val="en-US" w:eastAsia="zh-CN"/>
        </w:rPr>
        <w:t>须</w:t>
      </w:r>
      <w:r>
        <w:rPr>
          <w:rFonts w:hint="eastAsia" w:ascii="宋体" w:hAnsi="宋体" w:cs="宋体"/>
          <w:b/>
          <w:bCs/>
          <w:color w:val="auto"/>
          <w:sz w:val="24"/>
          <w:highlight w:val="none"/>
          <w:lang w:val="zh-CN"/>
        </w:rPr>
        <w:t>重新开展政府采购活动。</w:t>
      </w:r>
    </w:p>
    <w:p w14:paraId="11F23173">
      <w:pPr>
        <w:autoSpaceDE w:val="0"/>
        <w:autoSpaceDN w:val="0"/>
        <w:adjustRightInd w:val="0"/>
        <w:snapToGrid w:val="0"/>
        <w:spacing w:before="120" w:beforeLines="50" w:line="360" w:lineRule="auto"/>
        <w:ind w:firstLine="539"/>
        <w:rPr>
          <w:rFonts w:ascii="宋体" w:hAnsi="宋体" w:cs="宋体"/>
          <w:b/>
          <w:color w:val="auto"/>
          <w:sz w:val="24"/>
          <w:highlight w:val="none"/>
          <w:lang w:val="zh-CN"/>
        </w:rPr>
      </w:pPr>
      <w:r>
        <w:rPr>
          <w:rFonts w:hint="eastAsia" w:ascii="宋体" w:hAnsi="宋体" w:cs="宋体"/>
          <w:b/>
          <w:color w:val="auto"/>
          <w:sz w:val="24"/>
          <w:highlight w:val="none"/>
          <w:lang w:val="zh-CN"/>
        </w:rPr>
        <w:t>7.2 成交结果公告</w:t>
      </w:r>
    </w:p>
    <w:p w14:paraId="4D32808F">
      <w:pPr>
        <w:autoSpaceDE w:val="0"/>
        <w:autoSpaceDN w:val="0"/>
        <w:adjustRightInd w:val="0"/>
        <w:snapToGrid w:val="0"/>
        <w:spacing w:before="120" w:beforeLines="50" w:line="360" w:lineRule="auto"/>
        <w:ind w:firstLine="539"/>
        <w:rPr>
          <w:rFonts w:ascii="宋体" w:hAnsi="宋体" w:cs="宋体"/>
          <w:color w:val="auto"/>
          <w:sz w:val="24"/>
          <w:highlight w:val="none"/>
          <w:lang w:val="zh-CN"/>
        </w:rPr>
      </w:pPr>
      <w:r>
        <w:rPr>
          <w:rFonts w:hint="eastAsia" w:ascii="宋体" w:hAnsi="宋体" w:cs="宋体"/>
          <w:color w:val="auto"/>
          <w:sz w:val="24"/>
          <w:highlight w:val="none"/>
          <w:lang w:val="zh-CN"/>
        </w:rPr>
        <w:t>采购人应在评标结束并确定成交结果后，由采购人或者代理机构在在竞争性磋商公告所述媒体公告成交结果。同时向成交供应商发出成交通知书。成交结果公告期限为1个工作日。</w:t>
      </w:r>
    </w:p>
    <w:p w14:paraId="612BBF91">
      <w:pPr>
        <w:autoSpaceDE w:val="0"/>
        <w:autoSpaceDN w:val="0"/>
        <w:adjustRightInd w:val="0"/>
        <w:snapToGrid w:val="0"/>
        <w:spacing w:before="120" w:beforeLines="50" w:line="360" w:lineRule="auto"/>
        <w:ind w:firstLine="539"/>
        <w:rPr>
          <w:rFonts w:ascii="宋体" w:hAnsi="宋体" w:cs="宋体"/>
          <w:b/>
          <w:color w:val="auto"/>
          <w:sz w:val="24"/>
          <w:highlight w:val="none"/>
          <w:lang w:val="zh-CN"/>
        </w:rPr>
      </w:pPr>
      <w:r>
        <w:rPr>
          <w:rFonts w:hint="eastAsia" w:ascii="宋体" w:hAnsi="宋体" w:cs="宋体"/>
          <w:b/>
          <w:color w:val="auto"/>
          <w:sz w:val="24"/>
          <w:highlight w:val="none"/>
          <w:lang w:val="zh-CN"/>
        </w:rPr>
        <w:t>7.3 质疑</w:t>
      </w:r>
    </w:p>
    <w:p w14:paraId="6BA18CEC">
      <w:pPr>
        <w:autoSpaceDE w:val="0"/>
        <w:autoSpaceDN w:val="0"/>
        <w:adjustRightInd w:val="0"/>
        <w:snapToGrid w:val="0"/>
        <w:spacing w:before="120" w:beforeLines="50" w:line="360" w:lineRule="auto"/>
        <w:ind w:firstLine="539"/>
        <w:rPr>
          <w:rFonts w:ascii="宋体" w:hAnsi="宋体" w:cs="宋体"/>
          <w:color w:val="auto"/>
          <w:sz w:val="24"/>
          <w:highlight w:val="none"/>
          <w:lang w:val="zh-CN"/>
        </w:rPr>
      </w:pPr>
      <w:r>
        <w:rPr>
          <w:rFonts w:hint="eastAsia" w:ascii="宋体" w:hAnsi="宋体" w:cs="宋体"/>
          <w:color w:val="auto"/>
          <w:sz w:val="24"/>
          <w:highlight w:val="none"/>
        </w:rPr>
        <w:t xml:space="preserve">7.3.1 </w:t>
      </w:r>
      <w:r>
        <w:rPr>
          <w:rFonts w:hint="eastAsia" w:ascii="宋体" w:hAnsi="宋体" w:cs="宋体"/>
          <w:color w:val="auto"/>
          <w:sz w:val="24"/>
          <w:highlight w:val="none"/>
          <w:lang w:val="zh-CN"/>
        </w:rPr>
        <w:t>见供应商须知前附表。</w:t>
      </w:r>
    </w:p>
    <w:p w14:paraId="30F1EB78">
      <w:pPr>
        <w:autoSpaceDE w:val="0"/>
        <w:autoSpaceDN w:val="0"/>
        <w:adjustRightInd w:val="0"/>
        <w:snapToGrid w:val="0"/>
        <w:spacing w:before="120" w:beforeLines="50" w:line="360" w:lineRule="auto"/>
        <w:ind w:firstLine="539"/>
        <w:rPr>
          <w:rFonts w:ascii="宋体" w:hAnsi="宋体" w:cs="宋体"/>
          <w:color w:val="auto"/>
          <w:sz w:val="24"/>
          <w:highlight w:val="none"/>
        </w:rPr>
      </w:pPr>
      <w:r>
        <w:rPr>
          <w:rFonts w:hint="eastAsia" w:ascii="宋体" w:hAnsi="宋体" w:cs="宋体"/>
          <w:color w:val="auto"/>
          <w:sz w:val="24"/>
          <w:highlight w:val="none"/>
        </w:rPr>
        <w:t>7.3.2 询问或者质疑事项可能影响成交结果的，采购人应当暂停签订合同，已经签订合同的，应当中止履行合同。</w:t>
      </w:r>
    </w:p>
    <w:p w14:paraId="0E854C0C">
      <w:pPr>
        <w:autoSpaceDE w:val="0"/>
        <w:autoSpaceDN w:val="0"/>
        <w:adjustRightInd w:val="0"/>
        <w:snapToGrid w:val="0"/>
        <w:spacing w:before="120" w:beforeLines="50" w:line="360" w:lineRule="auto"/>
        <w:ind w:firstLine="539"/>
        <w:rPr>
          <w:rFonts w:ascii="宋体" w:hAnsi="宋体" w:cs="宋体"/>
          <w:b/>
          <w:color w:val="auto"/>
          <w:sz w:val="24"/>
          <w:highlight w:val="none"/>
          <w:lang w:val="zh-CN"/>
        </w:rPr>
      </w:pPr>
      <w:r>
        <w:rPr>
          <w:rFonts w:hint="eastAsia" w:ascii="宋体" w:hAnsi="宋体" w:cs="宋体"/>
          <w:b/>
          <w:color w:val="auto"/>
          <w:sz w:val="24"/>
          <w:highlight w:val="none"/>
          <w:lang w:val="zh-CN"/>
        </w:rPr>
        <w:t>7.4 成交通知：</w:t>
      </w:r>
      <w:r>
        <w:rPr>
          <w:rFonts w:hint="eastAsia" w:ascii="宋体" w:hAnsi="宋体" w:cs="宋体"/>
          <w:color w:val="auto"/>
          <w:sz w:val="24"/>
          <w:highlight w:val="none"/>
          <w:lang w:val="zh-CN"/>
        </w:rPr>
        <w:t>见供应商须知前附表。</w:t>
      </w:r>
    </w:p>
    <w:p w14:paraId="2A985028">
      <w:pPr>
        <w:autoSpaceDE w:val="0"/>
        <w:autoSpaceDN w:val="0"/>
        <w:adjustRightInd w:val="0"/>
        <w:snapToGrid w:val="0"/>
        <w:spacing w:before="120" w:beforeLines="50" w:line="360" w:lineRule="auto"/>
        <w:ind w:firstLine="539"/>
        <w:rPr>
          <w:rFonts w:ascii="宋体" w:hAnsi="宋体" w:cs="宋体"/>
          <w:b/>
          <w:color w:val="auto"/>
          <w:sz w:val="24"/>
          <w:highlight w:val="none"/>
          <w:lang w:val="zh-CN"/>
        </w:rPr>
      </w:pPr>
      <w:r>
        <w:rPr>
          <w:rFonts w:hint="eastAsia" w:ascii="宋体" w:hAnsi="宋体" w:cs="宋体"/>
          <w:b/>
          <w:color w:val="auto"/>
          <w:sz w:val="24"/>
          <w:highlight w:val="none"/>
          <w:lang w:val="zh-CN"/>
        </w:rPr>
        <w:t>7.5 履约保证金</w:t>
      </w:r>
    </w:p>
    <w:p w14:paraId="7C0D1A06">
      <w:pPr>
        <w:autoSpaceDE w:val="0"/>
        <w:autoSpaceDN w:val="0"/>
        <w:adjustRightInd w:val="0"/>
        <w:snapToGrid w:val="0"/>
        <w:spacing w:before="120" w:beforeLines="50" w:line="360" w:lineRule="auto"/>
        <w:ind w:firstLine="539"/>
        <w:rPr>
          <w:rFonts w:ascii="宋体" w:hAnsi="宋体" w:cs="宋体"/>
          <w:color w:val="auto"/>
          <w:sz w:val="24"/>
          <w:highlight w:val="none"/>
          <w:lang w:val="zh-CN"/>
        </w:rPr>
      </w:pPr>
      <w:r>
        <w:rPr>
          <w:rFonts w:hint="eastAsia" w:ascii="宋体" w:hAnsi="宋体" w:cs="宋体"/>
          <w:color w:val="auto"/>
          <w:sz w:val="24"/>
          <w:highlight w:val="none"/>
          <w:lang w:val="zh-CN"/>
        </w:rPr>
        <w:t>7.5.1 在签订合同时，成交供应商应按供应商须知前附表规定向采购人提交履约保证金。</w:t>
      </w:r>
    </w:p>
    <w:p w14:paraId="2123D1F2">
      <w:pPr>
        <w:autoSpaceDE w:val="0"/>
        <w:autoSpaceDN w:val="0"/>
        <w:adjustRightInd w:val="0"/>
        <w:snapToGrid w:val="0"/>
        <w:spacing w:before="120" w:beforeLines="50" w:line="360" w:lineRule="auto"/>
        <w:ind w:firstLine="539"/>
        <w:rPr>
          <w:rFonts w:ascii="宋体" w:hAnsi="宋体" w:cs="宋体"/>
          <w:color w:val="auto"/>
          <w:sz w:val="24"/>
          <w:highlight w:val="none"/>
          <w:lang w:val="zh-CN"/>
        </w:rPr>
      </w:pPr>
      <w:r>
        <w:rPr>
          <w:rFonts w:hint="eastAsia" w:ascii="宋体" w:hAnsi="宋体" w:cs="宋体"/>
          <w:color w:val="auto"/>
          <w:sz w:val="24"/>
          <w:highlight w:val="none"/>
          <w:lang w:val="zh-CN"/>
        </w:rPr>
        <w:t>7.5.2 成交供应商不能按本章第7.5.1项要求提交履约保证金的，视为放弃成交资格，</w:t>
      </w:r>
      <w:r>
        <w:rPr>
          <w:rFonts w:hint="eastAsia" w:ascii="宋体" w:hAnsi="宋体" w:cs="宋体"/>
          <w:color w:val="auto"/>
          <w:sz w:val="24"/>
          <w:szCs w:val="24"/>
          <w:highlight w:val="none"/>
        </w:rPr>
        <w:t>依据磋商文件“第三章</w:t>
      </w:r>
      <w:r>
        <w:rPr>
          <w:rFonts w:hint="eastAsia" w:ascii="宋体" w:hAnsi="宋体" w:cs="宋体"/>
          <w:color w:val="auto"/>
          <w:sz w:val="24"/>
          <w:szCs w:val="22"/>
          <w:highlight w:val="none"/>
        </w:rPr>
        <w:t>3.5.5 违背承诺的责任追究措施</w:t>
      </w:r>
      <w:r>
        <w:rPr>
          <w:rFonts w:hint="eastAsia" w:ascii="宋体" w:hAnsi="宋体" w:cs="宋体"/>
          <w:color w:val="auto"/>
          <w:sz w:val="24"/>
          <w:szCs w:val="24"/>
          <w:highlight w:val="none"/>
        </w:rPr>
        <w:t>”，供应商</w:t>
      </w:r>
      <w:r>
        <w:rPr>
          <w:rFonts w:hint="eastAsia" w:ascii="宋体" w:hAnsi="宋体" w:cs="宋体"/>
          <w:color w:val="auto"/>
          <w:sz w:val="24"/>
          <w:szCs w:val="22"/>
          <w:highlight w:val="none"/>
        </w:rPr>
        <w:t>承担相应法律责任及违约责任。</w:t>
      </w:r>
      <w:r>
        <w:rPr>
          <w:rFonts w:hint="eastAsia" w:ascii="宋体" w:hAnsi="宋体" w:cs="宋体"/>
          <w:color w:val="auto"/>
          <w:sz w:val="24"/>
          <w:highlight w:val="none"/>
          <w:lang w:val="zh-CN"/>
        </w:rPr>
        <w:t>给采购人及采购代理机构造成损失的，成交供应商应当予以赔偿。</w:t>
      </w:r>
    </w:p>
    <w:p w14:paraId="1DC31228">
      <w:pPr>
        <w:autoSpaceDE w:val="0"/>
        <w:autoSpaceDN w:val="0"/>
        <w:adjustRightInd w:val="0"/>
        <w:snapToGrid w:val="0"/>
        <w:spacing w:before="120" w:beforeLines="50" w:line="360" w:lineRule="auto"/>
        <w:ind w:firstLine="539"/>
        <w:rPr>
          <w:rFonts w:ascii="宋体" w:hAnsi="宋体" w:cs="宋体"/>
          <w:b/>
          <w:color w:val="auto"/>
          <w:sz w:val="24"/>
          <w:highlight w:val="none"/>
          <w:lang w:val="zh-CN"/>
        </w:rPr>
      </w:pPr>
      <w:r>
        <w:rPr>
          <w:rFonts w:hint="eastAsia" w:ascii="宋体" w:hAnsi="宋体" w:cs="宋体"/>
          <w:b/>
          <w:color w:val="auto"/>
          <w:sz w:val="24"/>
          <w:highlight w:val="none"/>
          <w:lang w:val="zh-CN"/>
        </w:rPr>
        <w:t>7.6 签订合同</w:t>
      </w:r>
    </w:p>
    <w:p w14:paraId="4423719D">
      <w:pPr>
        <w:autoSpaceDE w:val="0"/>
        <w:autoSpaceDN w:val="0"/>
        <w:adjustRightInd w:val="0"/>
        <w:snapToGrid w:val="0"/>
        <w:spacing w:before="120" w:beforeLines="50" w:line="360" w:lineRule="auto"/>
        <w:ind w:firstLine="539"/>
        <w:rPr>
          <w:rFonts w:ascii="宋体" w:hAnsi="宋体" w:cs="宋体"/>
          <w:color w:val="auto"/>
          <w:sz w:val="24"/>
          <w:highlight w:val="none"/>
        </w:rPr>
      </w:pPr>
      <w:r>
        <w:rPr>
          <w:rFonts w:hint="eastAsia" w:ascii="宋体" w:hAnsi="宋体" w:cs="宋体"/>
          <w:color w:val="auto"/>
          <w:sz w:val="24"/>
          <w:highlight w:val="none"/>
        </w:rPr>
        <w:t>7.6.1 采购人要在中标公告发布（中标通知书发出）后2个工作日内与中标供应商按照《磋商文件》确定的合同文本以及成交标的、技术和服务等事项与采购人签订</w:t>
      </w:r>
      <w:r>
        <w:rPr>
          <w:rFonts w:hint="eastAsia" w:ascii="宋体" w:hAnsi="宋体" w:cs="宋体"/>
          <w:color w:val="auto"/>
          <w:sz w:val="24"/>
          <w:highlight w:val="none"/>
          <w:lang w:val="zh-CN"/>
        </w:rPr>
        <w:t>书面</w:t>
      </w:r>
      <w:r>
        <w:rPr>
          <w:rFonts w:hint="eastAsia" w:ascii="宋体" w:hAnsi="宋体" w:cs="宋体"/>
          <w:color w:val="auto"/>
          <w:sz w:val="24"/>
          <w:highlight w:val="none"/>
        </w:rPr>
        <w:t>政府采购合同。</w:t>
      </w:r>
    </w:p>
    <w:p w14:paraId="6FDA5B60">
      <w:pPr>
        <w:autoSpaceDE w:val="0"/>
        <w:autoSpaceDN w:val="0"/>
        <w:adjustRightInd w:val="0"/>
        <w:snapToGrid w:val="0"/>
        <w:spacing w:before="120" w:beforeLines="50" w:line="360" w:lineRule="auto"/>
        <w:ind w:firstLine="539"/>
        <w:rPr>
          <w:rFonts w:ascii="宋体" w:hAnsi="宋体" w:cs="宋体"/>
          <w:color w:val="auto"/>
          <w:sz w:val="24"/>
          <w:highlight w:val="none"/>
        </w:rPr>
      </w:pPr>
      <w:r>
        <w:rPr>
          <w:rFonts w:hint="eastAsia" w:ascii="宋体" w:hAnsi="宋体" w:cs="宋体"/>
          <w:color w:val="auto"/>
          <w:sz w:val="24"/>
          <w:highlight w:val="none"/>
        </w:rPr>
        <w:t>7.6.2 如成交供应商不按时签订合同、拒签合同的，取消其成交资格，依据磋商文件“第三章3.5.5 违背承诺的责任追究措施”，供应商承担相应法律责任及违约责任。给采购人造成的损失，成交供应商应予以赔偿。</w:t>
      </w:r>
    </w:p>
    <w:p w14:paraId="06F4924C">
      <w:pPr>
        <w:autoSpaceDE w:val="0"/>
        <w:autoSpaceDN w:val="0"/>
        <w:adjustRightInd w:val="0"/>
        <w:snapToGrid w:val="0"/>
        <w:spacing w:before="120" w:beforeLines="50" w:line="360" w:lineRule="auto"/>
        <w:ind w:firstLine="539"/>
        <w:rPr>
          <w:rFonts w:ascii="宋体" w:hAnsi="宋体" w:cs="宋体"/>
          <w:color w:val="auto"/>
          <w:sz w:val="24"/>
          <w:highlight w:val="none"/>
        </w:rPr>
      </w:pPr>
      <w:r>
        <w:rPr>
          <w:rFonts w:hint="eastAsia" w:ascii="宋体" w:hAnsi="宋体" w:cs="宋体"/>
          <w:color w:val="auto"/>
          <w:sz w:val="24"/>
          <w:highlight w:val="none"/>
        </w:rPr>
        <w:t>7.6.3 合同生效：成交供应商与采购人签订的合同，双方签字后盖章生效。采购人应当自政府采购合同签订之日起1个工作日内进行合同公告及备案。合同公告需由采购人登陆“安阳市政府采购网”电子化政府采购系统，及时上传政府采购合同及附件进行合同备案，合同备案的同时系统将自动进行合同公告。</w:t>
      </w:r>
    </w:p>
    <w:p w14:paraId="37184E9F">
      <w:pPr>
        <w:autoSpaceDE w:val="0"/>
        <w:autoSpaceDN w:val="0"/>
        <w:adjustRightInd w:val="0"/>
        <w:snapToGrid w:val="0"/>
        <w:spacing w:before="120" w:beforeLines="50" w:line="360" w:lineRule="auto"/>
        <w:ind w:firstLine="539"/>
        <w:rPr>
          <w:rFonts w:ascii="宋体" w:hAnsi="宋体" w:cs="宋体"/>
          <w:color w:val="auto"/>
          <w:sz w:val="24"/>
          <w:highlight w:val="none"/>
        </w:rPr>
      </w:pPr>
      <w:r>
        <w:rPr>
          <w:rFonts w:hint="eastAsia" w:ascii="宋体" w:hAnsi="宋体" w:cs="宋体"/>
          <w:color w:val="auto"/>
          <w:sz w:val="24"/>
          <w:highlight w:val="none"/>
        </w:rPr>
        <w:t>7.6.4 《成交通知书》、《磋商文件》及其修改补充澄清、成交供应商的《响应文件》及及其修改补充澄清等，均为签订合同的依据。所定合同不得对《磋商文件》和成交供应商的《响应文件》作实质性修改，采购人和成交供应商不得私下订立背离合同实质性内容的协议。</w:t>
      </w:r>
    </w:p>
    <w:p w14:paraId="2E9B0C8C">
      <w:pPr>
        <w:autoSpaceDE w:val="0"/>
        <w:autoSpaceDN w:val="0"/>
        <w:adjustRightInd w:val="0"/>
        <w:snapToGrid w:val="0"/>
        <w:spacing w:before="120" w:beforeLines="50" w:line="360" w:lineRule="auto"/>
        <w:ind w:firstLine="539"/>
        <w:rPr>
          <w:rFonts w:ascii="宋体" w:hAnsi="宋体" w:cs="宋体"/>
          <w:color w:val="auto"/>
          <w:sz w:val="24"/>
          <w:highlight w:val="none"/>
        </w:rPr>
      </w:pPr>
      <w:r>
        <w:rPr>
          <w:rFonts w:hint="eastAsia" w:ascii="宋体" w:hAnsi="宋体" w:cs="宋体"/>
          <w:color w:val="auto"/>
          <w:sz w:val="24"/>
          <w:highlight w:val="none"/>
        </w:rPr>
        <w:t>7.6.5 评审会后，成交供应商、采购人之间擅自私下谈判、变更中标（成交）标的、价格及《磋商文件》《响应文件》实质性内容的，有关部门将按《中华人民共和国政府采购法》及相关法规的规定处理。</w:t>
      </w:r>
    </w:p>
    <w:p w14:paraId="444813A2">
      <w:pPr>
        <w:autoSpaceDE w:val="0"/>
        <w:autoSpaceDN w:val="0"/>
        <w:adjustRightInd w:val="0"/>
        <w:snapToGrid w:val="0"/>
        <w:spacing w:before="120" w:beforeLines="50" w:line="360" w:lineRule="auto"/>
        <w:ind w:firstLine="539"/>
        <w:rPr>
          <w:rFonts w:ascii="宋体" w:hAnsi="宋体" w:cs="宋体"/>
          <w:color w:val="auto"/>
          <w:sz w:val="24"/>
          <w:highlight w:val="none"/>
        </w:rPr>
      </w:pPr>
      <w:r>
        <w:rPr>
          <w:rFonts w:hint="eastAsia" w:ascii="宋体" w:hAnsi="宋体" w:cs="宋体"/>
          <w:color w:val="auto"/>
          <w:sz w:val="24"/>
          <w:highlight w:val="none"/>
        </w:rPr>
        <w:t>7.6.6 采购人与成交供应商签订《政府采购合同》后，合同履行中产生的纠纷、争议，由采购人与成交供应商按合同条款及《中华人民共和国民法典》处理。</w:t>
      </w:r>
    </w:p>
    <w:p w14:paraId="061C5937">
      <w:pPr>
        <w:widowControl w:val="0"/>
        <w:adjustRightInd w:val="0"/>
        <w:snapToGrid w:val="0"/>
        <w:spacing w:before="120" w:beforeLines="50" w:line="360" w:lineRule="auto"/>
        <w:ind w:firstLine="555"/>
        <w:rPr>
          <w:rFonts w:ascii="宋体" w:hAnsi="宋体" w:cs="宋体"/>
          <w:b/>
          <w:color w:val="auto"/>
          <w:sz w:val="24"/>
          <w:highlight w:val="none"/>
          <w:lang w:val="zh-CN"/>
        </w:rPr>
      </w:pPr>
      <w:r>
        <w:rPr>
          <w:rFonts w:hint="eastAsia" w:ascii="宋体" w:hAnsi="宋体" w:cs="宋体"/>
          <w:b/>
          <w:color w:val="auto"/>
          <w:sz w:val="24"/>
          <w:highlight w:val="none"/>
          <w:lang w:val="zh-CN"/>
        </w:rPr>
        <w:t>7.7 合同补充变更</w:t>
      </w:r>
    </w:p>
    <w:p w14:paraId="5C8C6731">
      <w:pPr>
        <w:autoSpaceDE w:val="0"/>
        <w:autoSpaceDN w:val="0"/>
        <w:adjustRightInd w:val="0"/>
        <w:snapToGrid w:val="0"/>
        <w:spacing w:before="120" w:beforeLines="50" w:line="360" w:lineRule="auto"/>
        <w:ind w:firstLine="539"/>
        <w:rPr>
          <w:rFonts w:ascii="宋体" w:hAnsi="宋体" w:cs="宋体"/>
          <w:color w:val="auto"/>
          <w:sz w:val="24"/>
          <w:highlight w:val="none"/>
        </w:rPr>
      </w:pPr>
      <w:r>
        <w:rPr>
          <w:rFonts w:hint="eastAsia" w:ascii="宋体" w:hAnsi="宋体" w:cs="宋体"/>
          <w:color w:val="auto"/>
          <w:sz w:val="24"/>
          <w:highlight w:val="none"/>
        </w:rPr>
        <w:t>7.7.1 政府采购合同履行中，采购人需追加或减少与合同标的相同的货物、工程和服务的（即追加或减少原合同标的数量），在不改变合同条款（包括原合同单价）的前提下，双方可以协商签订补充合同，但所有补充合同总金额不得超过原合同采购金额的10%，不得调增原合同单价，不得超出项目预算，超过原合同采购金额的10%，应重新组织采购活动。</w:t>
      </w:r>
    </w:p>
    <w:p w14:paraId="1DC13773">
      <w:pPr>
        <w:autoSpaceDE w:val="0"/>
        <w:autoSpaceDN w:val="0"/>
        <w:adjustRightInd w:val="0"/>
        <w:snapToGrid w:val="0"/>
        <w:spacing w:before="120" w:beforeLines="50" w:line="360" w:lineRule="auto"/>
        <w:ind w:firstLine="539"/>
        <w:rPr>
          <w:rFonts w:ascii="宋体" w:hAnsi="宋体" w:cs="宋体"/>
          <w:color w:val="auto"/>
          <w:sz w:val="24"/>
          <w:highlight w:val="none"/>
        </w:rPr>
      </w:pPr>
      <w:r>
        <w:rPr>
          <w:rFonts w:hint="eastAsia" w:ascii="宋体" w:hAnsi="宋体" w:cs="宋体"/>
          <w:color w:val="auto"/>
          <w:sz w:val="24"/>
          <w:highlight w:val="none"/>
        </w:rPr>
        <w:t>7.7.2 采购人需追加或减少的货物、工程和服务的金额达到50万元以上（含50万元）、且超过中标（成交）价3%的，采购人应当自确定变更之日起5个工作日内将变更情况及事由报送同级监察机关。</w:t>
      </w:r>
    </w:p>
    <w:p w14:paraId="3DDCC815">
      <w:pPr>
        <w:autoSpaceDE w:val="0"/>
        <w:autoSpaceDN w:val="0"/>
        <w:adjustRightInd w:val="0"/>
        <w:snapToGrid w:val="0"/>
        <w:spacing w:before="120" w:beforeLines="50" w:line="360" w:lineRule="auto"/>
        <w:ind w:firstLine="539"/>
        <w:rPr>
          <w:rFonts w:ascii="宋体" w:hAnsi="宋体" w:cs="宋体"/>
          <w:color w:val="auto"/>
          <w:sz w:val="24"/>
          <w:szCs w:val="24"/>
          <w:highlight w:val="none"/>
        </w:rPr>
      </w:pPr>
      <w:r>
        <w:rPr>
          <w:rFonts w:hint="eastAsia" w:ascii="宋体" w:hAnsi="宋体" w:cs="宋体"/>
          <w:color w:val="auto"/>
          <w:sz w:val="24"/>
          <w:highlight w:val="none"/>
        </w:rPr>
        <w:t>采购项目在中标（成交）后经有关行政机关批准变更的，批准的行政机关应当自批准之日起3个工作日内将批准文件抄送同级监察机关备案。</w:t>
      </w:r>
    </w:p>
    <w:p w14:paraId="525D6598">
      <w:pPr>
        <w:widowControl w:val="0"/>
        <w:adjustRightInd w:val="0"/>
        <w:snapToGrid w:val="0"/>
        <w:spacing w:before="120" w:beforeLines="50" w:line="300" w:lineRule="auto"/>
        <w:ind w:firstLine="561"/>
        <w:outlineLvl w:val="1"/>
        <w:rPr>
          <w:rFonts w:ascii="宋体" w:hAnsi="宋体" w:cs="宋体"/>
          <w:b/>
          <w:bCs/>
          <w:color w:val="auto"/>
          <w:sz w:val="28"/>
          <w:szCs w:val="28"/>
          <w:highlight w:val="none"/>
          <w:lang w:val="zh-CN"/>
        </w:rPr>
      </w:pPr>
      <w:bookmarkStart w:id="25" w:name="_Toc83372550"/>
      <w:r>
        <w:rPr>
          <w:rFonts w:hint="eastAsia" w:ascii="宋体" w:hAnsi="宋体" w:cs="宋体"/>
          <w:b/>
          <w:bCs/>
          <w:color w:val="auto"/>
          <w:sz w:val="28"/>
          <w:szCs w:val="28"/>
          <w:highlight w:val="none"/>
          <w:lang w:val="zh-CN"/>
        </w:rPr>
        <w:t>8. 验收</w:t>
      </w:r>
      <w:bookmarkEnd w:id="25"/>
    </w:p>
    <w:p w14:paraId="5E9A297F">
      <w:pPr>
        <w:widowControl w:val="0"/>
        <w:adjustRightInd w:val="0"/>
        <w:snapToGrid w:val="0"/>
        <w:spacing w:before="120" w:beforeLines="50" w:line="360" w:lineRule="auto"/>
        <w:ind w:firstLine="561"/>
        <w:rPr>
          <w:rFonts w:ascii="宋体" w:hAnsi="宋体" w:cs="宋体"/>
          <w:color w:val="auto"/>
          <w:sz w:val="24"/>
          <w:highlight w:val="none"/>
          <w:lang w:val="zh-CN"/>
        </w:rPr>
      </w:pPr>
      <w:r>
        <w:rPr>
          <w:rFonts w:hint="eastAsia" w:ascii="宋体" w:hAnsi="宋体" w:cs="宋体"/>
          <w:color w:val="auto"/>
          <w:sz w:val="24"/>
          <w:highlight w:val="none"/>
          <w:lang w:val="zh-CN"/>
        </w:rPr>
        <w:t>8.1 验收时间：所供货物安装调试结束、具备正常使用及验收条件时，由采购</w:t>
      </w:r>
      <w:r>
        <w:rPr>
          <w:rFonts w:hint="eastAsia" w:ascii="宋体" w:hAnsi="宋体" w:cs="宋体"/>
          <w:color w:val="auto"/>
          <w:sz w:val="24"/>
          <w:highlight w:val="none"/>
        </w:rPr>
        <w:t>人</w:t>
      </w:r>
      <w:r>
        <w:rPr>
          <w:rFonts w:hint="eastAsia" w:ascii="宋体" w:hAnsi="宋体" w:cs="宋体"/>
          <w:color w:val="auto"/>
          <w:sz w:val="24"/>
          <w:highlight w:val="none"/>
          <w:lang w:val="zh-CN"/>
        </w:rPr>
        <w:t>成立验收工作组负责验收。</w:t>
      </w:r>
      <w:r>
        <w:rPr>
          <w:rFonts w:hint="eastAsia" w:ascii="宋体" w:hAnsi="宋体" w:cs="宋体"/>
          <w:color w:val="auto"/>
          <w:sz w:val="24"/>
          <w:highlight w:val="none"/>
        </w:rPr>
        <w:t>技术复杂、社会影响较大的货物类项目，可以根据需要设置出厂检验、到货检验、安装调试检验、配套服务检验等多重验收环节；服务类项目，可根据项目特点对服务期内的服务实施情况进行分期考核，结合考核情况和服务效果进行验收。</w:t>
      </w:r>
    </w:p>
    <w:p w14:paraId="5A601A5B">
      <w:pPr>
        <w:widowControl w:val="0"/>
        <w:adjustRightInd w:val="0"/>
        <w:snapToGrid w:val="0"/>
        <w:spacing w:before="120" w:beforeLines="50" w:line="360" w:lineRule="auto"/>
        <w:ind w:firstLine="561"/>
        <w:rPr>
          <w:rFonts w:ascii="宋体" w:hAnsi="宋体" w:cs="宋体"/>
          <w:color w:val="auto"/>
          <w:sz w:val="24"/>
          <w:highlight w:val="none"/>
          <w:lang w:val="zh-CN"/>
        </w:rPr>
      </w:pPr>
      <w:r>
        <w:rPr>
          <w:rFonts w:hint="eastAsia" w:ascii="宋体" w:hAnsi="宋体" w:cs="宋体"/>
          <w:color w:val="auto"/>
          <w:sz w:val="24"/>
          <w:highlight w:val="none"/>
          <w:lang w:val="zh-CN"/>
        </w:rPr>
        <w:t>8.2 验收工作组：合同履约验收工作应成立验收工作组专门负责。</w:t>
      </w:r>
    </w:p>
    <w:p w14:paraId="08E94F0F">
      <w:pPr>
        <w:widowControl w:val="0"/>
        <w:adjustRightInd w:val="0"/>
        <w:snapToGrid w:val="0"/>
        <w:spacing w:before="120" w:beforeLines="50" w:line="360" w:lineRule="auto"/>
        <w:ind w:firstLine="561"/>
        <w:rPr>
          <w:rFonts w:ascii="宋体" w:hAnsi="宋体" w:cs="宋体"/>
          <w:color w:val="auto"/>
          <w:sz w:val="24"/>
          <w:highlight w:val="none"/>
          <w:lang w:val="zh-CN"/>
        </w:rPr>
      </w:pPr>
      <w:r>
        <w:rPr>
          <w:rFonts w:hint="eastAsia" w:ascii="宋体" w:hAnsi="宋体" w:cs="宋体"/>
          <w:color w:val="auto"/>
          <w:sz w:val="24"/>
          <w:highlight w:val="none"/>
          <w:lang w:val="zh-CN"/>
        </w:rPr>
        <w:t>直接参与该项目政府采购活动的主要负责人不得作为验收工作的主要负责人。</w:t>
      </w:r>
      <w:r>
        <w:rPr>
          <w:rFonts w:hint="eastAsia" w:ascii="宋体" w:hAnsi="宋体" w:cs="宋体"/>
          <w:color w:val="auto"/>
          <w:sz w:val="24"/>
          <w:highlight w:val="none"/>
        </w:rPr>
        <w:t>对于采购人和使用人分离的采购项目，应当邀请实际使用人参与验收；政府向社会公众提供的公共服务项目，验收时应当邀请服务对象参与并出具意见，验收结果应当向社会公告。</w:t>
      </w:r>
    </w:p>
    <w:p w14:paraId="12AF88AA">
      <w:pPr>
        <w:widowControl w:val="0"/>
        <w:adjustRightInd w:val="0"/>
        <w:snapToGrid w:val="0"/>
        <w:spacing w:before="120" w:beforeLines="50" w:line="360" w:lineRule="auto"/>
        <w:ind w:firstLine="561"/>
        <w:rPr>
          <w:rFonts w:ascii="宋体" w:hAnsi="宋体" w:cs="宋体"/>
          <w:color w:val="auto"/>
          <w:sz w:val="24"/>
          <w:highlight w:val="none"/>
        </w:rPr>
      </w:pPr>
      <w:r>
        <w:rPr>
          <w:rFonts w:hint="eastAsia" w:ascii="宋体" w:hAnsi="宋体" w:cs="宋体"/>
          <w:color w:val="auto"/>
          <w:sz w:val="24"/>
          <w:highlight w:val="none"/>
        </w:rPr>
        <w:t xml:space="preserve">8.2.1 </w:t>
      </w:r>
      <w:r>
        <w:rPr>
          <w:rFonts w:hint="eastAsia" w:ascii="宋体" w:hAnsi="宋体" w:cs="宋体"/>
          <w:color w:val="auto"/>
          <w:sz w:val="24"/>
          <w:highlight w:val="none"/>
          <w:lang w:val="zh-CN"/>
        </w:rPr>
        <w:t>政府采购合同金额</w:t>
      </w:r>
      <w:r>
        <w:rPr>
          <w:rFonts w:hint="eastAsia" w:ascii="宋体" w:hAnsi="宋体" w:cs="宋体"/>
          <w:color w:val="auto"/>
          <w:sz w:val="24"/>
          <w:highlight w:val="none"/>
        </w:rPr>
        <w:t>在</w:t>
      </w:r>
      <w:r>
        <w:rPr>
          <w:rFonts w:hint="eastAsia" w:ascii="宋体" w:hAnsi="宋体" w:cs="宋体"/>
          <w:color w:val="auto"/>
          <w:sz w:val="24"/>
          <w:highlight w:val="none"/>
          <w:lang w:val="zh-CN"/>
        </w:rPr>
        <w:t>10万元以下（</w:t>
      </w:r>
      <w:r>
        <w:rPr>
          <w:rFonts w:hint="eastAsia" w:ascii="宋体" w:hAnsi="宋体" w:cs="宋体"/>
          <w:color w:val="auto"/>
          <w:sz w:val="24"/>
          <w:highlight w:val="none"/>
        </w:rPr>
        <w:t>含10万元</w:t>
      </w:r>
      <w:r>
        <w:rPr>
          <w:rFonts w:hint="eastAsia" w:ascii="宋体" w:hAnsi="宋体" w:cs="宋体"/>
          <w:color w:val="auto"/>
          <w:sz w:val="24"/>
          <w:highlight w:val="none"/>
          <w:lang w:val="zh-CN"/>
        </w:rPr>
        <w:t>）的项目，原则上可以不邀请评审专家参加，组织方成立验收小组自行验收。</w:t>
      </w:r>
      <w:r>
        <w:rPr>
          <w:rFonts w:hint="eastAsia" w:ascii="宋体" w:hAnsi="宋体" w:cs="宋体"/>
          <w:color w:val="auto"/>
          <w:sz w:val="24"/>
          <w:highlight w:val="none"/>
        </w:rPr>
        <w:t>自行验收时，验收小组应仔细对照采购文件及合同，对标的物的数量、质量、规格、型号等参数逐一核对，并编制验收报告。组织方认为不能独立完成验收任务的，可以邀请评审专家参与验收。</w:t>
      </w:r>
    </w:p>
    <w:p w14:paraId="26717B4A">
      <w:pPr>
        <w:widowControl w:val="0"/>
        <w:adjustRightInd w:val="0"/>
        <w:snapToGrid w:val="0"/>
        <w:spacing w:before="120" w:beforeLines="50" w:line="360" w:lineRule="auto"/>
        <w:ind w:firstLine="561"/>
        <w:rPr>
          <w:rFonts w:ascii="宋体" w:hAnsi="宋体" w:cs="宋体"/>
          <w:color w:val="auto"/>
          <w:sz w:val="24"/>
          <w:highlight w:val="none"/>
        </w:rPr>
      </w:pPr>
      <w:r>
        <w:rPr>
          <w:rFonts w:hint="eastAsia" w:ascii="宋体" w:hAnsi="宋体" w:cs="宋体"/>
          <w:color w:val="auto"/>
          <w:sz w:val="24"/>
          <w:highlight w:val="none"/>
        </w:rPr>
        <w:t xml:space="preserve">8.2.2 </w:t>
      </w:r>
      <w:r>
        <w:rPr>
          <w:rFonts w:hint="eastAsia" w:ascii="宋体" w:hAnsi="宋体" w:cs="宋体"/>
          <w:color w:val="auto"/>
          <w:sz w:val="24"/>
          <w:highlight w:val="none"/>
          <w:lang w:val="zh-CN"/>
        </w:rPr>
        <w:t>政府采购合同金额50万元以下的（含50万元）的项目，验收工作组应不少于三人；政府采购合同金额50万元以上的项目，验收工作组应由</w:t>
      </w:r>
      <w:r>
        <w:rPr>
          <w:rFonts w:hint="eastAsia" w:ascii="宋体" w:hAnsi="宋体" w:cs="宋体"/>
          <w:color w:val="auto"/>
          <w:sz w:val="24"/>
          <w:highlight w:val="none"/>
        </w:rPr>
        <w:t>采购人</w:t>
      </w:r>
      <w:r>
        <w:rPr>
          <w:rFonts w:hint="eastAsia" w:ascii="宋体" w:hAnsi="宋体" w:cs="宋体"/>
          <w:color w:val="auto"/>
          <w:sz w:val="24"/>
          <w:highlight w:val="none"/>
          <w:lang w:val="zh-CN"/>
        </w:rPr>
        <w:t>领导牵头，财务、审计、监察、资产管理、技术等部门人员参与，成员不少于五人。验收工作</w:t>
      </w:r>
      <w:r>
        <w:rPr>
          <w:rFonts w:hint="eastAsia" w:ascii="宋体" w:hAnsi="宋体" w:cs="宋体"/>
          <w:color w:val="auto"/>
          <w:sz w:val="24"/>
          <w:highlight w:val="none"/>
        </w:rPr>
        <w:t>原则上</w:t>
      </w:r>
      <w:r>
        <w:rPr>
          <w:rFonts w:hint="eastAsia" w:ascii="宋体" w:hAnsi="宋体" w:cs="宋体"/>
          <w:color w:val="auto"/>
          <w:sz w:val="24"/>
          <w:highlight w:val="none"/>
          <w:lang w:val="zh-CN"/>
        </w:rPr>
        <w:t>应当邀请采购评审专家参加验收；大型、复杂或者技术性很强的政府采购项目，应当邀请国家认可的质量检测机构参加验收工作；国家规定强制性检测的采购项目，</w:t>
      </w:r>
      <w:r>
        <w:rPr>
          <w:rFonts w:hint="eastAsia" w:ascii="宋体" w:hAnsi="宋体" w:cs="宋体"/>
          <w:color w:val="auto"/>
          <w:sz w:val="24"/>
          <w:highlight w:val="none"/>
        </w:rPr>
        <w:t>采购人</w:t>
      </w:r>
      <w:r>
        <w:rPr>
          <w:rFonts w:hint="eastAsia" w:ascii="宋体" w:hAnsi="宋体" w:cs="宋体"/>
          <w:color w:val="auto"/>
          <w:sz w:val="24"/>
          <w:highlight w:val="none"/>
          <w:lang w:val="zh-CN"/>
        </w:rPr>
        <w:t>必须委托国家认可专业检测机构进行验收。</w:t>
      </w:r>
    </w:p>
    <w:p w14:paraId="5CACDEEF">
      <w:pPr>
        <w:widowControl w:val="0"/>
        <w:adjustRightInd w:val="0"/>
        <w:snapToGrid w:val="0"/>
        <w:spacing w:before="120" w:beforeLines="50" w:line="360" w:lineRule="auto"/>
        <w:ind w:firstLine="561"/>
        <w:rPr>
          <w:rFonts w:ascii="宋体" w:hAnsi="宋体" w:cs="宋体"/>
          <w:color w:val="auto"/>
          <w:sz w:val="24"/>
          <w:highlight w:val="none"/>
        </w:rPr>
      </w:pPr>
      <w:r>
        <w:rPr>
          <w:rFonts w:hint="eastAsia" w:ascii="宋体" w:hAnsi="宋体" w:cs="宋体"/>
          <w:color w:val="auto"/>
          <w:sz w:val="24"/>
          <w:highlight w:val="none"/>
        </w:rPr>
        <w:t>8.3 验收时，验收小组按照采购合同的约定对每一项技术、服务、安全标准的履约情况进行确认。</w:t>
      </w:r>
      <w:r>
        <w:rPr>
          <w:rFonts w:hint="eastAsia" w:ascii="宋体" w:hAnsi="宋体" w:cs="宋体"/>
          <w:color w:val="auto"/>
          <w:sz w:val="24"/>
          <w:highlight w:val="none"/>
          <w:lang w:val="zh-CN"/>
        </w:rPr>
        <w:t>验收时需要进行破坏性试验的，供应商应进行充分的配合并提供备品备件。</w:t>
      </w:r>
    </w:p>
    <w:p w14:paraId="2435FBA8">
      <w:pPr>
        <w:widowControl w:val="0"/>
        <w:adjustRightInd w:val="0"/>
        <w:snapToGrid w:val="0"/>
        <w:spacing w:before="120" w:beforeLines="50" w:line="360" w:lineRule="auto"/>
        <w:ind w:firstLine="561"/>
        <w:rPr>
          <w:rFonts w:ascii="宋体" w:hAnsi="宋体" w:cs="宋体"/>
          <w:color w:val="auto"/>
          <w:sz w:val="24"/>
          <w:highlight w:val="none"/>
        </w:rPr>
      </w:pPr>
      <w:r>
        <w:rPr>
          <w:rFonts w:hint="eastAsia" w:ascii="宋体" w:hAnsi="宋体" w:cs="宋体"/>
          <w:color w:val="auto"/>
          <w:sz w:val="24"/>
          <w:highlight w:val="none"/>
          <w:lang w:val="zh-CN"/>
        </w:rPr>
        <w:t>8.</w:t>
      </w:r>
      <w:r>
        <w:rPr>
          <w:rFonts w:hint="eastAsia" w:ascii="宋体" w:hAnsi="宋体" w:cs="宋体"/>
          <w:color w:val="auto"/>
          <w:sz w:val="24"/>
          <w:highlight w:val="none"/>
        </w:rPr>
        <w:t>4</w:t>
      </w:r>
      <w:r>
        <w:rPr>
          <w:rFonts w:hint="eastAsia" w:ascii="宋体" w:hAnsi="宋体" w:cs="宋体"/>
          <w:color w:val="auto"/>
          <w:sz w:val="24"/>
          <w:highlight w:val="none"/>
          <w:lang w:val="zh-CN"/>
        </w:rPr>
        <w:t xml:space="preserve"> 验收报告：验收后，由采购</w:t>
      </w:r>
      <w:r>
        <w:rPr>
          <w:rFonts w:hint="eastAsia" w:ascii="宋体" w:hAnsi="宋体" w:cs="宋体"/>
          <w:color w:val="auto"/>
          <w:sz w:val="24"/>
          <w:highlight w:val="none"/>
        </w:rPr>
        <w:t>人</w:t>
      </w:r>
      <w:r>
        <w:rPr>
          <w:rFonts w:hint="eastAsia" w:ascii="宋体" w:hAnsi="宋体" w:cs="宋体"/>
          <w:color w:val="auto"/>
          <w:sz w:val="24"/>
          <w:highlight w:val="none"/>
          <w:lang w:val="zh-CN"/>
        </w:rPr>
        <w:t>及专家等出具验收报告（</w:t>
      </w:r>
      <w:r>
        <w:rPr>
          <w:rFonts w:hint="eastAsia" w:ascii="宋体" w:hAnsi="宋体" w:cs="宋体"/>
          <w:color w:val="auto"/>
          <w:sz w:val="24"/>
          <w:highlight w:val="none"/>
        </w:rPr>
        <w:t>自行验收的，由采购人出具</w:t>
      </w:r>
      <w:r>
        <w:rPr>
          <w:rFonts w:hint="eastAsia" w:ascii="宋体" w:hAnsi="宋体" w:cs="宋体"/>
          <w:color w:val="auto"/>
          <w:sz w:val="24"/>
          <w:highlight w:val="none"/>
          <w:lang w:val="zh-CN"/>
        </w:rPr>
        <w:t>），国家规定强制性检测的采购项目应附国家认可的专业检测机构出具的验收报告。</w:t>
      </w:r>
    </w:p>
    <w:p w14:paraId="78917BBC">
      <w:pPr>
        <w:widowControl w:val="0"/>
        <w:adjustRightInd w:val="0"/>
        <w:snapToGrid w:val="0"/>
        <w:spacing w:before="120" w:beforeLines="50" w:line="360" w:lineRule="auto"/>
        <w:ind w:firstLine="561"/>
        <w:rPr>
          <w:rFonts w:ascii="宋体" w:hAnsi="宋体" w:cs="宋体"/>
          <w:color w:val="auto"/>
          <w:sz w:val="24"/>
          <w:highlight w:val="none"/>
          <w:lang w:val="zh-CN"/>
        </w:rPr>
      </w:pPr>
      <w:r>
        <w:rPr>
          <w:rFonts w:hint="eastAsia" w:ascii="宋体" w:hAnsi="宋体" w:cs="宋体"/>
          <w:color w:val="auto"/>
          <w:sz w:val="24"/>
          <w:highlight w:val="none"/>
          <w:lang w:val="zh-CN"/>
        </w:rPr>
        <w:t>8.</w:t>
      </w:r>
      <w:r>
        <w:rPr>
          <w:rFonts w:hint="eastAsia" w:ascii="宋体" w:hAnsi="宋体" w:cs="宋体"/>
          <w:color w:val="auto"/>
          <w:sz w:val="24"/>
          <w:highlight w:val="none"/>
        </w:rPr>
        <w:t xml:space="preserve">5 </w:t>
      </w:r>
      <w:r>
        <w:rPr>
          <w:rFonts w:hint="eastAsia" w:ascii="宋体" w:hAnsi="宋体" w:cs="宋体"/>
          <w:color w:val="auto"/>
          <w:sz w:val="24"/>
          <w:highlight w:val="none"/>
          <w:lang w:val="zh-CN"/>
        </w:rPr>
        <w:t>验收中发现成交供应商未按合同约定的时间、地点或方式履约，提供的货物或服务的数量、质量、性能、功能达不到合同约定的，或者提供假冒伪劣产品等违反合同约定的，验收人员应在验收报告中注明违约情形和事项，并应及时通知财政部门。属假冒伪劣产品的，同时向工商管理、质量监督等行政执法部门举报。</w:t>
      </w:r>
    </w:p>
    <w:p w14:paraId="5FD43F8B">
      <w:pPr>
        <w:pStyle w:val="7"/>
        <w:spacing w:line="360" w:lineRule="auto"/>
        <w:rPr>
          <w:color w:val="auto"/>
          <w:highlight w:val="none"/>
        </w:rPr>
      </w:pPr>
      <w:r>
        <w:rPr>
          <w:rFonts w:hint="eastAsia" w:ascii="宋体" w:hAnsi="宋体" w:cs="宋体"/>
          <w:color w:val="auto"/>
          <w:sz w:val="24"/>
          <w:highlight w:val="none"/>
        </w:rPr>
        <w:t xml:space="preserve">    另特别提醒：验收公告时限为采购人要在政府采购项目验收完成后1个工作日内登陆安阳政府采购网进行验收公告。</w:t>
      </w:r>
    </w:p>
    <w:p w14:paraId="4B831EAD">
      <w:pPr>
        <w:widowControl w:val="0"/>
        <w:adjustRightInd w:val="0"/>
        <w:snapToGrid w:val="0"/>
        <w:spacing w:before="120" w:beforeLines="50" w:line="300" w:lineRule="auto"/>
        <w:ind w:firstLine="561"/>
        <w:outlineLvl w:val="1"/>
        <w:rPr>
          <w:rFonts w:ascii="宋体" w:hAnsi="宋体" w:cs="宋体"/>
          <w:b/>
          <w:bCs/>
          <w:color w:val="auto"/>
          <w:sz w:val="28"/>
          <w:szCs w:val="28"/>
          <w:highlight w:val="none"/>
          <w:lang w:val="zh-CN"/>
        </w:rPr>
      </w:pPr>
      <w:bookmarkStart w:id="26" w:name="_Toc83372551"/>
      <w:r>
        <w:rPr>
          <w:rFonts w:hint="eastAsia" w:ascii="宋体" w:hAnsi="宋体" w:cs="宋体"/>
          <w:b/>
          <w:bCs/>
          <w:color w:val="auto"/>
          <w:sz w:val="28"/>
          <w:szCs w:val="28"/>
          <w:highlight w:val="none"/>
          <w:lang w:val="zh-CN"/>
        </w:rPr>
        <w:t>9. 付款</w:t>
      </w:r>
      <w:bookmarkEnd w:id="26"/>
    </w:p>
    <w:p w14:paraId="459E66E7">
      <w:pPr>
        <w:widowControl w:val="0"/>
        <w:adjustRightInd w:val="0"/>
        <w:snapToGrid w:val="0"/>
        <w:spacing w:before="120" w:beforeLines="50" w:line="300" w:lineRule="auto"/>
        <w:ind w:firstLine="561"/>
        <w:rPr>
          <w:rFonts w:ascii="宋体" w:hAnsi="宋体" w:cs="宋体"/>
          <w:b/>
          <w:bCs/>
          <w:color w:val="auto"/>
          <w:sz w:val="28"/>
          <w:szCs w:val="28"/>
          <w:highlight w:val="none"/>
          <w:lang w:val="zh-CN"/>
        </w:rPr>
      </w:pPr>
      <w:r>
        <w:rPr>
          <w:rFonts w:hint="eastAsia" w:ascii="宋体" w:hAnsi="宋体" w:cs="宋体"/>
          <w:color w:val="auto"/>
          <w:sz w:val="24"/>
          <w:highlight w:val="none"/>
          <w:lang w:val="zh-CN"/>
        </w:rPr>
        <w:t>见供应商须知前附表。</w:t>
      </w:r>
    </w:p>
    <w:p w14:paraId="5A71B744">
      <w:pPr>
        <w:widowControl w:val="0"/>
        <w:adjustRightInd w:val="0"/>
        <w:snapToGrid w:val="0"/>
        <w:spacing w:before="120" w:beforeLines="50" w:line="300" w:lineRule="auto"/>
        <w:ind w:firstLine="561"/>
        <w:outlineLvl w:val="1"/>
        <w:rPr>
          <w:rFonts w:ascii="宋体" w:hAnsi="宋体" w:cs="宋体"/>
          <w:b/>
          <w:bCs/>
          <w:color w:val="auto"/>
          <w:sz w:val="28"/>
          <w:szCs w:val="28"/>
          <w:highlight w:val="none"/>
          <w:lang w:val="zh-CN"/>
        </w:rPr>
      </w:pPr>
      <w:bookmarkStart w:id="27" w:name="_Toc83372552"/>
      <w:r>
        <w:rPr>
          <w:rFonts w:hint="eastAsia" w:ascii="宋体" w:hAnsi="宋体" w:cs="宋体"/>
          <w:b/>
          <w:bCs/>
          <w:color w:val="auto"/>
          <w:sz w:val="28"/>
          <w:szCs w:val="28"/>
          <w:highlight w:val="none"/>
          <w:lang w:val="zh-CN"/>
        </w:rPr>
        <w:t>10. 其他</w:t>
      </w:r>
      <w:bookmarkEnd w:id="27"/>
    </w:p>
    <w:p w14:paraId="26E2DDFE">
      <w:pPr>
        <w:widowControl w:val="0"/>
        <w:adjustRightInd w:val="0"/>
        <w:snapToGrid w:val="0"/>
        <w:spacing w:before="120" w:beforeLines="50" w:line="300" w:lineRule="auto"/>
        <w:ind w:firstLine="561"/>
        <w:rPr>
          <w:rFonts w:ascii="宋体" w:hAnsi="宋体" w:cs="宋体"/>
          <w:color w:val="auto"/>
          <w:sz w:val="24"/>
          <w:highlight w:val="none"/>
          <w:lang w:val="zh-CN"/>
        </w:rPr>
      </w:pPr>
      <w:r>
        <w:rPr>
          <w:rFonts w:hint="eastAsia" w:ascii="宋体" w:hAnsi="宋体" w:cs="宋体"/>
          <w:color w:val="auto"/>
          <w:sz w:val="24"/>
          <w:highlight w:val="none"/>
          <w:lang w:val="zh-CN"/>
        </w:rPr>
        <w:t>10.1 中标服务费等：见供应商须知前附表。</w:t>
      </w:r>
    </w:p>
    <w:p w14:paraId="69A37BD6">
      <w:pPr>
        <w:widowControl w:val="0"/>
        <w:adjustRightInd w:val="0"/>
        <w:snapToGrid w:val="0"/>
        <w:spacing w:before="120" w:beforeLines="50" w:line="300" w:lineRule="auto"/>
        <w:ind w:firstLine="561"/>
        <w:rPr>
          <w:rFonts w:ascii="宋体" w:hAnsi="宋体" w:cs="宋体"/>
          <w:color w:val="auto"/>
          <w:sz w:val="24"/>
          <w:highlight w:val="none"/>
          <w:lang w:val="zh-CN"/>
        </w:rPr>
      </w:pPr>
      <w:r>
        <w:rPr>
          <w:rFonts w:hint="eastAsia" w:ascii="宋体" w:hAnsi="宋体" w:cs="宋体"/>
          <w:color w:val="auto"/>
          <w:sz w:val="24"/>
          <w:highlight w:val="none"/>
          <w:lang w:val="zh-CN"/>
        </w:rPr>
        <w:t>10.2 近义解释。《磋商文件》中：“投标”同义“递交《响应文件》”，“供应商”同义“递交《响应文件》的供应商”，“《响应文件》”同义“《投标文件》”，“中标”同义“成交”，“中标供应商”同义“成交供应商”，“《响应文件》开启”同义“《响应文件》的开启”。</w:t>
      </w:r>
    </w:p>
    <w:p w14:paraId="6F4880A4">
      <w:pPr>
        <w:widowControl w:val="0"/>
        <w:adjustRightInd w:val="0"/>
        <w:snapToGrid w:val="0"/>
        <w:spacing w:before="120" w:beforeLines="50" w:line="300" w:lineRule="auto"/>
        <w:ind w:firstLine="561"/>
        <w:rPr>
          <w:rFonts w:ascii="宋体" w:hAnsi="宋体" w:cs="宋体"/>
          <w:color w:val="auto"/>
          <w:sz w:val="24"/>
          <w:highlight w:val="none"/>
          <w:lang w:val="zh-CN"/>
        </w:rPr>
      </w:pPr>
      <w:r>
        <w:rPr>
          <w:rFonts w:hint="eastAsia" w:ascii="宋体" w:hAnsi="宋体" w:cs="宋体"/>
          <w:color w:val="auto"/>
          <w:sz w:val="24"/>
          <w:highlight w:val="none"/>
          <w:lang w:val="zh-CN"/>
        </w:rPr>
        <w:t>10.3 供应商资格条件中包含非法人单位的，《磋商文件》中法定代表人一词相应包含表示证照标示的负责人； 供应商资格条件中包含自然人的，《磋商文件》中法定代表人一词相应包含表示自然人，自然人应由其本人签署《响应文件》、参加投标，不应再授权他人。</w:t>
      </w:r>
    </w:p>
    <w:p w14:paraId="71EE0D56">
      <w:pPr>
        <w:widowControl w:val="0"/>
        <w:adjustRightInd w:val="0"/>
        <w:snapToGrid w:val="0"/>
        <w:spacing w:before="120" w:beforeLines="50" w:line="300" w:lineRule="auto"/>
        <w:ind w:firstLine="561"/>
        <w:rPr>
          <w:rFonts w:ascii="宋体" w:hAnsi="宋体" w:cs="宋体"/>
          <w:color w:val="auto"/>
          <w:sz w:val="24"/>
          <w:highlight w:val="none"/>
          <w:lang w:val="zh-CN"/>
        </w:rPr>
      </w:pPr>
      <w:r>
        <w:rPr>
          <w:rFonts w:hint="eastAsia" w:ascii="宋体" w:hAnsi="宋体" w:cs="宋体"/>
          <w:color w:val="auto"/>
          <w:sz w:val="24"/>
          <w:highlight w:val="none"/>
          <w:lang w:val="zh-CN"/>
        </w:rPr>
        <w:t>10.4 《磋商文件》第一章至第四章各章中，用序号标示条、款、项、目，例如：1为第1 条，1.1为第1条第1款（简称1.1款），1.1.1为第1条第1款第1项（简称1.1.1项）。“条”包含款、项、目；“款”包含项、目；“项”包含目。</w:t>
      </w:r>
    </w:p>
    <w:p w14:paraId="606A6C89">
      <w:pPr>
        <w:widowControl w:val="0"/>
        <w:autoSpaceDE w:val="0"/>
        <w:autoSpaceDN w:val="0"/>
        <w:adjustRightInd w:val="0"/>
        <w:spacing w:before="120" w:beforeLines="50" w:line="300" w:lineRule="auto"/>
        <w:ind w:firstLine="480" w:firstLineChars="200"/>
        <w:jc w:val="left"/>
        <w:textAlignment w:val="auto"/>
        <w:rPr>
          <w:rFonts w:ascii="宋体" w:hAnsi="宋体" w:cs="宋体"/>
          <w:color w:val="auto"/>
          <w:sz w:val="24"/>
          <w:highlight w:val="none"/>
          <w:lang w:val="zh-CN"/>
        </w:rPr>
      </w:pPr>
    </w:p>
    <w:p w14:paraId="1421A08B">
      <w:pPr>
        <w:widowControl w:val="0"/>
        <w:adjustRightInd w:val="0"/>
        <w:snapToGrid w:val="0"/>
        <w:spacing w:before="120" w:beforeLines="50" w:line="300" w:lineRule="auto"/>
        <w:ind w:firstLine="561"/>
        <w:outlineLvl w:val="1"/>
        <w:rPr>
          <w:rFonts w:ascii="宋体" w:hAnsi="宋体" w:cs="宋体"/>
          <w:b/>
          <w:bCs/>
          <w:color w:val="auto"/>
          <w:sz w:val="28"/>
          <w:szCs w:val="28"/>
          <w:highlight w:val="none"/>
          <w:lang w:val="zh-CN"/>
        </w:rPr>
      </w:pPr>
      <w:bookmarkStart w:id="28" w:name="_Toc83372553"/>
      <w:bookmarkStart w:id="29" w:name="_Toc58858635"/>
      <w:r>
        <w:rPr>
          <w:rFonts w:hint="eastAsia" w:ascii="宋体" w:hAnsi="宋体" w:cs="宋体"/>
          <w:b/>
          <w:bCs/>
          <w:color w:val="auto"/>
          <w:sz w:val="28"/>
          <w:szCs w:val="28"/>
          <w:highlight w:val="none"/>
          <w:lang w:val="zh-CN"/>
        </w:rPr>
        <w:t>11. 河南省政府采购合同融资政策告知函</w:t>
      </w:r>
      <w:bookmarkEnd w:id="28"/>
      <w:bookmarkEnd w:id="29"/>
    </w:p>
    <w:p w14:paraId="14B89400">
      <w:pPr>
        <w:widowControl w:val="0"/>
        <w:adjustRightInd w:val="0"/>
        <w:snapToGrid w:val="0"/>
        <w:spacing w:before="120" w:beforeLines="50" w:line="300" w:lineRule="auto"/>
        <w:ind w:firstLine="555"/>
        <w:rPr>
          <w:rFonts w:ascii="宋体" w:hAnsi="宋体" w:cs="宋体"/>
          <w:color w:val="auto"/>
          <w:sz w:val="24"/>
          <w:szCs w:val="24"/>
          <w:highlight w:val="none"/>
        </w:rPr>
      </w:pPr>
      <w:r>
        <w:rPr>
          <w:rFonts w:hint="eastAsia" w:ascii="宋体" w:hAnsi="宋体" w:cs="宋体"/>
          <w:color w:val="auto"/>
          <w:sz w:val="24"/>
          <w:szCs w:val="24"/>
          <w:highlight w:val="none"/>
        </w:rPr>
        <w:t>各供应商：</w:t>
      </w:r>
    </w:p>
    <w:p w14:paraId="254D91A8">
      <w:pPr>
        <w:widowControl w:val="0"/>
        <w:adjustRightInd w:val="0"/>
        <w:snapToGrid w:val="0"/>
        <w:spacing w:before="120" w:beforeLines="50" w:line="300" w:lineRule="auto"/>
        <w:ind w:firstLine="555"/>
        <w:rPr>
          <w:rFonts w:ascii="宋体" w:hAnsi="宋体" w:cs="宋体"/>
          <w:color w:val="auto"/>
          <w:sz w:val="24"/>
          <w:szCs w:val="24"/>
          <w:highlight w:val="none"/>
        </w:rPr>
      </w:pPr>
      <w:r>
        <w:rPr>
          <w:rFonts w:hint="eastAsia" w:ascii="宋体" w:hAnsi="宋体" w:cs="宋体"/>
          <w:color w:val="auto"/>
          <w:sz w:val="24"/>
          <w:szCs w:val="24"/>
          <w:highlight w:val="none"/>
        </w:rPr>
        <w:t>欢迎贵公司参与河南省政府采购活动！</w:t>
      </w:r>
    </w:p>
    <w:p w14:paraId="0ABF0B8B">
      <w:pPr>
        <w:widowControl w:val="0"/>
        <w:adjustRightInd w:val="0"/>
        <w:snapToGrid w:val="0"/>
        <w:spacing w:before="120" w:beforeLines="50" w:line="300" w:lineRule="auto"/>
        <w:ind w:firstLine="555"/>
        <w:rPr>
          <w:rFonts w:ascii="宋体" w:hAnsi="宋体" w:cs="宋体"/>
          <w:color w:val="auto"/>
          <w:sz w:val="24"/>
          <w:szCs w:val="24"/>
          <w:highlight w:val="none"/>
        </w:rPr>
      </w:pPr>
      <w:r>
        <w:rPr>
          <w:rFonts w:hint="eastAsia" w:ascii="宋体" w:hAnsi="宋体" w:cs="宋体"/>
          <w:color w:val="auto"/>
          <w:sz w:val="24"/>
          <w:szCs w:val="24"/>
          <w:highlight w:val="none"/>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3D69375A">
      <w:pPr>
        <w:widowControl w:val="0"/>
        <w:adjustRightInd w:val="0"/>
        <w:snapToGrid w:val="0"/>
        <w:spacing w:before="120" w:beforeLines="50" w:line="300" w:lineRule="auto"/>
        <w:ind w:firstLine="555"/>
        <w:rPr>
          <w:rFonts w:ascii="宋体" w:hAnsi="宋体" w:cs="宋体"/>
          <w:color w:val="auto"/>
          <w:sz w:val="24"/>
          <w:szCs w:val="24"/>
          <w:highlight w:val="none"/>
        </w:rPr>
      </w:pPr>
      <w:r>
        <w:rPr>
          <w:rFonts w:hint="eastAsia" w:ascii="宋体" w:hAnsi="宋体" w:cs="宋体"/>
          <w:color w:val="auto"/>
          <w:sz w:val="24"/>
          <w:szCs w:val="24"/>
          <w:highlight w:val="none"/>
        </w:rPr>
        <w:t>贷款渠道和提供贷款的金融机构，可在河南省政府采购网“河南省政府采购合同融资平台”查询联系。</w:t>
      </w:r>
    </w:p>
    <w:p w14:paraId="0DB992B6">
      <w:pPr>
        <w:widowControl w:val="0"/>
        <w:snapToGrid w:val="0"/>
        <w:spacing w:line="276" w:lineRule="auto"/>
        <w:jc w:val="left"/>
        <w:rPr>
          <w:rFonts w:ascii="宋体" w:hAnsi="宋体" w:cs="宋体"/>
          <w:b/>
          <w:color w:val="auto"/>
          <w:sz w:val="24"/>
          <w:szCs w:val="24"/>
          <w:highlight w:val="none"/>
        </w:rPr>
      </w:pPr>
      <w:r>
        <w:rPr>
          <w:rFonts w:hint="eastAsia" w:ascii="宋体" w:hAnsi="宋体" w:cs="宋体"/>
          <w:b/>
          <w:color w:val="auto"/>
          <w:sz w:val="44"/>
          <w:highlight w:val="none"/>
        </w:rPr>
        <w:br w:type="page"/>
      </w:r>
      <w:r>
        <w:rPr>
          <w:rFonts w:hint="eastAsia" w:ascii="宋体" w:hAnsi="宋体" w:cs="宋体"/>
          <w:b/>
          <w:color w:val="auto"/>
          <w:sz w:val="36"/>
          <w:szCs w:val="36"/>
          <w:highlight w:val="none"/>
        </w:rPr>
        <w:t xml:space="preserve"> </w:t>
      </w:r>
    </w:p>
    <w:p w14:paraId="192821B3">
      <w:pPr>
        <w:widowControl w:val="0"/>
        <w:snapToGrid w:val="0"/>
        <w:spacing w:line="360" w:lineRule="auto"/>
        <w:ind w:firstLine="567"/>
        <w:jc w:val="center"/>
        <w:outlineLvl w:val="0"/>
        <w:rPr>
          <w:rFonts w:ascii="宋体" w:hAnsi="宋体" w:cs="宋体"/>
          <w:b/>
          <w:color w:val="auto"/>
          <w:sz w:val="36"/>
          <w:szCs w:val="36"/>
          <w:highlight w:val="none"/>
          <w:lang w:val="zh-CN"/>
        </w:rPr>
      </w:pPr>
      <w:bookmarkStart w:id="30" w:name="_Toc83372554"/>
      <w:r>
        <w:rPr>
          <w:rFonts w:hint="eastAsia" w:ascii="宋体" w:hAnsi="宋体" w:cs="宋体"/>
          <w:b/>
          <w:color w:val="auto"/>
          <w:sz w:val="36"/>
          <w:szCs w:val="36"/>
          <w:highlight w:val="none"/>
          <w:lang w:val="zh-CN"/>
        </w:rPr>
        <w:t>第四章  评审办法</w:t>
      </w:r>
      <w:bookmarkEnd w:id="30"/>
    </w:p>
    <w:p w14:paraId="1811C132">
      <w:pPr>
        <w:widowControl w:val="0"/>
        <w:snapToGrid w:val="0"/>
        <w:spacing w:line="276" w:lineRule="auto"/>
        <w:ind w:firstLine="567"/>
        <w:jc w:val="center"/>
        <w:outlineLvl w:val="0"/>
        <w:rPr>
          <w:rFonts w:ascii="宋体" w:hAnsi="宋体" w:cs="宋体"/>
          <w:b/>
          <w:color w:val="auto"/>
          <w:sz w:val="24"/>
          <w:szCs w:val="24"/>
          <w:highlight w:val="none"/>
        </w:rPr>
      </w:pPr>
    </w:p>
    <w:p w14:paraId="220EAB78">
      <w:pPr>
        <w:spacing w:line="500" w:lineRule="exact"/>
        <w:jc w:val="left"/>
        <w:outlineLvl w:val="1"/>
        <w:rPr>
          <w:rFonts w:ascii="宋体" w:hAnsi="宋体" w:cs="宋体"/>
          <w:b/>
          <w:color w:val="auto"/>
          <w:sz w:val="28"/>
          <w:szCs w:val="28"/>
          <w:highlight w:val="none"/>
          <w:lang w:val="zh-CN"/>
        </w:rPr>
      </w:pPr>
      <w:bookmarkStart w:id="31" w:name="_Toc83372555"/>
      <w:r>
        <w:rPr>
          <w:rFonts w:hint="eastAsia" w:ascii="宋体" w:hAnsi="宋体" w:cs="宋体"/>
          <w:b/>
          <w:color w:val="auto"/>
          <w:sz w:val="28"/>
          <w:szCs w:val="28"/>
          <w:highlight w:val="none"/>
        </w:rPr>
        <w:t>评审办法前附表</w:t>
      </w:r>
      <w:bookmarkEnd w:id="31"/>
    </w:p>
    <w:tbl>
      <w:tblPr>
        <w:tblStyle w:val="22"/>
        <w:tblW w:w="96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3"/>
        <w:gridCol w:w="898"/>
        <w:gridCol w:w="622"/>
        <w:gridCol w:w="2217"/>
        <w:gridCol w:w="5092"/>
      </w:tblGrid>
      <w:tr w14:paraId="7B5C6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701" w:type="dxa"/>
            <w:gridSpan w:val="2"/>
            <w:vAlign w:val="center"/>
          </w:tcPr>
          <w:p w14:paraId="3473586F">
            <w:pPr>
              <w:pStyle w:val="58"/>
              <w:jc w:val="center"/>
              <w:rPr>
                <w:rFonts w:hAnsi="宋体" w:cs="宋体"/>
                <w:b/>
                <w:color w:val="auto"/>
                <w:szCs w:val="24"/>
                <w:highlight w:val="none"/>
              </w:rPr>
            </w:pPr>
            <w:r>
              <w:rPr>
                <w:rFonts w:hint="eastAsia" w:hAnsi="宋体" w:cs="宋体"/>
                <w:b/>
                <w:color w:val="auto"/>
                <w:szCs w:val="24"/>
                <w:highlight w:val="none"/>
              </w:rPr>
              <w:t>条款号</w:t>
            </w:r>
          </w:p>
        </w:tc>
        <w:tc>
          <w:tcPr>
            <w:tcW w:w="2839" w:type="dxa"/>
            <w:gridSpan w:val="2"/>
            <w:vAlign w:val="center"/>
          </w:tcPr>
          <w:p w14:paraId="70C51651">
            <w:pPr>
              <w:pStyle w:val="58"/>
              <w:jc w:val="center"/>
              <w:rPr>
                <w:rFonts w:hAnsi="宋体" w:cs="宋体"/>
                <w:b/>
                <w:color w:val="auto"/>
                <w:szCs w:val="24"/>
                <w:highlight w:val="none"/>
              </w:rPr>
            </w:pPr>
            <w:r>
              <w:rPr>
                <w:rFonts w:hint="eastAsia" w:hAnsi="宋体" w:cs="宋体"/>
                <w:b/>
                <w:color w:val="auto"/>
                <w:szCs w:val="24"/>
                <w:highlight w:val="none"/>
              </w:rPr>
              <w:t>评审因素</w:t>
            </w:r>
          </w:p>
        </w:tc>
        <w:tc>
          <w:tcPr>
            <w:tcW w:w="5092" w:type="dxa"/>
            <w:vAlign w:val="center"/>
          </w:tcPr>
          <w:p w14:paraId="30BA6E41">
            <w:pPr>
              <w:pStyle w:val="58"/>
              <w:jc w:val="center"/>
              <w:rPr>
                <w:rFonts w:hAnsi="宋体" w:cs="宋体"/>
                <w:b/>
                <w:color w:val="auto"/>
                <w:szCs w:val="24"/>
                <w:highlight w:val="none"/>
              </w:rPr>
            </w:pPr>
            <w:r>
              <w:rPr>
                <w:rFonts w:hint="eastAsia" w:hAnsi="宋体" w:cs="宋体"/>
                <w:b/>
                <w:color w:val="auto"/>
                <w:szCs w:val="24"/>
                <w:highlight w:val="none"/>
              </w:rPr>
              <w:t>评审标准</w:t>
            </w:r>
          </w:p>
        </w:tc>
      </w:tr>
      <w:tr w14:paraId="2B9D0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4" w:hRule="atLeast"/>
          <w:jc w:val="center"/>
        </w:trPr>
        <w:tc>
          <w:tcPr>
            <w:tcW w:w="803" w:type="dxa"/>
            <w:vMerge w:val="restart"/>
            <w:vAlign w:val="center"/>
          </w:tcPr>
          <w:p w14:paraId="1586A0A4">
            <w:pPr>
              <w:pStyle w:val="58"/>
              <w:spacing w:line="360" w:lineRule="auto"/>
              <w:ind w:right="-101" w:rightChars="-48"/>
              <w:rPr>
                <w:rFonts w:hAnsi="宋体" w:cs="宋体"/>
                <w:color w:val="auto"/>
                <w:szCs w:val="24"/>
                <w:highlight w:val="none"/>
              </w:rPr>
            </w:pPr>
            <w:r>
              <w:rPr>
                <w:rFonts w:hint="eastAsia" w:hAnsi="宋体" w:cs="宋体"/>
                <w:color w:val="auto"/>
                <w:szCs w:val="24"/>
                <w:highlight w:val="none"/>
              </w:rPr>
              <w:t>2.1.1</w:t>
            </w:r>
          </w:p>
        </w:tc>
        <w:tc>
          <w:tcPr>
            <w:tcW w:w="898" w:type="dxa"/>
            <w:vMerge w:val="restart"/>
            <w:vAlign w:val="center"/>
          </w:tcPr>
          <w:p w14:paraId="093EC150">
            <w:pPr>
              <w:pStyle w:val="58"/>
              <w:jc w:val="center"/>
              <w:rPr>
                <w:rFonts w:hAnsi="宋体" w:cs="宋体"/>
                <w:color w:val="auto"/>
                <w:szCs w:val="24"/>
                <w:highlight w:val="none"/>
              </w:rPr>
            </w:pPr>
            <w:r>
              <w:rPr>
                <w:rFonts w:hint="eastAsia" w:hAnsi="宋体" w:cs="宋体"/>
                <w:color w:val="auto"/>
                <w:szCs w:val="24"/>
                <w:highlight w:val="none"/>
              </w:rPr>
              <w:t>资</w:t>
            </w:r>
          </w:p>
          <w:p w14:paraId="59FAEFCF">
            <w:pPr>
              <w:pStyle w:val="58"/>
              <w:jc w:val="center"/>
              <w:rPr>
                <w:rFonts w:hAnsi="宋体" w:cs="宋体"/>
                <w:color w:val="auto"/>
                <w:szCs w:val="24"/>
                <w:highlight w:val="none"/>
              </w:rPr>
            </w:pPr>
            <w:r>
              <w:rPr>
                <w:rFonts w:hint="eastAsia" w:hAnsi="宋体" w:cs="宋体"/>
                <w:color w:val="auto"/>
                <w:szCs w:val="24"/>
                <w:highlight w:val="none"/>
              </w:rPr>
              <w:t>格</w:t>
            </w:r>
          </w:p>
          <w:p w14:paraId="57B35118">
            <w:pPr>
              <w:pStyle w:val="58"/>
              <w:jc w:val="center"/>
              <w:rPr>
                <w:rFonts w:hAnsi="宋体" w:cs="宋体"/>
                <w:color w:val="auto"/>
                <w:szCs w:val="24"/>
                <w:highlight w:val="none"/>
              </w:rPr>
            </w:pPr>
            <w:r>
              <w:rPr>
                <w:rFonts w:hint="eastAsia" w:hAnsi="宋体" w:cs="宋体"/>
                <w:color w:val="auto"/>
                <w:szCs w:val="24"/>
                <w:highlight w:val="none"/>
              </w:rPr>
              <w:t>性</w:t>
            </w:r>
          </w:p>
          <w:p w14:paraId="2138BF14">
            <w:pPr>
              <w:pStyle w:val="58"/>
              <w:jc w:val="center"/>
              <w:rPr>
                <w:rFonts w:hAnsi="宋体" w:cs="宋体"/>
                <w:color w:val="auto"/>
                <w:szCs w:val="24"/>
                <w:highlight w:val="none"/>
              </w:rPr>
            </w:pPr>
            <w:r>
              <w:rPr>
                <w:rFonts w:hint="eastAsia" w:hAnsi="宋体" w:cs="宋体"/>
                <w:color w:val="auto"/>
                <w:szCs w:val="24"/>
                <w:highlight w:val="none"/>
              </w:rPr>
              <w:t>审</w:t>
            </w:r>
          </w:p>
          <w:p w14:paraId="23293CCB">
            <w:pPr>
              <w:pStyle w:val="58"/>
              <w:jc w:val="center"/>
              <w:rPr>
                <w:rFonts w:hAnsi="宋体" w:cs="宋体"/>
                <w:color w:val="auto"/>
                <w:szCs w:val="24"/>
                <w:highlight w:val="none"/>
              </w:rPr>
            </w:pPr>
            <w:r>
              <w:rPr>
                <w:rFonts w:hint="eastAsia" w:hAnsi="宋体" w:cs="宋体"/>
                <w:color w:val="auto"/>
                <w:szCs w:val="24"/>
                <w:highlight w:val="none"/>
              </w:rPr>
              <w:t>查</w:t>
            </w:r>
          </w:p>
        </w:tc>
        <w:tc>
          <w:tcPr>
            <w:tcW w:w="2839" w:type="dxa"/>
            <w:gridSpan w:val="2"/>
            <w:vAlign w:val="center"/>
          </w:tcPr>
          <w:p w14:paraId="02F66B5A">
            <w:pPr>
              <w:widowControl w:val="0"/>
              <w:snapToGrid w:val="0"/>
              <w:spacing w:line="240" w:lineRule="auto"/>
              <w:rPr>
                <w:rFonts w:ascii="宋体" w:hAnsi="宋体" w:cs="宋体"/>
                <w:color w:val="auto"/>
                <w:sz w:val="24"/>
                <w:szCs w:val="24"/>
                <w:highlight w:val="none"/>
              </w:rPr>
            </w:pPr>
            <w:r>
              <w:rPr>
                <w:rFonts w:hint="eastAsia" w:ascii="宋体" w:hAnsi="宋体" w:cs="宋体"/>
                <w:color w:val="auto"/>
                <w:sz w:val="24"/>
                <w:szCs w:val="24"/>
                <w:highlight w:val="none"/>
              </w:rPr>
              <w:t>第一章“竞争性磋商公告”第二条各项资格要求</w:t>
            </w:r>
          </w:p>
        </w:tc>
        <w:tc>
          <w:tcPr>
            <w:tcW w:w="5092" w:type="dxa"/>
            <w:vAlign w:val="center"/>
          </w:tcPr>
          <w:p w14:paraId="0DBB8CBB">
            <w:pPr>
              <w:widowControl w:val="0"/>
              <w:snapToGrid w:val="0"/>
              <w:spacing w:line="240" w:lineRule="auto"/>
              <w:rPr>
                <w:rFonts w:ascii="宋体" w:hAnsi="宋体" w:cs="宋体"/>
                <w:color w:val="auto"/>
                <w:sz w:val="24"/>
                <w:szCs w:val="24"/>
                <w:highlight w:val="none"/>
              </w:rPr>
            </w:pPr>
            <w:r>
              <w:rPr>
                <w:rFonts w:hint="eastAsia" w:ascii="宋体" w:hAnsi="宋体" w:cs="宋体"/>
                <w:color w:val="auto"/>
                <w:sz w:val="24"/>
                <w:szCs w:val="24"/>
                <w:highlight w:val="none"/>
              </w:rPr>
              <w:t>符合第一章“竞争性磋商公告”第二条各项资格要求所需证件材料及证明材料</w:t>
            </w:r>
          </w:p>
        </w:tc>
      </w:tr>
      <w:tr w14:paraId="6E46A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803" w:type="dxa"/>
            <w:vMerge w:val="continue"/>
            <w:vAlign w:val="center"/>
          </w:tcPr>
          <w:p w14:paraId="0B6CAD3E">
            <w:pPr>
              <w:pStyle w:val="58"/>
              <w:spacing w:line="360" w:lineRule="auto"/>
              <w:jc w:val="center"/>
              <w:rPr>
                <w:rFonts w:hAnsi="宋体" w:cs="宋体"/>
                <w:color w:val="auto"/>
                <w:szCs w:val="24"/>
                <w:highlight w:val="none"/>
              </w:rPr>
            </w:pPr>
          </w:p>
        </w:tc>
        <w:tc>
          <w:tcPr>
            <w:tcW w:w="898" w:type="dxa"/>
            <w:vMerge w:val="continue"/>
            <w:vAlign w:val="center"/>
          </w:tcPr>
          <w:p w14:paraId="131C664C">
            <w:pPr>
              <w:pStyle w:val="58"/>
              <w:spacing w:line="360" w:lineRule="auto"/>
              <w:jc w:val="center"/>
              <w:rPr>
                <w:rFonts w:hAnsi="宋体" w:cs="宋体"/>
                <w:color w:val="auto"/>
                <w:szCs w:val="24"/>
                <w:highlight w:val="none"/>
              </w:rPr>
            </w:pPr>
          </w:p>
        </w:tc>
        <w:tc>
          <w:tcPr>
            <w:tcW w:w="2839" w:type="dxa"/>
            <w:gridSpan w:val="2"/>
            <w:vAlign w:val="center"/>
          </w:tcPr>
          <w:p w14:paraId="08B5522A">
            <w:pPr>
              <w:widowControl w:val="0"/>
              <w:snapToGrid w:val="0"/>
              <w:spacing w:line="240" w:lineRule="auto"/>
              <w:rPr>
                <w:rFonts w:ascii="宋体" w:hAnsi="宋体" w:cs="宋体"/>
                <w:color w:val="auto"/>
                <w:sz w:val="24"/>
                <w:szCs w:val="24"/>
                <w:highlight w:val="none"/>
              </w:rPr>
            </w:pPr>
            <w:r>
              <w:rPr>
                <w:rFonts w:hint="eastAsia" w:ascii="宋体" w:hAnsi="宋体" w:cs="宋体"/>
                <w:color w:val="auto"/>
                <w:sz w:val="24"/>
                <w:szCs w:val="24"/>
                <w:highlight w:val="none"/>
              </w:rPr>
              <w:t>投标承诺函</w:t>
            </w:r>
          </w:p>
          <w:p w14:paraId="06C105BA">
            <w:pPr>
              <w:widowControl w:val="0"/>
              <w:snapToGrid w:val="0"/>
              <w:spacing w:line="240" w:lineRule="auto"/>
              <w:rPr>
                <w:rFonts w:ascii="宋体" w:hAnsi="宋体" w:cs="宋体"/>
                <w:color w:val="auto"/>
                <w:sz w:val="24"/>
                <w:szCs w:val="24"/>
                <w:highlight w:val="none"/>
              </w:rPr>
            </w:pPr>
            <w:r>
              <w:rPr>
                <w:rFonts w:hint="eastAsia" w:ascii="宋体" w:hAnsi="宋体" w:cs="宋体"/>
                <w:color w:val="auto"/>
                <w:sz w:val="24"/>
                <w:szCs w:val="24"/>
                <w:highlight w:val="none"/>
              </w:rPr>
              <w:t>(替代投标保证金)</w:t>
            </w:r>
          </w:p>
        </w:tc>
        <w:tc>
          <w:tcPr>
            <w:tcW w:w="5092" w:type="dxa"/>
            <w:vAlign w:val="center"/>
          </w:tcPr>
          <w:p w14:paraId="5D738EEF">
            <w:pPr>
              <w:widowControl w:val="0"/>
              <w:snapToGrid w:val="0"/>
              <w:spacing w:line="240" w:lineRule="auto"/>
              <w:rPr>
                <w:rFonts w:ascii="宋体" w:hAnsi="宋体" w:cs="宋体"/>
                <w:color w:val="auto"/>
                <w:sz w:val="24"/>
                <w:szCs w:val="24"/>
                <w:highlight w:val="none"/>
              </w:rPr>
            </w:pPr>
            <w:r>
              <w:rPr>
                <w:rFonts w:hint="eastAsia" w:ascii="宋体" w:hAnsi="宋体" w:cs="宋体"/>
                <w:color w:val="auto"/>
                <w:sz w:val="24"/>
                <w:szCs w:val="24"/>
                <w:highlight w:val="none"/>
              </w:rPr>
              <w:t>符合第三章“供应商须知”3.5款规定</w:t>
            </w:r>
          </w:p>
        </w:tc>
      </w:tr>
      <w:tr w14:paraId="1462A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jc w:val="center"/>
        </w:trPr>
        <w:tc>
          <w:tcPr>
            <w:tcW w:w="803" w:type="dxa"/>
            <w:vMerge w:val="continue"/>
            <w:vAlign w:val="center"/>
          </w:tcPr>
          <w:p w14:paraId="20D4CAE2">
            <w:pPr>
              <w:pStyle w:val="58"/>
              <w:spacing w:line="360" w:lineRule="auto"/>
              <w:jc w:val="center"/>
              <w:rPr>
                <w:rFonts w:hAnsi="宋体" w:cs="宋体"/>
                <w:color w:val="auto"/>
                <w:szCs w:val="24"/>
                <w:highlight w:val="none"/>
              </w:rPr>
            </w:pPr>
          </w:p>
        </w:tc>
        <w:tc>
          <w:tcPr>
            <w:tcW w:w="898" w:type="dxa"/>
            <w:vMerge w:val="continue"/>
            <w:vAlign w:val="center"/>
          </w:tcPr>
          <w:p w14:paraId="224DEF05">
            <w:pPr>
              <w:pStyle w:val="58"/>
              <w:spacing w:line="360" w:lineRule="auto"/>
              <w:jc w:val="center"/>
              <w:rPr>
                <w:rFonts w:hAnsi="宋体" w:cs="宋体"/>
                <w:color w:val="auto"/>
                <w:szCs w:val="24"/>
                <w:highlight w:val="none"/>
              </w:rPr>
            </w:pPr>
          </w:p>
        </w:tc>
        <w:tc>
          <w:tcPr>
            <w:tcW w:w="2839" w:type="dxa"/>
            <w:gridSpan w:val="2"/>
            <w:vAlign w:val="center"/>
          </w:tcPr>
          <w:p w14:paraId="2277895B">
            <w:pPr>
              <w:widowControl w:val="0"/>
              <w:snapToGrid w:val="0"/>
              <w:spacing w:line="240" w:lineRule="auto"/>
              <w:rPr>
                <w:rFonts w:ascii="宋体" w:hAnsi="宋体" w:cs="宋体"/>
                <w:color w:val="auto"/>
                <w:sz w:val="24"/>
                <w:szCs w:val="24"/>
                <w:highlight w:val="none"/>
              </w:rPr>
            </w:pPr>
            <w:r>
              <w:rPr>
                <w:rFonts w:hint="eastAsia" w:ascii="宋体" w:hAnsi="宋体" w:cs="宋体"/>
                <w:color w:val="auto"/>
                <w:sz w:val="24"/>
                <w:szCs w:val="24"/>
                <w:highlight w:val="none"/>
              </w:rPr>
              <w:t>联合体（如有）</w:t>
            </w:r>
          </w:p>
        </w:tc>
        <w:tc>
          <w:tcPr>
            <w:tcW w:w="5092" w:type="dxa"/>
            <w:vAlign w:val="center"/>
          </w:tcPr>
          <w:p w14:paraId="69EAD06D">
            <w:pPr>
              <w:widowControl w:val="0"/>
              <w:snapToGrid w:val="0"/>
              <w:spacing w:line="240" w:lineRule="auto"/>
              <w:rPr>
                <w:rFonts w:ascii="宋体" w:hAnsi="宋体" w:cs="宋体"/>
                <w:color w:val="auto"/>
                <w:sz w:val="24"/>
                <w:szCs w:val="24"/>
                <w:highlight w:val="none"/>
              </w:rPr>
            </w:pPr>
            <w:r>
              <w:rPr>
                <w:rFonts w:hint="eastAsia" w:ascii="宋体" w:hAnsi="宋体" w:cs="宋体"/>
                <w:color w:val="auto"/>
                <w:sz w:val="24"/>
                <w:szCs w:val="24"/>
                <w:highlight w:val="none"/>
              </w:rPr>
              <w:t>符合第三章“供应商须知”1.4款规定</w:t>
            </w:r>
          </w:p>
        </w:tc>
      </w:tr>
      <w:tr w14:paraId="40747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jc w:val="center"/>
        </w:trPr>
        <w:tc>
          <w:tcPr>
            <w:tcW w:w="803" w:type="dxa"/>
            <w:vMerge w:val="restart"/>
            <w:vAlign w:val="center"/>
          </w:tcPr>
          <w:p w14:paraId="05D2EBAB">
            <w:pPr>
              <w:pStyle w:val="58"/>
              <w:spacing w:line="360" w:lineRule="auto"/>
              <w:ind w:right="-160" w:rightChars="-76"/>
              <w:rPr>
                <w:rFonts w:hAnsi="宋体" w:cs="宋体"/>
                <w:color w:val="auto"/>
                <w:szCs w:val="24"/>
                <w:highlight w:val="none"/>
              </w:rPr>
            </w:pPr>
            <w:r>
              <w:rPr>
                <w:rFonts w:hint="eastAsia" w:hAnsi="宋体" w:cs="宋体"/>
                <w:color w:val="auto"/>
                <w:szCs w:val="24"/>
                <w:highlight w:val="none"/>
              </w:rPr>
              <w:t>2.1.2</w:t>
            </w:r>
          </w:p>
        </w:tc>
        <w:tc>
          <w:tcPr>
            <w:tcW w:w="898" w:type="dxa"/>
            <w:vMerge w:val="restart"/>
            <w:vAlign w:val="center"/>
          </w:tcPr>
          <w:p w14:paraId="6D59DE87">
            <w:pPr>
              <w:pStyle w:val="58"/>
              <w:spacing w:line="360" w:lineRule="auto"/>
              <w:jc w:val="center"/>
              <w:rPr>
                <w:rFonts w:hAnsi="宋体" w:cs="宋体"/>
                <w:color w:val="auto"/>
                <w:szCs w:val="24"/>
                <w:highlight w:val="none"/>
              </w:rPr>
            </w:pPr>
            <w:r>
              <w:rPr>
                <w:rFonts w:hint="eastAsia" w:hAnsi="宋体" w:cs="宋体"/>
                <w:color w:val="auto"/>
                <w:szCs w:val="24"/>
                <w:highlight w:val="none"/>
              </w:rPr>
              <w:t>符</w:t>
            </w:r>
          </w:p>
          <w:p w14:paraId="4356176F">
            <w:pPr>
              <w:pStyle w:val="58"/>
              <w:spacing w:line="360" w:lineRule="auto"/>
              <w:jc w:val="center"/>
              <w:rPr>
                <w:rFonts w:hAnsi="宋体" w:cs="宋体"/>
                <w:color w:val="auto"/>
                <w:szCs w:val="24"/>
                <w:highlight w:val="none"/>
              </w:rPr>
            </w:pPr>
            <w:r>
              <w:rPr>
                <w:rFonts w:hint="eastAsia" w:hAnsi="宋体" w:cs="宋体"/>
                <w:color w:val="auto"/>
                <w:szCs w:val="24"/>
                <w:highlight w:val="none"/>
              </w:rPr>
              <w:t>合</w:t>
            </w:r>
          </w:p>
          <w:p w14:paraId="7D4D14B7">
            <w:pPr>
              <w:pStyle w:val="58"/>
              <w:spacing w:line="360" w:lineRule="auto"/>
              <w:jc w:val="center"/>
              <w:rPr>
                <w:rFonts w:hAnsi="宋体" w:cs="宋体"/>
                <w:color w:val="auto"/>
                <w:szCs w:val="24"/>
                <w:highlight w:val="none"/>
              </w:rPr>
            </w:pPr>
            <w:r>
              <w:rPr>
                <w:rFonts w:hint="eastAsia" w:hAnsi="宋体" w:cs="宋体"/>
                <w:color w:val="auto"/>
                <w:szCs w:val="24"/>
                <w:highlight w:val="none"/>
              </w:rPr>
              <w:t>性</w:t>
            </w:r>
          </w:p>
          <w:p w14:paraId="22446E2D">
            <w:pPr>
              <w:pStyle w:val="58"/>
              <w:spacing w:line="360" w:lineRule="auto"/>
              <w:jc w:val="center"/>
              <w:rPr>
                <w:rFonts w:hAnsi="宋体" w:cs="宋体"/>
                <w:color w:val="auto"/>
                <w:szCs w:val="24"/>
                <w:highlight w:val="none"/>
              </w:rPr>
            </w:pPr>
            <w:r>
              <w:rPr>
                <w:rFonts w:hint="eastAsia" w:hAnsi="宋体" w:cs="宋体"/>
                <w:color w:val="auto"/>
                <w:szCs w:val="24"/>
                <w:highlight w:val="none"/>
              </w:rPr>
              <w:t>审</w:t>
            </w:r>
          </w:p>
          <w:p w14:paraId="307BAD36">
            <w:pPr>
              <w:pStyle w:val="58"/>
              <w:spacing w:line="360" w:lineRule="auto"/>
              <w:jc w:val="center"/>
              <w:rPr>
                <w:rFonts w:hAnsi="宋体" w:cs="宋体"/>
                <w:color w:val="auto"/>
                <w:szCs w:val="24"/>
                <w:highlight w:val="none"/>
              </w:rPr>
            </w:pPr>
            <w:r>
              <w:rPr>
                <w:rFonts w:hint="eastAsia" w:hAnsi="宋体" w:cs="宋体"/>
                <w:color w:val="auto"/>
                <w:szCs w:val="24"/>
                <w:highlight w:val="none"/>
              </w:rPr>
              <w:t>查</w:t>
            </w:r>
          </w:p>
        </w:tc>
        <w:tc>
          <w:tcPr>
            <w:tcW w:w="622" w:type="dxa"/>
            <w:vMerge w:val="restart"/>
            <w:vAlign w:val="center"/>
          </w:tcPr>
          <w:p w14:paraId="13640665">
            <w:pPr>
              <w:pStyle w:val="58"/>
              <w:adjustRightInd/>
              <w:snapToGrid w:val="0"/>
              <w:jc w:val="center"/>
              <w:rPr>
                <w:rFonts w:hAnsi="宋体" w:cs="宋体"/>
                <w:color w:val="auto"/>
                <w:szCs w:val="24"/>
                <w:highlight w:val="none"/>
              </w:rPr>
            </w:pPr>
            <w:r>
              <w:rPr>
                <w:rFonts w:hint="eastAsia" w:hAnsi="宋体" w:cs="宋体"/>
                <w:color w:val="auto"/>
                <w:szCs w:val="24"/>
                <w:highlight w:val="none"/>
              </w:rPr>
              <w:t>有效性</w:t>
            </w:r>
          </w:p>
        </w:tc>
        <w:tc>
          <w:tcPr>
            <w:tcW w:w="2217" w:type="dxa"/>
            <w:vAlign w:val="center"/>
          </w:tcPr>
          <w:p w14:paraId="65A6CE97">
            <w:pPr>
              <w:pStyle w:val="58"/>
              <w:adjustRightInd/>
              <w:snapToGrid w:val="0"/>
              <w:jc w:val="center"/>
              <w:rPr>
                <w:rFonts w:hAnsi="宋体" w:cs="宋体"/>
                <w:color w:val="auto"/>
                <w:szCs w:val="24"/>
                <w:highlight w:val="none"/>
              </w:rPr>
            </w:pPr>
            <w:r>
              <w:rPr>
                <w:rFonts w:hint="eastAsia" w:hAnsi="宋体" w:cs="宋体"/>
                <w:color w:val="auto"/>
                <w:szCs w:val="24"/>
                <w:highlight w:val="none"/>
              </w:rPr>
              <w:t>供应商名称</w:t>
            </w:r>
          </w:p>
        </w:tc>
        <w:tc>
          <w:tcPr>
            <w:tcW w:w="5092" w:type="dxa"/>
            <w:vAlign w:val="center"/>
          </w:tcPr>
          <w:p w14:paraId="4CC9BB62">
            <w:pPr>
              <w:pStyle w:val="58"/>
              <w:adjustRightInd/>
              <w:snapToGrid w:val="0"/>
              <w:rPr>
                <w:rFonts w:hAnsi="宋体" w:cs="宋体"/>
                <w:color w:val="auto"/>
                <w:szCs w:val="24"/>
                <w:highlight w:val="none"/>
              </w:rPr>
            </w:pPr>
            <w:r>
              <w:rPr>
                <w:rFonts w:hint="eastAsia" w:hAnsi="宋体" w:cs="宋体"/>
                <w:color w:val="auto"/>
                <w:szCs w:val="24"/>
                <w:highlight w:val="none"/>
              </w:rPr>
              <w:t>与营业执照证等证照及签章一致</w:t>
            </w:r>
          </w:p>
        </w:tc>
      </w:tr>
      <w:tr w14:paraId="6366F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jc w:val="center"/>
        </w:trPr>
        <w:tc>
          <w:tcPr>
            <w:tcW w:w="803" w:type="dxa"/>
            <w:vMerge w:val="continue"/>
            <w:vAlign w:val="center"/>
          </w:tcPr>
          <w:p w14:paraId="4096CC5C">
            <w:pPr>
              <w:pStyle w:val="58"/>
              <w:spacing w:line="360" w:lineRule="auto"/>
              <w:jc w:val="center"/>
              <w:rPr>
                <w:rFonts w:hAnsi="宋体" w:cs="宋体"/>
                <w:color w:val="auto"/>
                <w:szCs w:val="24"/>
                <w:highlight w:val="none"/>
              </w:rPr>
            </w:pPr>
          </w:p>
        </w:tc>
        <w:tc>
          <w:tcPr>
            <w:tcW w:w="898" w:type="dxa"/>
            <w:vMerge w:val="continue"/>
            <w:vAlign w:val="center"/>
          </w:tcPr>
          <w:p w14:paraId="26CD79EB">
            <w:pPr>
              <w:pStyle w:val="58"/>
              <w:spacing w:line="360" w:lineRule="auto"/>
              <w:jc w:val="center"/>
              <w:rPr>
                <w:rFonts w:hAnsi="宋体" w:cs="宋体"/>
                <w:color w:val="auto"/>
                <w:szCs w:val="24"/>
                <w:highlight w:val="none"/>
              </w:rPr>
            </w:pPr>
          </w:p>
        </w:tc>
        <w:tc>
          <w:tcPr>
            <w:tcW w:w="622" w:type="dxa"/>
            <w:vMerge w:val="continue"/>
            <w:vAlign w:val="center"/>
          </w:tcPr>
          <w:p w14:paraId="2896687A">
            <w:pPr>
              <w:pStyle w:val="58"/>
              <w:adjustRightInd/>
              <w:snapToGrid w:val="0"/>
              <w:jc w:val="center"/>
              <w:rPr>
                <w:rFonts w:hAnsi="宋体" w:cs="宋体"/>
                <w:color w:val="auto"/>
                <w:szCs w:val="24"/>
                <w:highlight w:val="none"/>
              </w:rPr>
            </w:pPr>
          </w:p>
        </w:tc>
        <w:tc>
          <w:tcPr>
            <w:tcW w:w="2217" w:type="dxa"/>
            <w:vAlign w:val="center"/>
          </w:tcPr>
          <w:p w14:paraId="1B60EFF9">
            <w:pPr>
              <w:pStyle w:val="58"/>
              <w:adjustRightInd/>
              <w:snapToGrid w:val="0"/>
              <w:jc w:val="center"/>
              <w:rPr>
                <w:rFonts w:hAnsi="宋体" w:cs="宋体"/>
                <w:color w:val="auto"/>
                <w:szCs w:val="24"/>
                <w:highlight w:val="none"/>
              </w:rPr>
            </w:pPr>
            <w:r>
              <w:rPr>
                <w:rFonts w:hint="eastAsia" w:hAnsi="宋体" w:cs="宋体"/>
                <w:color w:val="auto"/>
                <w:szCs w:val="24"/>
                <w:highlight w:val="none"/>
              </w:rPr>
              <w:t>签字或盖章</w:t>
            </w:r>
          </w:p>
        </w:tc>
        <w:tc>
          <w:tcPr>
            <w:tcW w:w="5092" w:type="dxa"/>
            <w:vAlign w:val="center"/>
          </w:tcPr>
          <w:p w14:paraId="26244CFB">
            <w:pPr>
              <w:pStyle w:val="58"/>
              <w:adjustRightInd/>
              <w:snapToGrid w:val="0"/>
              <w:rPr>
                <w:rFonts w:hAnsi="宋体" w:cs="宋体"/>
                <w:color w:val="auto"/>
                <w:szCs w:val="24"/>
                <w:highlight w:val="none"/>
              </w:rPr>
            </w:pPr>
            <w:r>
              <w:rPr>
                <w:rFonts w:hint="eastAsia" w:hAnsi="宋体" w:cs="宋体"/>
                <w:color w:val="auto"/>
                <w:szCs w:val="24"/>
                <w:highlight w:val="none"/>
              </w:rPr>
              <w:t>符合第三章“供应商须知”3.7.4项规定</w:t>
            </w:r>
          </w:p>
        </w:tc>
      </w:tr>
      <w:tr w14:paraId="36A04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jc w:val="center"/>
        </w:trPr>
        <w:tc>
          <w:tcPr>
            <w:tcW w:w="803" w:type="dxa"/>
            <w:vMerge w:val="continue"/>
            <w:vAlign w:val="center"/>
          </w:tcPr>
          <w:p w14:paraId="61C6B10A">
            <w:pPr>
              <w:pStyle w:val="58"/>
              <w:spacing w:line="360" w:lineRule="auto"/>
              <w:jc w:val="center"/>
              <w:rPr>
                <w:rFonts w:hAnsi="宋体" w:cs="宋体"/>
                <w:color w:val="auto"/>
                <w:szCs w:val="24"/>
                <w:highlight w:val="none"/>
              </w:rPr>
            </w:pPr>
          </w:p>
        </w:tc>
        <w:tc>
          <w:tcPr>
            <w:tcW w:w="898" w:type="dxa"/>
            <w:vMerge w:val="continue"/>
            <w:vAlign w:val="center"/>
          </w:tcPr>
          <w:p w14:paraId="5431F7B4">
            <w:pPr>
              <w:pStyle w:val="58"/>
              <w:spacing w:line="360" w:lineRule="auto"/>
              <w:jc w:val="center"/>
              <w:rPr>
                <w:rFonts w:hAnsi="宋体" w:cs="宋体"/>
                <w:color w:val="auto"/>
                <w:szCs w:val="24"/>
                <w:highlight w:val="none"/>
              </w:rPr>
            </w:pPr>
          </w:p>
        </w:tc>
        <w:tc>
          <w:tcPr>
            <w:tcW w:w="622" w:type="dxa"/>
            <w:vAlign w:val="center"/>
          </w:tcPr>
          <w:p w14:paraId="4B239DFD">
            <w:pPr>
              <w:pStyle w:val="58"/>
              <w:adjustRightInd/>
              <w:snapToGrid w:val="0"/>
              <w:jc w:val="center"/>
              <w:rPr>
                <w:rFonts w:hAnsi="宋体" w:cs="宋体"/>
                <w:color w:val="auto"/>
                <w:szCs w:val="24"/>
                <w:highlight w:val="none"/>
              </w:rPr>
            </w:pPr>
            <w:r>
              <w:rPr>
                <w:rFonts w:hint="eastAsia" w:hAnsi="宋体" w:cs="宋体"/>
                <w:color w:val="auto"/>
                <w:szCs w:val="24"/>
                <w:highlight w:val="none"/>
              </w:rPr>
              <w:t>完整性</w:t>
            </w:r>
          </w:p>
        </w:tc>
        <w:tc>
          <w:tcPr>
            <w:tcW w:w="2217" w:type="dxa"/>
            <w:vAlign w:val="center"/>
          </w:tcPr>
          <w:p w14:paraId="3ADD5901">
            <w:pPr>
              <w:pStyle w:val="58"/>
              <w:adjustRightInd/>
              <w:snapToGrid w:val="0"/>
              <w:jc w:val="center"/>
              <w:rPr>
                <w:rFonts w:hAnsi="宋体" w:cs="宋体"/>
                <w:color w:val="auto"/>
                <w:szCs w:val="24"/>
                <w:highlight w:val="none"/>
              </w:rPr>
            </w:pPr>
            <w:r>
              <w:rPr>
                <w:rFonts w:hint="eastAsia" w:hAnsi="宋体" w:cs="宋体"/>
                <w:color w:val="auto"/>
                <w:szCs w:val="24"/>
                <w:highlight w:val="none"/>
              </w:rPr>
              <w:t>《响应文件》组成</w:t>
            </w:r>
          </w:p>
        </w:tc>
        <w:tc>
          <w:tcPr>
            <w:tcW w:w="5092" w:type="dxa"/>
            <w:vAlign w:val="center"/>
          </w:tcPr>
          <w:p w14:paraId="2686AB4A">
            <w:pPr>
              <w:pStyle w:val="58"/>
              <w:adjustRightInd/>
              <w:snapToGrid w:val="0"/>
              <w:rPr>
                <w:rFonts w:hAnsi="宋体" w:cs="宋体"/>
                <w:color w:val="auto"/>
                <w:szCs w:val="24"/>
                <w:highlight w:val="none"/>
              </w:rPr>
            </w:pPr>
            <w:r>
              <w:rPr>
                <w:rFonts w:hint="eastAsia" w:hAnsi="宋体" w:cs="宋体"/>
                <w:color w:val="auto"/>
                <w:szCs w:val="24"/>
                <w:highlight w:val="none"/>
              </w:rPr>
              <w:t>符合第三章“供应商须知”3.2款规定</w:t>
            </w:r>
          </w:p>
        </w:tc>
      </w:tr>
      <w:tr w14:paraId="55C71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jc w:val="center"/>
        </w:trPr>
        <w:tc>
          <w:tcPr>
            <w:tcW w:w="803" w:type="dxa"/>
            <w:vMerge w:val="continue"/>
            <w:vAlign w:val="center"/>
          </w:tcPr>
          <w:p w14:paraId="205D2B43">
            <w:pPr>
              <w:pStyle w:val="58"/>
              <w:spacing w:line="360" w:lineRule="auto"/>
              <w:jc w:val="center"/>
              <w:rPr>
                <w:rFonts w:hAnsi="宋体" w:cs="宋体"/>
                <w:color w:val="auto"/>
                <w:szCs w:val="24"/>
                <w:highlight w:val="none"/>
              </w:rPr>
            </w:pPr>
          </w:p>
        </w:tc>
        <w:tc>
          <w:tcPr>
            <w:tcW w:w="898" w:type="dxa"/>
            <w:vMerge w:val="continue"/>
            <w:vAlign w:val="center"/>
          </w:tcPr>
          <w:p w14:paraId="3C11AF23">
            <w:pPr>
              <w:pStyle w:val="58"/>
              <w:spacing w:line="360" w:lineRule="auto"/>
              <w:jc w:val="center"/>
              <w:rPr>
                <w:rFonts w:hAnsi="宋体" w:cs="宋体"/>
                <w:color w:val="auto"/>
                <w:szCs w:val="24"/>
                <w:highlight w:val="none"/>
              </w:rPr>
            </w:pPr>
          </w:p>
        </w:tc>
        <w:tc>
          <w:tcPr>
            <w:tcW w:w="622" w:type="dxa"/>
            <w:vMerge w:val="restart"/>
            <w:vAlign w:val="center"/>
          </w:tcPr>
          <w:p w14:paraId="70DA4075">
            <w:pPr>
              <w:pStyle w:val="58"/>
              <w:snapToGrid w:val="0"/>
              <w:jc w:val="center"/>
              <w:rPr>
                <w:rFonts w:hAnsi="宋体" w:cs="宋体"/>
                <w:color w:val="auto"/>
                <w:szCs w:val="24"/>
                <w:highlight w:val="none"/>
              </w:rPr>
            </w:pPr>
            <w:r>
              <w:rPr>
                <w:rFonts w:hint="eastAsia" w:hAnsi="宋体" w:cs="宋体"/>
                <w:color w:val="auto"/>
                <w:szCs w:val="24"/>
                <w:highlight w:val="none"/>
              </w:rPr>
              <w:t>响应程度</w:t>
            </w:r>
          </w:p>
        </w:tc>
        <w:tc>
          <w:tcPr>
            <w:tcW w:w="2217" w:type="dxa"/>
            <w:vAlign w:val="center"/>
          </w:tcPr>
          <w:p w14:paraId="33E4B084">
            <w:pPr>
              <w:pStyle w:val="58"/>
              <w:adjustRightInd/>
              <w:snapToGrid w:val="0"/>
              <w:jc w:val="center"/>
              <w:rPr>
                <w:rFonts w:hAnsi="宋体" w:cs="宋体"/>
                <w:color w:val="auto"/>
                <w:szCs w:val="24"/>
                <w:highlight w:val="none"/>
              </w:rPr>
            </w:pPr>
            <w:r>
              <w:rPr>
                <w:rFonts w:hint="eastAsia" w:hAnsi="宋体" w:cs="宋体"/>
                <w:color w:val="auto"/>
                <w:szCs w:val="24"/>
                <w:highlight w:val="none"/>
              </w:rPr>
              <w:t>磋商报价</w:t>
            </w:r>
          </w:p>
        </w:tc>
        <w:tc>
          <w:tcPr>
            <w:tcW w:w="5092" w:type="dxa"/>
            <w:vAlign w:val="center"/>
          </w:tcPr>
          <w:p w14:paraId="1C9AF58C">
            <w:pPr>
              <w:pStyle w:val="58"/>
              <w:adjustRightInd/>
              <w:snapToGrid w:val="0"/>
              <w:rPr>
                <w:rFonts w:hAnsi="宋体" w:cs="宋体"/>
                <w:color w:val="auto"/>
                <w:szCs w:val="24"/>
                <w:highlight w:val="none"/>
              </w:rPr>
            </w:pPr>
            <w:r>
              <w:rPr>
                <w:rFonts w:hint="eastAsia" w:hAnsi="宋体" w:cs="宋体"/>
                <w:color w:val="auto"/>
                <w:szCs w:val="24"/>
                <w:highlight w:val="none"/>
              </w:rPr>
              <w:t>符合第二章“采购项目及技术服务要求”1.3款规定</w:t>
            </w:r>
          </w:p>
        </w:tc>
      </w:tr>
      <w:tr w14:paraId="68043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jc w:val="center"/>
        </w:trPr>
        <w:tc>
          <w:tcPr>
            <w:tcW w:w="803" w:type="dxa"/>
            <w:vMerge w:val="continue"/>
            <w:vAlign w:val="center"/>
          </w:tcPr>
          <w:p w14:paraId="36CC9902">
            <w:pPr>
              <w:pStyle w:val="58"/>
              <w:spacing w:line="360" w:lineRule="auto"/>
              <w:jc w:val="center"/>
              <w:rPr>
                <w:rFonts w:hAnsi="宋体" w:cs="宋体"/>
                <w:color w:val="auto"/>
                <w:szCs w:val="24"/>
                <w:highlight w:val="none"/>
              </w:rPr>
            </w:pPr>
          </w:p>
        </w:tc>
        <w:tc>
          <w:tcPr>
            <w:tcW w:w="898" w:type="dxa"/>
            <w:vMerge w:val="continue"/>
            <w:vAlign w:val="center"/>
          </w:tcPr>
          <w:p w14:paraId="00EF2BE1">
            <w:pPr>
              <w:pStyle w:val="58"/>
              <w:spacing w:line="360" w:lineRule="auto"/>
              <w:jc w:val="center"/>
              <w:rPr>
                <w:rFonts w:hAnsi="宋体" w:cs="宋体"/>
                <w:color w:val="auto"/>
                <w:szCs w:val="24"/>
                <w:highlight w:val="none"/>
              </w:rPr>
            </w:pPr>
          </w:p>
        </w:tc>
        <w:tc>
          <w:tcPr>
            <w:tcW w:w="622" w:type="dxa"/>
            <w:vMerge w:val="continue"/>
            <w:vAlign w:val="center"/>
          </w:tcPr>
          <w:p w14:paraId="345BFF10">
            <w:pPr>
              <w:pStyle w:val="58"/>
              <w:snapToGrid w:val="0"/>
              <w:jc w:val="center"/>
              <w:rPr>
                <w:rFonts w:hAnsi="宋体" w:cs="宋体"/>
                <w:color w:val="auto"/>
                <w:szCs w:val="24"/>
                <w:highlight w:val="none"/>
              </w:rPr>
            </w:pPr>
          </w:p>
        </w:tc>
        <w:tc>
          <w:tcPr>
            <w:tcW w:w="2217" w:type="dxa"/>
            <w:vAlign w:val="center"/>
          </w:tcPr>
          <w:p w14:paraId="602C357F">
            <w:pPr>
              <w:pStyle w:val="58"/>
              <w:adjustRightInd/>
              <w:snapToGrid w:val="0"/>
              <w:jc w:val="center"/>
              <w:rPr>
                <w:rFonts w:hAnsi="宋体" w:cs="宋体"/>
                <w:color w:val="auto"/>
                <w:szCs w:val="24"/>
                <w:highlight w:val="none"/>
              </w:rPr>
            </w:pPr>
            <w:r>
              <w:rPr>
                <w:rFonts w:hint="eastAsia" w:hAnsi="宋体" w:cs="宋体"/>
                <w:color w:val="auto"/>
                <w:szCs w:val="24"/>
                <w:highlight w:val="none"/>
              </w:rPr>
              <w:t>响应内容（范围）</w:t>
            </w:r>
          </w:p>
        </w:tc>
        <w:tc>
          <w:tcPr>
            <w:tcW w:w="5092" w:type="dxa"/>
            <w:vAlign w:val="center"/>
          </w:tcPr>
          <w:p w14:paraId="0282A600">
            <w:pPr>
              <w:pStyle w:val="58"/>
              <w:adjustRightInd/>
              <w:snapToGrid w:val="0"/>
              <w:rPr>
                <w:rFonts w:hAnsi="宋体" w:cs="宋体"/>
                <w:color w:val="auto"/>
                <w:szCs w:val="24"/>
                <w:highlight w:val="none"/>
              </w:rPr>
            </w:pPr>
            <w:r>
              <w:rPr>
                <w:rFonts w:hint="eastAsia" w:hAnsi="宋体" w:cs="宋体"/>
                <w:color w:val="auto"/>
                <w:szCs w:val="24"/>
                <w:highlight w:val="none"/>
              </w:rPr>
              <w:t>符合第二章“采购项目及技术服务要求”第2条规定</w:t>
            </w:r>
          </w:p>
        </w:tc>
      </w:tr>
      <w:tr w14:paraId="720A5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jc w:val="center"/>
        </w:trPr>
        <w:tc>
          <w:tcPr>
            <w:tcW w:w="803" w:type="dxa"/>
            <w:vMerge w:val="continue"/>
            <w:vAlign w:val="center"/>
          </w:tcPr>
          <w:p w14:paraId="728E100B">
            <w:pPr>
              <w:pStyle w:val="58"/>
              <w:spacing w:line="360" w:lineRule="auto"/>
              <w:jc w:val="center"/>
              <w:rPr>
                <w:rFonts w:hAnsi="宋体" w:cs="宋体"/>
                <w:color w:val="auto"/>
                <w:szCs w:val="24"/>
                <w:highlight w:val="none"/>
              </w:rPr>
            </w:pPr>
          </w:p>
        </w:tc>
        <w:tc>
          <w:tcPr>
            <w:tcW w:w="898" w:type="dxa"/>
            <w:vMerge w:val="continue"/>
            <w:vAlign w:val="center"/>
          </w:tcPr>
          <w:p w14:paraId="76E49A5C">
            <w:pPr>
              <w:pStyle w:val="58"/>
              <w:spacing w:line="360" w:lineRule="auto"/>
              <w:jc w:val="center"/>
              <w:rPr>
                <w:rFonts w:hAnsi="宋体" w:cs="宋体"/>
                <w:color w:val="auto"/>
                <w:szCs w:val="24"/>
                <w:highlight w:val="none"/>
              </w:rPr>
            </w:pPr>
          </w:p>
        </w:tc>
        <w:tc>
          <w:tcPr>
            <w:tcW w:w="622" w:type="dxa"/>
            <w:vMerge w:val="continue"/>
            <w:vAlign w:val="center"/>
          </w:tcPr>
          <w:p w14:paraId="202CBCB0">
            <w:pPr>
              <w:pStyle w:val="58"/>
              <w:snapToGrid w:val="0"/>
              <w:jc w:val="center"/>
              <w:rPr>
                <w:rFonts w:hAnsi="宋体" w:cs="宋体"/>
                <w:color w:val="auto"/>
                <w:szCs w:val="24"/>
                <w:highlight w:val="none"/>
              </w:rPr>
            </w:pPr>
          </w:p>
        </w:tc>
        <w:tc>
          <w:tcPr>
            <w:tcW w:w="2217" w:type="dxa"/>
            <w:vAlign w:val="center"/>
          </w:tcPr>
          <w:p w14:paraId="76A32EA7">
            <w:pPr>
              <w:pStyle w:val="58"/>
              <w:adjustRightInd/>
              <w:snapToGrid w:val="0"/>
              <w:jc w:val="center"/>
              <w:rPr>
                <w:rFonts w:hint="eastAsia" w:hAnsi="宋体" w:eastAsia="宋体" w:cs="宋体"/>
                <w:color w:val="auto"/>
                <w:szCs w:val="24"/>
                <w:highlight w:val="none"/>
                <w:lang w:eastAsia="zh-CN"/>
              </w:rPr>
            </w:pPr>
            <w:r>
              <w:rPr>
                <w:rFonts w:hint="eastAsia" w:hAnsi="宋体" w:cs="宋体"/>
                <w:color w:val="auto"/>
                <w:szCs w:val="24"/>
                <w:highlight w:val="none"/>
                <w:lang w:eastAsia="zh-CN"/>
              </w:rPr>
              <w:t>合同履行期限</w:t>
            </w:r>
          </w:p>
        </w:tc>
        <w:tc>
          <w:tcPr>
            <w:tcW w:w="5092" w:type="dxa"/>
            <w:vAlign w:val="center"/>
          </w:tcPr>
          <w:p w14:paraId="01502861">
            <w:pPr>
              <w:pStyle w:val="58"/>
              <w:adjustRightInd/>
              <w:snapToGrid w:val="0"/>
              <w:jc w:val="both"/>
              <w:rPr>
                <w:rFonts w:hAnsi="宋体" w:cs="宋体"/>
                <w:color w:val="auto"/>
                <w:szCs w:val="24"/>
                <w:highlight w:val="none"/>
              </w:rPr>
            </w:pPr>
            <w:r>
              <w:rPr>
                <w:rFonts w:hint="eastAsia" w:hAnsi="宋体" w:cs="宋体"/>
                <w:color w:val="auto"/>
                <w:szCs w:val="24"/>
                <w:highlight w:val="none"/>
              </w:rPr>
              <w:t>符合第二章“采购项目及技术服务要求”1.2款规定</w:t>
            </w:r>
          </w:p>
        </w:tc>
      </w:tr>
      <w:tr w14:paraId="78DEB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jc w:val="center"/>
        </w:trPr>
        <w:tc>
          <w:tcPr>
            <w:tcW w:w="803" w:type="dxa"/>
            <w:vMerge w:val="continue"/>
            <w:vAlign w:val="center"/>
          </w:tcPr>
          <w:p w14:paraId="22453160">
            <w:pPr>
              <w:pStyle w:val="58"/>
              <w:spacing w:line="360" w:lineRule="auto"/>
              <w:jc w:val="center"/>
              <w:rPr>
                <w:rFonts w:hAnsi="宋体" w:cs="宋体"/>
                <w:color w:val="auto"/>
                <w:szCs w:val="24"/>
                <w:highlight w:val="none"/>
              </w:rPr>
            </w:pPr>
          </w:p>
        </w:tc>
        <w:tc>
          <w:tcPr>
            <w:tcW w:w="898" w:type="dxa"/>
            <w:vMerge w:val="continue"/>
            <w:vAlign w:val="center"/>
          </w:tcPr>
          <w:p w14:paraId="3B1E9251">
            <w:pPr>
              <w:pStyle w:val="58"/>
              <w:spacing w:line="360" w:lineRule="auto"/>
              <w:jc w:val="center"/>
              <w:rPr>
                <w:rFonts w:hAnsi="宋体" w:cs="宋体"/>
                <w:color w:val="auto"/>
                <w:szCs w:val="24"/>
                <w:highlight w:val="none"/>
              </w:rPr>
            </w:pPr>
          </w:p>
        </w:tc>
        <w:tc>
          <w:tcPr>
            <w:tcW w:w="622" w:type="dxa"/>
            <w:vMerge w:val="continue"/>
            <w:vAlign w:val="center"/>
          </w:tcPr>
          <w:p w14:paraId="3067FF0E">
            <w:pPr>
              <w:pStyle w:val="58"/>
              <w:snapToGrid w:val="0"/>
              <w:jc w:val="center"/>
              <w:rPr>
                <w:rFonts w:hAnsi="宋体" w:cs="宋体"/>
                <w:color w:val="auto"/>
                <w:szCs w:val="24"/>
                <w:highlight w:val="none"/>
              </w:rPr>
            </w:pPr>
          </w:p>
        </w:tc>
        <w:tc>
          <w:tcPr>
            <w:tcW w:w="2217" w:type="dxa"/>
            <w:vAlign w:val="center"/>
          </w:tcPr>
          <w:p w14:paraId="3EB6EA33">
            <w:pPr>
              <w:pStyle w:val="58"/>
              <w:adjustRightInd/>
              <w:snapToGrid w:val="0"/>
              <w:jc w:val="center"/>
              <w:rPr>
                <w:rFonts w:hAnsi="宋体" w:cs="宋体"/>
                <w:color w:val="auto"/>
                <w:szCs w:val="24"/>
                <w:highlight w:val="none"/>
              </w:rPr>
            </w:pPr>
            <w:r>
              <w:rPr>
                <w:rFonts w:hint="eastAsia" w:hAnsi="宋体" w:cs="宋体"/>
                <w:color w:val="auto"/>
                <w:szCs w:val="24"/>
                <w:highlight w:val="none"/>
              </w:rPr>
              <w:t>技术要求</w:t>
            </w:r>
          </w:p>
        </w:tc>
        <w:tc>
          <w:tcPr>
            <w:tcW w:w="5092" w:type="dxa"/>
            <w:vAlign w:val="center"/>
          </w:tcPr>
          <w:p w14:paraId="1F2E4905">
            <w:pPr>
              <w:pStyle w:val="58"/>
              <w:adjustRightInd/>
              <w:snapToGrid w:val="0"/>
              <w:jc w:val="both"/>
              <w:rPr>
                <w:rFonts w:hint="default" w:hAnsi="宋体" w:eastAsia="宋体" w:cs="宋体"/>
                <w:color w:val="auto"/>
                <w:szCs w:val="24"/>
                <w:highlight w:val="none"/>
                <w:lang w:val="en-US" w:eastAsia="zh-CN"/>
              </w:rPr>
            </w:pPr>
            <w:r>
              <w:rPr>
                <w:rFonts w:hint="eastAsia" w:hAnsi="宋体" w:cs="宋体"/>
                <w:color w:val="auto"/>
                <w:szCs w:val="24"/>
                <w:highlight w:val="none"/>
              </w:rPr>
              <w:t>符合第二章“采购项目及技术服务要求”第2条规定</w:t>
            </w:r>
            <w:r>
              <w:rPr>
                <w:rFonts w:hint="eastAsia" w:hAnsi="宋体" w:cs="宋体"/>
                <w:color w:val="auto"/>
                <w:szCs w:val="24"/>
                <w:highlight w:val="none"/>
                <w:lang w:val="en-US" w:eastAsia="zh-CN"/>
              </w:rPr>
              <w:t>的采购清单内容，有技术要求响应负偏离的，不作废标处理，扣除相应的得分。</w:t>
            </w:r>
          </w:p>
        </w:tc>
      </w:tr>
      <w:tr w14:paraId="4FA93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jc w:val="center"/>
        </w:trPr>
        <w:tc>
          <w:tcPr>
            <w:tcW w:w="803" w:type="dxa"/>
            <w:vMerge w:val="continue"/>
            <w:vAlign w:val="center"/>
          </w:tcPr>
          <w:p w14:paraId="45728CA4">
            <w:pPr>
              <w:pStyle w:val="58"/>
              <w:spacing w:line="360" w:lineRule="auto"/>
              <w:jc w:val="center"/>
              <w:rPr>
                <w:rFonts w:hAnsi="宋体" w:cs="宋体"/>
                <w:color w:val="auto"/>
                <w:szCs w:val="24"/>
                <w:highlight w:val="none"/>
              </w:rPr>
            </w:pPr>
          </w:p>
        </w:tc>
        <w:tc>
          <w:tcPr>
            <w:tcW w:w="898" w:type="dxa"/>
            <w:vMerge w:val="continue"/>
            <w:vAlign w:val="center"/>
          </w:tcPr>
          <w:p w14:paraId="2823D0A6">
            <w:pPr>
              <w:pStyle w:val="58"/>
              <w:spacing w:line="360" w:lineRule="auto"/>
              <w:jc w:val="center"/>
              <w:rPr>
                <w:rFonts w:hAnsi="宋体" w:cs="宋体"/>
                <w:color w:val="auto"/>
                <w:szCs w:val="24"/>
                <w:highlight w:val="none"/>
              </w:rPr>
            </w:pPr>
          </w:p>
        </w:tc>
        <w:tc>
          <w:tcPr>
            <w:tcW w:w="622" w:type="dxa"/>
            <w:vMerge w:val="continue"/>
            <w:vAlign w:val="center"/>
          </w:tcPr>
          <w:p w14:paraId="4930C4EB">
            <w:pPr>
              <w:pStyle w:val="58"/>
              <w:snapToGrid w:val="0"/>
              <w:jc w:val="center"/>
              <w:rPr>
                <w:rFonts w:hAnsi="宋体" w:cs="宋体"/>
                <w:color w:val="auto"/>
                <w:szCs w:val="24"/>
                <w:highlight w:val="none"/>
              </w:rPr>
            </w:pPr>
          </w:p>
        </w:tc>
        <w:tc>
          <w:tcPr>
            <w:tcW w:w="2217" w:type="dxa"/>
            <w:vAlign w:val="center"/>
          </w:tcPr>
          <w:p w14:paraId="0282415A">
            <w:pPr>
              <w:pStyle w:val="58"/>
              <w:adjustRightInd/>
              <w:snapToGrid w:val="0"/>
              <w:jc w:val="center"/>
              <w:rPr>
                <w:rFonts w:hAnsi="宋体" w:cs="宋体"/>
                <w:color w:val="auto"/>
                <w:szCs w:val="24"/>
                <w:highlight w:val="none"/>
              </w:rPr>
            </w:pPr>
            <w:r>
              <w:rPr>
                <w:rFonts w:hint="eastAsia" w:hAnsi="宋体" w:cs="宋体"/>
                <w:color w:val="auto"/>
                <w:szCs w:val="24"/>
                <w:highlight w:val="none"/>
              </w:rPr>
              <w:t>售后服务</w:t>
            </w:r>
          </w:p>
        </w:tc>
        <w:tc>
          <w:tcPr>
            <w:tcW w:w="5092" w:type="dxa"/>
            <w:vAlign w:val="center"/>
          </w:tcPr>
          <w:p w14:paraId="31C4074F">
            <w:pPr>
              <w:pStyle w:val="58"/>
              <w:adjustRightInd/>
              <w:snapToGrid w:val="0"/>
              <w:rPr>
                <w:rFonts w:hAnsi="宋体" w:cs="宋体"/>
                <w:color w:val="auto"/>
                <w:szCs w:val="24"/>
                <w:highlight w:val="none"/>
              </w:rPr>
            </w:pPr>
            <w:r>
              <w:rPr>
                <w:rFonts w:hint="eastAsia" w:hAnsi="宋体" w:cs="宋体"/>
                <w:color w:val="auto"/>
                <w:szCs w:val="24"/>
                <w:highlight w:val="none"/>
              </w:rPr>
              <w:t>符合第二章“采购项目及技术服务要求”2.8款规定</w:t>
            </w:r>
          </w:p>
        </w:tc>
      </w:tr>
      <w:tr w14:paraId="282A6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6" w:hRule="atLeast"/>
          <w:jc w:val="center"/>
        </w:trPr>
        <w:tc>
          <w:tcPr>
            <w:tcW w:w="803" w:type="dxa"/>
            <w:vMerge w:val="continue"/>
            <w:vAlign w:val="center"/>
          </w:tcPr>
          <w:p w14:paraId="4BDE9A23">
            <w:pPr>
              <w:pStyle w:val="58"/>
              <w:spacing w:line="360" w:lineRule="auto"/>
              <w:jc w:val="center"/>
              <w:rPr>
                <w:rFonts w:hAnsi="宋体" w:cs="宋体"/>
                <w:color w:val="auto"/>
                <w:szCs w:val="24"/>
                <w:highlight w:val="none"/>
              </w:rPr>
            </w:pPr>
          </w:p>
        </w:tc>
        <w:tc>
          <w:tcPr>
            <w:tcW w:w="898" w:type="dxa"/>
            <w:vMerge w:val="continue"/>
            <w:vAlign w:val="center"/>
          </w:tcPr>
          <w:p w14:paraId="6D4B4515">
            <w:pPr>
              <w:pStyle w:val="58"/>
              <w:spacing w:line="360" w:lineRule="auto"/>
              <w:jc w:val="center"/>
              <w:rPr>
                <w:rFonts w:hAnsi="宋体" w:cs="宋体"/>
                <w:color w:val="auto"/>
                <w:szCs w:val="24"/>
                <w:highlight w:val="none"/>
              </w:rPr>
            </w:pPr>
          </w:p>
        </w:tc>
        <w:tc>
          <w:tcPr>
            <w:tcW w:w="622" w:type="dxa"/>
            <w:vMerge w:val="continue"/>
            <w:vAlign w:val="center"/>
          </w:tcPr>
          <w:p w14:paraId="1D6915E9">
            <w:pPr>
              <w:pStyle w:val="58"/>
              <w:adjustRightInd/>
              <w:snapToGrid w:val="0"/>
              <w:jc w:val="center"/>
              <w:rPr>
                <w:rFonts w:hAnsi="宋体" w:cs="宋体"/>
                <w:color w:val="auto"/>
                <w:szCs w:val="24"/>
                <w:highlight w:val="none"/>
              </w:rPr>
            </w:pPr>
          </w:p>
        </w:tc>
        <w:tc>
          <w:tcPr>
            <w:tcW w:w="2217" w:type="dxa"/>
            <w:vAlign w:val="center"/>
          </w:tcPr>
          <w:p w14:paraId="6A2631A9">
            <w:pPr>
              <w:pStyle w:val="58"/>
              <w:adjustRightInd/>
              <w:snapToGrid w:val="0"/>
              <w:jc w:val="center"/>
              <w:rPr>
                <w:rFonts w:hAnsi="宋体" w:cs="宋体"/>
                <w:color w:val="auto"/>
                <w:szCs w:val="24"/>
                <w:highlight w:val="none"/>
              </w:rPr>
            </w:pPr>
            <w:r>
              <w:rPr>
                <w:rFonts w:hint="eastAsia" w:hAnsi="宋体" w:cs="宋体"/>
                <w:color w:val="auto"/>
                <w:szCs w:val="24"/>
                <w:highlight w:val="none"/>
              </w:rPr>
              <w:t>响应有效期</w:t>
            </w:r>
          </w:p>
        </w:tc>
        <w:tc>
          <w:tcPr>
            <w:tcW w:w="5092" w:type="dxa"/>
            <w:vAlign w:val="center"/>
          </w:tcPr>
          <w:p w14:paraId="3486FD34">
            <w:pPr>
              <w:snapToGrid w:val="0"/>
              <w:spacing w:line="240" w:lineRule="auto"/>
              <w:rPr>
                <w:rFonts w:ascii="宋体" w:hAnsi="宋体" w:cs="宋体"/>
                <w:color w:val="auto"/>
                <w:sz w:val="24"/>
                <w:highlight w:val="none"/>
              </w:rPr>
            </w:pPr>
            <w:r>
              <w:rPr>
                <w:rFonts w:hint="eastAsia" w:ascii="宋体" w:hAnsi="宋体" w:cs="宋体"/>
                <w:color w:val="auto"/>
                <w:sz w:val="24"/>
                <w:highlight w:val="none"/>
              </w:rPr>
              <w:t>符合第三章“供应商须知”3.4款规定</w:t>
            </w:r>
          </w:p>
        </w:tc>
      </w:tr>
      <w:tr w14:paraId="5C184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803" w:type="dxa"/>
            <w:vMerge w:val="continue"/>
            <w:vAlign w:val="center"/>
          </w:tcPr>
          <w:p w14:paraId="57B7214F">
            <w:pPr>
              <w:pStyle w:val="58"/>
              <w:spacing w:line="360" w:lineRule="auto"/>
              <w:jc w:val="center"/>
              <w:rPr>
                <w:rFonts w:hAnsi="宋体" w:cs="宋体"/>
                <w:color w:val="auto"/>
                <w:szCs w:val="24"/>
                <w:highlight w:val="none"/>
              </w:rPr>
            </w:pPr>
          </w:p>
        </w:tc>
        <w:tc>
          <w:tcPr>
            <w:tcW w:w="898" w:type="dxa"/>
            <w:vMerge w:val="continue"/>
            <w:vAlign w:val="center"/>
          </w:tcPr>
          <w:p w14:paraId="134A7923">
            <w:pPr>
              <w:pStyle w:val="58"/>
              <w:spacing w:line="360" w:lineRule="auto"/>
              <w:jc w:val="center"/>
              <w:rPr>
                <w:rFonts w:hAnsi="宋体" w:cs="宋体"/>
                <w:color w:val="auto"/>
                <w:szCs w:val="24"/>
                <w:highlight w:val="none"/>
              </w:rPr>
            </w:pPr>
          </w:p>
        </w:tc>
        <w:tc>
          <w:tcPr>
            <w:tcW w:w="622" w:type="dxa"/>
            <w:vMerge w:val="continue"/>
            <w:vAlign w:val="center"/>
          </w:tcPr>
          <w:p w14:paraId="1B963980">
            <w:pPr>
              <w:pStyle w:val="58"/>
              <w:adjustRightInd/>
              <w:snapToGrid w:val="0"/>
              <w:jc w:val="center"/>
              <w:rPr>
                <w:rFonts w:hAnsi="宋体" w:cs="宋体"/>
                <w:color w:val="auto"/>
                <w:szCs w:val="24"/>
                <w:highlight w:val="none"/>
              </w:rPr>
            </w:pPr>
          </w:p>
        </w:tc>
        <w:tc>
          <w:tcPr>
            <w:tcW w:w="2217" w:type="dxa"/>
            <w:vAlign w:val="center"/>
          </w:tcPr>
          <w:p w14:paraId="3B99572A">
            <w:pPr>
              <w:pStyle w:val="58"/>
              <w:adjustRightInd/>
              <w:snapToGrid w:val="0"/>
              <w:jc w:val="center"/>
              <w:rPr>
                <w:rFonts w:hAnsi="宋体" w:cs="宋体"/>
                <w:color w:val="auto"/>
                <w:szCs w:val="24"/>
                <w:highlight w:val="none"/>
              </w:rPr>
            </w:pPr>
            <w:r>
              <w:rPr>
                <w:rFonts w:hint="eastAsia" w:hAnsi="宋体" w:cs="宋体"/>
                <w:color w:val="auto"/>
                <w:szCs w:val="24"/>
                <w:highlight w:val="none"/>
              </w:rPr>
              <w:t>《响应文件》格式</w:t>
            </w:r>
          </w:p>
        </w:tc>
        <w:tc>
          <w:tcPr>
            <w:tcW w:w="5092" w:type="dxa"/>
            <w:vAlign w:val="center"/>
          </w:tcPr>
          <w:p w14:paraId="4D3D532A">
            <w:pPr>
              <w:pStyle w:val="58"/>
              <w:adjustRightInd/>
              <w:snapToGrid w:val="0"/>
              <w:rPr>
                <w:rFonts w:hAnsi="宋体" w:cs="宋体"/>
                <w:color w:val="auto"/>
                <w:szCs w:val="24"/>
                <w:highlight w:val="none"/>
              </w:rPr>
            </w:pPr>
            <w:r>
              <w:rPr>
                <w:rFonts w:hint="eastAsia" w:hAnsi="宋体" w:cs="宋体"/>
                <w:color w:val="auto"/>
                <w:szCs w:val="24"/>
                <w:highlight w:val="none"/>
              </w:rPr>
              <w:t>符合第六章“《响应文件》格式”规定</w:t>
            </w:r>
          </w:p>
        </w:tc>
      </w:tr>
      <w:tr w14:paraId="3A262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803" w:type="dxa"/>
            <w:vMerge w:val="continue"/>
            <w:vAlign w:val="center"/>
          </w:tcPr>
          <w:p w14:paraId="45E3F465">
            <w:pPr>
              <w:pStyle w:val="58"/>
              <w:spacing w:line="360" w:lineRule="auto"/>
              <w:jc w:val="center"/>
              <w:rPr>
                <w:rFonts w:hAnsi="宋体" w:cs="宋体"/>
                <w:color w:val="auto"/>
                <w:szCs w:val="24"/>
                <w:highlight w:val="none"/>
              </w:rPr>
            </w:pPr>
          </w:p>
        </w:tc>
        <w:tc>
          <w:tcPr>
            <w:tcW w:w="898" w:type="dxa"/>
            <w:vMerge w:val="continue"/>
            <w:vAlign w:val="center"/>
          </w:tcPr>
          <w:p w14:paraId="4F819444">
            <w:pPr>
              <w:pStyle w:val="58"/>
              <w:spacing w:line="360" w:lineRule="auto"/>
              <w:jc w:val="center"/>
              <w:rPr>
                <w:rFonts w:hAnsi="宋体" w:cs="宋体"/>
                <w:color w:val="auto"/>
                <w:szCs w:val="24"/>
                <w:highlight w:val="none"/>
              </w:rPr>
            </w:pPr>
          </w:p>
        </w:tc>
        <w:tc>
          <w:tcPr>
            <w:tcW w:w="622" w:type="dxa"/>
            <w:vMerge w:val="continue"/>
            <w:vAlign w:val="center"/>
          </w:tcPr>
          <w:p w14:paraId="4C130004">
            <w:pPr>
              <w:pStyle w:val="58"/>
              <w:adjustRightInd/>
              <w:snapToGrid w:val="0"/>
              <w:jc w:val="center"/>
              <w:rPr>
                <w:rFonts w:hAnsi="宋体" w:cs="宋体"/>
                <w:color w:val="auto"/>
                <w:szCs w:val="24"/>
                <w:highlight w:val="none"/>
              </w:rPr>
            </w:pPr>
          </w:p>
        </w:tc>
        <w:tc>
          <w:tcPr>
            <w:tcW w:w="2217" w:type="dxa"/>
            <w:vAlign w:val="center"/>
          </w:tcPr>
          <w:p w14:paraId="0C86FF57">
            <w:pPr>
              <w:pStyle w:val="58"/>
              <w:adjustRightInd/>
              <w:snapToGrid w:val="0"/>
              <w:jc w:val="center"/>
              <w:rPr>
                <w:rFonts w:hAnsi="宋体" w:cs="宋体"/>
                <w:color w:val="auto"/>
                <w:szCs w:val="24"/>
                <w:highlight w:val="none"/>
              </w:rPr>
            </w:pPr>
            <w:r>
              <w:rPr>
                <w:rFonts w:hint="eastAsia" w:hAnsi="宋体" w:cs="宋体"/>
                <w:color w:val="auto"/>
                <w:highlight w:val="none"/>
              </w:rPr>
              <w:t>付款</w:t>
            </w:r>
          </w:p>
        </w:tc>
        <w:tc>
          <w:tcPr>
            <w:tcW w:w="5092" w:type="dxa"/>
            <w:vAlign w:val="center"/>
          </w:tcPr>
          <w:p w14:paraId="6EF07AF5">
            <w:pPr>
              <w:snapToGrid w:val="0"/>
              <w:spacing w:line="240" w:lineRule="auto"/>
              <w:rPr>
                <w:rFonts w:ascii="宋体" w:hAnsi="宋体" w:cs="宋体"/>
                <w:color w:val="auto"/>
                <w:sz w:val="24"/>
                <w:highlight w:val="none"/>
              </w:rPr>
            </w:pPr>
            <w:r>
              <w:rPr>
                <w:rFonts w:hint="eastAsia" w:ascii="宋体" w:hAnsi="宋体" w:cs="宋体"/>
                <w:color w:val="auto"/>
                <w:sz w:val="24"/>
                <w:highlight w:val="none"/>
              </w:rPr>
              <w:t>符合第三章“供应商须知”第9条规定</w:t>
            </w:r>
          </w:p>
        </w:tc>
      </w:tr>
      <w:tr w14:paraId="44604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803" w:type="dxa"/>
            <w:vMerge w:val="continue"/>
            <w:vAlign w:val="center"/>
          </w:tcPr>
          <w:p w14:paraId="6F09F5EB">
            <w:pPr>
              <w:pStyle w:val="58"/>
              <w:spacing w:line="360" w:lineRule="auto"/>
              <w:jc w:val="center"/>
              <w:rPr>
                <w:rFonts w:hAnsi="宋体" w:cs="宋体"/>
                <w:color w:val="auto"/>
                <w:szCs w:val="24"/>
                <w:highlight w:val="none"/>
              </w:rPr>
            </w:pPr>
          </w:p>
        </w:tc>
        <w:tc>
          <w:tcPr>
            <w:tcW w:w="898" w:type="dxa"/>
            <w:vMerge w:val="continue"/>
            <w:vAlign w:val="center"/>
          </w:tcPr>
          <w:p w14:paraId="447546E7">
            <w:pPr>
              <w:pStyle w:val="58"/>
              <w:spacing w:line="360" w:lineRule="auto"/>
              <w:jc w:val="center"/>
              <w:rPr>
                <w:rFonts w:hAnsi="宋体" w:cs="宋体"/>
                <w:color w:val="auto"/>
                <w:szCs w:val="24"/>
                <w:highlight w:val="none"/>
              </w:rPr>
            </w:pPr>
          </w:p>
        </w:tc>
        <w:tc>
          <w:tcPr>
            <w:tcW w:w="622" w:type="dxa"/>
            <w:vMerge w:val="continue"/>
            <w:vAlign w:val="center"/>
          </w:tcPr>
          <w:p w14:paraId="1710FFFB">
            <w:pPr>
              <w:pStyle w:val="58"/>
              <w:adjustRightInd/>
              <w:snapToGrid w:val="0"/>
              <w:jc w:val="center"/>
              <w:rPr>
                <w:rFonts w:hAnsi="宋体" w:cs="宋体"/>
                <w:color w:val="auto"/>
                <w:szCs w:val="24"/>
                <w:highlight w:val="none"/>
              </w:rPr>
            </w:pPr>
          </w:p>
        </w:tc>
        <w:tc>
          <w:tcPr>
            <w:tcW w:w="2217" w:type="dxa"/>
            <w:vAlign w:val="center"/>
          </w:tcPr>
          <w:p w14:paraId="31A5D112">
            <w:pPr>
              <w:pStyle w:val="58"/>
              <w:adjustRightInd/>
              <w:snapToGrid w:val="0"/>
              <w:jc w:val="center"/>
              <w:rPr>
                <w:rFonts w:hAnsi="宋体" w:cs="宋体"/>
                <w:color w:val="auto"/>
                <w:highlight w:val="none"/>
              </w:rPr>
            </w:pPr>
            <w:r>
              <w:rPr>
                <w:rFonts w:hint="eastAsia" w:hAnsi="宋体" w:cs="宋体"/>
                <w:color w:val="auto"/>
                <w:highlight w:val="none"/>
              </w:rPr>
              <w:t>偏差描述</w:t>
            </w:r>
          </w:p>
        </w:tc>
        <w:tc>
          <w:tcPr>
            <w:tcW w:w="5092" w:type="dxa"/>
            <w:vAlign w:val="center"/>
          </w:tcPr>
          <w:p w14:paraId="7EE5D31F">
            <w:pPr>
              <w:snapToGrid w:val="0"/>
              <w:spacing w:line="240" w:lineRule="auto"/>
              <w:rPr>
                <w:rFonts w:ascii="宋体" w:hAnsi="宋体" w:cs="宋体"/>
                <w:color w:val="auto"/>
                <w:sz w:val="24"/>
                <w:highlight w:val="none"/>
              </w:rPr>
            </w:pPr>
            <w:r>
              <w:rPr>
                <w:rFonts w:hint="eastAsia" w:ascii="宋体" w:hAnsi="宋体" w:cs="宋体"/>
                <w:color w:val="auto"/>
                <w:sz w:val="24"/>
                <w:highlight w:val="none"/>
              </w:rPr>
              <w:t>符合第三章“供应商须知”3.7.3项规定</w:t>
            </w:r>
          </w:p>
        </w:tc>
      </w:tr>
      <w:tr w14:paraId="50A3F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 w:hRule="atLeast"/>
          <w:jc w:val="center"/>
        </w:trPr>
        <w:tc>
          <w:tcPr>
            <w:tcW w:w="803" w:type="dxa"/>
            <w:vMerge w:val="continue"/>
            <w:vAlign w:val="center"/>
          </w:tcPr>
          <w:p w14:paraId="42F66396">
            <w:pPr>
              <w:pStyle w:val="58"/>
              <w:spacing w:line="360" w:lineRule="auto"/>
              <w:jc w:val="center"/>
              <w:rPr>
                <w:rFonts w:hAnsi="宋体" w:cs="宋体"/>
                <w:color w:val="auto"/>
                <w:szCs w:val="24"/>
                <w:highlight w:val="none"/>
              </w:rPr>
            </w:pPr>
          </w:p>
        </w:tc>
        <w:tc>
          <w:tcPr>
            <w:tcW w:w="898" w:type="dxa"/>
            <w:vMerge w:val="continue"/>
            <w:vAlign w:val="center"/>
          </w:tcPr>
          <w:p w14:paraId="6935466C">
            <w:pPr>
              <w:pStyle w:val="58"/>
              <w:spacing w:line="360" w:lineRule="auto"/>
              <w:jc w:val="center"/>
              <w:rPr>
                <w:rFonts w:hAnsi="宋体" w:cs="宋体"/>
                <w:color w:val="auto"/>
                <w:szCs w:val="24"/>
                <w:highlight w:val="none"/>
              </w:rPr>
            </w:pPr>
          </w:p>
        </w:tc>
        <w:tc>
          <w:tcPr>
            <w:tcW w:w="622" w:type="dxa"/>
            <w:vMerge w:val="continue"/>
            <w:vAlign w:val="center"/>
          </w:tcPr>
          <w:p w14:paraId="46AB7E65">
            <w:pPr>
              <w:snapToGrid w:val="0"/>
              <w:spacing w:line="240" w:lineRule="auto"/>
              <w:jc w:val="center"/>
              <w:rPr>
                <w:rFonts w:ascii="宋体" w:hAnsi="宋体" w:cs="宋体"/>
                <w:color w:val="auto"/>
                <w:sz w:val="24"/>
                <w:highlight w:val="none"/>
              </w:rPr>
            </w:pPr>
          </w:p>
        </w:tc>
        <w:tc>
          <w:tcPr>
            <w:tcW w:w="2217" w:type="dxa"/>
            <w:vAlign w:val="center"/>
          </w:tcPr>
          <w:p w14:paraId="4BCBA362">
            <w:pPr>
              <w:snapToGrid w:val="0"/>
              <w:spacing w:line="240" w:lineRule="auto"/>
              <w:jc w:val="center"/>
              <w:rPr>
                <w:rFonts w:ascii="宋体" w:hAnsi="宋体" w:cs="宋体"/>
                <w:color w:val="auto"/>
                <w:sz w:val="24"/>
                <w:highlight w:val="none"/>
              </w:rPr>
            </w:pPr>
            <w:r>
              <w:rPr>
                <w:rFonts w:hint="eastAsia" w:ascii="宋体" w:hAnsi="宋体" w:cs="宋体"/>
                <w:color w:val="auto"/>
                <w:sz w:val="24"/>
                <w:highlight w:val="none"/>
              </w:rPr>
              <w:t>《磋商文件》总体响应</w:t>
            </w:r>
          </w:p>
        </w:tc>
        <w:tc>
          <w:tcPr>
            <w:tcW w:w="5092" w:type="dxa"/>
            <w:vAlign w:val="center"/>
          </w:tcPr>
          <w:p w14:paraId="2D2AA693">
            <w:pPr>
              <w:autoSpaceDE w:val="0"/>
              <w:autoSpaceDN w:val="0"/>
              <w:snapToGrid w:val="0"/>
              <w:spacing w:line="240" w:lineRule="auto"/>
              <w:rPr>
                <w:rFonts w:ascii="宋体" w:hAnsi="宋体" w:cs="宋体"/>
                <w:color w:val="auto"/>
                <w:sz w:val="24"/>
                <w:highlight w:val="none"/>
              </w:rPr>
            </w:pPr>
            <w:r>
              <w:rPr>
                <w:rFonts w:hint="eastAsia" w:ascii="宋体" w:hAnsi="宋体" w:cs="宋体"/>
                <w:color w:val="auto"/>
                <w:sz w:val="24"/>
                <w:highlight w:val="none"/>
              </w:rPr>
              <w:t>符合第三章“供应商须知”1.3项规定</w:t>
            </w:r>
          </w:p>
        </w:tc>
      </w:tr>
      <w:tr w14:paraId="71272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 w:hRule="atLeast"/>
          <w:jc w:val="center"/>
        </w:trPr>
        <w:tc>
          <w:tcPr>
            <w:tcW w:w="803" w:type="dxa"/>
            <w:vAlign w:val="center"/>
          </w:tcPr>
          <w:p w14:paraId="1146D89F">
            <w:pPr>
              <w:pStyle w:val="58"/>
              <w:spacing w:line="360" w:lineRule="auto"/>
              <w:jc w:val="center"/>
              <w:rPr>
                <w:rFonts w:hint="default" w:hAnsi="宋体" w:eastAsia="宋体" w:cs="宋体"/>
                <w:color w:val="auto"/>
                <w:szCs w:val="24"/>
                <w:highlight w:val="none"/>
                <w:lang w:val="en-US" w:eastAsia="zh-CN"/>
              </w:rPr>
            </w:pPr>
            <w:r>
              <w:rPr>
                <w:rFonts w:hint="eastAsia" w:hAnsi="宋体" w:cs="宋体"/>
                <w:color w:val="auto"/>
                <w:szCs w:val="24"/>
                <w:highlight w:val="none"/>
                <w:lang w:val="en-US" w:eastAsia="zh-CN"/>
              </w:rPr>
              <w:t>2.1.3</w:t>
            </w:r>
          </w:p>
        </w:tc>
        <w:tc>
          <w:tcPr>
            <w:tcW w:w="898" w:type="dxa"/>
            <w:vAlign w:val="center"/>
          </w:tcPr>
          <w:p w14:paraId="2D17B396">
            <w:pPr>
              <w:pStyle w:val="58"/>
              <w:spacing w:line="360" w:lineRule="auto"/>
              <w:jc w:val="center"/>
              <w:rPr>
                <w:rFonts w:hint="eastAsia" w:hAnsi="宋体" w:eastAsia="宋体" w:cs="宋体"/>
                <w:color w:val="auto"/>
                <w:szCs w:val="24"/>
                <w:highlight w:val="none"/>
                <w:lang w:val="en-US" w:eastAsia="zh-CN"/>
              </w:rPr>
            </w:pPr>
            <w:r>
              <w:rPr>
                <w:rFonts w:hint="eastAsia" w:hAnsi="宋体" w:cs="宋体"/>
                <w:color w:val="auto"/>
                <w:szCs w:val="24"/>
                <w:highlight w:val="none"/>
                <w:lang w:val="en-US" w:eastAsia="zh-CN"/>
              </w:rPr>
              <w:t>详细评审</w:t>
            </w:r>
          </w:p>
        </w:tc>
        <w:tc>
          <w:tcPr>
            <w:tcW w:w="2839" w:type="dxa"/>
            <w:gridSpan w:val="2"/>
            <w:vAlign w:val="center"/>
          </w:tcPr>
          <w:p w14:paraId="4F64CE4E">
            <w:pPr>
              <w:snapToGrid w:val="0"/>
              <w:spacing w:line="240" w:lineRule="auto"/>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中小企业声明函</w:t>
            </w:r>
          </w:p>
        </w:tc>
        <w:tc>
          <w:tcPr>
            <w:tcW w:w="5092" w:type="dxa"/>
            <w:vAlign w:val="center"/>
          </w:tcPr>
          <w:p w14:paraId="64DE8A7D">
            <w:pPr>
              <w:autoSpaceDE w:val="0"/>
              <w:autoSpaceDN w:val="0"/>
              <w:snapToGrid w:val="0"/>
              <w:spacing w:line="240" w:lineRule="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如有，须符合政府采购促进中小企业发展管理办法以及磋商文件的有关规定，如声明函不实，做废标处理；如无中小企业声明函，本项通过。</w:t>
            </w:r>
          </w:p>
        </w:tc>
      </w:tr>
    </w:tbl>
    <w:p w14:paraId="490616A9">
      <w:pPr>
        <w:spacing w:line="500" w:lineRule="exact"/>
        <w:ind w:firstLine="419"/>
        <w:jc w:val="left"/>
        <w:rPr>
          <w:rFonts w:ascii="宋体" w:hAnsi="宋体" w:cs="宋体"/>
          <w:b/>
          <w:color w:val="auto"/>
          <w:sz w:val="28"/>
          <w:szCs w:val="28"/>
          <w:highlight w:val="none"/>
        </w:rPr>
      </w:pPr>
      <w:r>
        <w:rPr>
          <w:rFonts w:hint="eastAsia" w:ascii="宋体" w:hAnsi="宋体" w:cs="宋体"/>
          <w:b/>
          <w:bCs/>
          <w:color w:val="auto"/>
          <w:sz w:val="28"/>
          <w:szCs w:val="28"/>
          <w:highlight w:val="none"/>
          <w:lang w:val="zh-CN"/>
        </w:rPr>
        <w:br w:type="page"/>
      </w:r>
      <w:r>
        <w:rPr>
          <w:rFonts w:hint="eastAsia" w:ascii="宋体" w:hAnsi="宋体" w:cs="宋体"/>
          <w:b/>
          <w:color w:val="auto"/>
          <w:sz w:val="28"/>
          <w:szCs w:val="28"/>
          <w:highlight w:val="none"/>
        </w:rPr>
        <w:t xml:space="preserve">评审办法前附表-----分值构成与评分标准 </w:t>
      </w:r>
    </w:p>
    <w:tbl>
      <w:tblPr>
        <w:tblStyle w:val="77"/>
        <w:tblW w:w="95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91"/>
        <w:gridCol w:w="1105"/>
        <w:gridCol w:w="7383"/>
      </w:tblGrid>
      <w:tr w14:paraId="2CEF3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3" w:hRule="atLeast"/>
          <w:jc w:val="center"/>
        </w:trPr>
        <w:tc>
          <w:tcPr>
            <w:tcW w:w="2196" w:type="dxa"/>
            <w:gridSpan w:val="2"/>
            <w:shd w:val="clear" w:color="auto" w:fill="FEFEFE"/>
            <w:vAlign w:val="center"/>
          </w:tcPr>
          <w:p w14:paraId="0B7FCC37">
            <w:pPr>
              <w:widowControl w:val="0"/>
              <w:kinsoku w:val="0"/>
              <w:autoSpaceDE w:val="0"/>
              <w:autoSpaceDN w:val="0"/>
              <w:adjustRightInd w:val="0"/>
              <w:snapToGrid w:val="0"/>
              <w:spacing w:before="121" w:line="360" w:lineRule="auto"/>
              <w:ind w:left="446"/>
              <w:jc w:val="both"/>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snapToGrid w:val="0"/>
                <w:color w:val="auto"/>
                <w:spacing w:val="-3"/>
                <w:kern w:val="0"/>
                <w:sz w:val="24"/>
                <w:szCs w:val="24"/>
                <w:highlight w:val="none"/>
                <w:lang w:val="en-US" w:eastAsia="en-US" w:bidi="ar-SA"/>
                <w14:textOutline w14:w="4354" w14:cap="flat" w14:cmpd="sng">
                  <w14:solidFill>
                    <w14:srgbClr w14:val="000000"/>
                  </w14:solidFill>
                  <w14:prstDash w14:val="solid"/>
                  <w14:miter w14:val="0"/>
                </w14:textOutline>
              </w:rPr>
              <w:t>条款内容</w:t>
            </w:r>
          </w:p>
        </w:tc>
        <w:tc>
          <w:tcPr>
            <w:tcW w:w="7383" w:type="dxa"/>
            <w:shd w:val="clear" w:color="auto" w:fill="FEFEFE"/>
            <w:vAlign w:val="center"/>
          </w:tcPr>
          <w:p w14:paraId="2FC96A1B">
            <w:pPr>
              <w:widowControl w:val="0"/>
              <w:kinsoku w:val="0"/>
              <w:autoSpaceDE w:val="0"/>
              <w:autoSpaceDN w:val="0"/>
              <w:adjustRightInd w:val="0"/>
              <w:snapToGrid w:val="0"/>
              <w:spacing w:before="121" w:line="360" w:lineRule="auto"/>
              <w:ind w:left="3174"/>
              <w:jc w:val="both"/>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snapToGrid w:val="0"/>
                <w:color w:val="auto"/>
                <w:spacing w:val="-3"/>
                <w:kern w:val="0"/>
                <w:sz w:val="24"/>
                <w:szCs w:val="24"/>
                <w:highlight w:val="none"/>
                <w:lang w:val="en-US" w:eastAsia="en-US" w:bidi="ar-SA"/>
                <w14:textOutline w14:w="4354" w14:cap="flat" w14:cmpd="sng">
                  <w14:solidFill>
                    <w14:srgbClr w14:val="000000"/>
                  </w14:solidFill>
                  <w14:prstDash w14:val="solid"/>
                  <w14:miter w14:val="0"/>
                </w14:textOutline>
              </w:rPr>
              <w:t>编列内容</w:t>
            </w:r>
          </w:p>
        </w:tc>
      </w:tr>
      <w:tr w14:paraId="4822E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3" w:hRule="atLeast"/>
          <w:jc w:val="center"/>
        </w:trPr>
        <w:tc>
          <w:tcPr>
            <w:tcW w:w="2196" w:type="dxa"/>
            <w:gridSpan w:val="2"/>
            <w:shd w:val="clear" w:color="auto" w:fill="FEFEFE"/>
            <w:vAlign w:val="center"/>
          </w:tcPr>
          <w:p w14:paraId="548C0845">
            <w:pPr>
              <w:widowControl w:val="0"/>
              <w:kinsoku w:val="0"/>
              <w:autoSpaceDE w:val="0"/>
              <w:autoSpaceDN w:val="0"/>
              <w:adjustRightInd w:val="0"/>
              <w:snapToGrid w:val="0"/>
              <w:spacing w:before="188" w:line="360" w:lineRule="auto"/>
              <w:jc w:val="both"/>
              <w:textAlignment w:val="baseline"/>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snapToGrid w:val="0"/>
                <w:color w:val="auto"/>
                <w:spacing w:val="-3"/>
                <w:kern w:val="0"/>
                <w:sz w:val="24"/>
                <w:szCs w:val="24"/>
                <w:highlight w:val="none"/>
                <w:lang w:val="en-US" w:eastAsia="en-US" w:bidi="ar-SA"/>
              </w:rPr>
              <w:t>分值构成</w:t>
            </w:r>
            <w:r>
              <w:rPr>
                <w:rFonts w:hint="eastAsia" w:ascii="宋体" w:hAnsi="宋体" w:eastAsia="宋体" w:cs="宋体"/>
                <w:snapToGrid w:val="0"/>
                <w:color w:val="auto"/>
                <w:spacing w:val="-9"/>
                <w:kern w:val="0"/>
                <w:sz w:val="24"/>
                <w:szCs w:val="24"/>
                <w:highlight w:val="none"/>
                <w:lang w:val="en-US" w:eastAsia="en-US" w:bidi="ar-SA"/>
              </w:rPr>
              <w:t>（总分</w:t>
            </w:r>
            <w:r>
              <w:rPr>
                <w:rFonts w:hint="eastAsia" w:ascii="宋体" w:hAnsi="宋体" w:eastAsia="宋体" w:cs="宋体"/>
                <w:snapToGrid w:val="0"/>
                <w:color w:val="auto"/>
                <w:spacing w:val="-19"/>
                <w:kern w:val="0"/>
                <w:sz w:val="24"/>
                <w:szCs w:val="24"/>
                <w:highlight w:val="none"/>
                <w:lang w:val="en-US" w:eastAsia="en-US" w:bidi="ar-SA"/>
              </w:rPr>
              <w:t xml:space="preserve"> </w:t>
            </w:r>
            <w:r>
              <w:rPr>
                <w:rFonts w:hint="eastAsia" w:ascii="宋体" w:hAnsi="宋体" w:eastAsia="宋体" w:cs="宋体"/>
                <w:snapToGrid w:val="0"/>
                <w:color w:val="auto"/>
                <w:spacing w:val="-9"/>
                <w:kern w:val="0"/>
                <w:sz w:val="24"/>
                <w:szCs w:val="24"/>
                <w:highlight w:val="none"/>
                <w:lang w:val="en-US" w:eastAsia="en-US" w:bidi="ar-SA"/>
              </w:rPr>
              <w:t>100</w:t>
            </w:r>
            <w:r>
              <w:rPr>
                <w:rFonts w:hint="eastAsia" w:ascii="宋体" w:hAnsi="宋体" w:eastAsia="宋体" w:cs="宋体"/>
                <w:snapToGrid w:val="0"/>
                <w:color w:val="auto"/>
                <w:spacing w:val="-48"/>
                <w:kern w:val="0"/>
                <w:sz w:val="24"/>
                <w:szCs w:val="24"/>
                <w:highlight w:val="none"/>
                <w:lang w:val="en-US" w:eastAsia="en-US" w:bidi="ar-SA"/>
              </w:rPr>
              <w:t xml:space="preserve"> </w:t>
            </w:r>
            <w:r>
              <w:rPr>
                <w:rFonts w:hint="eastAsia" w:ascii="宋体" w:hAnsi="宋体" w:eastAsia="宋体" w:cs="宋体"/>
                <w:snapToGrid w:val="0"/>
                <w:color w:val="auto"/>
                <w:spacing w:val="-9"/>
                <w:kern w:val="0"/>
                <w:sz w:val="24"/>
                <w:szCs w:val="24"/>
                <w:highlight w:val="none"/>
                <w:lang w:val="en-US" w:eastAsia="en-US" w:bidi="ar-SA"/>
              </w:rPr>
              <w:t>分）</w:t>
            </w:r>
          </w:p>
        </w:tc>
        <w:tc>
          <w:tcPr>
            <w:tcW w:w="7383" w:type="dxa"/>
            <w:shd w:val="clear" w:color="auto" w:fill="FEFEFE"/>
            <w:vAlign w:val="center"/>
          </w:tcPr>
          <w:p w14:paraId="20731B64">
            <w:pPr>
              <w:pStyle w:val="30"/>
              <w:ind w:left="0" w:leftChars="0" w:firstLine="240" w:firstLineChars="100"/>
              <w:rPr>
                <w:rFonts w:hint="eastAsia"/>
                <w:color w:val="auto"/>
                <w:sz w:val="24"/>
                <w:szCs w:val="24"/>
                <w:highlight w:val="none"/>
                <w:lang w:val="en-US" w:eastAsia="en-US"/>
              </w:rPr>
            </w:pPr>
            <w:r>
              <w:rPr>
                <w:rFonts w:hint="eastAsia"/>
                <w:color w:val="auto"/>
                <w:sz w:val="24"/>
                <w:szCs w:val="24"/>
                <w:highlight w:val="none"/>
                <w:lang w:val="en-US" w:eastAsia="en-US"/>
              </w:rPr>
              <w:t>价格： 30分</w:t>
            </w:r>
          </w:p>
          <w:p w14:paraId="3646E89E">
            <w:pPr>
              <w:pStyle w:val="30"/>
              <w:rPr>
                <w:rFonts w:hint="eastAsia"/>
                <w:color w:val="auto"/>
                <w:sz w:val="24"/>
                <w:szCs w:val="24"/>
                <w:highlight w:val="none"/>
                <w:lang w:val="en-US" w:eastAsia="en-US"/>
              </w:rPr>
            </w:pPr>
            <w:r>
              <w:rPr>
                <w:rFonts w:hint="eastAsia"/>
                <w:color w:val="auto"/>
                <w:sz w:val="24"/>
                <w:szCs w:val="24"/>
                <w:highlight w:val="none"/>
                <w:lang w:val="en-US" w:eastAsia="en-US"/>
              </w:rPr>
              <w:t>商务部分：</w:t>
            </w:r>
            <w:r>
              <w:rPr>
                <w:rFonts w:hint="eastAsia"/>
                <w:color w:val="auto"/>
                <w:sz w:val="24"/>
                <w:szCs w:val="24"/>
                <w:highlight w:val="none"/>
                <w:lang w:val="en-US" w:eastAsia="zh-CN"/>
              </w:rPr>
              <w:t>60</w:t>
            </w:r>
            <w:r>
              <w:rPr>
                <w:rFonts w:hint="eastAsia"/>
                <w:color w:val="auto"/>
                <w:sz w:val="24"/>
                <w:szCs w:val="24"/>
                <w:highlight w:val="none"/>
                <w:lang w:val="en-US" w:eastAsia="en-US"/>
              </w:rPr>
              <w:t>分</w:t>
            </w:r>
          </w:p>
          <w:p w14:paraId="3F2EA473">
            <w:pPr>
              <w:pStyle w:val="30"/>
              <w:rPr>
                <w:rFonts w:hint="eastAsia"/>
                <w:color w:val="auto"/>
                <w:highlight w:val="none"/>
                <w:lang w:val="en-US" w:eastAsia="en-US"/>
              </w:rPr>
            </w:pPr>
            <w:r>
              <w:rPr>
                <w:rFonts w:hint="eastAsia"/>
                <w:color w:val="auto"/>
                <w:sz w:val="24"/>
                <w:szCs w:val="24"/>
                <w:highlight w:val="none"/>
                <w:lang w:val="en-US" w:eastAsia="en-US"/>
              </w:rPr>
              <w:t>技术部分：</w:t>
            </w:r>
            <w:r>
              <w:rPr>
                <w:rFonts w:hint="eastAsia"/>
                <w:color w:val="auto"/>
                <w:sz w:val="24"/>
                <w:szCs w:val="24"/>
                <w:highlight w:val="none"/>
                <w:lang w:val="en-US" w:eastAsia="zh-CN"/>
              </w:rPr>
              <w:t>10</w:t>
            </w:r>
            <w:r>
              <w:rPr>
                <w:rFonts w:hint="eastAsia"/>
                <w:color w:val="auto"/>
                <w:sz w:val="24"/>
                <w:szCs w:val="24"/>
                <w:highlight w:val="none"/>
                <w:lang w:val="en-US" w:eastAsia="en-US"/>
              </w:rPr>
              <w:t>分</w:t>
            </w:r>
          </w:p>
        </w:tc>
      </w:tr>
      <w:tr w14:paraId="02FCB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1" w:hRule="atLeast"/>
          <w:jc w:val="center"/>
        </w:trPr>
        <w:tc>
          <w:tcPr>
            <w:tcW w:w="2196" w:type="dxa"/>
            <w:gridSpan w:val="2"/>
            <w:shd w:val="clear" w:color="auto" w:fill="FEFEFE"/>
            <w:vAlign w:val="center"/>
          </w:tcPr>
          <w:p w14:paraId="2E7584BE">
            <w:pPr>
              <w:widowControl w:val="0"/>
              <w:kinsoku w:val="0"/>
              <w:autoSpaceDE w:val="0"/>
              <w:autoSpaceDN w:val="0"/>
              <w:adjustRightInd w:val="0"/>
              <w:snapToGrid w:val="0"/>
              <w:spacing w:before="154" w:line="360" w:lineRule="auto"/>
              <w:ind w:left="437"/>
              <w:jc w:val="both"/>
              <w:textAlignment w:val="baseline"/>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snapToGrid w:val="0"/>
                <w:color w:val="auto"/>
                <w:spacing w:val="-2"/>
                <w:kern w:val="0"/>
                <w:sz w:val="24"/>
                <w:szCs w:val="24"/>
                <w:highlight w:val="none"/>
                <w:lang w:val="en-US" w:eastAsia="en-US" w:bidi="ar-SA"/>
                <w14:textOutline w14:w="4354" w14:cap="flat" w14:cmpd="sng">
                  <w14:solidFill>
                    <w14:srgbClr w14:val="000000"/>
                  </w14:solidFill>
                  <w14:prstDash w14:val="solid"/>
                  <w14:miter w14:val="0"/>
                </w14:textOutline>
              </w:rPr>
              <w:t>评分因素</w:t>
            </w:r>
          </w:p>
        </w:tc>
        <w:tc>
          <w:tcPr>
            <w:tcW w:w="7383" w:type="dxa"/>
            <w:shd w:val="clear" w:color="auto" w:fill="FEFEFE"/>
            <w:vAlign w:val="center"/>
          </w:tcPr>
          <w:p w14:paraId="23DD3EFE">
            <w:pPr>
              <w:widowControl w:val="0"/>
              <w:kinsoku w:val="0"/>
              <w:autoSpaceDE w:val="0"/>
              <w:autoSpaceDN w:val="0"/>
              <w:adjustRightInd w:val="0"/>
              <w:snapToGrid w:val="0"/>
              <w:spacing w:before="153" w:line="360" w:lineRule="auto"/>
              <w:ind w:left="3171"/>
              <w:jc w:val="both"/>
              <w:textAlignment w:val="baseline"/>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snapToGrid w:val="0"/>
                <w:color w:val="auto"/>
                <w:spacing w:val="-2"/>
                <w:kern w:val="0"/>
                <w:sz w:val="24"/>
                <w:szCs w:val="24"/>
                <w:highlight w:val="none"/>
                <w:lang w:val="en-US" w:eastAsia="en-US" w:bidi="ar-SA"/>
                <w14:textOutline w14:w="4354" w14:cap="flat" w14:cmpd="sng">
                  <w14:solidFill>
                    <w14:srgbClr w14:val="000000"/>
                  </w14:solidFill>
                  <w14:prstDash w14:val="solid"/>
                  <w14:miter w14:val="0"/>
                </w14:textOutline>
              </w:rPr>
              <w:t>评分标准</w:t>
            </w:r>
          </w:p>
        </w:tc>
      </w:tr>
      <w:tr w14:paraId="1ECBE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15" w:hRule="atLeast"/>
          <w:jc w:val="center"/>
        </w:trPr>
        <w:tc>
          <w:tcPr>
            <w:tcW w:w="1091" w:type="dxa"/>
            <w:shd w:val="clear" w:color="auto" w:fill="FEFEFE"/>
            <w:vAlign w:val="center"/>
          </w:tcPr>
          <w:p w14:paraId="6CB4050C">
            <w:pPr>
              <w:widowControl w:val="0"/>
              <w:kinsoku w:val="0"/>
              <w:autoSpaceDE w:val="0"/>
              <w:autoSpaceDN w:val="0"/>
              <w:adjustRightInd w:val="0"/>
              <w:snapToGrid w:val="0"/>
              <w:spacing w:before="78" w:line="360" w:lineRule="auto"/>
              <w:jc w:val="center"/>
              <w:textAlignment w:val="baseline"/>
              <w:rPr>
                <w:rFonts w:hint="eastAsia" w:ascii="宋体" w:hAnsi="宋体" w:eastAsia="宋体" w:cs="宋体"/>
                <w:snapToGrid w:val="0"/>
                <w:color w:val="auto"/>
                <w:spacing w:val="-3"/>
                <w:kern w:val="0"/>
                <w:sz w:val="24"/>
                <w:szCs w:val="24"/>
                <w:highlight w:val="none"/>
                <w:lang w:val="en-US" w:eastAsia="en-US" w:bidi="ar-SA"/>
              </w:rPr>
            </w:pPr>
          </w:p>
          <w:p w14:paraId="3269B5CB">
            <w:pPr>
              <w:widowControl w:val="0"/>
              <w:kinsoku w:val="0"/>
              <w:autoSpaceDE w:val="0"/>
              <w:autoSpaceDN w:val="0"/>
              <w:adjustRightInd w:val="0"/>
              <w:snapToGrid w:val="0"/>
              <w:spacing w:before="78" w:line="360" w:lineRule="auto"/>
              <w:ind w:left="207"/>
              <w:jc w:val="center"/>
              <w:textAlignment w:val="baseline"/>
              <w:rPr>
                <w:rFonts w:hint="eastAsia" w:ascii="宋体" w:hAnsi="宋体" w:eastAsia="宋体" w:cs="宋体"/>
                <w:snapToGrid w:val="0"/>
                <w:color w:val="auto"/>
                <w:spacing w:val="-3"/>
                <w:kern w:val="0"/>
                <w:sz w:val="24"/>
                <w:szCs w:val="24"/>
                <w:highlight w:val="none"/>
                <w:lang w:val="en-US" w:eastAsia="en-US" w:bidi="ar-SA"/>
              </w:rPr>
            </w:pPr>
            <w:r>
              <w:rPr>
                <w:rFonts w:hint="eastAsia" w:ascii="宋体" w:hAnsi="宋体" w:eastAsia="宋体" w:cs="宋体"/>
                <w:snapToGrid w:val="0"/>
                <w:color w:val="auto"/>
                <w:spacing w:val="-3"/>
                <w:kern w:val="0"/>
                <w:sz w:val="24"/>
                <w:szCs w:val="24"/>
                <w:highlight w:val="none"/>
                <w:lang w:val="en-US" w:eastAsia="en-US" w:bidi="ar-SA"/>
              </w:rPr>
              <w:t>价格</w:t>
            </w:r>
          </w:p>
          <w:p w14:paraId="79379735">
            <w:pPr>
              <w:widowControl w:val="0"/>
              <w:kinsoku w:val="0"/>
              <w:autoSpaceDE w:val="0"/>
              <w:autoSpaceDN w:val="0"/>
              <w:adjustRightInd w:val="0"/>
              <w:snapToGrid w:val="0"/>
              <w:spacing w:before="78" w:line="360" w:lineRule="auto"/>
              <w:jc w:val="center"/>
              <w:textAlignment w:val="baseline"/>
              <w:rPr>
                <w:rFonts w:hint="eastAsia" w:ascii="宋体" w:hAnsi="宋体" w:eastAsia="宋体" w:cs="宋体"/>
                <w:snapToGrid w:val="0"/>
                <w:color w:val="auto"/>
                <w:spacing w:val="-3"/>
                <w:kern w:val="0"/>
                <w:sz w:val="24"/>
                <w:szCs w:val="24"/>
                <w:highlight w:val="none"/>
                <w:lang w:val="en-US" w:eastAsia="en-US" w:bidi="ar-SA"/>
              </w:rPr>
            </w:pPr>
          </w:p>
          <w:p w14:paraId="62A19FCD">
            <w:pPr>
              <w:widowControl w:val="0"/>
              <w:kinsoku w:val="0"/>
              <w:autoSpaceDE w:val="0"/>
              <w:autoSpaceDN w:val="0"/>
              <w:adjustRightInd w:val="0"/>
              <w:snapToGrid w:val="0"/>
              <w:spacing w:before="78" w:line="360" w:lineRule="auto"/>
              <w:jc w:val="center"/>
              <w:textAlignment w:val="baseline"/>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snapToGrid w:val="0"/>
                <w:color w:val="auto"/>
                <w:spacing w:val="-3"/>
                <w:kern w:val="0"/>
                <w:sz w:val="24"/>
                <w:szCs w:val="24"/>
                <w:highlight w:val="none"/>
                <w:lang w:val="en-US" w:eastAsia="en-US" w:bidi="ar-SA"/>
              </w:rPr>
              <w:t>（</w:t>
            </w:r>
            <w:r>
              <w:rPr>
                <w:rFonts w:hint="eastAsia" w:ascii="宋体" w:hAnsi="宋体" w:eastAsia="宋体" w:cs="宋体"/>
                <w:snapToGrid w:val="0"/>
                <w:color w:val="auto"/>
                <w:spacing w:val="-3"/>
                <w:kern w:val="0"/>
                <w:sz w:val="24"/>
                <w:szCs w:val="24"/>
                <w:highlight w:val="none"/>
                <w:lang w:val="en-US" w:eastAsia="zh-CN" w:bidi="ar-SA"/>
              </w:rPr>
              <w:t>30</w:t>
            </w:r>
            <w:r>
              <w:rPr>
                <w:rFonts w:hint="eastAsia" w:ascii="宋体" w:hAnsi="宋体" w:eastAsia="宋体" w:cs="宋体"/>
                <w:snapToGrid w:val="0"/>
                <w:color w:val="auto"/>
                <w:spacing w:val="-3"/>
                <w:kern w:val="0"/>
                <w:sz w:val="24"/>
                <w:szCs w:val="24"/>
                <w:highlight w:val="none"/>
                <w:lang w:val="en-US" w:eastAsia="en-US" w:bidi="ar-SA"/>
              </w:rPr>
              <w:t>分）</w:t>
            </w:r>
          </w:p>
        </w:tc>
        <w:tc>
          <w:tcPr>
            <w:tcW w:w="1105" w:type="dxa"/>
            <w:shd w:val="clear" w:color="auto" w:fill="FEFEFE"/>
            <w:vAlign w:val="center"/>
          </w:tcPr>
          <w:p w14:paraId="4DB75CC3">
            <w:pPr>
              <w:widowControl w:val="0"/>
              <w:kinsoku w:val="0"/>
              <w:autoSpaceDE w:val="0"/>
              <w:autoSpaceDN w:val="0"/>
              <w:adjustRightInd w:val="0"/>
              <w:snapToGrid w:val="0"/>
              <w:spacing w:before="78" w:line="360" w:lineRule="auto"/>
              <w:ind w:firstLine="236" w:firstLineChars="100"/>
              <w:jc w:val="both"/>
              <w:textAlignment w:val="baseline"/>
              <w:rPr>
                <w:rFonts w:hint="eastAsia" w:ascii="宋体" w:hAnsi="宋体" w:eastAsia="宋体" w:cs="宋体"/>
                <w:color w:val="auto"/>
                <w:spacing w:val="-2"/>
                <w:kern w:val="2"/>
                <w:sz w:val="24"/>
                <w:szCs w:val="24"/>
                <w:highlight w:val="none"/>
              </w:rPr>
            </w:pPr>
            <w:r>
              <w:rPr>
                <w:rFonts w:hint="eastAsia" w:ascii="宋体" w:hAnsi="宋体" w:eastAsia="宋体" w:cs="宋体"/>
                <w:color w:val="auto"/>
                <w:spacing w:val="-2"/>
                <w:kern w:val="2"/>
                <w:sz w:val="24"/>
                <w:szCs w:val="24"/>
                <w:highlight w:val="none"/>
              </w:rPr>
              <w:t>评标基</w:t>
            </w:r>
          </w:p>
          <w:p w14:paraId="1F9E77CC">
            <w:pPr>
              <w:widowControl w:val="0"/>
              <w:kinsoku w:val="0"/>
              <w:autoSpaceDE w:val="0"/>
              <w:autoSpaceDN w:val="0"/>
              <w:adjustRightInd w:val="0"/>
              <w:snapToGrid w:val="0"/>
              <w:spacing w:before="78" w:line="360" w:lineRule="auto"/>
              <w:ind w:left="207"/>
              <w:jc w:val="center"/>
              <w:textAlignment w:val="baseline"/>
              <w:rPr>
                <w:rFonts w:hint="eastAsia" w:ascii="宋体" w:hAnsi="宋体" w:eastAsia="宋体" w:cs="宋体"/>
                <w:color w:val="auto"/>
                <w:spacing w:val="-2"/>
                <w:kern w:val="2"/>
                <w:sz w:val="24"/>
                <w:szCs w:val="24"/>
                <w:highlight w:val="none"/>
              </w:rPr>
            </w:pPr>
            <w:r>
              <w:rPr>
                <w:rFonts w:hint="eastAsia" w:ascii="宋体" w:hAnsi="宋体" w:eastAsia="宋体" w:cs="宋体"/>
                <w:color w:val="auto"/>
                <w:spacing w:val="-2"/>
                <w:kern w:val="2"/>
                <w:sz w:val="24"/>
                <w:szCs w:val="24"/>
                <w:highlight w:val="none"/>
              </w:rPr>
              <w:t>准值计</w:t>
            </w:r>
          </w:p>
          <w:p w14:paraId="14537D2B">
            <w:pPr>
              <w:widowControl w:val="0"/>
              <w:kinsoku w:val="0"/>
              <w:autoSpaceDE w:val="0"/>
              <w:autoSpaceDN w:val="0"/>
              <w:adjustRightInd w:val="0"/>
              <w:snapToGrid w:val="0"/>
              <w:spacing w:before="78" w:line="360" w:lineRule="auto"/>
              <w:ind w:left="207"/>
              <w:jc w:val="center"/>
              <w:textAlignment w:val="baseline"/>
              <w:rPr>
                <w:rFonts w:hint="eastAsia" w:ascii="宋体" w:hAnsi="宋体" w:eastAsia="宋体" w:cs="宋体"/>
                <w:snapToGrid w:val="0"/>
                <w:color w:val="auto"/>
                <w:spacing w:val="-3"/>
                <w:kern w:val="0"/>
                <w:sz w:val="24"/>
                <w:szCs w:val="24"/>
                <w:highlight w:val="none"/>
                <w:lang w:val="en-US" w:eastAsia="en-US" w:bidi="ar-SA"/>
              </w:rPr>
            </w:pPr>
            <w:r>
              <w:rPr>
                <w:rFonts w:hint="eastAsia" w:ascii="宋体" w:hAnsi="宋体" w:eastAsia="宋体" w:cs="宋体"/>
                <w:color w:val="auto"/>
                <w:spacing w:val="-2"/>
                <w:kern w:val="2"/>
                <w:sz w:val="24"/>
                <w:szCs w:val="24"/>
                <w:highlight w:val="none"/>
              </w:rPr>
              <w:t>算</w:t>
            </w:r>
            <w:r>
              <w:rPr>
                <w:rFonts w:hint="eastAsia" w:ascii="宋体" w:hAnsi="宋体" w:eastAsia="宋体" w:cs="宋体"/>
                <w:color w:val="auto"/>
                <w:spacing w:val="-6"/>
                <w:kern w:val="2"/>
                <w:sz w:val="24"/>
                <w:szCs w:val="24"/>
                <w:highlight w:val="none"/>
              </w:rPr>
              <w:t>方法</w:t>
            </w:r>
          </w:p>
        </w:tc>
        <w:tc>
          <w:tcPr>
            <w:tcW w:w="7383" w:type="dxa"/>
            <w:shd w:val="clear" w:color="auto" w:fill="FEFEFE"/>
            <w:vAlign w:val="center"/>
          </w:tcPr>
          <w:p w14:paraId="74DE364A">
            <w:pPr>
              <w:widowControl/>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bidi="ar"/>
              </w:rPr>
              <w:t>1、</w:t>
            </w:r>
            <w:r>
              <w:rPr>
                <w:rFonts w:hint="eastAsia" w:ascii="宋体" w:hAnsi="宋体" w:cs="宋体"/>
                <w:b w:val="0"/>
                <w:bCs w:val="0"/>
                <w:color w:val="auto"/>
                <w:sz w:val="24"/>
                <w:szCs w:val="24"/>
                <w:highlight w:val="none"/>
                <w:lang w:val="en-US" w:eastAsia="zh-CN" w:bidi="ar"/>
              </w:rPr>
              <w:t>投标报价的评分</w:t>
            </w:r>
            <w:r>
              <w:rPr>
                <w:rFonts w:hint="eastAsia" w:ascii="宋体" w:hAnsi="宋体" w:eastAsia="宋体" w:cs="宋体"/>
                <w:b w:val="0"/>
                <w:bCs w:val="0"/>
                <w:color w:val="auto"/>
                <w:sz w:val="24"/>
                <w:szCs w:val="24"/>
                <w:highlight w:val="none"/>
                <w:lang w:bidi="ar"/>
              </w:rPr>
              <w:t>采用低价优先法计算，即满足磋商文件要求且最后报价最低的供应商的价格</w:t>
            </w:r>
            <w:r>
              <w:rPr>
                <w:rFonts w:hint="eastAsia" w:ascii="宋体" w:hAnsi="宋体" w:cs="宋体"/>
                <w:b w:val="0"/>
                <w:bCs w:val="0"/>
                <w:color w:val="auto"/>
                <w:sz w:val="24"/>
                <w:szCs w:val="24"/>
                <w:highlight w:val="none"/>
                <w:lang w:eastAsia="zh-CN" w:bidi="ar"/>
              </w:rPr>
              <w:t>（</w:t>
            </w:r>
            <w:r>
              <w:rPr>
                <w:rFonts w:hint="eastAsia" w:ascii="宋体" w:hAnsi="宋体" w:cs="宋体"/>
                <w:b w:val="0"/>
                <w:bCs w:val="0"/>
                <w:color w:val="auto"/>
                <w:sz w:val="24"/>
                <w:szCs w:val="24"/>
                <w:highlight w:val="none"/>
                <w:lang w:val="en-US" w:eastAsia="zh-CN" w:bidi="ar"/>
              </w:rPr>
              <w:t>对符合政府采购促进中小企业发展管理办法的投标报价给予20%的扣除，用扣除后的价格参与评审。）</w:t>
            </w:r>
            <w:r>
              <w:rPr>
                <w:rFonts w:hint="eastAsia" w:ascii="宋体" w:hAnsi="宋体" w:eastAsia="宋体" w:cs="宋体"/>
                <w:b w:val="0"/>
                <w:bCs w:val="0"/>
                <w:color w:val="auto"/>
                <w:sz w:val="24"/>
                <w:szCs w:val="24"/>
                <w:highlight w:val="none"/>
                <w:lang w:bidi="ar"/>
              </w:rPr>
              <w:t>为磋商基准价，其价格分为满分</w:t>
            </w:r>
            <w:r>
              <w:rPr>
                <w:rFonts w:hint="eastAsia" w:ascii="宋体" w:hAnsi="宋体" w:cs="宋体"/>
                <w:b w:val="0"/>
                <w:bCs w:val="0"/>
                <w:color w:val="auto"/>
                <w:sz w:val="24"/>
                <w:szCs w:val="24"/>
                <w:highlight w:val="none"/>
                <w:lang w:val="en-US" w:eastAsia="zh-CN" w:bidi="ar"/>
              </w:rPr>
              <w:t>30</w:t>
            </w:r>
            <w:r>
              <w:rPr>
                <w:rFonts w:hint="eastAsia" w:ascii="宋体" w:hAnsi="宋体" w:eastAsia="宋体" w:cs="宋体"/>
                <w:b w:val="0"/>
                <w:bCs w:val="0"/>
                <w:color w:val="auto"/>
                <w:sz w:val="24"/>
                <w:szCs w:val="24"/>
                <w:highlight w:val="none"/>
                <w:lang w:val="en-US" w:eastAsia="zh-CN" w:bidi="ar"/>
              </w:rPr>
              <w:t>分</w:t>
            </w:r>
            <w:r>
              <w:rPr>
                <w:rFonts w:hint="eastAsia" w:ascii="宋体" w:hAnsi="宋体" w:eastAsia="宋体" w:cs="宋体"/>
                <w:b w:val="0"/>
                <w:bCs w:val="0"/>
                <w:color w:val="auto"/>
                <w:sz w:val="24"/>
                <w:szCs w:val="24"/>
                <w:highlight w:val="none"/>
                <w:lang w:bidi="ar"/>
              </w:rPr>
              <w:t>。</w:t>
            </w:r>
          </w:p>
          <w:p w14:paraId="65E90A3E">
            <w:pPr>
              <w:widowControl/>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bidi="ar"/>
              </w:rPr>
              <w:t>2、其他供应商的价格分统一按照下列公式计算：</w:t>
            </w:r>
          </w:p>
          <w:p w14:paraId="3C746BB6">
            <w:pPr>
              <w:widowControl/>
              <w:spacing w:after="0" w:line="360" w:lineRule="auto"/>
              <w:jc w:val="left"/>
              <w:rPr>
                <w:rFonts w:hint="eastAsia" w:ascii="宋体" w:hAnsi="宋体" w:eastAsia="宋体" w:cs="宋体"/>
                <w:b w:val="0"/>
                <w:bCs w:val="0"/>
                <w:color w:val="auto"/>
                <w:sz w:val="24"/>
                <w:szCs w:val="24"/>
                <w:highlight w:val="none"/>
                <w:lang w:bidi="ar"/>
              </w:rPr>
            </w:pPr>
            <w:r>
              <w:rPr>
                <w:rFonts w:hint="eastAsia" w:ascii="宋体" w:hAnsi="宋体" w:eastAsia="宋体" w:cs="宋体"/>
                <w:b w:val="0"/>
                <w:bCs w:val="0"/>
                <w:color w:val="auto"/>
                <w:sz w:val="24"/>
                <w:szCs w:val="24"/>
                <w:highlight w:val="none"/>
                <w:lang w:bidi="ar"/>
              </w:rPr>
              <w:t>磋商报价得分=(磋商基准价／最后磋商报价)×</w:t>
            </w:r>
            <w:r>
              <w:rPr>
                <w:rFonts w:hint="eastAsia" w:ascii="宋体" w:hAnsi="宋体" w:cs="宋体"/>
                <w:b w:val="0"/>
                <w:bCs w:val="0"/>
                <w:color w:val="auto"/>
                <w:sz w:val="24"/>
                <w:szCs w:val="24"/>
                <w:highlight w:val="none"/>
                <w:lang w:val="en-US" w:eastAsia="zh-CN" w:bidi="ar"/>
              </w:rPr>
              <w:t>30</w:t>
            </w:r>
            <w:r>
              <w:rPr>
                <w:rFonts w:hint="eastAsia" w:ascii="宋体" w:hAnsi="宋体" w:eastAsia="宋体" w:cs="宋体"/>
                <w:b w:val="0"/>
                <w:bCs w:val="0"/>
                <w:color w:val="auto"/>
                <w:sz w:val="24"/>
                <w:szCs w:val="24"/>
                <w:highlight w:val="none"/>
                <w:lang w:bidi="ar"/>
              </w:rPr>
              <w:t>。</w:t>
            </w:r>
          </w:p>
          <w:p w14:paraId="3EAB91CB">
            <w:pPr>
              <w:widowControl/>
              <w:spacing w:after="0" w:line="360" w:lineRule="auto"/>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注：</w:t>
            </w:r>
          </w:p>
          <w:p w14:paraId="6160793C">
            <w:pPr>
              <w:widowControl/>
              <w:spacing w:after="0" w:line="360" w:lineRule="auto"/>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1、为防范供应商恶意低价中标、成交。对于供应商成交后不履约且中标成交供应商报价比预算价低30%以上的，将视同恶意低价中标成交，扰乱采购活动，将对其违规违法行为进行处理。(安财购[2021]24 号文件规定)</w:t>
            </w:r>
          </w:p>
          <w:p w14:paraId="3C091DC5">
            <w:pPr>
              <w:pStyle w:val="30"/>
              <w:spacing w:line="360" w:lineRule="auto"/>
              <w:ind w:left="0" w:leftChars="0" w:firstLine="0" w:firstLineChars="0"/>
              <w:rPr>
                <w:rFonts w:hint="eastAsia"/>
                <w:color w:val="auto"/>
                <w:highlight w:val="none"/>
                <w:lang w:val="en-US" w:eastAsia="en-US"/>
              </w:rPr>
            </w:pPr>
            <w:r>
              <w:rPr>
                <w:rFonts w:hint="eastAsia" w:ascii="宋体" w:hAnsi="宋体"/>
                <w:b w:val="0"/>
                <w:bCs w:val="0"/>
                <w:color w:val="auto"/>
                <w:sz w:val="24"/>
                <w:szCs w:val="24"/>
                <w:highlight w:val="none"/>
              </w:rPr>
              <w:t>2、若</w:t>
            </w:r>
            <w:r>
              <w:rPr>
                <w:rFonts w:hint="eastAsia" w:ascii="宋体" w:hAnsi="宋体"/>
                <w:b w:val="0"/>
                <w:bCs w:val="0"/>
                <w:color w:val="auto"/>
                <w:sz w:val="24"/>
                <w:szCs w:val="24"/>
                <w:highlight w:val="none"/>
                <w:lang w:val="en-US" w:eastAsia="zh-CN"/>
              </w:rPr>
              <w:t>磋商小组</w:t>
            </w:r>
            <w:r>
              <w:rPr>
                <w:rFonts w:hint="eastAsia" w:ascii="宋体" w:hAnsi="宋体"/>
                <w:b w:val="0"/>
                <w:bCs w:val="0"/>
                <w:color w:val="auto"/>
                <w:sz w:val="24"/>
                <w:szCs w:val="24"/>
                <w:highlight w:val="none"/>
              </w:rPr>
              <w:t>认为供应商的报价明显低于</w:t>
            </w:r>
            <w:r>
              <w:rPr>
                <w:rFonts w:hint="eastAsia" w:ascii="宋体" w:hAnsi="宋体"/>
                <w:b w:val="0"/>
                <w:bCs w:val="0"/>
                <w:color w:val="auto"/>
                <w:sz w:val="24"/>
                <w:szCs w:val="24"/>
                <w:highlight w:val="none"/>
                <w:lang w:val="en-US" w:eastAsia="zh-CN"/>
              </w:rPr>
              <w:t>其他投标人</w:t>
            </w:r>
            <w:r>
              <w:rPr>
                <w:rFonts w:hint="eastAsia" w:ascii="宋体" w:hAnsi="宋体"/>
                <w:b w:val="0"/>
                <w:bCs w:val="0"/>
                <w:color w:val="auto"/>
                <w:sz w:val="24"/>
                <w:szCs w:val="24"/>
                <w:highlight w:val="none"/>
              </w:rPr>
              <w:t>，有可能影响产品质量或者不能诚信履约的，</w:t>
            </w:r>
            <w:r>
              <w:rPr>
                <w:rFonts w:hint="eastAsia" w:ascii="宋体" w:hAnsi="宋体"/>
                <w:b w:val="0"/>
                <w:bCs w:val="0"/>
                <w:color w:val="auto"/>
                <w:sz w:val="24"/>
                <w:szCs w:val="24"/>
                <w:highlight w:val="none"/>
                <w:lang w:val="en-US" w:eastAsia="zh-CN"/>
              </w:rPr>
              <w:t>磋商小组</w:t>
            </w:r>
            <w:r>
              <w:rPr>
                <w:rFonts w:hint="eastAsia" w:ascii="宋体" w:hAnsi="宋体"/>
                <w:b w:val="0"/>
                <w:bCs w:val="0"/>
                <w:color w:val="auto"/>
                <w:sz w:val="24"/>
                <w:szCs w:val="24"/>
                <w:highlight w:val="none"/>
              </w:rPr>
              <w:t>有权要求供应商代表在评标现场合理的时间内提供书面说明，并提交相关证明资料；</w:t>
            </w:r>
            <w:r>
              <w:rPr>
                <w:rFonts w:hint="eastAsia" w:ascii="宋体" w:hAnsi="宋体"/>
                <w:b w:val="0"/>
                <w:bCs w:val="0"/>
                <w:color w:val="auto"/>
                <w:sz w:val="24"/>
                <w:szCs w:val="24"/>
                <w:highlight w:val="none"/>
                <w:lang w:val="en-US" w:eastAsia="zh-CN"/>
              </w:rPr>
              <w:t>磋商小组</w:t>
            </w:r>
            <w:r>
              <w:rPr>
                <w:rFonts w:hint="eastAsia" w:ascii="宋体" w:hAnsi="宋体"/>
                <w:b w:val="0"/>
                <w:bCs w:val="0"/>
                <w:color w:val="auto"/>
                <w:sz w:val="24"/>
                <w:szCs w:val="24"/>
                <w:highlight w:val="none"/>
              </w:rPr>
              <w:t>认为供应商代表所提交相关证明资料不能证明其报价合理性的，</w:t>
            </w:r>
            <w:r>
              <w:rPr>
                <w:rFonts w:hint="eastAsia" w:ascii="宋体" w:hAnsi="宋体"/>
                <w:b w:val="0"/>
                <w:bCs w:val="0"/>
                <w:color w:val="auto"/>
                <w:sz w:val="24"/>
                <w:szCs w:val="24"/>
                <w:highlight w:val="none"/>
                <w:lang w:val="en-US" w:eastAsia="zh-CN"/>
              </w:rPr>
              <w:t>磋商小组</w:t>
            </w:r>
            <w:r>
              <w:rPr>
                <w:rFonts w:hint="eastAsia" w:ascii="宋体" w:hAnsi="宋体"/>
                <w:b w:val="0"/>
                <w:bCs w:val="0"/>
                <w:color w:val="auto"/>
                <w:sz w:val="24"/>
                <w:szCs w:val="24"/>
                <w:highlight w:val="none"/>
              </w:rPr>
              <w:t>应当否决其投标。</w:t>
            </w:r>
          </w:p>
        </w:tc>
      </w:tr>
      <w:tr w14:paraId="3B748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9" w:hRule="atLeast"/>
          <w:jc w:val="center"/>
        </w:trPr>
        <w:tc>
          <w:tcPr>
            <w:tcW w:w="1091" w:type="dxa"/>
            <w:vMerge w:val="restart"/>
            <w:shd w:val="clear" w:color="auto" w:fill="FEFEFE"/>
            <w:vAlign w:val="center"/>
          </w:tcPr>
          <w:p w14:paraId="1EC81B26">
            <w:pPr>
              <w:widowControl w:val="0"/>
              <w:tabs>
                <w:tab w:val="left" w:pos="282"/>
              </w:tabs>
              <w:kinsoku w:val="0"/>
              <w:autoSpaceDE w:val="0"/>
              <w:autoSpaceDN w:val="0"/>
              <w:adjustRightInd w:val="0"/>
              <w:snapToGrid w:val="0"/>
              <w:spacing w:before="78" w:line="360" w:lineRule="auto"/>
              <w:jc w:val="center"/>
              <w:textAlignment w:val="baseline"/>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商务部分</w:t>
            </w:r>
          </w:p>
          <w:p w14:paraId="4191FDC9">
            <w:pPr>
              <w:widowControl w:val="0"/>
              <w:tabs>
                <w:tab w:val="left" w:pos="282"/>
              </w:tabs>
              <w:kinsoku w:val="0"/>
              <w:autoSpaceDE w:val="0"/>
              <w:autoSpaceDN w:val="0"/>
              <w:adjustRightInd w:val="0"/>
              <w:snapToGrid w:val="0"/>
              <w:spacing w:before="78" w:line="360" w:lineRule="auto"/>
              <w:jc w:val="center"/>
              <w:textAlignment w:val="baseline"/>
              <w:rPr>
                <w:rFonts w:hint="default"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w:t>
            </w:r>
            <w:r>
              <w:rPr>
                <w:rFonts w:hint="eastAsia" w:ascii="宋体" w:hAnsi="宋体" w:cs="宋体"/>
                <w:snapToGrid w:val="0"/>
                <w:color w:val="auto"/>
                <w:kern w:val="0"/>
                <w:sz w:val="24"/>
                <w:szCs w:val="24"/>
                <w:highlight w:val="none"/>
                <w:lang w:val="en-US" w:eastAsia="zh-CN" w:bidi="ar-SA"/>
              </w:rPr>
              <w:t>60</w:t>
            </w:r>
            <w:r>
              <w:rPr>
                <w:rFonts w:hint="eastAsia" w:ascii="宋体" w:hAnsi="宋体" w:eastAsia="宋体" w:cs="宋体"/>
                <w:snapToGrid w:val="0"/>
                <w:color w:val="auto"/>
                <w:kern w:val="0"/>
                <w:sz w:val="24"/>
                <w:szCs w:val="24"/>
                <w:highlight w:val="none"/>
                <w:lang w:val="en-US" w:eastAsia="zh-CN" w:bidi="ar-SA"/>
              </w:rPr>
              <w:t>分）</w:t>
            </w:r>
          </w:p>
        </w:tc>
        <w:tc>
          <w:tcPr>
            <w:tcW w:w="1105" w:type="dxa"/>
            <w:shd w:val="clear" w:color="auto" w:fill="FEFEFE"/>
            <w:vAlign w:val="center"/>
          </w:tcPr>
          <w:p w14:paraId="019CBE57">
            <w:pPr>
              <w:keepNext w:val="0"/>
              <w:keepLines w:val="0"/>
              <w:widowControl/>
              <w:suppressLineNumbers w:val="0"/>
              <w:spacing w:line="360" w:lineRule="auto"/>
              <w:jc w:val="center"/>
              <w:textAlignment w:val="auto"/>
              <w:rPr>
                <w:rFonts w:hint="eastAsia" w:ascii="宋体" w:hAnsi="宋体" w:eastAsia="宋体" w:cs="宋体"/>
                <w:b w:val="0"/>
                <w:color w:val="auto"/>
                <w:kern w:val="0"/>
                <w:sz w:val="24"/>
                <w:szCs w:val="24"/>
                <w:highlight w:val="none"/>
                <w:lang w:val="en-US" w:eastAsia="zh-CN" w:bidi="ar"/>
              </w:rPr>
            </w:pPr>
            <w:r>
              <w:rPr>
                <w:rFonts w:hint="eastAsia" w:ascii="宋体" w:hAnsi="宋体" w:eastAsia="宋体" w:cs="宋体"/>
                <w:b w:val="0"/>
                <w:color w:val="auto"/>
                <w:kern w:val="0"/>
                <w:sz w:val="24"/>
                <w:szCs w:val="24"/>
                <w:highlight w:val="none"/>
                <w:lang w:val="en-US" w:eastAsia="zh-CN" w:bidi="ar"/>
              </w:rPr>
              <w:t>技术参数</w:t>
            </w:r>
          </w:p>
          <w:p w14:paraId="7E1526D2">
            <w:pPr>
              <w:keepNext w:val="0"/>
              <w:keepLines w:val="0"/>
              <w:widowControl/>
              <w:suppressLineNumbers w:val="0"/>
              <w:spacing w:line="360" w:lineRule="auto"/>
              <w:jc w:val="center"/>
              <w:textAlignment w:val="auto"/>
              <w:rPr>
                <w:rFonts w:hint="default" w:ascii="宋体" w:hAnsi="宋体" w:eastAsia="宋体" w:cs="宋体"/>
                <w:b w:val="0"/>
                <w:color w:val="auto"/>
                <w:kern w:val="0"/>
                <w:sz w:val="24"/>
                <w:szCs w:val="24"/>
                <w:highlight w:val="none"/>
                <w:lang w:val="en-US" w:eastAsia="en-US" w:bidi="ar"/>
              </w:rPr>
            </w:pPr>
            <w:r>
              <w:rPr>
                <w:rFonts w:hint="eastAsia" w:ascii="宋体" w:hAnsi="宋体" w:eastAsia="宋体" w:cs="宋体"/>
                <w:b w:val="0"/>
                <w:color w:val="auto"/>
                <w:kern w:val="0"/>
                <w:sz w:val="24"/>
                <w:szCs w:val="24"/>
                <w:highlight w:val="none"/>
                <w:lang w:val="en-US" w:eastAsia="zh-CN" w:bidi="ar"/>
              </w:rPr>
              <w:t>（</w:t>
            </w:r>
            <w:r>
              <w:rPr>
                <w:rFonts w:hint="eastAsia" w:ascii="宋体" w:hAnsi="宋体" w:cs="宋体"/>
                <w:b w:val="0"/>
                <w:color w:val="auto"/>
                <w:kern w:val="0"/>
                <w:sz w:val="24"/>
                <w:szCs w:val="24"/>
                <w:highlight w:val="none"/>
                <w:lang w:val="en-US" w:eastAsia="zh-CN" w:bidi="ar"/>
              </w:rPr>
              <w:t>36</w:t>
            </w:r>
            <w:r>
              <w:rPr>
                <w:rFonts w:hint="eastAsia" w:ascii="宋体" w:hAnsi="宋体" w:eastAsia="宋体" w:cs="宋体"/>
                <w:b w:val="0"/>
                <w:color w:val="auto"/>
                <w:kern w:val="0"/>
                <w:sz w:val="24"/>
                <w:szCs w:val="24"/>
                <w:highlight w:val="none"/>
                <w:lang w:val="en-US" w:eastAsia="zh-CN" w:bidi="ar"/>
              </w:rPr>
              <w:t>分）</w:t>
            </w:r>
          </w:p>
        </w:tc>
        <w:tc>
          <w:tcPr>
            <w:tcW w:w="7383" w:type="dxa"/>
            <w:shd w:val="clear" w:color="auto" w:fill="FEFEFE"/>
            <w:vAlign w:val="center"/>
          </w:tcPr>
          <w:p w14:paraId="6FFFF7C0">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color w:val="auto"/>
                <w:kern w:val="0"/>
                <w:sz w:val="24"/>
                <w:szCs w:val="24"/>
                <w:highlight w:val="none"/>
                <w:lang w:val="en-US" w:eastAsia="zh-CN" w:bidi="ar"/>
              </w:rPr>
            </w:pPr>
            <w:r>
              <w:rPr>
                <w:rFonts w:hint="eastAsia" w:ascii="宋体" w:hAnsi="宋体" w:cs="宋体"/>
                <w:b w:val="0"/>
                <w:color w:val="auto"/>
                <w:kern w:val="0"/>
                <w:sz w:val="24"/>
                <w:szCs w:val="24"/>
                <w:highlight w:val="none"/>
                <w:lang w:val="en-US" w:eastAsia="zh-CN" w:bidi="ar"/>
              </w:rPr>
              <w:t>本项目允许负偏差，</w:t>
            </w:r>
            <w:r>
              <w:rPr>
                <w:rFonts w:hint="eastAsia" w:ascii="宋体" w:hAnsi="宋体" w:eastAsia="宋体" w:cs="宋体"/>
                <w:b w:val="0"/>
                <w:color w:val="auto"/>
                <w:kern w:val="0"/>
                <w:sz w:val="24"/>
                <w:szCs w:val="24"/>
                <w:highlight w:val="none"/>
                <w:lang w:val="en-US" w:eastAsia="zh-CN" w:bidi="ar"/>
              </w:rPr>
              <w:t>完全符合招标文件要求，没有负偏离得3</w:t>
            </w:r>
            <w:r>
              <w:rPr>
                <w:rFonts w:hint="eastAsia" w:ascii="宋体" w:hAnsi="宋体" w:cs="宋体"/>
                <w:b w:val="0"/>
                <w:color w:val="auto"/>
                <w:kern w:val="0"/>
                <w:sz w:val="24"/>
                <w:szCs w:val="24"/>
                <w:highlight w:val="none"/>
                <w:lang w:val="en-US" w:eastAsia="zh-CN" w:bidi="ar"/>
              </w:rPr>
              <w:t>6</w:t>
            </w:r>
            <w:r>
              <w:rPr>
                <w:rFonts w:hint="eastAsia" w:ascii="宋体" w:hAnsi="宋体" w:eastAsia="宋体" w:cs="宋体"/>
                <w:b w:val="0"/>
                <w:color w:val="auto"/>
                <w:kern w:val="0"/>
                <w:sz w:val="24"/>
                <w:szCs w:val="24"/>
                <w:highlight w:val="none"/>
                <w:lang w:val="en-US" w:eastAsia="zh-CN" w:bidi="ar"/>
              </w:rPr>
              <w:t>分。</w:t>
            </w:r>
            <w:r>
              <w:rPr>
                <w:rFonts w:hint="eastAsia" w:ascii="宋体" w:hAnsi="宋体" w:cs="宋体"/>
                <w:b w:val="0"/>
                <w:color w:val="auto"/>
                <w:kern w:val="0"/>
                <w:sz w:val="24"/>
                <w:szCs w:val="24"/>
                <w:highlight w:val="none"/>
                <w:lang w:val="en-US" w:eastAsia="zh-CN" w:bidi="ar"/>
              </w:rPr>
              <w:t>不满足相关技术要求以及</w:t>
            </w:r>
            <w:r>
              <w:rPr>
                <w:rFonts w:hint="eastAsia" w:ascii="宋体" w:hAnsi="宋体" w:eastAsia="宋体" w:cs="宋体"/>
                <w:b w:val="0"/>
                <w:color w:val="auto"/>
                <w:kern w:val="0"/>
                <w:sz w:val="24"/>
                <w:szCs w:val="24"/>
                <w:highlight w:val="none"/>
                <w:lang w:val="en-US" w:eastAsia="zh-CN" w:bidi="ar"/>
              </w:rPr>
              <w:t>未按照要求中提供相应证明文件的，对应条目内容视为负偏离。</w:t>
            </w:r>
          </w:p>
          <w:p w14:paraId="7530711F">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auto"/>
              <w:rPr>
                <w:rFonts w:hint="default" w:ascii="宋体" w:hAnsi="宋体" w:eastAsia="宋体" w:cs="宋体"/>
                <w:b w:val="0"/>
                <w:color w:val="auto"/>
                <w:kern w:val="0"/>
                <w:sz w:val="24"/>
                <w:szCs w:val="24"/>
                <w:highlight w:val="none"/>
                <w:lang w:val="en-US" w:eastAsia="en-US" w:bidi="ar"/>
              </w:rPr>
            </w:pPr>
            <w:r>
              <w:rPr>
                <w:rFonts w:hint="eastAsia" w:ascii="宋体" w:hAnsi="宋体" w:eastAsia="宋体" w:cs="宋体"/>
                <w:b w:val="0"/>
                <w:color w:val="auto"/>
                <w:kern w:val="0"/>
                <w:sz w:val="24"/>
                <w:szCs w:val="24"/>
                <w:highlight w:val="none"/>
                <w:lang w:val="en-US" w:eastAsia="zh-CN" w:bidi="ar"/>
              </w:rPr>
              <w:t xml:space="preserve">带★项为重要参数，有一项负偏离扣2分；非★项，有一项负偏离扣1分，扣完为止。 </w:t>
            </w:r>
          </w:p>
        </w:tc>
      </w:tr>
      <w:tr w14:paraId="657DE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9" w:hRule="atLeast"/>
          <w:jc w:val="center"/>
        </w:trPr>
        <w:tc>
          <w:tcPr>
            <w:tcW w:w="1091" w:type="dxa"/>
            <w:vMerge w:val="continue"/>
            <w:shd w:val="clear" w:color="auto" w:fill="FEFEFE"/>
            <w:vAlign w:val="center"/>
          </w:tcPr>
          <w:p w14:paraId="4C917EA6">
            <w:pPr>
              <w:widowControl w:val="0"/>
              <w:tabs>
                <w:tab w:val="left" w:pos="282"/>
              </w:tabs>
              <w:kinsoku w:val="0"/>
              <w:autoSpaceDE w:val="0"/>
              <w:autoSpaceDN w:val="0"/>
              <w:adjustRightInd w:val="0"/>
              <w:snapToGrid w:val="0"/>
              <w:spacing w:before="78" w:line="360" w:lineRule="auto"/>
              <w:jc w:val="center"/>
              <w:textAlignment w:val="baseline"/>
              <w:rPr>
                <w:rFonts w:hint="default" w:ascii="宋体" w:hAnsi="宋体" w:eastAsia="宋体" w:cs="宋体"/>
                <w:snapToGrid w:val="0"/>
                <w:color w:val="auto"/>
                <w:kern w:val="0"/>
                <w:sz w:val="24"/>
                <w:szCs w:val="24"/>
                <w:highlight w:val="none"/>
                <w:lang w:val="en-US" w:eastAsia="zh-CN" w:bidi="ar-SA"/>
              </w:rPr>
            </w:pPr>
          </w:p>
        </w:tc>
        <w:tc>
          <w:tcPr>
            <w:tcW w:w="1105" w:type="dxa"/>
            <w:shd w:val="clear" w:color="auto" w:fill="FEFEFE"/>
            <w:vAlign w:val="center"/>
          </w:tcPr>
          <w:p w14:paraId="0014F932">
            <w:pPr>
              <w:widowControl w:val="0"/>
              <w:kinsoku w:val="0"/>
              <w:autoSpaceDE w:val="0"/>
              <w:autoSpaceDN w:val="0"/>
              <w:adjustRightInd w:val="0"/>
              <w:snapToGrid w:val="0"/>
              <w:spacing w:before="219" w:line="360" w:lineRule="auto"/>
              <w:ind w:left="170" w:right="161" w:hanging="2"/>
              <w:jc w:val="center"/>
              <w:textAlignment w:val="baseline"/>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snapToGrid w:val="0"/>
                <w:color w:val="auto"/>
                <w:spacing w:val="-4"/>
                <w:kern w:val="0"/>
                <w:sz w:val="24"/>
                <w:szCs w:val="24"/>
                <w:highlight w:val="none"/>
                <w:lang w:val="en-US" w:eastAsia="en-US" w:bidi="ar-SA"/>
              </w:rPr>
              <w:t>企业</w:t>
            </w:r>
            <w:r>
              <w:rPr>
                <w:rFonts w:hint="eastAsia" w:ascii="宋体" w:hAnsi="宋体" w:cs="宋体"/>
                <w:snapToGrid w:val="0"/>
                <w:color w:val="auto"/>
                <w:spacing w:val="-4"/>
                <w:kern w:val="0"/>
                <w:sz w:val="24"/>
                <w:szCs w:val="24"/>
                <w:highlight w:val="none"/>
                <w:lang w:val="en-US" w:eastAsia="zh-CN" w:bidi="ar-SA"/>
              </w:rPr>
              <w:t>实力</w:t>
            </w:r>
            <w:r>
              <w:rPr>
                <w:rFonts w:hint="eastAsia" w:ascii="宋体" w:hAnsi="宋体" w:eastAsia="宋体" w:cs="宋体"/>
                <w:snapToGrid w:val="0"/>
                <w:color w:val="auto"/>
                <w:spacing w:val="-5"/>
                <w:kern w:val="0"/>
                <w:sz w:val="24"/>
                <w:szCs w:val="24"/>
                <w:highlight w:val="none"/>
                <w:lang w:val="en-US" w:eastAsia="en-US" w:bidi="ar-SA"/>
              </w:rPr>
              <w:t>（</w:t>
            </w:r>
            <w:r>
              <w:rPr>
                <w:rFonts w:hint="eastAsia" w:ascii="宋体" w:hAnsi="宋体" w:cs="宋体"/>
                <w:snapToGrid w:val="0"/>
                <w:color w:val="auto"/>
                <w:spacing w:val="-5"/>
                <w:kern w:val="0"/>
                <w:sz w:val="24"/>
                <w:szCs w:val="24"/>
                <w:highlight w:val="none"/>
                <w:lang w:val="en-US" w:eastAsia="zh-CN" w:bidi="ar-SA"/>
              </w:rPr>
              <w:t>6</w:t>
            </w:r>
            <w:r>
              <w:rPr>
                <w:rFonts w:hint="eastAsia" w:ascii="宋体" w:hAnsi="宋体" w:eastAsia="宋体" w:cs="宋体"/>
                <w:snapToGrid w:val="0"/>
                <w:color w:val="auto"/>
                <w:spacing w:val="-5"/>
                <w:kern w:val="0"/>
                <w:sz w:val="24"/>
                <w:szCs w:val="24"/>
                <w:highlight w:val="none"/>
                <w:lang w:val="en-US" w:eastAsia="en-US" w:bidi="ar-SA"/>
              </w:rPr>
              <w:t>分）</w:t>
            </w:r>
          </w:p>
        </w:tc>
        <w:tc>
          <w:tcPr>
            <w:tcW w:w="7383" w:type="dxa"/>
            <w:shd w:val="clear" w:color="auto" w:fill="FEFEFE"/>
            <w:vAlign w:val="center"/>
          </w:tcPr>
          <w:p w14:paraId="3D6FF9D3">
            <w:pPr>
              <w:keepNext w:val="0"/>
              <w:keepLines w:val="0"/>
              <w:pageBreakBefore w:val="0"/>
              <w:widowControl/>
              <w:numPr>
                <w:ilvl w:val="0"/>
                <w:numId w:val="10"/>
              </w:numPr>
              <w:suppressLineNumbers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color w:val="auto"/>
                <w:kern w:val="0"/>
                <w:sz w:val="24"/>
                <w:szCs w:val="24"/>
                <w:highlight w:val="none"/>
                <w:lang w:val="en-US" w:eastAsia="en-US" w:bidi="ar"/>
              </w:rPr>
            </w:pPr>
            <w:r>
              <w:rPr>
                <w:rFonts w:hint="eastAsia" w:ascii="宋体" w:hAnsi="宋体" w:eastAsia="宋体" w:cs="宋体"/>
                <w:b w:val="0"/>
                <w:color w:val="auto"/>
                <w:kern w:val="0"/>
                <w:sz w:val="24"/>
                <w:szCs w:val="24"/>
                <w:highlight w:val="none"/>
                <w:lang w:val="en-US" w:eastAsia="en-US" w:bidi="ar"/>
              </w:rPr>
              <w:t>投标人具有质量管理体系认证、环境管理体系认证及职业健康管理体系认证证书</w:t>
            </w:r>
            <w:r>
              <w:rPr>
                <w:rFonts w:hint="eastAsia" w:ascii="宋体" w:hAnsi="宋体" w:cs="宋体"/>
                <w:b w:val="0"/>
                <w:color w:val="auto"/>
                <w:kern w:val="0"/>
                <w:sz w:val="24"/>
                <w:szCs w:val="24"/>
                <w:highlight w:val="none"/>
                <w:lang w:val="en-US" w:eastAsia="zh-CN" w:bidi="ar"/>
              </w:rPr>
              <w:t>的</w:t>
            </w:r>
            <w:r>
              <w:rPr>
                <w:rFonts w:hint="eastAsia" w:ascii="宋体" w:hAnsi="宋体" w:eastAsia="宋体" w:cs="宋体"/>
                <w:b w:val="0"/>
                <w:color w:val="auto"/>
                <w:kern w:val="0"/>
                <w:sz w:val="24"/>
                <w:szCs w:val="24"/>
                <w:highlight w:val="none"/>
                <w:lang w:val="en-US" w:eastAsia="en-US" w:bidi="ar"/>
              </w:rPr>
              <w:t>得</w:t>
            </w:r>
            <w:r>
              <w:rPr>
                <w:rFonts w:hint="eastAsia" w:ascii="宋体" w:hAnsi="宋体" w:cs="宋体"/>
                <w:b w:val="0"/>
                <w:color w:val="auto"/>
                <w:kern w:val="0"/>
                <w:sz w:val="24"/>
                <w:szCs w:val="24"/>
                <w:highlight w:val="none"/>
                <w:lang w:val="en-US" w:eastAsia="zh-CN" w:bidi="ar"/>
              </w:rPr>
              <w:t>2</w:t>
            </w:r>
            <w:r>
              <w:rPr>
                <w:rFonts w:hint="eastAsia" w:ascii="宋体" w:hAnsi="宋体" w:eastAsia="宋体" w:cs="宋体"/>
                <w:b w:val="0"/>
                <w:color w:val="auto"/>
                <w:kern w:val="0"/>
                <w:sz w:val="24"/>
                <w:szCs w:val="24"/>
                <w:highlight w:val="none"/>
                <w:lang w:val="en-US" w:eastAsia="en-US" w:bidi="ar"/>
              </w:rPr>
              <w:t>分，缺项不得分</w:t>
            </w:r>
            <w:r>
              <w:rPr>
                <w:rFonts w:hint="eastAsia" w:ascii="宋体" w:hAnsi="宋体" w:cs="宋体"/>
                <w:b w:val="0"/>
                <w:color w:val="auto"/>
                <w:kern w:val="0"/>
                <w:sz w:val="24"/>
                <w:szCs w:val="24"/>
                <w:highlight w:val="none"/>
                <w:lang w:val="en-US" w:eastAsia="zh-CN" w:bidi="ar"/>
              </w:rPr>
              <w:t>；</w:t>
            </w:r>
          </w:p>
          <w:p w14:paraId="48AB7F12">
            <w:pPr>
              <w:keepNext w:val="0"/>
              <w:keepLines w:val="0"/>
              <w:pageBreakBefore w:val="0"/>
              <w:widowControl/>
              <w:numPr>
                <w:ilvl w:val="0"/>
                <w:numId w:val="10"/>
              </w:numPr>
              <w:suppressLineNumbers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color w:val="auto"/>
                <w:kern w:val="0"/>
                <w:sz w:val="24"/>
                <w:szCs w:val="24"/>
                <w:highlight w:val="none"/>
                <w:lang w:val="en-US" w:eastAsia="en-US" w:bidi="ar"/>
              </w:rPr>
            </w:pPr>
            <w:r>
              <w:rPr>
                <w:rFonts w:hint="eastAsia" w:ascii="宋体" w:hAnsi="宋体" w:cs="宋体"/>
                <w:b w:val="0"/>
                <w:color w:val="auto"/>
                <w:kern w:val="0"/>
                <w:sz w:val="24"/>
                <w:szCs w:val="24"/>
                <w:highlight w:val="none"/>
                <w:lang w:val="en-US" w:eastAsia="zh-CN" w:bidi="ar"/>
              </w:rPr>
              <w:t>为保证售后服务质量，投标人具有5星级售后服务认证证书的得2分，3星级的得1分，不提供不得分；</w:t>
            </w:r>
          </w:p>
          <w:p w14:paraId="7FBD9FA6">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color w:val="auto"/>
                <w:kern w:val="0"/>
                <w:sz w:val="24"/>
                <w:szCs w:val="24"/>
                <w:highlight w:val="none"/>
                <w:lang w:val="en-US" w:eastAsia="en-US" w:bidi="ar"/>
              </w:rPr>
            </w:pPr>
            <w:r>
              <w:rPr>
                <w:rFonts w:hint="eastAsia" w:ascii="宋体" w:hAnsi="宋体" w:cs="宋体"/>
                <w:b w:val="0"/>
                <w:color w:val="auto"/>
                <w:kern w:val="0"/>
                <w:sz w:val="24"/>
                <w:szCs w:val="24"/>
                <w:highlight w:val="none"/>
                <w:lang w:val="en-US" w:eastAsia="zh-CN" w:bidi="ar"/>
              </w:rPr>
              <w:t>3</w:t>
            </w:r>
            <w:r>
              <w:rPr>
                <w:rFonts w:hint="eastAsia" w:ascii="宋体" w:hAnsi="宋体" w:eastAsia="宋体" w:cs="宋体"/>
                <w:b w:val="0"/>
                <w:color w:val="auto"/>
                <w:kern w:val="0"/>
                <w:sz w:val="24"/>
                <w:szCs w:val="24"/>
                <w:highlight w:val="none"/>
                <w:lang w:val="en-US" w:eastAsia="en-US" w:bidi="ar"/>
              </w:rPr>
              <w:t>、投标人获得国家级高新技术企业的得2分，没有不得分。</w:t>
            </w:r>
          </w:p>
          <w:p w14:paraId="7F649AEB">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auto"/>
              <w:rPr>
                <w:rFonts w:hint="default" w:ascii="宋体" w:hAnsi="宋体" w:eastAsia="宋体" w:cs="宋体"/>
                <w:b w:val="0"/>
                <w:color w:val="auto"/>
                <w:kern w:val="0"/>
                <w:sz w:val="24"/>
                <w:szCs w:val="24"/>
                <w:highlight w:val="none"/>
                <w:lang w:val="en-US" w:eastAsia="zh-CN" w:bidi="ar"/>
              </w:rPr>
            </w:pPr>
            <w:r>
              <w:rPr>
                <w:rFonts w:hint="eastAsia" w:ascii="宋体" w:hAnsi="宋体" w:eastAsia="宋体" w:cs="宋体"/>
                <w:b w:val="0"/>
                <w:color w:val="auto"/>
                <w:kern w:val="0"/>
                <w:sz w:val="24"/>
                <w:szCs w:val="24"/>
                <w:highlight w:val="none"/>
                <w:lang w:val="en-US" w:eastAsia="en-US" w:bidi="ar"/>
              </w:rPr>
              <w:t>以上提供证明材料扫描件</w:t>
            </w:r>
          </w:p>
        </w:tc>
      </w:tr>
      <w:tr w14:paraId="32772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0" w:hRule="atLeast"/>
          <w:jc w:val="center"/>
        </w:trPr>
        <w:tc>
          <w:tcPr>
            <w:tcW w:w="1091" w:type="dxa"/>
            <w:vMerge w:val="continue"/>
            <w:shd w:val="clear" w:color="auto" w:fill="FEFEFE"/>
            <w:vAlign w:val="center"/>
          </w:tcPr>
          <w:p w14:paraId="4CA37F1D">
            <w:pPr>
              <w:widowControl/>
              <w:kinsoku w:val="0"/>
              <w:autoSpaceDE w:val="0"/>
              <w:autoSpaceDN w:val="0"/>
              <w:adjustRightInd w:val="0"/>
              <w:snapToGrid w:val="0"/>
              <w:spacing w:line="360" w:lineRule="auto"/>
              <w:jc w:val="center"/>
              <w:textAlignment w:val="baseline"/>
              <w:rPr>
                <w:rFonts w:hint="eastAsia" w:ascii="宋体" w:hAnsi="宋体" w:eastAsia="宋体" w:cs="宋体"/>
                <w:snapToGrid w:val="0"/>
                <w:color w:val="auto"/>
                <w:kern w:val="0"/>
                <w:sz w:val="24"/>
                <w:szCs w:val="24"/>
                <w:highlight w:val="none"/>
                <w:lang w:eastAsia="en-US"/>
              </w:rPr>
            </w:pPr>
          </w:p>
        </w:tc>
        <w:tc>
          <w:tcPr>
            <w:tcW w:w="1105" w:type="dxa"/>
            <w:shd w:val="clear" w:color="auto" w:fill="FEFEFE"/>
            <w:vAlign w:val="center"/>
          </w:tcPr>
          <w:p w14:paraId="5C2FC3B3">
            <w:pPr>
              <w:widowControl w:val="0"/>
              <w:kinsoku w:val="0"/>
              <w:autoSpaceDE w:val="0"/>
              <w:autoSpaceDN w:val="0"/>
              <w:adjustRightInd w:val="0"/>
              <w:snapToGrid w:val="0"/>
              <w:spacing w:before="78" w:line="360" w:lineRule="auto"/>
              <w:ind w:right="161"/>
              <w:jc w:val="center"/>
              <w:textAlignment w:val="baseline"/>
              <w:rPr>
                <w:rFonts w:hint="eastAsia" w:ascii="宋体" w:hAnsi="宋体" w:eastAsia="宋体" w:cs="宋体"/>
                <w:snapToGrid w:val="0"/>
                <w:color w:val="auto"/>
                <w:spacing w:val="-4"/>
                <w:kern w:val="0"/>
                <w:sz w:val="24"/>
                <w:szCs w:val="24"/>
                <w:highlight w:val="none"/>
                <w:lang w:val="en-US" w:eastAsia="zh-CN" w:bidi="ar-SA"/>
              </w:rPr>
            </w:pPr>
          </w:p>
          <w:p w14:paraId="2090723E">
            <w:pPr>
              <w:widowControl w:val="0"/>
              <w:kinsoku w:val="0"/>
              <w:autoSpaceDE w:val="0"/>
              <w:autoSpaceDN w:val="0"/>
              <w:adjustRightInd w:val="0"/>
              <w:snapToGrid w:val="0"/>
              <w:spacing w:before="78" w:line="360" w:lineRule="auto"/>
              <w:ind w:right="161"/>
              <w:jc w:val="center"/>
              <w:textAlignment w:val="baseline"/>
              <w:rPr>
                <w:rFonts w:hint="eastAsia" w:ascii="宋体" w:hAnsi="宋体" w:eastAsia="宋体" w:cs="宋体"/>
                <w:snapToGrid w:val="0"/>
                <w:color w:val="auto"/>
                <w:kern w:val="0"/>
                <w:sz w:val="24"/>
                <w:szCs w:val="24"/>
                <w:highlight w:val="none"/>
                <w:lang w:val="en-US" w:eastAsia="en-US" w:bidi="ar-SA"/>
              </w:rPr>
            </w:pPr>
            <w:r>
              <w:rPr>
                <w:rFonts w:hint="eastAsia" w:ascii="宋体" w:hAnsi="宋体" w:cs="宋体"/>
                <w:snapToGrid w:val="0"/>
                <w:color w:val="auto"/>
                <w:spacing w:val="-4"/>
                <w:kern w:val="0"/>
                <w:sz w:val="24"/>
                <w:szCs w:val="24"/>
                <w:highlight w:val="none"/>
                <w:lang w:val="en-US" w:eastAsia="zh-CN" w:bidi="ar-SA"/>
              </w:rPr>
              <w:t>产品实力</w:t>
            </w:r>
            <w:r>
              <w:rPr>
                <w:rFonts w:hint="eastAsia" w:ascii="宋体" w:hAnsi="宋体" w:eastAsia="宋体" w:cs="宋体"/>
                <w:snapToGrid w:val="0"/>
                <w:color w:val="auto"/>
                <w:spacing w:val="-5"/>
                <w:kern w:val="0"/>
                <w:sz w:val="24"/>
                <w:szCs w:val="24"/>
                <w:highlight w:val="none"/>
                <w:lang w:val="en-US" w:eastAsia="en-US" w:bidi="ar-SA"/>
              </w:rPr>
              <w:t>（</w:t>
            </w:r>
            <w:r>
              <w:rPr>
                <w:rFonts w:hint="eastAsia" w:ascii="宋体" w:hAnsi="宋体" w:cs="宋体"/>
                <w:snapToGrid w:val="0"/>
                <w:color w:val="auto"/>
                <w:spacing w:val="-5"/>
                <w:kern w:val="0"/>
                <w:sz w:val="24"/>
                <w:szCs w:val="24"/>
                <w:highlight w:val="none"/>
                <w:lang w:val="en-US" w:eastAsia="zh-CN" w:bidi="ar-SA"/>
              </w:rPr>
              <w:t>18</w:t>
            </w:r>
            <w:r>
              <w:rPr>
                <w:rFonts w:hint="eastAsia" w:ascii="宋体" w:hAnsi="宋体" w:eastAsia="宋体" w:cs="宋体"/>
                <w:snapToGrid w:val="0"/>
                <w:color w:val="auto"/>
                <w:spacing w:val="-5"/>
                <w:kern w:val="0"/>
                <w:sz w:val="24"/>
                <w:szCs w:val="24"/>
                <w:highlight w:val="none"/>
                <w:lang w:val="en-US" w:eastAsia="en-US" w:bidi="ar-SA"/>
              </w:rPr>
              <w:t>分）</w:t>
            </w:r>
          </w:p>
        </w:tc>
        <w:tc>
          <w:tcPr>
            <w:tcW w:w="7383" w:type="dxa"/>
            <w:shd w:val="clear" w:color="auto" w:fill="FEFEFE"/>
            <w:vAlign w:val="center"/>
          </w:tcPr>
          <w:p w14:paraId="35BCF2F6">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color w:val="auto"/>
                <w:kern w:val="0"/>
                <w:sz w:val="24"/>
                <w:szCs w:val="24"/>
                <w:highlight w:val="none"/>
                <w:lang w:val="en-US" w:eastAsia="en-US" w:bidi="ar"/>
              </w:rPr>
            </w:pPr>
            <w:r>
              <w:rPr>
                <w:rFonts w:hint="eastAsia" w:ascii="宋体" w:hAnsi="宋体" w:eastAsia="宋体" w:cs="宋体"/>
                <w:b w:val="0"/>
                <w:color w:val="auto"/>
                <w:kern w:val="0"/>
                <w:sz w:val="24"/>
                <w:szCs w:val="24"/>
                <w:highlight w:val="none"/>
                <w:lang w:val="en-US" w:eastAsia="en-US" w:bidi="ar"/>
              </w:rPr>
              <w:t>1、所投显示设备生成企业具有信息安全管理体系、ISO9001质量管理体系认证、ISO14001环境管理体系认证、18001职业健康安全管理体系认证证书、十星售后服务完善程度认证证书的得</w:t>
            </w:r>
            <w:r>
              <w:rPr>
                <w:rFonts w:hint="eastAsia" w:ascii="宋体" w:hAnsi="宋体" w:cs="宋体"/>
                <w:b w:val="0"/>
                <w:color w:val="auto"/>
                <w:kern w:val="0"/>
                <w:sz w:val="24"/>
                <w:szCs w:val="24"/>
                <w:highlight w:val="none"/>
                <w:lang w:val="en-US" w:eastAsia="zh-CN" w:bidi="ar"/>
              </w:rPr>
              <w:t>4</w:t>
            </w:r>
            <w:r>
              <w:rPr>
                <w:rFonts w:hint="eastAsia" w:ascii="宋体" w:hAnsi="宋体" w:eastAsia="宋体" w:cs="宋体"/>
                <w:b w:val="0"/>
                <w:color w:val="auto"/>
                <w:kern w:val="0"/>
                <w:sz w:val="24"/>
                <w:szCs w:val="24"/>
                <w:highlight w:val="none"/>
                <w:lang w:val="en-US" w:eastAsia="en-US" w:bidi="ar"/>
              </w:rPr>
              <w:t>分，缺项不得分。（提供证明材料扫描件）</w:t>
            </w:r>
          </w:p>
          <w:p w14:paraId="702479F1">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color w:val="auto"/>
                <w:kern w:val="0"/>
                <w:sz w:val="24"/>
                <w:szCs w:val="24"/>
                <w:highlight w:val="none"/>
                <w:lang w:val="en-US" w:eastAsia="en-US" w:bidi="ar"/>
              </w:rPr>
            </w:pPr>
            <w:r>
              <w:rPr>
                <w:rFonts w:hint="eastAsia" w:ascii="宋体" w:hAnsi="宋体" w:eastAsia="宋体" w:cs="宋体"/>
                <w:b w:val="0"/>
                <w:color w:val="auto"/>
                <w:kern w:val="0"/>
                <w:sz w:val="24"/>
                <w:szCs w:val="24"/>
                <w:highlight w:val="none"/>
                <w:lang w:val="en-US" w:eastAsia="en-US" w:bidi="ar"/>
              </w:rPr>
              <w:t>2、所投显示设备生产企业属于国家级企业技术中心，技术先进型服务企业，市重点工业企业，高新技术企业的得3分，缺项不得分。（提供证明材料扫描件）</w:t>
            </w:r>
          </w:p>
          <w:p w14:paraId="4ADCAF60">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color w:val="auto"/>
                <w:kern w:val="0"/>
                <w:sz w:val="24"/>
                <w:szCs w:val="24"/>
                <w:highlight w:val="none"/>
                <w:lang w:val="en-US" w:eastAsia="en-US" w:bidi="ar"/>
              </w:rPr>
            </w:pPr>
            <w:r>
              <w:rPr>
                <w:rFonts w:hint="eastAsia" w:ascii="宋体" w:hAnsi="宋体" w:eastAsia="宋体" w:cs="宋体"/>
                <w:b w:val="0"/>
                <w:color w:val="auto"/>
                <w:kern w:val="0"/>
                <w:sz w:val="24"/>
                <w:szCs w:val="24"/>
                <w:highlight w:val="none"/>
                <w:lang w:val="en-US" w:eastAsia="en-US" w:bidi="ar"/>
              </w:rPr>
              <w:t>3、所投计算机生产企业具有产品认证：CCC、节能、环保认证</w:t>
            </w:r>
            <w:r>
              <w:rPr>
                <w:rFonts w:hint="eastAsia" w:ascii="宋体" w:hAnsi="宋体" w:cs="宋体"/>
                <w:b w:val="0"/>
                <w:color w:val="auto"/>
                <w:kern w:val="0"/>
                <w:sz w:val="24"/>
                <w:szCs w:val="24"/>
                <w:highlight w:val="none"/>
                <w:lang w:val="en-US" w:eastAsia="zh-CN" w:bidi="ar"/>
              </w:rPr>
              <w:t>、</w:t>
            </w:r>
            <w:r>
              <w:rPr>
                <w:rFonts w:hint="eastAsia" w:ascii="宋体" w:hAnsi="宋体" w:eastAsia="宋体" w:cs="宋体"/>
                <w:b w:val="0"/>
                <w:color w:val="auto"/>
                <w:kern w:val="0"/>
                <w:sz w:val="24"/>
                <w:szCs w:val="24"/>
                <w:highlight w:val="none"/>
                <w:lang w:val="en-US" w:eastAsia="en-US" w:bidi="ar"/>
              </w:rPr>
              <w:t>无故障运行时间不低于100万小时认证（以国家电子计算机质量检验部门出具的为准）</w:t>
            </w:r>
            <w:r>
              <w:rPr>
                <w:rFonts w:hint="eastAsia" w:ascii="宋体" w:hAnsi="宋体" w:cs="宋体"/>
                <w:b w:val="0"/>
                <w:color w:val="auto"/>
                <w:kern w:val="0"/>
                <w:sz w:val="24"/>
                <w:szCs w:val="24"/>
                <w:highlight w:val="none"/>
                <w:lang w:val="en-US" w:eastAsia="zh-CN" w:bidi="ar"/>
              </w:rPr>
              <w:t>、</w:t>
            </w:r>
            <w:r>
              <w:rPr>
                <w:rFonts w:hint="eastAsia" w:ascii="宋体" w:hAnsi="宋体" w:eastAsia="宋体" w:cs="宋体"/>
                <w:b w:val="0"/>
                <w:color w:val="auto"/>
                <w:kern w:val="0"/>
                <w:sz w:val="24"/>
                <w:szCs w:val="24"/>
                <w:highlight w:val="none"/>
                <w:lang w:val="en-US" w:eastAsia="en-US" w:bidi="ar"/>
              </w:rPr>
              <w:t>CNAS认可的数据接口认证 (USB接口接触电流不大于20uA)</w:t>
            </w:r>
            <w:r>
              <w:rPr>
                <w:rFonts w:hint="eastAsia" w:ascii="宋体" w:hAnsi="宋体" w:cs="宋体"/>
                <w:b w:val="0"/>
                <w:color w:val="auto"/>
                <w:kern w:val="0"/>
                <w:sz w:val="24"/>
                <w:szCs w:val="24"/>
                <w:highlight w:val="none"/>
                <w:lang w:val="en-US" w:eastAsia="zh-CN" w:bidi="ar"/>
              </w:rPr>
              <w:t>、</w:t>
            </w:r>
            <w:r>
              <w:rPr>
                <w:rFonts w:hint="eastAsia" w:ascii="宋体" w:hAnsi="宋体" w:eastAsia="宋体" w:cs="宋体"/>
                <w:b w:val="0"/>
                <w:color w:val="auto"/>
                <w:kern w:val="0"/>
                <w:sz w:val="24"/>
                <w:szCs w:val="24"/>
                <w:highlight w:val="none"/>
                <w:lang w:val="en-US" w:eastAsia="en-US" w:bidi="ar"/>
              </w:rPr>
              <w:t>厂商服务具有4PS认证和CCCS钻石五星级认证</w:t>
            </w:r>
            <w:r>
              <w:rPr>
                <w:rFonts w:hint="eastAsia" w:ascii="宋体" w:hAnsi="宋体" w:cs="宋体"/>
                <w:b w:val="0"/>
                <w:color w:val="auto"/>
                <w:kern w:val="0"/>
                <w:sz w:val="24"/>
                <w:szCs w:val="24"/>
                <w:highlight w:val="none"/>
                <w:lang w:val="en-US" w:eastAsia="zh-CN" w:bidi="ar"/>
              </w:rPr>
              <w:t>的，</w:t>
            </w:r>
            <w:r>
              <w:rPr>
                <w:rFonts w:hint="eastAsia" w:ascii="宋体" w:hAnsi="宋体" w:eastAsia="宋体" w:cs="宋体"/>
                <w:b w:val="0"/>
                <w:color w:val="auto"/>
                <w:kern w:val="0"/>
                <w:sz w:val="24"/>
                <w:szCs w:val="24"/>
                <w:highlight w:val="none"/>
                <w:lang w:val="en-US" w:eastAsia="en-US" w:bidi="ar"/>
              </w:rPr>
              <w:t>得</w:t>
            </w:r>
            <w:r>
              <w:rPr>
                <w:rFonts w:hint="eastAsia" w:ascii="宋体" w:hAnsi="宋体" w:cs="宋体"/>
                <w:b w:val="0"/>
                <w:color w:val="auto"/>
                <w:kern w:val="0"/>
                <w:sz w:val="24"/>
                <w:szCs w:val="24"/>
                <w:highlight w:val="none"/>
                <w:lang w:val="en-US" w:eastAsia="zh-CN" w:bidi="ar"/>
              </w:rPr>
              <w:t>3</w:t>
            </w:r>
            <w:r>
              <w:rPr>
                <w:rFonts w:hint="eastAsia" w:ascii="宋体" w:hAnsi="宋体" w:eastAsia="宋体" w:cs="宋体"/>
                <w:b w:val="0"/>
                <w:color w:val="auto"/>
                <w:kern w:val="0"/>
                <w:sz w:val="24"/>
                <w:szCs w:val="24"/>
                <w:highlight w:val="none"/>
                <w:lang w:val="en-US" w:eastAsia="en-US" w:bidi="ar"/>
              </w:rPr>
              <w:t>分，缺项不得分。（提供证明材料扫描件）。</w:t>
            </w:r>
          </w:p>
          <w:p w14:paraId="78AC7F5D">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color w:val="auto"/>
                <w:kern w:val="0"/>
                <w:sz w:val="24"/>
                <w:szCs w:val="24"/>
                <w:highlight w:val="none"/>
                <w:lang w:val="en-US" w:eastAsia="en-US" w:bidi="ar"/>
              </w:rPr>
            </w:pPr>
            <w:r>
              <w:rPr>
                <w:rFonts w:hint="eastAsia" w:ascii="宋体" w:hAnsi="宋体" w:eastAsia="宋体" w:cs="宋体"/>
                <w:b w:val="0"/>
                <w:color w:val="auto"/>
                <w:kern w:val="0"/>
                <w:sz w:val="24"/>
                <w:szCs w:val="24"/>
                <w:highlight w:val="none"/>
                <w:lang w:val="en-US" w:eastAsia="en-US" w:bidi="ar"/>
              </w:rPr>
              <w:t>4、所投音频生产企业，</w:t>
            </w:r>
            <w:r>
              <w:rPr>
                <w:rFonts w:hint="eastAsia" w:ascii="宋体" w:hAnsi="宋体" w:cs="宋体"/>
                <w:b w:val="0"/>
                <w:color w:val="auto"/>
                <w:kern w:val="0"/>
                <w:sz w:val="24"/>
                <w:szCs w:val="24"/>
                <w:highlight w:val="none"/>
                <w:lang w:val="en-US" w:eastAsia="zh-CN" w:bidi="ar"/>
              </w:rPr>
              <w:t>为</w:t>
            </w:r>
            <w:r>
              <w:rPr>
                <w:rFonts w:hint="eastAsia" w:ascii="宋体" w:hAnsi="宋体" w:eastAsia="宋体" w:cs="宋体"/>
                <w:b w:val="0"/>
                <w:color w:val="auto"/>
                <w:kern w:val="0"/>
                <w:sz w:val="24"/>
                <w:szCs w:val="24"/>
                <w:highlight w:val="none"/>
                <w:lang w:val="en-US" w:eastAsia="en-US" w:bidi="ar"/>
              </w:rPr>
              <w:t>确保产品质量达标</w:t>
            </w:r>
            <w:r>
              <w:rPr>
                <w:rFonts w:hint="eastAsia" w:ascii="宋体" w:hAnsi="宋体" w:cs="宋体"/>
                <w:b w:val="0"/>
                <w:color w:val="auto"/>
                <w:kern w:val="0"/>
                <w:sz w:val="24"/>
                <w:szCs w:val="24"/>
                <w:highlight w:val="none"/>
                <w:lang w:val="en-US" w:eastAsia="zh-CN" w:bidi="ar"/>
              </w:rPr>
              <w:t>，</w:t>
            </w:r>
            <w:r>
              <w:rPr>
                <w:rFonts w:hint="eastAsia" w:ascii="宋体" w:hAnsi="宋体" w:eastAsia="宋体" w:cs="宋体"/>
                <w:b w:val="0"/>
                <w:color w:val="auto"/>
                <w:kern w:val="0"/>
                <w:sz w:val="24"/>
                <w:szCs w:val="24"/>
                <w:highlight w:val="none"/>
                <w:lang w:val="en-US" w:eastAsia="en-US" w:bidi="ar"/>
              </w:rPr>
              <w:t>生产线安装并启用了生产MES系统，以及产品溯源体系</w:t>
            </w:r>
            <w:r>
              <w:rPr>
                <w:rFonts w:hint="eastAsia" w:ascii="宋体" w:hAnsi="宋体" w:cs="宋体"/>
                <w:b w:val="0"/>
                <w:color w:val="auto"/>
                <w:kern w:val="0"/>
                <w:sz w:val="24"/>
                <w:szCs w:val="24"/>
                <w:highlight w:val="none"/>
                <w:lang w:val="en-US" w:eastAsia="zh-CN" w:bidi="ar"/>
              </w:rPr>
              <w:t>的得3分，</w:t>
            </w:r>
            <w:r>
              <w:rPr>
                <w:rFonts w:hint="eastAsia" w:ascii="宋体" w:hAnsi="宋体" w:eastAsia="宋体" w:cs="宋体"/>
                <w:b w:val="0"/>
                <w:color w:val="auto"/>
                <w:kern w:val="0"/>
                <w:sz w:val="24"/>
                <w:szCs w:val="24"/>
                <w:highlight w:val="none"/>
                <w:lang w:val="en-US" w:eastAsia="en-US" w:bidi="ar"/>
              </w:rPr>
              <w:t>没有不得分。(提供产品软件版本号，软件厂家的授权书，以及现场实际使用视频截图佐证)</w:t>
            </w:r>
          </w:p>
          <w:p w14:paraId="6105AB72">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color w:val="auto"/>
                <w:kern w:val="0"/>
                <w:sz w:val="24"/>
                <w:szCs w:val="24"/>
                <w:highlight w:val="none"/>
                <w:lang w:val="en-US" w:eastAsia="en-US" w:bidi="ar"/>
              </w:rPr>
            </w:pPr>
            <w:r>
              <w:rPr>
                <w:rFonts w:hint="eastAsia" w:ascii="宋体" w:hAnsi="宋体" w:eastAsia="宋体" w:cs="宋体"/>
                <w:b w:val="0"/>
                <w:color w:val="auto"/>
                <w:kern w:val="0"/>
                <w:sz w:val="24"/>
                <w:szCs w:val="24"/>
                <w:highlight w:val="none"/>
                <w:lang w:val="en-US" w:eastAsia="en-US" w:bidi="ar"/>
              </w:rPr>
              <w:t>5、所投音频生产企业具有 ISO9001质量管理体系认证证书、ISO14001环境管理体系认证证书、ISO45001职业健康安全管理体系认证证书的得</w:t>
            </w:r>
            <w:r>
              <w:rPr>
                <w:rFonts w:hint="eastAsia" w:ascii="宋体" w:hAnsi="宋体" w:cs="宋体"/>
                <w:b w:val="0"/>
                <w:color w:val="auto"/>
                <w:kern w:val="0"/>
                <w:sz w:val="24"/>
                <w:szCs w:val="24"/>
                <w:highlight w:val="none"/>
                <w:lang w:val="en-US" w:eastAsia="zh-CN" w:bidi="ar"/>
              </w:rPr>
              <w:t>3</w:t>
            </w:r>
            <w:r>
              <w:rPr>
                <w:rFonts w:hint="eastAsia" w:ascii="宋体" w:hAnsi="宋体" w:eastAsia="宋体" w:cs="宋体"/>
                <w:b w:val="0"/>
                <w:color w:val="auto"/>
                <w:kern w:val="0"/>
                <w:sz w:val="24"/>
                <w:szCs w:val="24"/>
                <w:highlight w:val="none"/>
                <w:lang w:val="en-US" w:eastAsia="en-US" w:bidi="ar"/>
              </w:rPr>
              <w:t>分，缺项不得分。（提供证明材料扫描件）。</w:t>
            </w:r>
          </w:p>
          <w:p w14:paraId="0FA484AE">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auto"/>
              <w:rPr>
                <w:rFonts w:hint="default" w:ascii="宋体" w:hAnsi="宋体" w:eastAsia="宋体" w:cs="宋体"/>
                <w:b w:val="0"/>
                <w:color w:val="auto"/>
                <w:kern w:val="0"/>
                <w:sz w:val="24"/>
                <w:szCs w:val="24"/>
                <w:highlight w:val="none"/>
                <w:lang w:val="en-US" w:eastAsia="zh-CN" w:bidi="ar"/>
              </w:rPr>
            </w:pPr>
            <w:r>
              <w:rPr>
                <w:rFonts w:hint="eastAsia" w:ascii="宋体" w:hAnsi="宋体" w:eastAsia="宋体" w:cs="宋体"/>
                <w:b w:val="0"/>
                <w:color w:val="auto"/>
                <w:kern w:val="0"/>
                <w:sz w:val="24"/>
                <w:szCs w:val="24"/>
                <w:highlight w:val="none"/>
                <w:lang w:val="en-US" w:eastAsia="en-US" w:bidi="ar"/>
              </w:rPr>
              <w:t>6、为保证系统的稳定性与兼容性，所投音频设备为同一品牌</w:t>
            </w:r>
            <w:r>
              <w:rPr>
                <w:rFonts w:hint="eastAsia" w:ascii="宋体" w:hAnsi="宋体" w:cs="宋体"/>
                <w:b w:val="0"/>
                <w:color w:val="auto"/>
                <w:kern w:val="0"/>
                <w:sz w:val="24"/>
                <w:szCs w:val="24"/>
                <w:highlight w:val="none"/>
                <w:lang w:val="en-US" w:eastAsia="zh-CN" w:bidi="ar"/>
              </w:rPr>
              <w:t>的，</w:t>
            </w:r>
            <w:r>
              <w:rPr>
                <w:rFonts w:hint="eastAsia" w:ascii="宋体" w:hAnsi="宋体" w:eastAsia="宋体" w:cs="宋体"/>
                <w:b w:val="0"/>
                <w:color w:val="auto"/>
                <w:kern w:val="0"/>
                <w:sz w:val="24"/>
                <w:szCs w:val="24"/>
                <w:highlight w:val="none"/>
                <w:lang w:val="en-US" w:eastAsia="en-US" w:bidi="ar"/>
              </w:rPr>
              <w:t>得</w:t>
            </w:r>
            <w:r>
              <w:rPr>
                <w:rFonts w:hint="eastAsia" w:ascii="宋体" w:hAnsi="宋体" w:cs="宋体"/>
                <w:b w:val="0"/>
                <w:color w:val="auto"/>
                <w:kern w:val="0"/>
                <w:sz w:val="24"/>
                <w:szCs w:val="24"/>
                <w:highlight w:val="none"/>
                <w:lang w:val="en-US" w:eastAsia="zh-CN" w:bidi="ar"/>
              </w:rPr>
              <w:t>2</w:t>
            </w:r>
            <w:r>
              <w:rPr>
                <w:rFonts w:hint="eastAsia" w:ascii="宋体" w:hAnsi="宋体" w:eastAsia="宋体" w:cs="宋体"/>
                <w:b w:val="0"/>
                <w:color w:val="auto"/>
                <w:kern w:val="0"/>
                <w:sz w:val="24"/>
                <w:szCs w:val="24"/>
                <w:highlight w:val="none"/>
                <w:lang w:val="en-US" w:eastAsia="en-US" w:bidi="ar"/>
              </w:rPr>
              <w:t>分，</w:t>
            </w:r>
            <w:r>
              <w:rPr>
                <w:rFonts w:hint="eastAsia" w:ascii="宋体" w:hAnsi="宋体" w:cs="宋体"/>
                <w:b w:val="0"/>
                <w:color w:val="auto"/>
                <w:kern w:val="0"/>
                <w:sz w:val="24"/>
                <w:szCs w:val="24"/>
                <w:highlight w:val="none"/>
                <w:lang w:val="en-US" w:eastAsia="zh-CN" w:bidi="ar"/>
              </w:rPr>
              <w:t>其中有其他品牌的</w:t>
            </w:r>
            <w:r>
              <w:rPr>
                <w:rFonts w:hint="eastAsia" w:ascii="宋体" w:hAnsi="宋体" w:eastAsia="宋体" w:cs="宋体"/>
                <w:b w:val="0"/>
                <w:color w:val="auto"/>
                <w:kern w:val="0"/>
                <w:sz w:val="24"/>
                <w:szCs w:val="24"/>
                <w:highlight w:val="none"/>
                <w:lang w:val="en-US" w:eastAsia="en-US" w:bidi="ar"/>
              </w:rPr>
              <w:t xml:space="preserve">不得分。  </w:t>
            </w:r>
          </w:p>
        </w:tc>
      </w:tr>
      <w:tr w14:paraId="1BE6F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5" w:hRule="atLeast"/>
          <w:jc w:val="center"/>
        </w:trPr>
        <w:tc>
          <w:tcPr>
            <w:tcW w:w="1091" w:type="dxa"/>
            <w:vMerge w:val="restart"/>
            <w:shd w:val="clear" w:color="auto" w:fill="FEFEFE"/>
            <w:vAlign w:val="center"/>
          </w:tcPr>
          <w:p w14:paraId="0F7B9392">
            <w:pPr>
              <w:widowControl/>
              <w:kinsoku w:val="0"/>
              <w:autoSpaceDE w:val="0"/>
              <w:autoSpaceDN w:val="0"/>
              <w:adjustRightInd w:val="0"/>
              <w:snapToGrid w:val="0"/>
              <w:spacing w:line="360" w:lineRule="auto"/>
              <w:jc w:val="center"/>
              <w:textAlignment w:val="baseline"/>
              <w:rPr>
                <w:rFonts w:hint="eastAsia" w:ascii="宋体" w:hAnsi="宋体" w:eastAsia="宋体" w:cs="宋体"/>
                <w:snapToGrid w:val="0"/>
                <w:color w:val="auto"/>
                <w:kern w:val="0"/>
                <w:sz w:val="24"/>
                <w:szCs w:val="24"/>
                <w:highlight w:val="none"/>
                <w:lang w:val="en-US" w:eastAsia="zh-CN"/>
              </w:rPr>
            </w:pPr>
          </w:p>
          <w:p w14:paraId="2DF4DBE9">
            <w:pPr>
              <w:widowControl/>
              <w:kinsoku w:val="0"/>
              <w:autoSpaceDE w:val="0"/>
              <w:autoSpaceDN w:val="0"/>
              <w:adjustRightInd w:val="0"/>
              <w:snapToGrid w:val="0"/>
              <w:spacing w:line="360" w:lineRule="auto"/>
              <w:jc w:val="center"/>
              <w:textAlignment w:val="baseline"/>
              <w:rPr>
                <w:rFonts w:hint="eastAsia" w:ascii="宋体" w:hAnsi="宋体" w:eastAsia="宋体" w:cs="宋体"/>
                <w:snapToGrid w:val="0"/>
                <w:color w:val="auto"/>
                <w:kern w:val="0"/>
                <w:sz w:val="24"/>
                <w:szCs w:val="24"/>
                <w:highlight w:val="none"/>
                <w:lang w:val="en-US" w:eastAsia="zh-CN"/>
              </w:rPr>
            </w:pPr>
          </w:p>
          <w:p w14:paraId="16F9B84C">
            <w:pPr>
              <w:widowControl/>
              <w:kinsoku w:val="0"/>
              <w:autoSpaceDE w:val="0"/>
              <w:autoSpaceDN w:val="0"/>
              <w:adjustRightInd w:val="0"/>
              <w:snapToGrid w:val="0"/>
              <w:spacing w:line="360" w:lineRule="auto"/>
              <w:jc w:val="center"/>
              <w:textAlignment w:val="baseline"/>
              <w:rPr>
                <w:rFonts w:hint="eastAsia" w:ascii="宋体" w:hAnsi="宋体" w:eastAsia="宋体" w:cs="宋体"/>
                <w:snapToGrid w:val="0"/>
                <w:color w:val="auto"/>
                <w:kern w:val="0"/>
                <w:sz w:val="24"/>
                <w:szCs w:val="24"/>
                <w:highlight w:val="none"/>
                <w:lang w:val="en-US" w:eastAsia="zh-CN"/>
              </w:rPr>
            </w:pPr>
          </w:p>
          <w:p w14:paraId="69853222">
            <w:pPr>
              <w:widowControl/>
              <w:kinsoku w:val="0"/>
              <w:autoSpaceDE w:val="0"/>
              <w:autoSpaceDN w:val="0"/>
              <w:adjustRightInd w:val="0"/>
              <w:snapToGrid w:val="0"/>
              <w:spacing w:line="360" w:lineRule="auto"/>
              <w:jc w:val="center"/>
              <w:textAlignment w:val="baseline"/>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技术部分</w:t>
            </w:r>
          </w:p>
          <w:p w14:paraId="5F07FB71">
            <w:pPr>
              <w:widowControl/>
              <w:kinsoku w:val="0"/>
              <w:autoSpaceDE w:val="0"/>
              <w:autoSpaceDN w:val="0"/>
              <w:adjustRightInd w:val="0"/>
              <w:snapToGrid w:val="0"/>
              <w:spacing w:line="360" w:lineRule="auto"/>
              <w:jc w:val="center"/>
              <w:textAlignment w:val="baseline"/>
              <w:rPr>
                <w:rFonts w:hint="default"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bidi="ar-SA"/>
              </w:rPr>
              <w:t>（</w:t>
            </w:r>
            <w:r>
              <w:rPr>
                <w:rFonts w:hint="eastAsia" w:ascii="宋体" w:hAnsi="宋体" w:cs="宋体"/>
                <w:snapToGrid w:val="0"/>
                <w:color w:val="auto"/>
                <w:kern w:val="0"/>
                <w:sz w:val="24"/>
                <w:szCs w:val="24"/>
                <w:highlight w:val="none"/>
                <w:lang w:val="en-US" w:eastAsia="zh-CN" w:bidi="ar-SA"/>
              </w:rPr>
              <w:t>10</w:t>
            </w:r>
            <w:r>
              <w:rPr>
                <w:rFonts w:hint="eastAsia" w:ascii="宋体" w:hAnsi="宋体" w:eastAsia="宋体" w:cs="宋体"/>
                <w:snapToGrid w:val="0"/>
                <w:color w:val="auto"/>
                <w:kern w:val="0"/>
                <w:sz w:val="24"/>
                <w:szCs w:val="24"/>
                <w:highlight w:val="none"/>
                <w:lang w:val="en-US" w:eastAsia="zh-CN" w:bidi="ar-SA"/>
              </w:rPr>
              <w:t>分）</w:t>
            </w:r>
          </w:p>
        </w:tc>
        <w:tc>
          <w:tcPr>
            <w:tcW w:w="1105" w:type="dxa"/>
            <w:shd w:val="clear" w:color="auto" w:fill="FEFEFE"/>
            <w:vAlign w:val="center"/>
          </w:tcPr>
          <w:p w14:paraId="093F78DE">
            <w:pPr>
              <w:widowControl w:val="0"/>
              <w:kinsoku w:val="0"/>
              <w:autoSpaceDE w:val="0"/>
              <w:autoSpaceDN w:val="0"/>
              <w:adjustRightInd w:val="0"/>
              <w:snapToGrid w:val="0"/>
              <w:spacing w:before="78" w:line="360" w:lineRule="auto"/>
              <w:ind w:left="170" w:right="161" w:hanging="7"/>
              <w:jc w:val="center"/>
              <w:textAlignment w:val="baseline"/>
              <w:rPr>
                <w:rFonts w:hint="eastAsia" w:ascii="宋体" w:hAnsi="宋体" w:eastAsia="宋体" w:cs="宋体"/>
                <w:snapToGrid w:val="0"/>
                <w:color w:val="auto"/>
                <w:spacing w:val="-3"/>
                <w:kern w:val="0"/>
                <w:sz w:val="24"/>
                <w:szCs w:val="24"/>
                <w:highlight w:val="none"/>
                <w:lang w:val="en-US" w:eastAsia="zh-CN" w:bidi="ar-SA"/>
              </w:rPr>
            </w:pPr>
            <w:r>
              <w:rPr>
                <w:rFonts w:hint="eastAsia" w:ascii="宋体" w:hAnsi="宋体" w:eastAsia="宋体" w:cs="宋体"/>
                <w:color w:val="auto"/>
                <w:kern w:val="0"/>
                <w:sz w:val="24"/>
                <w:szCs w:val="24"/>
                <w:highlight w:val="none"/>
                <w:lang w:bidi="ar"/>
              </w:rPr>
              <w:t>售后服务及保障能力</w:t>
            </w:r>
            <w:r>
              <w:rPr>
                <w:rFonts w:hint="eastAsia" w:ascii="宋体" w:hAnsi="宋体" w:eastAsia="宋体" w:cs="宋体"/>
                <w:snapToGrid w:val="0"/>
                <w:color w:val="auto"/>
                <w:spacing w:val="-5"/>
                <w:kern w:val="0"/>
                <w:sz w:val="24"/>
                <w:szCs w:val="24"/>
                <w:highlight w:val="none"/>
                <w:lang w:val="en-US" w:eastAsia="en-US" w:bidi="ar-SA"/>
              </w:rPr>
              <w:t>（</w:t>
            </w:r>
            <w:r>
              <w:rPr>
                <w:rFonts w:hint="eastAsia" w:ascii="宋体" w:hAnsi="宋体" w:cs="宋体"/>
                <w:snapToGrid w:val="0"/>
                <w:color w:val="auto"/>
                <w:spacing w:val="-5"/>
                <w:kern w:val="0"/>
                <w:sz w:val="24"/>
                <w:szCs w:val="24"/>
                <w:highlight w:val="none"/>
                <w:lang w:val="en-US" w:eastAsia="zh-CN" w:bidi="ar-SA"/>
              </w:rPr>
              <w:t>4</w:t>
            </w:r>
            <w:r>
              <w:rPr>
                <w:rFonts w:hint="eastAsia" w:ascii="宋体" w:hAnsi="宋体" w:eastAsia="宋体" w:cs="宋体"/>
                <w:snapToGrid w:val="0"/>
                <w:color w:val="auto"/>
                <w:spacing w:val="-5"/>
                <w:kern w:val="0"/>
                <w:sz w:val="24"/>
                <w:szCs w:val="24"/>
                <w:highlight w:val="none"/>
                <w:lang w:val="en-US" w:eastAsia="en-US" w:bidi="ar-SA"/>
              </w:rPr>
              <w:t>分）</w:t>
            </w:r>
          </w:p>
        </w:tc>
        <w:tc>
          <w:tcPr>
            <w:tcW w:w="7383" w:type="dxa"/>
            <w:shd w:val="clear" w:color="auto" w:fill="FEFEFE"/>
            <w:vAlign w:val="center"/>
          </w:tcPr>
          <w:p w14:paraId="036174AE">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color w:val="auto"/>
                <w:kern w:val="0"/>
                <w:sz w:val="24"/>
                <w:szCs w:val="24"/>
                <w:highlight w:val="none"/>
                <w:lang w:val="en-US" w:eastAsia="zh-CN" w:bidi="ar"/>
              </w:rPr>
            </w:pPr>
            <w:r>
              <w:rPr>
                <w:rFonts w:hint="eastAsia" w:ascii="宋体" w:hAnsi="宋体" w:eastAsia="宋体" w:cs="宋体"/>
                <w:b w:val="0"/>
                <w:color w:val="auto"/>
                <w:kern w:val="0"/>
                <w:sz w:val="24"/>
                <w:szCs w:val="24"/>
                <w:highlight w:val="none"/>
                <w:lang w:val="en-US" w:eastAsia="zh-CN" w:bidi="ar"/>
              </w:rPr>
              <w:t>1、售后服务应考虑质保期内和质保期外，售后服务措施（包括应急措施、人员保障、响应时间、维修备品备件）详尽、合理、逻辑较清晰、可行性程度高的得</w:t>
            </w:r>
            <w:r>
              <w:rPr>
                <w:rFonts w:hint="eastAsia" w:ascii="宋体" w:hAnsi="宋体" w:cs="宋体"/>
                <w:b w:val="0"/>
                <w:color w:val="auto"/>
                <w:kern w:val="0"/>
                <w:sz w:val="24"/>
                <w:szCs w:val="24"/>
                <w:highlight w:val="none"/>
                <w:lang w:val="en-US" w:eastAsia="zh-CN" w:bidi="ar"/>
              </w:rPr>
              <w:t>4</w:t>
            </w:r>
            <w:r>
              <w:rPr>
                <w:rFonts w:hint="eastAsia" w:ascii="宋体" w:hAnsi="宋体" w:eastAsia="宋体" w:cs="宋体"/>
                <w:b w:val="0"/>
                <w:color w:val="auto"/>
                <w:kern w:val="0"/>
                <w:sz w:val="24"/>
                <w:szCs w:val="24"/>
                <w:highlight w:val="none"/>
                <w:lang w:val="en-US" w:eastAsia="zh-CN" w:bidi="ar"/>
              </w:rPr>
              <w:t>分；</w:t>
            </w:r>
          </w:p>
          <w:p w14:paraId="37660764">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color w:val="auto"/>
                <w:kern w:val="0"/>
                <w:sz w:val="24"/>
                <w:szCs w:val="24"/>
                <w:highlight w:val="none"/>
                <w:lang w:val="en-US" w:eastAsia="zh-CN" w:bidi="ar"/>
              </w:rPr>
            </w:pPr>
            <w:r>
              <w:rPr>
                <w:rFonts w:hint="eastAsia" w:ascii="宋体" w:hAnsi="宋体" w:eastAsia="宋体" w:cs="宋体"/>
                <w:b w:val="0"/>
                <w:color w:val="auto"/>
                <w:kern w:val="0"/>
                <w:sz w:val="24"/>
                <w:szCs w:val="24"/>
                <w:highlight w:val="none"/>
                <w:lang w:val="en-US" w:eastAsia="zh-CN" w:bidi="ar"/>
              </w:rPr>
              <w:t>2、售后服务应考虑质保期内和质保期外，售后服务措施（包括应急措施、人员保障、响应时间、维修备品备件）一般、但基本合理、逻辑清晰、可行性程度一般的得</w:t>
            </w:r>
            <w:r>
              <w:rPr>
                <w:rFonts w:hint="eastAsia" w:ascii="宋体" w:hAnsi="宋体" w:cs="宋体"/>
                <w:b w:val="0"/>
                <w:color w:val="auto"/>
                <w:kern w:val="0"/>
                <w:sz w:val="24"/>
                <w:szCs w:val="24"/>
                <w:highlight w:val="none"/>
                <w:lang w:val="en-US" w:eastAsia="zh-CN" w:bidi="ar"/>
              </w:rPr>
              <w:t>2</w:t>
            </w:r>
            <w:r>
              <w:rPr>
                <w:rFonts w:hint="eastAsia" w:ascii="宋体" w:hAnsi="宋体" w:eastAsia="宋体" w:cs="宋体"/>
                <w:b w:val="0"/>
                <w:color w:val="auto"/>
                <w:kern w:val="0"/>
                <w:sz w:val="24"/>
                <w:szCs w:val="24"/>
                <w:highlight w:val="none"/>
                <w:lang w:val="en-US" w:eastAsia="zh-CN" w:bidi="ar"/>
              </w:rPr>
              <w:t>分；</w:t>
            </w:r>
          </w:p>
          <w:p w14:paraId="7F885C42">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color w:val="auto"/>
                <w:kern w:val="0"/>
                <w:sz w:val="24"/>
                <w:szCs w:val="24"/>
                <w:highlight w:val="none"/>
                <w:lang w:val="en-US" w:eastAsia="zh-CN" w:bidi="ar"/>
              </w:rPr>
            </w:pPr>
            <w:r>
              <w:rPr>
                <w:rFonts w:hint="eastAsia" w:ascii="宋体" w:hAnsi="宋体" w:eastAsia="宋体" w:cs="宋体"/>
                <w:b w:val="0"/>
                <w:color w:val="auto"/>
                <w:kern w:val="0"/>
                <w:sz w:val="24"/>
                <w:szCs w:val="24"/>
                <w:highlight w:val="none"/>
                <w:lang w:val="en-US" w:eastAsia="zh-CN" w:bidi="ar"/>
              </w:rPr>
              <w:t>3、售后服务应考虑质保期内和质保期外，售后服务措施（包括应急措施、人员保障、响应时间、维修备品备件）简单、不合理、逻辑混乱、可行性程度差的得1分；</w:t>
            </w:r>
          </w:p>
          <w:p w14:paraId="224E2B2E">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color w:val="auto"/>
                <w:kern w:val="0"/>
                <w:sz w:val="24"/>
                <w:szCs w:val="24"/>
                <w:highlight w:val="none"/>
                <w:lang w:val="en-US" w:eastAsia="zh-CN" w:bidi="ar"/>
              </w:rPr>
            </w:pPr>
            <w:r>
              <w:rPr>
                <w:rFonts w:hint="eastAsia" w:ascii="宋体" w:hAnsi="宋体" w:eastAsia="宋体" w:cs="宋体"/>
                <w:b w:val="0"/>
                <w:color w:val="auto"/>
                <w:kern w:val="0"/>
                <w:sz w:val="24"/>
                <w:szCs w:val="24"/>
                <w:highlight w:val="none"/>
                <w:lang w:val="en-US" w:eastAsia="zh-CN" w:bidi="ar"/>
              </w:rPr>
              <w:t>4、不提供的得不得分；</w:t>
            </w:r>
          </w:p>
        </w:tc>
      </w:tr>
      <w:tr w14:paraId="3E437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5" w:hRule="atLeast"/>
          <w:jc w:val="center"/>
        </w:trPr>
        <w:tc>
          <w:tcPr>
            <w:tcW w:w="1091" w:type="dxa"/>
            <w:vMerge w:val="continue"/>
            <w:shd w:val="clear" w:color="auto" w:fill="FEFEFE"/>
            <w:vAlign w:val="center"/>
          </w:tcPr>
          <w:p w14:paraId="6F549457">
            <w:pPr>
              <w:widowControl/>
              <w:kinsoku w:val="0"/>
              <w:autoSpaceDE w:val="0"/>
              <w:autoSpaceDN w:val="0"/>
              <w:adjustRightInd w:val="0"/>
              <w:snapToGrid w:val="0"/>
              <w:spacing w:line="360" w:lineRule="auto"/>
              <w:jc w:val="center"/>
              <w:textAlignment w:val="baseline"/>
              <w:rPr>
                <w:rFonts w:hint="eastAsia" w:ascii="宋体" w:hAnsi="宋体" w:eastAsia="宋体" w:cs="宋体"/>
                <w:snapToGrid w:val="0"/>
                <w:color w:val="auto"/>
                <w:kern w:val="0"/>
                <w:sz w:val="24"/>
                <w:szCs w:val="24"/>
                <w:highlight w:val="none"/>
                <w:lang w:val="en-US" w:eastAsia="zh-CN" w:bidi="ar-SA"/>
              </w:rPr>
            </w:pPr>
          </w:p>
        </w:tc>
        <w:tc>
          <w:tcPr>
            <w:tcW w:w="1105" w:type="dxa"/>
            <w:shd w:val="clear" w:color="auto" w:fill="FEFEFE"/>
            <w:vAlign w:val="center"/>
          </w:tcPr>
          <w:p w14:paraId="06107383">
            <w:pPr>
              <w:widowControl w:val="0"/>
              <w:kinsoku w:val="0"/>
              <w:autoSpaceDE w:val="0"/>
              <w:autoSpaceDN w:val="0"/>
              <w:adjustRightInd w:val="0"/>
              <w:snapToGrid w:val="0"/>
              <w:spacing w:before="78" w:line="360" w:lineRule="auto"/>
              <w:ind w:left="170" w:right="161" w:hanging="7"/>
              <w:jc w:val="center"/>
              <w:textAlignment w:val="baseline"/>
              <w:rPr>
                <w:rFonts w:hint="eastAsia" w:ascii="宋体" w:hAnsi="宋体" w:eastAsia="宋体" w:cs="宋体"/>
                <w:snapToGrid w:val="0"/>
                <w:color w:val="auto"/>
                <w:spacing w:val="-5"/>
                <w:kern w:val="0"/>
                <w:sz w:val="24"/>
                <w:szCs w:val="24"/>
                <w:highlight w:val="none"/>
                <w:lang w:val="en-US" w:eastAsia="en-US" w:bidi="ar-SA"/>
              </w:rPr>
            </w:pPr>
            <w:r>
              <w:rPr>
                <w:rFonts w:ascii="宋体" w:hAnsi="宋体" w:eastAsia="宋体" w:cs="宋体"/>
                <w:color w:val="auto"/>
                <w:kern w:val="0"/>
                <w:sz w:val="24"/>
                <w:szCs w:val="24"/>
                <w:highlight w:val="none"/>
                <w:lang w:bidi="ar"/>
              </w:rPr>
              <w:t>设备管理、维护、保养服务(</w:t>
            </w:r>
            <w:r>
              <w:rPr>
                <w:rFonts w:hint="eastAsia" w:ascii="宋体" w:hAnsi="宋体" w:cs="宋体"/>
                <w:color w:val="auto"/>
                <w:kern w:val="0"/>
                <w:sz w:val="24"/>
                <w:szCs w:val="24"/>
                <w:highlight w:val="none"/>
                <w:lang w:val="en-US" w:eastAsia="zh-CN" w:bidi="ar"/>
              </w:rPr>
              <w:t>3</w:t>
            </w:r>
            <w:r>
              <w:rPr>
                <w:rFonts w:ascii="宋体" w:hAnsi="宋体" w:eastAsia="宋体" w:cs="宋体"/>
                <w:color w:val="auto"/>
                <w:kern w:val="0"/>
                <w:sz w:val="24"/>
                <w:szCs w:val="24"/>
                <w:highlight w:val="none"/>
                <w:lang w:bidi="ar"/>
              </w:rPr>
              <w:t>分)</w:t>
            </w:r>
          </w:p>
        </w:tc>
        <w:tc>
          <w:tcPr>
            <w:tcW w:w="7383" w:type="dxa"/>
            <w:shd w:val="clear" w:color="auto" w:fill="FEFEFE"/>
            <w:vAlign w:val="center"/>
          </w:tcPr>
          <w:p w14:paraId="3119F22A">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color w:val="auto"/>
                <w:kern w:val="0"/>
                <w:sz w:val="24"/>
                <w:szCs w:val="24"/>
                <w:highlight w:val="none"/>
                <w:lang w:val="en-US" w:eastAsia="zh-CN" w:bidi="ar"/>
              </w:rPr>
            </w:pPr>
            <w:r>
              <w:rPr>
                <w:rFonts w:hint="eastAsia" w:ascii="宋体" w:hAnsi="宋体" w:eastAsia="宋体" w:cs="宋体"/>
                <w:b w:val="0"/>
                <w:color w:val="auto"/>
                <w:kern w:val="0"/>
                <w:sz w:val="24"/>
                <w:szCs w:val="24"/>
                <w:highlight w:val="none"/>
                <w:lang w:val="en-US" w:eastAsia="zh-CN" w:bidi="ar"/>
              </w:rPr>
              <w:t>设备的管理、维护、保养：根据投标人提供得定期维护和保养方案，根据内容的科学性、合理性、可操作性进行：</w:t>
            </w:r>
          </w:p>
          <w:p w14:paraId="26218240">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color w:val="auto"/>
                <w:kern w:val="0"/>
                <w:sz w:val="24"/>
                <w:szCs w:val="24"/>
                <w:highlight w:val="none"/>
                <w:lang w:val="en-US" w:eastAsia="zh-CN" w:bidi="ar"/>
              </w:rPr>
            </w:pPr>
            <w:r>
              <w:rPr>
                <w:rFonts w:hint="eastAsia" w:ascii="宋体" w:hAnsi="宋体" w:eastAsia="宋体" w:cs="宋体"/>
                <w:b w:val="0"/>
                <w:color w:val="auto"/>
                <w:kern w:val="0"/>
                <w:sz w:val="24"/>
                <w:szCs w:val="24"/>
                <w:highlight w:val="none"/>
                <w:lang w:val="en-US" w:eastAsia="zh-CN" w:bidi="ar"/>
              </w:rPr>
              <w:t>1、有良好完善的管理、维护、保养服务流程，响应速度快且有具体可行的实质性响应措施，解决处理问题反应速度快的，得</w:t>
            </w:r>
            <w:r>
              <w:rPr>
                <w:rFonts w:hint="eastAsia" w:ascii="宋体" w:hAnsi="宋体" w:cs="宋体"/>
                <w:b w:val="0"/>
                <w:color w:val="auto"/>
                <w:kern w:val="0"/>
                <w:sz w:val="24"/>
                <w:szCs w:val="24"/>
                <w:highlight w:val="none"/>
                <w:lang w:val="en-US" w:eastAsia="zh-CN" w:bidi="ar"/>
              </w:rPr>
              <w:t>3</w:t>
            </w:r>
            <w:r>
              <w:rPr>
                <w:rFonts w:hint="eastAsia" w:ascii="宋体" w:hAnsi="宋体" w:eastAsia="宋体" w:cs="宋体"/>
                <w:b w:val="0"/>
                <w:color w:val="auto"/>
                <w:kern w:val="0"/>
                <w:sz w:val="24"/>
                <w:szCs w:val="24"/>
                <w:highlight w:val="none"/>
                <w:lang w:val="en-US" w:eastAsia="zh-CN" w:bidi="ar"/>
              </w:rPr>
              <w:t>分；</w:t>
            </w:r>
          </w:p>
          <w:p w14:paraId="4974ECD7">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color w:val="auto"/>
                <w:kern w:val="0"/>
                <w:sz w:val="24"/>
                <w:szCs w:val="24"/>
                <w:highlight w:val="none"/>
                <w:lang w:val="en-US" w:eastAsia="zh-CN" w:bidi="ar"/>
              </w:rPr>
            </w:pPr>
            <w:r>
              <w:rPr>
                <w:rFonts w:hint="eastAsia" w:ascii="宋体" w:hAnsi="宋体" w:eastAsia="宋体" w:cs="宋体"/>
                <w:b w:val="0"/>
                <w:color w:val="auto"/>
                <w:kern w:val="0"/>
                <w:sz w:val="24"/>
                <w:szCs w:val="24"/>
                <w:highlight w:val="none"/>
                <w:lang w:val="en-US" w:eastAsia="zh-CN" w:bidi="ar"/>
              </w:rPr>
              <w:t>2、有较完善的管理、维护、保养流程，响应速度较快且有具体可行的实质性响应措施，解决处理问题反应速度较快的，得</w:t>
            </w:r>
            <w:r>
              <w:rPr>
                <w:rFonts w:hint="eastAsia" w:ascii="宋体" w:hAnsi="宋体" w:cs="宋体"/>
                <w:b w:val="0"/>
                <w:color w:val="auto"/>
                <w:kern w:val="0"/>
                <w:sz w:val="24"/>
                <w:szCs w:val="24"/>
                <w:highlight w:val="none"/>
                <w:lang w:val="en-US" w:eastAsia="zh-CN" w:bidi="ar"/>
              </w:rPr>
              <w:t>2</w:t>
            </w:r>
            <w:r>
              <w:rPr>
                <w:rFonts w:hint="eastAsia" w:ascii="宋体" w:hAnsi="宋体" w:eastAsia="宋体" w:cs="宋体"/>
                <w:b w:val="0"/>
                <w:color w:val="auto"/>
                <w:kern w:val="0"/>
                <w:sz w:val="24"/>
                <w:szCs w:val="24"/>
                <w:highlight w:val="none"/>
                <w:lang w:val="en-US" w:eastAsia="zh-CN" w:bidi="ar"/>
              </w:rPr>
              <w:t>分；</w:t>
            </w:r>
          </w:p>
          <w:p w14:paraId="0C35E0AE">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color w:val="auto"/>
                <w:kern w:val="0"/>
                <w:sz w:val="24"/>
                <w:szCs w:val="24"/>
                <w:highlight w:val="none"/>
                <w:lang w:val="en-US" w:eastAsia="zh-CN" w:bidi="ar"/>
              </w:rPr>
            </w:pPr>
            <w:r>
              <w:rPr>
                <w:rFonts w:hint="eastAsia" w:ascii="宋体" w:hAnsi="宋体" w:eastAsia="宋体" w:cs="宋体"/>
                <w:b w:val="0"/>
                <w:color w:val="auto"/>
                <w:kern w:val="0"/>
                <w:sz w:val="24"/>
                <w:szCs w:val="24"/>
                <w:highlight w:val="none"/>
                <w:lang w:val="en-US" w:eastAsia="zh-CN" w:bidi="ar"/>
              </w:rPr>
              <w:t>3、未完全提供或与本项目实际情况有差距的，得1分；</w:t>
            </w:r>
          </w:p>
          <w:p w14:paraId="210ABBC8">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color w:val="auto"/>
                <w:kern w:val="0"/>
                <w:sz w:val="24"/>
                <w:szCs w:val="24"/>
                <w:highlight w:val="none"/>
                <w:lang w:val="en-US" w:eastAsia="zh-CN" w:bidi="ar"/>
              </w:rPr>
            </w:pPr>
            <w:r>
              <w:rPr>
                <w:rFonts w:hint="eastAsia" w:ascii="宋体" w:hAnsi="宋体" w:eastAsia="宋体" w:cs="宋体"/>
                <w:b w:val="0"/>
                <w:color w:val="auto"/>
                <w:kern w:val="0"/>
                <w:sz w:val="24"/>
                <w:szCs w:val="24"/>
                <w:highlight w:val="none"/>
                <w:lang w:val="en-US" w:eastAsia="zh-CN" w:bidi="ar"/>
              </w:rPr>
              <w:t>4、不提供的得不得分。</w:t>
            </w:r>
          </w:p>
        </w:tc>
      </w:tr>
      <w:tr w14:paraId="7D3F3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5" w:hRule="atLeast"/>
          <w:jc w:val="center"/>
        </w:trPr>
        <w:tc>
          <w:tcPr>
            <w:tcW w:w="1091" w:type="dxa"/>
            <w:vMerge w:val="continue"/>
            <w:shd w:val="clear" w:color="auto" w:fill="FEFEFE"/>
            <w:vAlign w:val="center"/>
          </w:tcPr>
          <w:p w14:paraId="611B8F4A">
            <w:pPr>
              <w:widowControl/>
              <w:kinsoku w:val="0"/>
              <w:autoSpaceDE w:val="0"/>
              <w:autoSpaceDN w:val="0"/>
              <w:adjustRightInd w:val="0"/>
              <w:snapToGrid w:val="0"/>
              <w:spacing w:line="360" w:lineRule="auto"/>
              <w:jc w:val="center"/>
              <w:textAlignment w:val="baseline"/>
              <w:rPr>
                <w:rFonts w:hint="eastAsia" w:ascii="宋体" w:hAnsi="宋体" w:eastAsia="宋体" w:cs="宋体"/>
                <w:snapToGrid w:val="0"/>
                <w:color w:val="auto"/>
                <w:kern w:val="0"/>
                <w:sz w:val="24"/>
                <w:szCs w:val="24"/>
                <w:highlight w:val="none"/>
                <w:lang w:val="en-US" w:eastAsia="zh-CN" w:bidi="ar-SA"/>
              </w:rPr>
            </w:pPr>
          </w:p>
        </w:tc>
        <w:tc>
          <w:tcPr>
            <w:tcW w:w="1105" w:type="dxa"/>
            <w:shd w:val="clear" w:color="auto" w:fill="FEFEFE"/>
            <w:vAlign w:val="center"/>
          </w:tcPr>
          <w:p w14:paraId="129A1570">
            <w:pPr>
              <w:widowControl w:val="0"/>
              <w:kinsoku w:val="0"/>
              <w:autoSpaceDE w:val="0"/>
              <w:autoSpaceDN w:val="0"/>
              <w:adjustRightInd w:val="0"/>
              <w:snapToGrid w:val="0"/>
              <w:spacing w:before="78" w:line="360" w:lineRule="auto"/>
              <w:ind w:right="161"/>
              <w:jc w:val="center"/>
              <w:textAlignment w:val="baseline"/>
              <w:rPr>
                <w:rFonts w:hint="default" w:ascii="宋体" w:hAnsi="宋体" w:eastAsia="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培训计划</w:t>
            </w:r>
            <w:r>
              <w:rPr>
                <w:rFonts w:hint="eastAsia" w:ascii="宋体" w:hAnsi="宋体" w:eastAsia="宋体" w:cs="宋体"/>
                <w:color w:val="auto"/>
                <w:kern w:val="0"/>
                <w:sz w:val="24"/>
                <w:szCs w:val="24"/>
                <w:highlight w:val="none"/>
                <w:lang w:val="en-US" w:eastAsia="zh-CN" w:bidi="ar"/>
              </w:rPr>
              <w:t>（</w:t>
            </w:r>
            <w:r>
              <w:rPr>
                <w:rFonts w:hint="eastAsia" w:ascii="宋体" w:hAnsi="宋体" w:cs="宋体"/>
                <w:color w:val="auto"/>
                <w:kern w:val="0"/>
                <w:sz w:val="24"/>
                <w:szCs w:val="24"/>
                <w:highlight w:val="none"/>
                <w:lang w:val="en-US" w:eastAsia="zh-CN" w:bidi="ar"/>
              </w:rPr>
              <w:t>3</w:t>
            </w:r>
            <w:r>
              <w:rPr>
                <w:rFonts w:hint="eastAsia" w:ascii="宋体" w:hAnsi="宋体" w:eastAsia="宋体" w:cs="宋体"/>
                <w:color w:val="auto"/>
                <w:kern w:val="0"/>
                <w:sz w:val="24"/>
                <w:szCs w:val="24"/>
                <w:highlight w:val="none"/>
                <w:lang w:val="en-US" w:eastAsia="zh-CN" w:bidi="ar"/>
              </w:rPr>
              <w:t>分）</w:t>
            </w:r>
          </w:p>
        </w:tc>
        <w:tc>
          <w:tcPr>
            <w:tcW w:w="7383" w:type="dxa"/>
            <w:shd w:val="clear" w:color="auto" w:fill="FEFEFE"/>
            <w:vAlign w:val="center"/>
          </w:tcPr>
          <w:p w14:paraId="027A83A7">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color w:val="auto"/>
                <w:kern w:val="0"/>
                <w:sz w:val="24"/>
                <w:szCs w:val="24"/>
                <w:highlight w:val="none"/>
                <w:lang w:val="en-US" w:eastAsia="zh-CN" w:bidi="ar"/>
              </w:rPr>
            </w:pPr>
            <w:r>
              <w:rPr>
                <w:rFonts w:hint="eastAsia" w:ascii="宋体" w:hAnsi="宋体" w:eastAsia="宋体" w:cs="宋体"/>
                <w:b w:val="0"/>
                <w:color w:val="auto"/>
                <w:kern w:val="0"/>
                <w:sz w:val="24"/>
                <w:szCs w:val="24"/>
                <w:highlight w:val="none"/>
                <w:lang w:val="en-US" w:eastAsia="zh-CN" w:bidi="ar"/>
              </w:rPr>
              <w:t>1、培训计划（培训目标、培训内容、培训方式、培训的材料和文件、培训效果承诺）内容详尽、合理、逻辑较清晰、可行性程度高的得</w:t>
            </w:r>
            <w:r>
              <w:rPr>
                <w:rFonts w:hint="eastAsia" w:ascii="宋体" w:hAnsi="宋体" w:cs="宋体"/>
                <w:b w:val="0"/>
                <w:color w:val="auto"/>
                <w:kern w:val="0"/>
                <w:sz w:val="24"/>
                <w:szCs w:val="24"/>
                <w:highlight w:val="none"/>
                <w:lang w:val="en-US" w:eastAsia="zh-CN" w:bidi="ar"/>
              </w:rPr>
              <w:t>3</w:t>
            </w:r>
            <w:r>
              <w:rPr>
                <w:rFonts w:hint="eastAsia" w:ascii="宋体" w:hAnsi="宋体" w:eastAsia="宋体" w:cs="宋体"/>
                <w:b w:val="0"/>
                <w:color w:val="auto"/>
                <w:kern w:val="0"/>
                <w:sz w:val="24"/>
                <w:szCs w:val="24"/>
                <w:highlight w:val="none"/>
                <w:lang w:val="en-US" w:eastAsia="zh-CN" w:bidi="ar"/>
              </w:rPr>
              <w:t>分；</w:t>
            </w:r>
          </w:p>
          <w:p w14:paraId="0B57C047">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color w:val="auto"/>
                <w:kern w:val="0"/>
                <w:sz w:val="24"/>
                <w:szCs w:val="24"/>
                <w:highlight w:val="none"/>
                <w:lang w:val="en-US" w:eastAsia="zh-CN" w:bidi="ar"/>
              </w:rPr>
            </w:pPr>
            <w:r>
              <w:rPr>
                <w:rFonts w:hint="eastAsia" w:ascii="宋体" w:hAnsi="宋体" w:eastAsia="宋体" w:cs="宋体"/>
                <w:b w:val="0"/>
                <w:color w:val="auto"/>
                <w:kern w:val="0"/>
                <w:sz w:val="24"/>
                <w:szCs w:val="24"/>
                <w:highlight w:val="none"/>
                <w:lang w:val="en-US" w:eastAsia="zh-CN" w:bidi="ar"/>
              </w:rPr>
              <w:t>2、培训计划（培训目标、培训内容、培训方式、培训的材料和文件、培训效果承诺）内容一般、但基本合理、逻辑清晰、可行性程度一般的得</w:t>
            </w:r>
            <w:r>
              <w:rPr>
                <w:rFonts w:hint="eastAsia" w:ascii="宋体" w:hAnsi="宋体" w:cs="宋体"/>
                <w:b w:val="0"/>
                <w:color w:val="auto"/>
                <w:kern w:val="0"/>
                <w:sz w:val="24"/>
                <w:szCs w:val="24"/>
                <w:highlight w:val="none"/>
                <w:lang w:val="en-US" w:eastAsia="zh-CN" w:bidi="ar"/>
              </w:rPr>
              <w:t>2</w:t>
            </w:r>
            <w:r>
              <w:rPr>
                <w:rFonts w:hint="eastAsia" w:ascii="宋体" w:hAnsi="宋体" w:eastAsia="宋体" w:cs="宋体"/>
                <w:b w:val="0"/>
                <w:color w:val="auto"/>
                <w:kern w:val="0"/>
                <w:sz w:val="24"/>
                <w:szCs w:val="24"/>
                <w:highlight w:val="none"/>
                <w:lang w:val="en-US" w:eastAsia="zh-CN" w:bidi="ar"/>
              </w:rPr>
              <w:t>分；</w:t>
            </w:r>
          </w:p>
          <w:p w14:paraId="151C5DD3">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color w:val="auto"/>
                <w:kern w:val="0"/>
                <w:sz w:val="24"/>
                <w:szCs w:val="24"/>
                <w:highlight w:val="none"/>
                <w:lang w:val="en-US" w:eastAsia="zh-CN" w:bidi="ar"/>
              </w:rPr>
            </w:pPr>
            <w:r>
              <w:rPr>
                <w:rFonts w:hint="eastAsia" w:ascii="宋体" w:hAnsi="宋体" w:eastAsia="宋体" w:cs="宋体"/>
                <w:b w:val="0"/>
                <w:color w:val="auto"/>
                <w:kern w:val="0"/>
                <w:sz w:val="24"/>
                <w:szCs w:val="24"/>
                <w:highlight w:val="none"/>
                <w:lang w:val="en-US" w:eastAsia="zh-CN" w:bidi="ar"/>
              </w:rPr>
              <w:t>3、培训计划（培训目标、培训内容、培训方式、培训的材料和文件、培训效果承诺）内容简单、不合理、逻辑混乱、可行性程度差的得1分；</w:t>
            </w:r>
          </w:p>
          <w:p w14:paraId="3DC6EB9B">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b w:val="0"/>
                <w:color w:val="auto"/>
                <w:kern w:val="0"/>
                <w:sz w:val="24"/>
                <w:szCs w:val="24"/>
                <w:highlight w:val="none"/>
                <w:lang w:val="en-US" w:eastAsia="zh-CN" w:bidi="ar"/>
              </w:rPr>
              <w:t>4、不提供的得不得分；</w:t>
            </w:r>
          </w:p>
        </w:tc>
      </w:tr>
    </w:tbl>
    <w:p w14:paraId="34404A6B">
      <w:pPr>
        <w:autoSpaceDE w:val="0"/>
        <w:autoSpaceDN w:val="0"/>
        <w:adjustRightInd w:val="0"/>
        <w:spacing w:line="360" w:lineRule="auto"/>
        <w:ind w:firstLine="419"/>
        <w:jc w:val="left"/>
        <w:rPr>
          <w:rFonts w:hint="eastAsia" w:ascii="宋体" w:hAnsi="宋体" w:cs="宋体"/>
          <w:b/>
          <w:color w:val="auto"/>
          <w:sz w:val="24"/>
          <w:szCs w:val="24"/>
          <w:highlight w:val="none"/>
        </w:rPr>
      </w:pPr>
      <w:bookmarkStart w:id="32" w:name="_Toc83372556"/>
    </w:p>
    <w:p w14:paraId="038FBDAC">
      <w:pPr>
        <w:autoSpaceDE w:val="0"/>
        <w:autoSpaceDN w:val="0"/>
        <w:adjustRightInd w:val="0"/>
        <w:spacing w:line="360" w:lineRule="auto"/>
        <w:ind w:firstLine="419"/>
        <w:jc w:val="left"/>
        <w:rPr>
          <w:rFonts w:hint="eastAsia" w:ascii="宋体" w:hAnsi="宋体" w:cs="宋体"/>
          <w:color w:val="auto"/>
          <w:sz w:val="24"/>
          <w:szCs w:val="24"/>
          <w:highlight w:val="none"/>
        </w:rPr>
      </w:pPr>
      <w:r>
        <w:rPr>
          <w:rFonts w:hint="eastAsia" w:ascii="宋体" w:hAnsi="宋体" w:cs="宋体"/>
          <w:b/>
          <w:color w:val="auto"/>
          <w:sz w:val="24"/>
          <w:szCs w:val="24"/>
          <w:highlight w:val="none"/>
        </w:rPr>
        <w:t>注</w:t>
      </w:r>
      <w:r>
        <w:rPr>
          <w:rFonts w:hint="eastAsia" w:ascii="宋体" w:hAnsi="宋体" w:cs="宋体"/>
          <w:b/>
          <w:color w:val="auto"/>
          <w:sz w:val="24"/>
          <w:szCs w:val="24"/>
          <w:highlight w:val="none"/>
          <w:lang w:eastAsia="zh-CN"/>
        </w:rPr>
        <w:t>：</w:t>
      </w:r>
      <w:r>
        <w:rPr>
          <w:rFonts w:hint="eastAsia" w:ascii="宋体" w:hAnsi="宋体" w:cs="宋体"/>
          <w:color w:val="auto"/>
          <w:sz w:val="24"/>
          <w:szCs w:val="24"/>
          <w:highlight w:val="none"/>
        </w:rPr>
        <w:t>以上涉及到检测报告、证明材料等相关资料、应于响应文件中提供原件扫描件并加盖投标人电子签章，否则对应项不得分。投标人应确保证明材料的真实有效，在</w:t>
      </w:r>
      <w:r>
        <w:rPr>
          <w:rFonts w:hint="eastAsia" w:ascii="宋体" w:hAnsi="宋体" w:cs="宋体"/>
          <w:color w:val="auto"/>
          <w:sz w:val="24"/>
          <w:szCs w:val="24"/>
          <w:highlight w:val="none"/>
          <w:lang w:val="en-US" w:eastAsia="zh-CN"/>
        </w:rPr>
        <w:t>领取中标通知书时</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中标人</w:t>
      </w:r>
      <w:r>
        <w:rPr>
          <w:rFonts w:hint="eastAsia" w:ascii="宋体" w:hAnsi="宋体" w:cs="宋体"/>
          <w:color w:val="auto"/>
          <w:sz w:val="24"/>
          <w:szCs w:val="24"/>
          <w:highlight w:val="none"/>
        </w:rPr>
        <w:t>须向</w:t>
      </w:r>
      <w:r>
        <w:rPr>
          <w:rFonts w:hint="eastAsia" w:ascii="宋体" w:hAnsi="宋体" w:cs="宋体"/>
          <w:color w:val="auto"/>
          <w:sz w:val="24"/>
          <w:szCs w:val="24"/>
          <w:highlight w:val="none"/>
          <w:lang w:val="en-US" w:eastAsia="zh-CN"/>
        </w:rPr>
        <w:t>代理机构</w:t>
      </w:r>
      <w:r>
        <w:rPr>
          <w:rFonts w:hint="eastAsia" w:ascii="宋体" w:hAnsi="宋体" w:cs="宋体"/>
          <w:color w:val="auto"/>
          <w:sz w:val="24"/>
          <w:szCs w:val="24"/>
          <w:highlight w:val="none"/>
        </w:rPr>
        <w:t>提供原件核查，未提供或者提供不符合要求的，采购单位有权</w:t>
      </w:r>
      <w:r>
        <w:rPr>
          <w:rFonts w:hint="eastAsia" w:ascii="宋体" w:hAnsi="宋体" w:cs="宋体"/>
          <w:color w:val="auto"/>
          <w:sz w:val="24"/>
          <w:szCs w:val="24"/>
          <w:highlight w:val="none"/>
          <w:lang w:val="en-US" w:eastAsia="zh-CN"/>
        </w:rPr>
        <w:t>申报采购监督单位和磋商小组重审并</w:t>
      </w:r>
      <w:r>
        <w:rPr>
          <w:rFonts w:hint="eastAsia" w:ascii="宋体" w:hAnsi="宋体" w:cs="宋体"/>
          <w:color w:val="auto"/>
          <w:sz w:val="24"/>
          <w:szCs w:val="24"/>
          <w:highlight w:val="none"/>
        </w:rPr>
        <w:t>取消其中标资格；响应文件中相关资料不实的，按《政府采购法》有关提供虚假材料的有关规定给予处罚。</w:t>
      </w:r>
    </w:p>
    <w:p w14:paraId="16068D2F">
      <w:pPr>
        <w:pStyle w:val="58"/>
        <w:snapToGrid w:val="0"/>
        <w:spacing w:before="120" w:beforeLines="50" w:line="360" w:lineRule="auto"/>
        <w:ind w:firstLine="562" w:firstLineChars="200"/>
        <w:jc w:val="both"/>
        <w:outlineLvl w:val="1"/>
        <w:rPr>
          <w:rFonts w:hAnsi="宋体" w:cs="宋体"/>
          <w:b/>
          <w:bCs/>
          <w:color w:val="auto"/>
          <w:sz w:val="28"/>
          <w:szCs w:val="28"/>
          <w:highlight w:val="none"/>
          <w:lang w:val="zh-CN"/>
        </w:rPr>
      </w:pPr>
      <w:r>
        <w:rPr>
          <w:rFonts w:hint="eastAsia" w:hAnsi="宋体" w:cs="宋体"/>
          <w:b/>
          <w:bCs/>
          <w:color w:val="auto"/>
          <w:sz w:val="28"/>
          <w:szCs w:val="28"/>
          <w:highlight w:val="none"/>
          <w:lang w:val="zh-CN"/>
        </w:rPr>
        <w:t>1. 评审方法（评定成交的标准）</w:t>
      </w:r>
      <w:bookmarkEnd w:id="32"/>
    </w:p>
    <w:p w14:paraId="4A4D4F79">
      <w:pPr>
        <w:autoSpaceDE w:val="0"/>
        <w:autoSpaceDN w:val="0"/>
        <w:adjustRightInd w:val="0"/>
        <w:snapToGrid w:val="0"/>
        <w:spacing w:before="120" w:beforeLines="50" w:line="360" w:lineRule="auto"/>
        <w:ind w:firstLine="619" w:firstLineChars="257"/>
        <w:jc w:val="left"/>
        <w:rPr>
          <w:rFonts w:ascii="宋体" w:hAnsi="宋体" w:cs="宋体"/>
          <w:b/>
          <w:bCs/>
          <w:color w:val="auto"/>
          <w:sz w:val="28"/>
          <w:szCs w:val="28"/>
          <w:highlight w:val="none"/>
          <w:lang w:val="zh-CN"/>
        </w:rPr>
      </w:pPr>
      <w:r>
        <w:rPr>
          <w:rFonts w:hint="eastAsia" w:ascii="宋体" w:hAnsi="宋体" w:cs="宋体"/>
          <w:b/>
          <w:color w:val="auto"/>
          <w:sz w:val="24"/>
          <w:szCs w:val="24"/>
          <w:highlight w:val="none"/>
        </w:rPr>
        <w:t>本次政府采购项目（标段&lt;包&gt;）的评审方法采用《政府采购竞争性磋商采购方式管理暂行办法》中的“综合评分法”，由磋商小组采用综合评分法对提交最后报价的供应商的《响应文件》和最后报价进行综合评分，《响应文件》满足磋商文件全部实质性要求且按评审因素的量化指标评审得分最高的供应商为该项目（标段&lt;包&gt;）成交候选供应商。</w:t>
      </w:r>
    </w:p>
    <w:p w14:paraId="4D148EA8">
      <w:pPr>
        <w:pStyle w:val="58"/>
        <w:snapToGrid w:val="0"/>
        <w:spacing w:before="120" w:beforeLines="50" w:line="360" w:lineRule="auto"/>
        <w:ind w:firstLine="562" w:firstLineChars="200"/>
        <w:jc w:val="both"/>
        <w:outlineLvl w:val="1"/>
        <w:rPr>
          <w:rFonts w:hAnsi="宋体" w:cs="宋体"/>
          <w:b/>
          <w:bCs/>
          <w:color w:val="auto"/>
          <w:sz w:val="28"/>
          <w:szCs w:val="28"/>
          <w:highlight w:val="none"/>
          <w:u w:color="000000"/>
          <w:lang w:val="zh-CN"/>
        </w:rPr>
      </w:pPr>
      <w:bookmarkStart w:id="33" w:name="_Toc83372557"/>
      <w:r>
        <w:rPr>
          <w:rFonts w:hint="eastAsia" w:hAnsi="宋体" w:cs="宋体"/>
          <w:b/>
          <w:bCs/>
          <w:color w:val="auto"/>
          <w:sz w:val="28"/>
          <w:szCs w:val="28"/>
          <w:highlight w:val="none"/>
          <w:u w:color="000000"/>
          <w:lang w:val="zh-CN"/>
        </w:rPr>
        <w:t>2. 评审标准</w:t>
      </w:r>
      <w:bookmarkEnd w:id="33"/>
    </w:p>
    <w:p w14:paraId="62AA5C6F">
      <w:pPr>
        <w:autoSpaceDE w:val="0"/>
        <w:autoSpaceDN w:val="0"/>
        <w:adjustRightInd w:val="0"/>
        <w:snapToGrid w:val="0"/>
        <w:spacing w:before="50" w:line="360" w:lineRule="auto"/>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2.1 初步评审标准</w:t>
      </w:r>
    </w:p>
    <w:p w14:paraId="6F09993F">
      <w:pPr>
        <w:autoSpaceDE w:val="0"/>
        <w:autoSpaceDN w:val="0"/>
        <w:adjustRightInd w:val="0"/>
        <w:snapToGrid w:val="0"/>
        <w:spacing w:before="50"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2.1.1 资格性审查标准：见评审办法前附表。</w:t>
      </w:r>
    </w:p>
    <w:p w14:paraId="03F5DC83">
      <w:pPr>
        <w:autoSpaceDE w:val="0"/>
        <w:autoSpaceDN w:val="0"/>
        <w:adjustRightInd w:val="0"/>
        <w:snapToGrid w:val="0"/>
        <w:spacing w:before="50"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2.1.2 符合性审查标准：见评审办法前附表。</w:t>
      </w:r>
    </w:p>
    <w:p w14:paraId="537353EE">
      <w:pPr>
        <w:autoSpaceDE w:val="0"/>
        <w:autoSpaceDN w:val="0"/>
        <w:adjustRightInd w:val="0"/>
        <w:snapToGrid w:val="0"/>
        <w:spacing w:before="50" w:line="360" w:lineRule="auto"/>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2.2 详细评审标准</w:t>
      </w:r>
    </w:p>
    <w:p w14:paraId="0DB45EEC">
      <w:pPr>
        <w:autoSpaceDE w:val="0"/>
        <w:autoSpaceDN w:val="0"/>
        <w:adjustRightInd w:val="0"/>
        <w:snapToGrid w:val="0"/>
        <w:spacing w:before="50"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2.2.1 分值构成：见评审办法前附表。</w:t>
      </w:r>
    </w:p>
    <w:p w14:paraId="78FEA5A7">
      <w:pPr>
        <w:autoSpaceDE w:val="0"/>
        <w:autoSpaceDN w:val="0"/>
        <w:adjustRightInd w:val="0"/>
        <w:snapToGrid w:val="0"/>
        <w:spacing w:before="50"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2.2.2 评分标准：见评审办法前附表。</w:t>
      </w:r>
    </w:p>
    <w:p w14:paraId="305D7ECD">
      <w:pPr>
        <w:pStyle w:val="58"/>
        <w:snapToGrid w:val="0"/>
        <w:spacing w:before="120" w:beforeLines="50" w:line="360" w:lineRule="auto"/>
        <w:ind w:firstLine="562" w:firstLineChars="200"/>
        <w:jc w:val="both"/>
        <w:outlineLvl w:val="1"/>
        <w:rPr>
          <w:rFonts w:hAnsi="宋体" w:cs="宋体"/>
          <w:b/>
          <w:bCs/>
          <w:color w:val="auto"/>
          <w:sz w:val="28"/>
          <w:szCs w:val="28"/>
          <w:highlight w:val="none"/>
          <w:u w:color="000000"/>
          <w:lang w:val="zh-CN"/>
        </w:rPr>
      </w:pPr>
      <w:bookmarkStart w:id="34" w:name="_Toc83372558"/>
      <w:r>
        <w:rPr>
          <w:rFonts w:hint="eastAsia" w:hAnsi="宋体" w:cs="宋体"/>
          <w:b/>
          <w:bCs/>
          <w:color w:val="auto"/>
          <w:sz w:val="28"/>
          <w:szCs w:val="28"/>
          <w:highlight w:val="none"/>
          <w:u w:color="000000"/>
          <w:lang w:val="zh-CN"/>
        </w:rPr>
        <w:t>3. 评审程序</w:t>
      </w:r>
      <w:bookmarkEnd w:id="34"/>
    </w:p>
    <w:p w14:paraId="056887A5">
      <w:pPr>
        <w:autoSpaceDE w:val="0"/>
        <w:autoSpaceDN w:val="0"/>
        <w:adjustRightInd w:val="0"/>
        <w:snapToGrid w:val="0"/>
        <w:spacing w:before="120" w:beforeLines="50" w:line="360" w:lineRule="auto"/>
        <w:ind w:firstLine="482" w:firstLineChars="200"/>
        <w:jc w:val="left"/>
        <w:rPr>
          <w:rFonts w:ascii="宋体" w:hAnsi="宋体" w:cs="宋体"/>
          <w:b/>
          <w:color w:val="auto"/>
          <w:sz w:val="24"/>
          <w:szCs w:val="24"/>
          <w:highlight w:val="none"/>
        </w:rPr>
      </w:pPr>
      <w:r>
        <w:rPr>
          <w:rFonts w:hint="eastAsia" w:ascii="宋体" w:hAnsi="宋体" w:cs="宋体"/>
          <w:b/>
          <w:color w:val="auto"/>
          <w:sz w:val="24"/>
          <w:szCs w:val="24"/>
          <w:highlight w:val="none"/>
        </w:rPr>
        <w:t>磋商小组按标段（包）进行评审</w:t>
      </w:r>
    </w:p>
    <w:p w14:paraId="1C0BF5F8">
      <w:pPr>
        <w:autoSpaceDE w:val="0"/>
        <w:autoSpaceDN w:val="0"/>
        <w:adjustRightInd w:val="0"/>
        <w:snapToGrid w:val="0"/>
        <w:spacing w:before="120" w:beforeLines="50" w:line="360" w:lineRule="auto"/>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3.1 确认《磋商文件》</w:t>
      </w:r>
    </w:p>
    <w:p w14:paraId="108DDB13">
      <w:pPr>
        <w:pStyle w:val="58"/>
        <w:snapToGrid w:val="0"/>
        <w:spacing w:before="120" w:beforeLines="50" w:line="360" w:lineRule="auto"/>
        <w:ind w:firstLine="480" w:firstLineChars="200"/>
        <w:jc w:val="both"/>
        <w:rPr>
          <w:rFonts w:hAnsi="宋体" w:cs="宋体"/>
          <w:color w:val="auto"/>
          <w:highlight w:val="none"/>
        </w:rPr>
      </w:pPr>
      <w:r>
        <w:rPr>
          <w:rFonts w:hint="eastAsia" w:hAnsi="宋体" w:cs="宋体"/>
          <w:color w:val="auto"/>
          <w:highlight w:val="none"/>
        </w:rPr>
        <w:t>3.1.1 磋商小组确认《磋商文件》，《磋商文件》内容违反国家有关强制性规定的，磋商小组应当停止评审并向采购人或者采购代理机构书面说明情况。</w:t>
      </w:r>
    </w:p>
    <w:p w14:paraId="2707C95F">
      <w:pPr>
        <w:pStyle w:val="58"/>
        <w:snapToGrid w:val="0"/>
        <w:spacing w:before="120" w:beforeLines="50" w:line="360" w:lineRule="auto"/>
        <w:ind w:firstLine="480" w:firstLineChars="200"/>
        <w:jc w:val="both"/>
        <w:rPr>
          <w:rFonts w:hAnsi="宋体" w:cs="宋体"/>
          <w:color w:val="auto"/>
          <w:highlight w:val="none"/>
        </w:rPr>
      </w:pPr>
      <w:r>
        <w:rPr>
          <w:rFonts w:hint="eastAsia" w:hAnsi="宋体" w:cs="宋体"/>
          <w:color w:val="auto"/>
          <w:highlight w:val="none"/>
        </w:rPr>
        <w:t>3.1.2 磋商小组</w:t>
      </w:r>
      <w:r>
        <w:rPr>
          <w:rFonts w:hint="eastAsia" w:hAnsi="宋体" w:cs="宋体"/>
          <w:color w:val="auto"/>
          <w:szCs w:val="21"/>
          <w:highlight w:val="none"/>
        </w:rPr>
        <w:t>要求解释</w:t>
      </w:r>
      <w:r>
        <w:rPr>
          <w:rFonts w:hint="eastAsia" w:hAnsi="宋体" w:cs="宋体"/>
          <w:color w:val="auto"/>
          <w:highlight w:val="none"/>
        </w:rPr>
        <w:t>《磋商文件》的，书面提出需解释的相关《磋商文件》的具体内容后、由采购代理机构或者采购人进行书面解释。</w:t>
      </w:r>
    </w:p>
    <w:p w14:paraId="3A453CD5">
      <w:pPr>
        <w:autoSpaceDE w:val="0"/>
        <w:autoSpaceDN w:val="0"/>
        <w:adjustRightInd w:val="0"/>
        <w:snapToGrid w:val="0"/>
        <w:spacing w:before="120" w:beforeLines="50" w:line="360" w:lineRule="auto"/>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3.2 初步评审</w:t>
      </w:r>
    </w:p>
    <w:p w14:paraId="0BCF05AF">
      <w:pPr>
        <w:pStyle w:val="58"/>
        <w:snapToGrid w:val="0"/>
        <w:spacing w:before="120" w:beforeLines="50" w:line="360" w:lineRule="auto"/>
        <w:ind w:firstLine="480" w:firstLineChars="200"/>
        <w:jc w:val="both"/>
        <w:rPr>
          <w:rFonts w:hAnsi="宋体" w:cs="宋体"/>
          <w:color w:val="auto"/>
          <w:highlight w:val="none"/>
        </w:rPr>
      </w:pPr>
      <w:r>
        <w:rPr>
          <w:rFonts w:hint="eastAsia" w:hAnsi="宋体" w:cs="宋体"/>
          <w:color w:val="auto"/>
          <w:highlight w:val="none"/>
        </w:rPr>
        <w:t>3.2.1 磋商小组依据本章第2.1.1、2.1.2款规定的标准对《响应文件》进行资格性、符合性评审。有一项不符合评审标准的，作无效响应处理。</w:t>
      </w:r>
    </w:p>
    <w:p w14:paraId="0129304C">
      <w:pPr>
        <w:pStyle w:val="58"/>
        <w:snapToGrid w:val="0"/>
        <w:spacing w:before="120" w:beforeLines="50" w:line="360" w:lineRule="auto"/>
        <w:ind w:firstLine="480" w:firstLineChars="200"/>
        <w:jc w:val="both"/>
        <w:rPr>
          <w:rFonts w:hAnsi="宋体" w:cs="宋体"/>
          <w:color w:val="auto"/>
          <w:highlight w:val="none"/>
        </w:rPr>
      </w:pPr>
      <w:r>
        <w:rPr>
          <w:rFonts w:hint="eastAsia" w:hAnsi="宋体" w:cs="宋体"/>
          <w:color w:val="auto"/>
          <w:highlight w:val="none"/>
        </w:rPr>
        <w:t>3.2.2 供应商有以下情形之一的，其投标作无效响应处理：</w:t>
      </w:r>
    </w:p>
    <w:p w14:paraId="3BC5C8F6">
      <w:pPr>
        <w:autoSpaceDE w:val="0"/>
        <w:autoSpaceDN w:val="0"/>
        <w:adjustRightInd w:val="0"/>
        <w:snapToGrid w:val="0"/>
        <w:spacing w:line="360" w:lineRule="auto"/>
        <w:ind w:firstLine="616" w:firstLineChars="257"/>
        <w:jc w:val="left"/>
        <w:rPr>
          <w:rFonts w:ascii="宋体" w:hAnsi="宋体" w:cs="宋体"/>
          <w:color w:val="auto"/>
          <w:sz w:val="24"/>
          <w:highlight w:val="none"/>
        </w:rPr>
      </w:pPr>
      <w:r>
        <w:rPr>
          <w:rFonts w:hint="eastAsia" w:ascii="宋体" w:hAnsi="宋体" w:cs="宋体"/>
          <w:color w:val="auto"/>
          <w:sz w:val="24"/>
          <w:highlight w:val="none"/>
        </w:rPr>
        <w:t>（1）供应商不符合国家或者《磋商文件》规定的资格条件；</w:t>
      </w:r>
    </w:p>
    <w:p w14:paraId="13E3F9DB">
      <w:pPr>
        <w:autoSpaceDE w:val="0"/>
        <w:autoSpaceDN w:val="0"/>
        <w:adjustRightInd w:val="0"/>
        <w:snapToGrid w:val="0"/>
        <w:spacing w:line="360" w:lineRule="auto"/>
        <w:ind w:firstLine="616" w:firstLineChars="257"/>
        <w:jc w:val="left"/>
        <w:rPr>
          <w:rFonts w:ascii="宋体" w:hAnsi="宋体" w:cs="宋体"/>
          <w:color w:val="auto"/>
          <w:sz w:val="24"/>
          <w:highlight w:val="none"/>
        </w:rPr>
      </w:pPr>
      <w:r>
        <w:rPr>
          <w:rFonts w:hint="eastAsia" w:ascii="宋体" w:hAnsi="宋体" w:cs="宋体"/>
          <w:color w:val="auto"/>
          <w:sz w:val="24"/>
          <w:highlight w:val="none"/>
        </w:rPr>
        <w:t>（2）供应商没有按照《磋商文件》要求提供投标承诺函；</w:t>
      </w:r>
    </w:p>
    <w:p w14:paraId="742CB094">
      <w:pPr>
        <w:autoSpaceDE w:val="0"/>
        <w:autoSpaceDN w:val="0"/>
        <w:adjustRightInd w:val="0"/>
        <w:snapToGrid w:val="0"/>
        <w:spacing w:line="360" w:lineRule="auto"/>
        <w:ind w:firstLine="616" w:firstLineChars="257"/>
        <w:jc w:val="left"/>
        <w:rPr>
          <w:rFonts w:ascii="宋体" w:hAnsi="宋体" w:cs="宋体"/>
          <w:color w:val="auto"/>
          <w:sz w:val="24"/>
          <w:highlight w:val="none"/>
        </w:rPr>
      </w:pPr>
      <w:r>
        <w:rPr>
          <w:rFonts w:hint="eastAsia" w:ascii="宋体" w:hAnsi="宋体" w:cs="宋体"/>
          <w:color w:val="auto"/>
          <w:sz w:val="24"/>
          <w:highlight w:val="none"/>
        </w:rPr>
        <w:t>（3）投标联合体不符合《磋商文件》规定；</w:t>
      </w:r>
    </w:p>
    <w:p w14:paraId="4E3A4632">
      <w:pPr>
        <w:autoSpaceDE w:val="0"/>
        <w:autoSpaceDN w:val="0"/>
        <w:adjustRightInd w:val="0"/>
        <w:snapToGrid w:val="0"/>
        <w:spacing w:line="360" w:lineRule="auto"/>
        <w:ind w:firstLine="616" w:firstLineChars="257"/>
        <w:jc w:val="left"/>
        <w:rPr>
          <w:rFonts w:ascii="宋体" w:hAnsi="宋体" w:cs="宋体"/>
          <w:color w:val="auto"/>
          <w:sz w:val="24"/>
          <w:highlight w:val="none"/>
        </w:rPr>
      </w:pPr>
      <w:r>
        <w:rPr>
          <w:rFonts w:hint="eastAsia" w:ascii="宋体" w:hAnsi="宋体" w:cs="宋体"/>
          <w:color w:val="auto"/>
          <w:sz w:val="24"/>
          <w:highlight w:val="none"/>
        </w:rPr>
        <w:t>（4）《响应文件》的签字盖章不符合《磋商文件》规定；</w:t>
      </w:r>
    </w:p>
    <w:p w14:paraId="3B761B81">
      <w:pPr>
        <w:autoSpaceDE w:val="0"/>
        <w:autoSpaceDN w:val="0"/>
        <w:adjustRightInd w:val="0"/>
        <w:snapToGrid w:val="0"/>
        <w:spacing w:line="360" w:lineRule="auto"/>
        <w:ind w:firstLine="616" w:firstLineChars="257"/>
        <w:jc w:val="left"/>
        <w:rPr>
          <w:rFonts w:ascii="宋体" w:hAnsi="宋体" w:cs="宋体"/>
          <w:color w:val="auto"/>
          <w:sz w:val="24"/>
          <w:highlight w:val="none"/>
        </w:rPr>
      </w:pPr>
      <w:r>
        <w:rPr>
          <w:rFonts w:hint="eastAsia" w:ascii="宋体" w:hAnsi="宋体" w:cs="宋体"/>
          <w:color w:val="auto"/>
          <w:sz w:val="24"/>
          <w:highlight w:val="none"/>
        </w:rPr>
        <w:t>（5）磋商报价高于竞争性磋商公告公布的预算金额；</w:t>
      </w:r>
    </w:p>
    <w:p w14:paraId="53F4069F">
      <w:pPr>
        <w:autoSpaceDE w:val="0"/>
        <w:autoSpaceDN w:val="0"/>
        <w:adjustRightInd w:val="0"/>
        <w:snapToGrid w:val="0"/>
        <w:spacing w:line="360" w:lineRule="auto"/>
        <w:ind w:firstLine="616" w:firstLineChars="257"/>
        <w:jc w:val="left"/>
        <w:rPr>
          <w:rFonts w:ascii="宋体" w:hAnsi="宋体" w:cs="宋体"/>
          <w:color w:val="auto"/>
          <w:sz w:val="24"/>
          <w:highlight w:val="none"/>
        </w:rPr>
      </w:pPr>
      <w:r>
        <w:rPr>
          <w:rFonts w:hint="eastAsia" w:ascii="宋体" w:hAnsi="宋体" w:cs="宋体"/>
          <w:color w:val="auto"/>
          <w:sz w:val="24"/>
          <w:highlight w:val="none"/>
        </w:rPr>
        <w:t>（6）同一供应商提交两个以上不同的《响应文件》或者磋商报价，《响应文件》的每种报价有两个报价或其他选择性报价的；</w:t>
      </w:r>
    </w:p>
    <w:p w14:paraId="469328D1">
      <w:pPr>
        <w:autoSpaceDE w:val="0"/>
        <w:autoSpaceDN w:val="0"/>
        <w:adjustRightInd w:val="0"/>
        <w:snapToGrid w:val="0"/>
        <w:spacing w:line="360" w:lineRule="auto"/>
        <w:ind w:firstLine="616" w:firstLineChars="257"/>
        <w:jc w:val="left"/>
        <w:rPr>
          <w:rFonts w:ascii="宋体" w:hAnsi="宋体" w:cs="宋体"/>
          <w:color w:val="auto"/>
          <w:sz w:val="24"/>
          <w:highlight w:val="none"/>
        </w:rPr>
      </w:pPr>
      <w:r>
        <w:rPr>
          <w:rFonts w:hint="eastAsia" w:ascii="宋体" w:hAnsi="宋体" w:cs="宋体"/>
          <w:color w:val="auto"/>
          <w:sz w:val="24"/>
          <w:highlight w:val="none"/>
        </w:rPr>
        <w:t>（7）《响应文件》没有对《磋商文件》的实质性要求和条件作出实质性响应，或不符合《磋商文件》的实质性要求和条件；</w:t>
      </w:r>
    </w:p>
    <w:p w14:paraId="38802519">
      <w:pPr>
        <w:autoSpaceDE w:val="0"/>
        <w:autoSpaceDN w:val="0"/>
        <w:adjustRightInd w:val="0"/>
        <w:snapToGrid w:val="0"/>
        <w:spacing w:line="360" w:lineRule="auto"/>
        <w:ind w:firstLine="616" w:firstLineChars="257"/>
        <w:jc w:val="left"/>
        <w:rPr>
          <w:rFonts w:ascii="宋体" w:hAnsi="宋体" w:cs="宋体"/>
          <w:color w:val="auto"/>
          <w:sz w:val="24"/>
          <w:highlight w:val="none"/>
        </w:rPr>
      </w:pPr>
      <w:r>
        <w:rPr>
          <w:rFonts w:hint="eastAsia" w:ascii="宋体" w:hAnsi="宋体" w:cs="宋体"/>
          <w:color w:val="auto"/>
          <w:sz w:val="24"/>
          <w:highlight w:val="none"/>
        </w:rPr>
        <w:t>（8）《响应文件》附有采购项目不能接受的条件或不符合国家强制性规定的；</w:t>
      </w:r>
    </w:p>
    <w:p w14:paraId="1887DBF1">
      <w:pPr>
        <w:autoSpaceDE w:val="0"/>
        <w:autoSpaceDN w:val="0"/>
        <w:adjustRightInd w:val="0"/>
        <w:snapToGrid w:val="0"/>
        <w:spacing w:line="360" w:lineRule="auto"/>
        <w:ind w:firstLine="616" w:firstLineChars="257"/>
        <w:jc w:val="left"/>
        <w:rPr>
          <w:rFonts w:ascii="宋体" w:hAnsi="宋体" w:cs="宋体"/>
          <w:color w:val="auto"/>
          <w:sz w:val="24"/>
          <w:highlight w:val="none"/>
        </w:rPr>
      </w:pPr>
      <w:r>
        <w:rPr>
          <w:rFonts w:hint="eastAsia" w:ascii="宋体" w:hAnsi="宋体" w:cs="宋体"/>
          <w:color w:val="auto"/>
          <w:sz w:val="24"/>
          <w:highlight w:val="none"/>
        </w:rPr>
        <w:t>（9）单位负责人为同一人或者存在控股、管理关系的不同单位，参加同一项目（标段</w:t>
      </w:r>
      <w:r>
        <w:rPr>
          <w:rFonts w:hint="eastAsia" w:ascii="宋体" w:hAnsi="宋体" w:cs="宋体"/>
          <w:color w:val="auto"/>
          <w:sz w:val="24"/>
          <w:highlight w:val="none"/>
          <w:lang w:val="zh-CN"/>
        </w:rPr>
        <w:t>&lt;包&gt;</w:t>
      </w:r>
      <w:r>
        <w:rPr>
          <w:rFonts w:hint="eastAsia" w:ascii="宋体" w:hAnsi="宋体" w:cs="宋体"/>
          <w:color w:val="auto"/>
          <w:sz w:val="24"/>
          <w:highlight w:val="none"/>
        </w:rPr>
        <w:t>）投标的；</w:t>
      </w:r>
    </w:p>
    <w:p w14:paraId="038B1284">
      <w:pPr>
        <w:autoSpaceDE w:val="0"/>
        <w:autoSpaceDN w:val="0"/>
        <w:adjustRightInd w:val="0"/>
        <w:snapToGrid w:val="0"/>
        <w:spacing w:line="360" w:lineRule="auto"/>
        <w:ind w:firstLine="616" w:firstLineChars="257"/>
        <w:jc w:val="left"/>
        <w:rPr>
          <w:rFonts w:ascii="宋体" w:hAnsi="宋体" w:cs="宋体"/>
          <w:color w:val="auto"/>
          <w:sz w:val="24"/>
          <w:highlight w:val="none"/>
        </w:rPr>
      </w:pPr>
      <w:r>
        <w:rPr>
          <w:rFonts w:hint="eastAsia" w:ascii="宋体" w:hAnsi="宋体" w:cs="宋体"/>
          <w:color w:val="auto"/>
          <w:sz w:val="24"/>
          <w:highlight w:val="none"/>
        </w:rPr>
        <w:t>（10）为采购项目提供整体设计、规范编制或者项目管理、监理、检测等服务的供应商，不得再参加该采购项目的其他采购活动；</w:t>
      </w:r>
    </w:p>
    <w:p w14:paraId="5CEFE291">
      <w:pPr>
        <w:autoSpaceDE w:val="0"/>
        <w:autoSpaceDN w:val="0"/>
        <w:adjustRightInd w:val="0"/>
        <w:snapToGrid w:val="0"/>
        <w:spacing w:before="120" w:beforeLines="50" w:line="360" w:lineRule="auto"/>
        <w:ind w:firstLine="566" w:firstLineChars="236"/>
        <w:jc w:val="left"/>
        <w:rPr>
          <w:rFonts w:ascii="宋体" w:hAnsi="宋体" w:cs="宋体"/>
          <w:color w:val="auto"/>
          <w:sz w:val="24"/>
          <w:highlight w:val="none"/>
        </w:rPr>
      </w:pPr>
      <w:r>
        <w:rPr>
          <w:rFonts w:hint="eastAsia" w:ascii="宋体" w:hAnsi="宋体" w:cs="宋体"/>
          <w:color w:val="auto"/>
          <w:sz w:val="24"/>
          <w:highlight w:val="none"/>
        </w:rPr>
        <w:t>（11）组成联合体或者接受分包的小微企业与联合体内其他企业、分包企业之间存在直接控股、管理关系的。</w:t>
      </w:r>
    </w:p>
    <w:p w14:paraId="52AE9096">
      <w:pPr>
        <w:autoSpaceDE w:val="0"/>
        <w:autoSpaceDN w:val="0"/>
        <w:adjustRightInd w:val="0"/>
        <w:snapToGrid w:val="0"/>
        <w:spacing w:line="360" w:lineRule="auto"/>
        <w:ind w:firstLine="616" w:firstLineChars="257"/>
        <w:jc w:val="left"/>
        <w:rPr>
          <w:rFonts w:ascii="宋体" w:hAnsi="宋体" w:cs="宋体"/>
          <w:color w:val="auto"/>
          <w:sz w:val="24"/>
          <w:highlight w:val="none"/>
        </w:rPr>
      </w:pPr>
      <w:r>
        <w:rPr>
          <w:rFonts w:hint="eastAsia" w:ascii="宋体" w:hAnsi="宋体" w:cs="宋体"/>
          <w:color w:val="auto"/>
          <w:sz w:val="24"/>
          <w:highlight w:val="none"/>
        </w:rPr>
        <w:t>（12）提供虚假材料谋取成交的；</w:t>
      </w:r>
    </w:p>
    <w:p w14:paraId="7DBC4D80">
      <w:pPr>
        <w:autoSpaceDE w:val="0"/>
        <w:autoSpaceDN w:val="0"/>
        <w:adjustRightInd w:val="0"/>
        <w:snapToGrid w:val="0"/>
        <w:spacing w:line="360" w:lineRule="auto"/>
        <w:ind w:firstLine="616" w:firstLineChars="257"/>
        <w:jc w:val="left"/>
        <w:rPr>
          <w:rFonts w:ascii="宋体" w:hAnsi="宋体" w:cs="宋体"/>
          <w:color w:val="auto"/>
          <w:sz w:val="24"/>
          <w:highlight w:val="none"/>
        </w:rPr>
      </w:pPr>
      <w:r>
        <w:rPr>
          <w:rFonts w:hint="eastAsia" w:ascii="宋体" w:hAnsi="宋体" w:cs="宋体"/>
          <w:color w:val="auto"/>
          <w:sz w:val="24"/>
          <w:highlight w:val="none"/>
        </w:rPr>
        <w:t>（13）供应商有串通投标、行贿等违法行为。其中，有下列情形之一的，视为供应商相互串通投标：</w:t>
      </w:r>
    </w:p>
    <w:p w14:paraId="44CFD185">
      <w:pPr>
        <w:autoSpaceDE w:val="0"/>
        <w:autoSpaceDN w:val="0"/>
        <w:adjustRightInd w:val="0"/>
        <w:snapToGrid w:val="0"/>
        <w:spacing w:line="360" w:lineRule="auto"/>
        <w:ind w:firstLine="616" w:firstLineChars="257"/>
        <w:jc w:val="left"/>
        <w:rPr>
          <w:rFonts w:ascii="宋体" w:hAnsi="宋体" w:cs="宋体"/>
          <w:color w:val="auto"/>
          <w:sz w:val="24"/>
          <w:highlight w:val="none"/>
        </w:rPr>
      </w:pPr>
      <w:r>
        <w:rPr>
          <w:rFonts w:hint="eastAsia" w:ascii="宋体" w:hAnsi="宋体" w:cs="宋体"/>
          <w:color w:val="auto"/>
          <w:sz w:val="24"/>
          <w:highlight w:val="none"/>
        </w:rPr>
        <w:t>    ◆不同供应商的《响应文件》由同一单位或者个人编制；</w:t>
      </w:r>
    </w:p>
    <w:p w14:paraId="07D9DD0D">
      <w:pPr>
        <w:autoSpaceDE w:val="0"/>
        <w:autoSpaceDN w:val="0"/>
        <w:adjustRightInd w:val="0"/>
        <w:snapToGrid w:val="0"/>
        <w:spacing w:line="360" w:lineRule="auto"/>
        <w:ind w:firstLine="616" w:firstLineChars="257"/>
        <w:jc w:val="left"/>
        <w:rPr>
          <w:rFonts w:ascii="宋体" w:hAnsi="宋体" w:cs="宋体"/>
          <w:color w:val="auto"/>
          <w:sz w:val="24"/>
          <w:highlight w:val="none"/>
        </w:rPr>
      </w:pPr>
      <w:r>
        <w:rPr>
          <w:rFonts w:hint="eastAsia" w:ascii="宋体" w:hAnsi="宋体" w:cs="宋体"/>
          <w:color w:val="auto"/>
          <w:sz w:val="24"/>
          <w:highlight w:val="none"/>
        </w:rPr>
        <w:t>    ◆不同供应商委托同一单位或者个人办理投标事宜；</w:t>
      </w:r>
    </w:p>
    <w:p w14:paraId="2056FACF">
      <w:pPr>
        <w:autoSpaceDE w:val="0"/>
        <w:autoSpaceDN w:val="0"/>
        <w:adjustRightInd w:val="0"/>
        <w:snapToGrid w:val="0"/>
        <w:spacing w:line="360" w:lineRule="auto"/>
        <w:ind w:firstLine="616" w:firstLineChars="257"/>
        <w:jc w:val="left"/>
        <w:rPr>
          <w:rFonts w:ascii="宋体" w:hAnsi="宋体" w:cs="宋体"/>
          <w:color w:val="auto"/>
          <w:sz w:val="24"/>
          <w:highlight w:val="none"/>
        </w:rPr>
      </w:pPr>
      <w:r>
        <w:rPr>
          <w:rFonts w:hint="eastAsia" w:ascii="宋体" w:hAnsi="宋体" w:cs="宋体"/>
          <w:color w:val="auto"/>
          <w:sz w:val="24"/>
          <w:highlight w:val="none"/>
        </w:rPr>
        <w:t>    ◆不同供应商的《响应文件》载明的项目管理成员为同一人；</w:t>
      </w:r>
    </w:p>
    <w:p w14:paraId="286D5B73">
      <w:pPr>
        <w:autoSpaceDE w:val="0"/>
        <w:autoSpaceDN w:val="0"/>
        <w:adjustRightInd w:val="0"/>
        <w:snapToGrid w:val="0"/>
        <w:spacing w:line="360" w:lineRule="auto"/>
        <w:ind w:firstLine="616" w:firstLineChars="257"/>
        <w:jc w:val="left"/>
        <w:rPr>
          <w:rFonts w:ascii="宋体" w:hAnsi="宋体" w:cs="宋体"/>
          <w:color w:val="auto"/>
          <w:sz w:val="24"/>
          <w:highlight w:val="none"/>
        </w:rPr>
      </w:pPr>
      <w:r>
        <w:rPr>
          <w:rFonts w:hint="eastAsia" w:ascii="宋体" w:hAnsi="宋体" w:cs="宋体"/>
          <w:color w:val="auto"/>
          <w:sz w:val="24"/>
          <w:highlight w:val="none"/>
        </w:rPr>
        <w:t>    ◆不同供应商的《响应文件》异常一致或者磋商报价呈规律性差异；</w:t>
      </w:r>
    </w:p>
    <w:p w14:paraId="39A53E78">
      <w:pPr>
        <w:autoSpaceDE w:val="0"/>
        <w:autoSpaceDN w:val="0"/>
        <w:adjustRightInd w:val="0"/>
        <w:snapToGrid w:val="0"/>
        <w:spacing w:line="360" w:lineRule="auto"/>
        <w:ind w:firstLine="616" w:firstLineChars="257"/>
        <w:jc w:val="left"/>
        <w:rPr>
          <w:rFonts w:ascii="宋体" w:hAnsi="宋体" w:cs="宋体"/>
          <w:color w:val="auto"/>
          <w:sz w:val="24"/>
          <w:highlight w:val="none"/>
        </w:rPr>
      </w:pPr>
      <w:r>
        <w:rPr>
          <w:rFonts w:hint="eastAsia" w:ascii="宋体" w:hAnsi="宋体" w:cs="宋体"/>
          <w:color w:val="auto"/>
          <w:sz w:val="24"/>
          <w:highlight w:val="none"/>
        </w:rPr>
        <w:t>    ◆不同供应商的《响应文件》相互混装。</w:t>
      </w:r>
    </w:p>
    <w:p w14:paraId="57FAC923">
      <w:pPr>
        <w:autoSpaceDE w:val="0"/>
        <w:autoSpaceDN w:val="0"/>
        <w:adjustRightInd w:val="0"/>
        <w:snapToGrid w:val="0"/>
        <w:spacing w:before="120" w:beforeLines="50" w:line="360" w:lineRule="auto"/>
        <w:ind w:firstLine="566" w:firstLineChars="236"/>
        <w:jc w:val="left"/>
        <w:rPr>
          <w:rFonts w:ascii="宋体" w:hAnsi="宋体" w:cs="宋体"/>
          <w:color w:val="auto"/>
          <w:sz w:val="24"/>
          <w:highlight w:val="none"/>
        </w:rPr>
      </w:pPr>
      <w:r>
        <w:rPr>
          <w:rFonts w:hint="eastAsia" w:ascii="宋体" w:hAnsi="宋体" w:cs="宋体"/>
          <w:color w:val="auto"/>
          <w:sz w:val="24"/>
          <w:highlight w:val="none"/>
        </w:rPr>
        <w:t xml:space="preserve">3.2.3 </w:t>
      </w:r>
      <w:r>
        <w:rPr>
          <w:rFonts w:hint="eastAsia" w:ascii="宋体" w:hAnsi="宋体" w:cs="宋体"/>
          <w:b/>
          <w:color w:val="auto"/>
          <w:sz w:val="24"/>
          <w:highlight w:val="none"/>
        </w:rPr>
        <w:t>未实质性响应《磋商文件》的《响应文件》按无效处理，磋商小组应当通过评审界面的对话框告知有关供应商。</w:t>
      </w:r>
    </w:p>
    <w:p w14:paraId="6C3F06F2">
      <w:pPr>
        <w:autoSpaceDE w:val="0"/>
        <w:autoSpaceDN w:val="0"/>
        <w:adjustRightInd w:val="0"/>
        <w:snapToGrid w:val="0"/>
        <w:spacing w:before="120" w:beforeLines="50" w:line="360" w:lineRule="auto"/>
        <w:ind w:firstLine="566" w:firstLineChars="236"/>
        <w:jc w:val="left"/>
        <w:rPr>
          <w:rFonts w:ascii="宋体" w:hAnsi="宋体" w:cs="宋体"/>
          <w:color w:val="auto"/>
          <w:sz w:val="24"/>
          <w:highlight w:val="none"/>
        </w:rPr>
      </w:pPr>
      <w:r>
        <w:rPr>
          <w:rFonts w:hint="eastAsia" w:ascii="宋体" w:hAnsi="宋体" w:cs="宋体"/>
          <w:color w:val="auto"/>
          <w:sz w:val="24"/>
          <w:highlight w:val="none"/>
        </w:rPr>
        <w:t>3.2.4 “开标一览表”与分项报价或报价明细表有差别时，以“开标一览表”为准；大写文字表示的数据与小写数字表示的有差别时，以大写文字表示的数据为准；单价与“开标一览表”总价不符时，以“开标一览表”总价为准。如供应商拒绝接受上述意见，其</w:t>
      </w:r>
      <w:r>
        <w:rPr>
          <w:rFonts w:hint="eastAsia" w:ascii="宋体" w:hAnsi="宋体" w:cs="宋体"/>
          <w:b/>
          <w:color w:val="auto"/>
          <w:sz w:val="24"/>
          <w:highlight w:val="none"/>
        </w:rPr>
        <w:t>投标将被拒绝。</w:t>
      </w:r>
    </w:p>
    <w:p w14:paraId="6CFA2BBA">
      <w:pPr>
        <w:autoSpaceDE w:val="0"/>
        <w:autoSpaceDN w:val="0"/>
        <w:adjustRightInd w:val="0"/>
        <w:snapToGrid w:val="0"/>
        <w:spacing w:before="120" w:beforeLines="50" w:line="360" w:lineRule="auto"/>
        <w:ind w:firstLine="566" w:firstLineChars="236"/>
        <w:jc w:val="left"/>
        <w:rPr>
          <w:rFonts w:ascii="宋体" w:hAnsi="宋体" w:cs="宋体"/>
          <w:color w:val="auto"/>
          <w:sz w:val="24"/>
          <w:highlight w:val="none"/>
        </w:rPr>
      </w:pPr>
      <w:r>
        <w:rPr>
          <w:rFonts w:hint="eastAsia" w:ascii="宋体" w:hAnsi="宋体" w:cs="宋体"/>
          <w:color w:val="auto"/>
          <w:sz w:val="24"/>
          <w:highlight w:val="none"/>
        </w:rPr>
        <w:t>3.2.5 磋商小组负责审查确定每一响应项目（标段</w:t>
      </w:r>
      <w:r>
        <w:rPr>
          <w:rFonts w:hint="eastAsia" w:ascii="宋体" w:hAnsi="宋体" w:cs="宋体"/>
          <w:color w:val="auto"/>
          <w:sz w:val="24"/>
          <w:highlight w:val="none"/>
          <w:lang w:val="zh-CN"/>
        </w:rPr>
        <w:t>&lt;包&gt;</w:t>
      </w:r>
      <w:r>
        <w:rPr>
          <w:rFonts w:hint="eastAsia" w:ascii="宋体" w:hAnsi="宋体" w:cs="宋体"/>
          <w:color w:val="auto"/>
          <w:sz w:val="24"/>
          <w:highlight w:val="none"/>
        </w:rPr>
        <w:t>）是否对《磋商文件》的实质性要求作出了实质性的响应，而没有重大偏离和保留。实质性响应的《响应文件》是指《响应文件》符合《磋商文件》的所有条款、条件和规定且没有重大偏离和保留（重大偏离和保留是指影响到《磋商文件》和供应商的义务的规定，而纠正这些偏离将影响到其他提交实质性响应供应商的公平竞争地位）。</w:t>
      </w:r>
    </w:p>
    <w:p w14:paraId="062FC48E">
      <w:pPr>
        <w:autoSpaceDE w:val="0"/>
        <w:autoSpaceDN w:val="0"/>
        <w:adjustRightInd w:val="0"/>
        <w:snapToGrid w:val="0"/>
        <w:spacing w:before="120" w:beforeLines="50" w:line="360" w:lineRule="auto"/>
        <w:ind w:firstLine="566" w:firstLineChars="236"/>
        <w:jc w:val="left"/>
        <w:rPr>
          <w:rFonts w:ascii="宋体" w:hAnsi="宋体" w:cs="宋体"/>
          <w:color w:val="auto"/>
          <w:sz w:val="24"/>
          <w:highlight w:val="none"/>
        </w:rPr>
      </w:pPr>
      <w:r>
        <w:rPr>
          <w:rFonts w:hint="eastAsia" w:ascii="宋体" w:hAnsi="宋体" w:cs="宋体"/>
          <w:color w:val="auto"/>
          <w:sz w:val="24"/>
          <w:highlight w:val="none"/>
        </w:rPr>
        <w:t>3.2.6 磋商小组判断《响应文件》的响应性仅基于《响应文件》本身而不靠外部证据。</w:t>
      </w:r>
    </w:p>
    <w:p w14:paraId="03A7B0C8">
      <w:pPr>
        <w:autoSpaceDE w:val="0"/>
        <w:autoSpaceDN w:val="0"/>
        <w:adjustRightInd w:val="0"/>
        <w:snapToGrid w:val="0"/>
        <w:spacing w:before="120" w:beforeLines="50" w:line="360" w:lineRule="auto"/>
        <w:ind w:firstLine="566" w:firstLineChars="236"/>
        <w:jc w:val="left"/>
        <w:rPr>
          <w:rFonts w:ascii="宋体" w:hAnsi="宋体" w:cs="宋体"/>
          <w:color w:val="auto"/>
          <w:sz w:val="24"/>
          <w:highlight w:val="none"/>
        </w:rPr>
      </w:pPr>
      <w:r>
        <w:rPr>
          <w:rFonts w:hint="eastAsia" w:ascii="宋体" w:hAnsi="宋体" w:cs="宋体"/>
          <w:color w:val="auto"/>
          <w:sz w:val="24"/>
          <w:highlight w:val="none"/>
        </w:rPr>
        <w:t>3.2.7 磋商小组拒绝被确定为非实质性响应的供应商，供应商不得通过修正或撤销不符之处而使其《响应文件》成为实质性响应的《响应文件》。</w:t>
      </w:r>
    </w:p>
    <w:p w14:paraId="0412DF5A">
      <w:pPr>
        <w:autoSpaceDE w:val="0"/>
        <w:autoSpaceDN w:val="0"/>
        <w:adjustRightInd w:val="0"/>
        <w:snapToGrid w:val="0"/>
        <w:spacing w:before="120" w:beforeLines="50" w:line="360" w:lineRule="auto"/>
        <w:ind w:firstLine="566" w:firstLineChars="236"/>
        <w:jc w:val="left"/>
        <w:rPr>
          <w:rFonts w:ascii="宋体" w:hAnsi="宋体" w:cs="宋体"/>
          <w:color w:val="auto"/>
          <w:sz w:val="24"/>
          <w:highlight w:val="none"/>
        </w:rPr>
      </w:pPr>
      <w:r>
        <w:rPr>
          <w:rFonts w:hint="eastAsia" w:ascii="宋体" w:hAnsi="宋体" w:cs="宋体"/>
          <w:color w:val="auto"/>
          <w:sz w:val="24"/>
          <w:highlight w:val="none"/>
        </w:rPr>
        <w:t>3.2.8 允许供应商修改《响应文件》中不构成重大偏离的、微小的、非正规、不一致或不规则的地方。</w:t>
      </w:r>
    </w:p>
    <w:p w14:paraId="6BB335CC">
      <w:pPr>
        <w:autoSpaceDE w:val="0"/>
        <w:autoSpaceDN w:val="0"/>
        <w:adjustRightInd w:val="0"/>
        <w:snapToGrid w:val="0"/>
        <w:spacing w:before="120" w:beforeLines="50" w:line="360" w:lineRule="auto"/>
        <w:ind w:firstLine="569" w:firstLineChars="236"/>
        <w:jc w:val="left"/>
        <w:rPr>
          <w:rFonts w:ascii="宋体" w:hAnsi="宋体" w:cs="宋体"/>
          <w:b/>
          <w:color w:val="auto"/>
          <w:sz w:val="24"/>
          <w:highlight w:val="none"/>
        </w:rPr>
      </w:pPr>
      <w:r>
        <w:rPr>
          <w:rFonts w:hint="eastAsia" w:ascii="宋体" w:hAnsi="宋体" w:cs="宋体"/>
          <w:b/>
          <w:color w:val="auto"/>
          <w:sz w:val="24"/>
          <w:highlight w:val="none"/>
        </w:rPr>
        <w:t>3.3 《响应文件》的澄清</w:t>
      </w:r>
    </w:p>
    <w:p w14:paraId="68ED4052">
      <w:pPr>
        <w:autoSpaceDE w:val="0"/>
        <w:autoSpaceDN w:val="0"/>
        <w:adjustRightInd w:val="0"/>
        <w:snapToGrid w:val="0"/>
        <w:spacing w:before="120" w:beforeLines="50" w:line="360" w:lineRule="auto"/>
        <w:ind w:firstLine="569" w:firstLineChars="236"/>
        <w:jc w:val="left"/>
        <w:rPr>
          <w:rFonts w:ascii="宋体" w:hAnsi="宋体" w:cs="宋体"/>
          <w:b/>
          <w:color w:val="auto"/>
          <w:sz w:val="24"/>
          <w:highlight w:val="none"/>
        </w:rPr>
      </w:pPr>
      <w:r>
        <w:rPr>
          <w:rFonts w:hint="eastAsia" w:ascii="宋体" w:hAnsi="宋体" w:cs="宋体"/>
          <w:b/>
          <w:color w:val="auto"/>
          <w:sz w:val="24"/>
          <w:highlight w:val="none"/>
        </w:rPr>
        <w:t>《响应文件》的澄清在“竞争性磋商公告”所述网上电子交易系统进行。</w:t>
      </w:r>
    </w:p>
    <w:p w14:paraId="45D475E9">
      <w:pPr>
        <w:autoSpaceDE w:val="0"/>
        <w:autoSpaceDN w:val="0"/>
        <w:adjustRightInd w:val="0"/>
        <w:snapToGrid w:val="0"/>
        <w:spacing w:before="120" w:beforeLines="50" w:line="360" w:lineRule="auto"/>
        <w:ind w:firstLine="569" w:firstLineChars="236"/>
        <w:jc w:val="left"/>
        <w:rPr>
          <w:rFonts w:ascii="宋体" w:hAnsi="宋体" w:cs="宋体"/>
          <w:b/>
          <w:color w:val="auto"/>
          <w:sz w:val="24"/>
          <w:highlight w:val="none"/>
        </w:rPr>
      </w:pPr>
      <w:r>
        <w:rPr>
          <w:rFonts w:hint="eastAsia" w:ascii="宋体" w:hAnsi="宋体" w:cs="宋体"/>
          <w:b/>
          <w:color w:val="auto"/>
          <w:sz w:val="24"/>
          <w:highlight w:val="none"/>
        </w:rPr>
        <w:t>3.3.1 评审期间，供应商法定代表人须时刻关注电子开标室并保持通讯畅通。如因通讯不畅导致供应商无法及时澄清而被认定为无效响应等后果的，由供应商自行承担。</w:t>
      </w:r>
    </w:p>
    <w:p w14:paraId="04F88C3B">
      <w:pPr>
        <w:autoSpaceDE w:val="0"/>
        <w:autoSpaceDN w:val="0"/>
        <w:adjustRightInd w:val="0"/>
        <w:snapToGrid w:val="0"/>
        <w:spacing w:before="120" w:beforeLines="50" w:line="360" w:lineRule="auto"/>
        <w:ind w:firstLine="566" w:firstLineChars="236"/>
        <w:jc w:val="left"/>
        <w:rPr>
          <w:rFonts w:ascii="宋体" w:hAnsi="宋体" w:cs="宋体"/>
          <w:color w:val="auto"/>
          <w:sz w:val="24"/>
          <w:highlight w:val="none"/>
        </w:rPr>
      </w:pPr>
      <w:r>
        <w:rPr>
          <w:rFonts w:hint="eastAsia" w:ascii="宋体" w:hAnsi="宋体" w:cs="宋体"/>
          <w:color w:val="auto"/>
          <w:sz w:val="24"/>
          <w:highlight w:val="none"/>
        </w:rPr>
        <w:t>3.3.2 为有助于对《响应文件》进行审查、评估和比较，磋商小组有权个别的向供应商提出质疑，请供应商澄清其投标内容。</w:t>
      </w:r>
    </w:p>
    <w:p w14:paraId="5156921B">
      <w:pPr>
        <w:autoSpaceDE w:val="0"/>
        <w:autoSpaceDN w:val="0"/>
        <w:adjustRightInd w:val="0"/>
        <w:snapToGrid w:val="0"/>
        <w:spacing w:before="120" w:beforeLines="50" w:line="360" w:lineRule="auto"/>
        <w:ind w:firstLine="566" w:firstLineChars="236"/>
        <w:jc w:val="left"/>
        <w:rPr>
          <w:rFonts w:ascii="宋体" w:hAnsi="宋体" w:cs="宋体"/>
          <w:color w:val="auto"/>
          <w:sz w:val="24"/>
          <w:highlight w:val="none"/>
        </w:rPr>
      </w:pPr>
      <w:r>
        <w:rPr>
          <w:rFonts w:hint="eastAsia" w:ascii="宋体" w:hAnsi="宋体" w:cs="宋体"/>
          <w:color w:val="auto"/>
          <w:sz w:val="24"/>
          <w:highlight w:val="none"/>
        </w:rPr>
        <w:t>3.3.3 磋商小组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0EDECB58">
      <w:pPr>
        <w:autoSpaceDE w:val="0"/>
        <w:autoSpaceDN w:val="0"/>
        <w:adjustRightInd w:val="0"/>
        <w:snapToGrid w:val="0"/>
        <w:spacing w:before="120" w:beforeLines="50" w:line="360" w:lineRule="auto"/>
        <w:ind w:firstLine="566" w:firstLineChars="236"/>
        <w:jc w:val="left"/>
        <w:rPr>
          <w:rFonts w:ascii="宋体" w:hAnsi="宋体" w:cs="宋体"/>
          <w:b/>
          <w:color w:val="auto"/>
          <w:sz w:val="24"/>
          <w:highlight w:val="none"/>
        </w:rPr>
      </w:pPr>
      <w:r>
        <w:rPr>
          <w:rFonts w:hint="eastAsia" w:ascii="宋体" w:hAnsi="宋体" w:cs="宋体"/>
          <w:color w:val="auto"/>
          <w:sz w:val="24"/>
          <w:highlight w:val="none"/>
        </w:rPr>
        <w:t>3.3.4 供应商的澄清、说明或者更正</w:t>
      </w:r>
      <w:r>
        <w:rPr>
          <w:rFonts w:hint="eastAsia" w:ascii="宋体" w:hAnsi="宋体" w:cs="宋体"/>
          <w:b/>
          <w:color w:val="auto"/>
          <w:sz w:val="24"/>
          <w:highlight w:val="none"/>
        </w:rPr>
        <w:t>应当采用书面形式，应加盖供应商电子签章或其法定代表人电子签名。并将澄清等内容作为附件上传至系统中。</w:t>
      </w:r>
    </w:p>
    <w:p w14:paraId="5069F4BA">
      <w:pPr>
        <w:autoSpaceDE w:val="0"/>
        <w:autoSpaceDN w:val="0"/>
        <w:adjustRightInd w:val="0"/>
        <w:snapToGrid w:val="0"/>
        <w:spacing w:before="120" w:beforeLines="50" w:line="360" w:lineRule="auto"/>
        <w:ind w:firstLine="566" w:firstLineChars="236"/>
        <w:jc w:val="left"/>
        <w:rPr>
          <w:rFonts w:ascii="宋体" w:hAnsi="宋体" w:cs="宋体"/>
          <w:color w:val="auto"/>
          <w:sz w:val="24"/>
          <w:highlight w:val="none"/>
        </w:rPr>
      </w:pPr>
      <w:r>
        <w:rPr>
          <w:rFonts w:hint="eastAsia" w:ascii="宋体" w:hAnsi="宋体" w:cs="宋体"/>
          <w:color w:val="auto"/>
          <w:sz w:val="24"/>
          <w:highlight w:val="none"/>
        </w:rPr>
        <w:t>3.3.5 供应商的澄清文件是《响应文件》的组成部分，并取代《响应文件》中被澄清的部分。</w:t>
      </w:r>
    </w:p>
    <w:p w14:paraId="756AB209">
      <w:pPr>
        <w:autoSpaceDE w:val="0"/>
        <w:autoSpaceDN w:val="0"/>
        <w:adjustRightInd w:val="0"/>
        <w:snapToGrid w:val="0"/>
        <w:spacing w:before="120" w:beforeLines="50" w:line="360" w:lineRule="auto"/>
        <w:ind w:firstLine="566" w:firstLineChars="236"/>
        <w:jc w:val="left"/>
        <w:rPr>
          <w:rFonts w:ascii="宋体" w:hAnsi="宋体" w:cs="宋体"/>
          <w:color w:val="auto"/>
          <w:sz w:val="24"/>
          <w:highlight w:val="none"/>
        </w:rPr>
      </w:pPr>
      <w:r>
        <w:rPr>
          <w:rFonts w:hint="eastAsia" w:ascii="宋体" w:hAnsi="宋体" w:cs="宋体"/>
          <w:color w:val="auto"/>
          <w:sz w:val="24"/>
          <w:highlight w:val="none"/>
        </w:rPr>
        <w:t>3.3.6 澄清文件应按磋商小组规定的时间提交。</w:t>
      </w:r>
    </w:p>
    <w:p w14:paraId="1F4F32D7">
      <w:pPr>
        <w:autoSpaceDE w:val="0"/>
        <w:autoSpaceDN w:val="0"/>
        <w:adjustRightInd w:val="0"/>
        <w:snapToGrid w:val="0"/>
        <w:spacing w:before="120" w:beforeLines="50" w:line="360" w:lineRule="auto"/>
        <w:ind w:firstLine="569" w:firstLineChars="236"/>
        <w:jc w:val="left"/>
        <w:rPr>
          <w:rFonts w:ascii="宋体" w:hAnsi="宋体" w:cs="宋体"/>
          <w:b/>
          <w:color w:val="auto"/>
          <w:sz w:val="24"/>
          <w:highlight w:val="none"/>
        </w:rPr>
      </w:pPr>
      <w:r>
        <w:rPr>
          <w:rFonts w:hint="eastAsia" w:ascii="宋体" w:hAnsi="宋体" w:cs="宋体"/>
          <w:b/>
          <w:color w:val="auto"/>
          <w:sz w:val="24"/>
          <w:highlight w:val="none"/>
        </w:rPr>
        <w:t>3.4 磋商规则</w:t>
      </w:r>
    </w:p>
    <w:p w14:paraId="5C8A86E6">
      <w:pPr>
        <w:autoSpaceDE w:val="0"/>
        <w:autoSpaceDN w:val="0"/>
        <w:adjustRightInd w:val="0"/>
        <w:snapToGrid w:val="0"/>
        <w:spacing w:before="120" w:beforeLines="50" w:line="360" w:lineRule="auto"/>
        <w:ind w:firstLine="569" w:firstLineChars="236"/>
        <w:jc w:val="left"/>
        <w:rPr>
          <w:rFonts w:ascii="宋体" w:hAnsi="宋体" w:cs="宋体"/>
          <w:b/>
          <w:color w:val="auto"/>
          <w:sz w:val="24"/>
          <w:highlight w:val="none"/>
        </w:rPr>
      </w:pPr>
      <w:r>
        <w:rPr>
          <w:rFonts w:hint="eastAsia" w:ascii="宋体" w:hAnsi="宋体" w:cs="宋体"/>
          <w:b/>
          <w:color w:val="auto"/>
          <w:sz w:val="24"/>
          <w:highlight w:val="none"/>
        </w:rPr>
        <w:t>评审磋商在“竞争性磋商公告”所述网上电子交易系统进行。</w:t>
      </w:r>
    </w:p>
    <w:p w14:paraId="2EDBBFBF">
      <w:pPr>
        <w:autoSpaceDE w:val="0"/>
        <w:autoSpaceDN w:val="0"/>
        <w:adjustRightInd w:val="0"/>
        <w:snapToGrid w:val="0"/>
        <w:spacing w:before="120" w:beforeLines="50" w:line="360" w:lineRule="auto"/>
        <w:ind w:firstLine="566" w:firstLineChars="236"/>
        <w:jc w:val="left"/>
        <w:rPr>
          <w:rFonts w:ascii="宋体" w:hAnsi="宋体" w:cs="宋体"/>
          <w:color w:val="auto"/>
          <w:sz w:val="24"/>
          <w:highlight w:val="none"/>
        </w:rPr>
      </w:pPr>
      <w:r>
        <w:rPr>
          <w:rFonts w:hint="eastAsia" w:ascii="宋体" w:hAnsi="宋体" w:cs="宋体"/>
          <w:color w:val="auto"/>
          <w:sz w:val="24"/>
          <w:highlight w:val="none"/>
        </w:rPr>
        <w:t>3.4.1 本次政府采购采取竞争性磋商方式。磋商小组将据评审情况就所报货物的技术、服务、价格等事项与有关供应商分别进行磋商。磋商的任何一方不得将与磋商有关的技术资料、价格和其他信息透露给其他供应商。</w:t>
      </w:r>
    </w:p>
    <w:p w14:paraId="7276AEA9">
      <w:pPr>
        <w:autoSpaceDE w:val="0"/>
        <w:autoSpaceDN w:val="0"/>
        <w:adjustRightInd w:val="0"/>
        <w:snapToGrid w:val="0"/>
        <w:spacing w:before="120" w:beforeLines="50" w:line="360" w:lineRule="auto"/>
        <w:ind w:firstLine="566" w:firstLineChars="236"/>
        <w:jc w:val="left"/>
        <w:rPr>
          <w:rFonts w:ascii="宋体" w:hAnsi="宋体" w:cs="宋体"/>
          <w:color w:val="auto"/>
          <w:sz w:val="24"/>
          <w:highlight w:val="none"/>
        </w:rPr>
      </w:pPr>
      <w:r>
        <w:rPr>
          <w:rFonts w:hint="eastAsia" w:ascii="宋体" w:hAnsi="宋体" w:cs="宋体"/>
          <w:color w:val="auto"/>
          <w:sz w:val="24"/>
          <w:highlight w:val="none"/>
        </w:rPr>
        <w:t>3.4.2 磋商小组根据《磋商文件》规定的程序、评定成交的标准等事项与实质性响应《磋商文件》实质性要求的供应商进行磋商。</w:t>
      </w:r>
    </w:p>
    <w:p w14:paraId="568A9972">
      <w:pPr>
        <w:autoSpaceDE w:val="0"/>
        <w:autoSpaceDN w:val="0"/>
        <w:adjustRightInd w:val="0"/>
        <w:snapToGrid w:val="0"/>
        <w:spacing w:before="120" w:beforeLines="50" w:line="360" w:lineRule="auto"/>
        <w:ind w:firstLine="566" w:firstLineChars="236"/>
        <w:jc w:val="left"/>
        <w:rPr>
          <w:rFonts w:ascii="宋体" w:hAnsi="宋体" w:cs="宋体"/>
          <w:color w:val="auto"/>
          <w:sz w:val="24"/>
          <w:highlight w:val="none"/>
        </w:rPr>
      </w:pPr>
      <w:r>
        <w:rPr>
          <w:rFonts w:hint="eastAsia" w:ascii="宋体" w:hAnsi="宋体" w:cs="宋体"/>
          <w:color w:val="auto"/>
          <w:sz w:val="24"/>
          <w:highlight w:val="none"/>
        </w:rPr>
        <w:t>3.4.3 磋商小组所有成员集中与单一供应商分别进行磋商，并给予所有参加磋商的供应商平等的磋商机会。</w:t>
      </w:r>
    </w:p>
    <w:p w14:paraId="117DBBB1">
      <w:pPr>
        <w:autoSpaceDE w:val="0"/>
        <w:autoSpaceDN w:val="0"/>
        <w:adjustRightInd w:val="0"/>
        <w:snapToGrid w:val="0"/>
        <w:spacing w:before="120" w:beforeLines="50" w:line="360" w:lineRule="auto"/>
        <w:ind w:firstLine="566" w:firstLineChars="236"/>
        <w:jc w:val="left"/>
        <w:rPr>
          <w:rFonts w:ascii="宋体" w:hAnsi="宋体" w:cs="宋体"/>
          <w:color w:val="auto"/>
          <w:sz w:val="24"/>
          <w:highlight w:val="none"/>
        </w:rPr>
      </w:pPr>
      <w:r>
        <w:rPr>
          <w:rFonts w:hint="eastAsia" w:ascii="宋体" w:hAnsi="宋体" w:cs="宋体"/>
          <w:color w:val="auto"/>
          <w:sz w:val="24"/>
          <w:highlight w:val="none"/>
        </w:rPr>
        <w:t>3.4.4 在磋商过程中，磋商小组可以根据《磋商文件》和磋商情况实质性变动采购需求中的技术、服务要求以及合同草案条款，《磋商文件》中的其他内容将不再变动。实质性变动的内容，经采购人代表确认后，</w:t>
      </w:r>
      <w:r>
        <w:rPr>
          <w:rFonts w:hint="eastAsia" w:ascii="宋体" w:hAnsi="宋体" w:cs="宋体"/>
          <w:b/>
          <w:color w:val="auto"/>
          <w:sz w:val="24"/>
          <w:highlight w:val="none"/>
        </w:rPr>
        <w:t>磋商小组将在评审界面的对话框及时通知所有参加磋商的供应商。评审期间，供应商可通过评审界面的对话框接受询问。磋商结束后，未实质性响应《磋商文件》的《响应文件》按无效处理，磋商小组应当通过评审界面的对话框告知有关供应商。</w:t>
      </w:r>
    </w:p>
    <w:p w14:paraId="7FD1BA63">
      <w:pPr>
        <w:autoSpaceDE w:val="0"/>
        <w:autoSpaceDN w:val="0"/>
        <w:adjustRightInd w:val="0"/>
        <w:snapToGrid w:val="0"/>
        <w:spacing w:before="120" w:beforeLines="50" w:line="360" w:lineRule="auto"/>
        <w:ind w:firstLine="566" w:firstLineChars="236"/>
        <w:jc w:val="left"/>
        <w:rPr>
          <w:rFonts w:ascii="宋体" w:hAnsi="宋体" w:cs="宋体"/>
          <w:color w:val="auto"/>
          <w:sz w:val="24"/>
          <w:highlight w:val="none"/>
        </w:rPr>
      </w:pPr>
      <w:r>
        <w:rPr>
          <w:rFonts w:hint="eastAsia" w:ascii="宋体" w:hAnsi="宋体" w:cs="宋体"/>
          <w:color w:val="auto"/>
          <w:sz w:val="24"/>
          <w:highlight w:val="none"/>
        </w:rPr>
        <w:t>3.4.5 对《磋商文件》作出的实质性变动是《磋商文件》的有效组成部分。</w:t>
      </w:r>
    </w:p>
    <w:p w14:paraId="20A83C67">
      <w:pPr>
        <w:autoSpaceDE w:val="0"/>
        <w:autoSpaceDN w:val="0"/>
        <w:adjustRightInd w:val="0"/>
        <w:snapToGrid w:val="0"/>
        <w:spacing w:before="120" w:beforeLines="50" w:line="360" w:lineRule="auto"/>
        <w:ind w:firstLine="566" w:firstLineChars="236"/>
        <w:jc w:val="left"/>
        <w:rPr>
          <w:rFonts w:ascii="宋体" w:hAnsi="宋体" w:cs="宋体"/>
          <w:color w:val="auto"/>
          <w:sz w:val="24"/>
          <w:highlight w:val="none"/>
        </w:rPr>
      </w:pPr>
      <w:r>
        <w:rPr>
          <w:rFonts w:hint="eastAsia" w:ascii="宋体" w:hAnsi="宋体" w:cs="宋体"/>
          <w:color w:val="auto"/>
          <w:sz w:val="24"/>
          <w:highlight w:val="none"/>
        </w:rPr>
        <w:t>3.4.6 供应商应当按照《磋商文件》的变动情况和磋商小组的要求重新提交《响应文件》或修订《响应文件》相应条款，</w:t>
      </w:r>
      <w:r>
        <w:rPr>
          <w:rFonts w:hint="eastAsia" w:ascii="宋体" w:hAnsi="宋体" w:cs="宋体"/>
          <w:b/>
          <w:color w:val="auto"/>
          <w:sz w:val="24"/>
          <w:highlight w:val="none"/>
        </w:rPr>
        <w:t>并应加盖供应商或其法定代表人的电子签名。</w:t>
      </w:r>
    </w:p>
    <w:p w14:paraId="5B14017C">
      <w:pPr>
        <w:autoSpaceDE w:val="0"/>
        <w:autoSpaceDN w:val="0"/>
        <w:adjustRightInd w:val="0"/>
        <w:snapToGrid w:val="0"/>
        <w:spacing w:before="120" w:beforeLines="50" w:line="360" w:lineRule="auto"/>
        <w:ind w:firstLine="566" w:firstLineChars="236"/>
        <w:jc w:val="left"/>
        <w:rPr>
          <w:rFonts w:ascii="宋体" w:hAnsi="宋体" w:cs="宋体"/>
          <w:color w:val="auto"/>
          <w:sz w:val="24"/>
          <w:highlight w:val="none"/>
        </w:rPr>
      </w:pPr>
      <w:r>
        <w:rPr>
          <w:rFonts w:hint="eastAsia" w:ascii="宋体" w:hAnsi="宋体" w:cs="宋体"/>
          <w:color w:val="auto"/>
          <w:sz w:val="24"/>
          <w:highlight w:val="none"/>
        </w:rPr>
        <w:t>3.4.7 价格磋商</w:t>
      </w:r>
    </w:p>
    <w:p w14:paraId="60E9D2DB">
      <w:pPr>
        <w:autoSpaceDE w:val="0"/>
        <w:autoSpaceDN w:val="0"/>
        <w:adjustRightInd w:val="0"/>
        <w:snapToGrid w:val="0"/>
        <w:spacing w:before="120" w:beforeLines="50" w:line="360" w:lineRule="auto"/>
        <w:ind w:firstLine="566" w:firstLineChars="236"/>
        <w:jc w:val="left"/>
        <w:rPr>
          <w:rFonts w:ascii="宋体" w:hAnsi="宋体" w:cs="宋体"/>
          <w:color w:val="auto"/>
          <w:sz w:val="24"/>
          <w:highlight w:val="none"/>
        </w:rPr>
      </w:pPr>
      <w:r>
        <w:rPr>
          <w:rFonts w:hint="eastAsia" w:ascii="宋体" w:hAnsi="宋体" w:cs="宋体"/>
          <w:color w:val="auto"/>
          <w:sz w:val="24"/>
          <w:highlight w:val="none"/>
        </w:rPr>
        <w:t>3.4.7.1 见第二章“采购项目及技术服务要求”1.3.2项规定</w:t>
      </w:r>
    </w:p>
    <w:p w14:paraId="5A7B7DA6">
      <w:pPr>
        <w:autoSpaceDE w:val="0"/>
        <w:autoSpaceDN w:val="0"/>
        <w:adjustRightInd w:val="0"/>
        <w:snapToGrid w:val="0"/>
        <w:spacing w:before="120" w:beforeLines="50" w:line="360" w:lineRule="auto"/>
        <w:ind w:firstLine="566" w:firstLineChars="236"/>
        <w:jc w:val="left"/>
        <w:rPr>
          <w:rFonts w:ascii="宋体" w:hAnsi="宋体" w:cs="宋体"/>
          <w:color w:val="auto"/>
          <w:sz w:val="24"/>
          <w:highlight w:val="none"/>
        </w:rPr>
      </w:pPr>
      <w:r>
        <w:rPr>
          <w:rFonts w:hint="eastAsia" w:ascii="宋体" w:hAnsi="宋体" w:cs="宋体"/>
          <w:color w:val="auto"/>
          <w:sz w:val="24"/>
          <w:highlight w:val="none"/>
        </w:rPr>
        <w:t>3.4.7.2 磋商小组应当要求所有继续参加磋商的供应商在规定时间内提交最后报价，提交最后报价的供应商不得少于3家。最后报价是《响应文件》的有效组成部分。</w:t>
      </w:r>
    </w:p>
    <w:p w14:paraId="6EB149A0">
      <w:pPr>
        <w:autoSpaceDE w:val="0"/>
        <w:autoSpaceDN w:val="0"/>
        <w:adjustRightInd w:val="0"/>
        <w:snapToGrid w:val="0"/>
        <w:spacing w:before="120" w:beforeLines="50" w:line="360" w:lineRule="auto"/>
        <w:ind w:firstLine="566" w:firstLineChars="236"/>
        <w:jc w:val="left"/>
        <w:rPr>
          <w:rFonts w:ascii="宋体" w:hAnsi="宋体" w:cs="宋体"/>
          <w:color w:val="auto"/>
          <w:sz w:val="24"/>
          <w:highlight w:val="none"/>
        </w:rPr>
      </w:pPr>
      <w:r>
        <w:rPr>
          <w:rFonts w:hint="eastAsia" w:ascii="宋体" w:hAnsi="宋体" w:cs="宋体"/>
          <w:color w:val="auto"/>
          <w:sz w:val="24"/>
          <w:highlight w:val="none"/>
        </w:rPr>
        <w:t>3.4.8 《磋商文件》的实质性变动影响到供应商因此无法继续参加磋商的，供应商可以在提交最后报价之前退出磋商。其《响应文件》按无效处理的供应商，所提交的最后报价也按无效处理。</w:t>
      </w:r>
    </w:p>
    <w:p w14:paraId="19E23315">
      <w:pPr>
        <w:autoSpaceDE w:val="0"/>
        <w:autoSpaceDN w:val="0"/>
        <w:adjustRightInd w:val="0"/>
        <w:snapToGrid w:val="0"/>
        <w:spacing w:before="120" w:beforeLines="50" w:line="360" w:lineRule="auto"/>
        <w:ind w:firstLine="569" w:firstLineChars="236"/>
        <w:jc w:val="left"/>
        <w:rPr>
          <w:rFonts w:ascii="宋体" w:hAnsi="宋体" w:cs="宋体"/>
          <w:b/>
          <w:color w:val="auto"/>
          <w:sz w:val="24"/>
          <w:highlight w:val="none"/>
        </w:rPr>
      </w:pPr>
      <w:r>
        <w:rPr>
          <w:rFonts w:hint="eastAsia" w:ascii="宋体" w:hAnsi="宋体" w:cs="宋体"/>
          <w:b/>
          <w:color w:val="auto"/>
          <w:sz w:val="24"/>
          <w:highlight w:val="none"/>
        </w:rPr>
        <w:t>3.4.9 供应商提交最后报价应在系统中填列分项报价，分项报价自动汇总价。</w:t>
      </w:r>
    </w:p>
    <w:p w14:paraId="3A2BBCFA">
      <w:pPr>
        <w:autoSpaceDE w:val="0"/>
        <w:autoSpaceDN w:val="0"/>
        <w:adjustRightInd w:val="0"/>
        <w:snapToGrid w:val="0"/>
        <w:spacing w:before="120" w:beforeLines="50" w:line="360" w:lineRule="auto"/>
        <w:ind w:firstLine="569" w:firstLineChars="236"/>
        <w:jc w:val="left"/>
        <w:rPr>
          <w:rFonts w:ascii="宋体" w:hAnsi="宋体" w:cs="宋体"/>
          <w:b/>
          <w:color w:val="auto"/>
          <w:sz w:val="24"/>
          <w:highlight w:val="none"/>
        </w:rPr>
      </w:pPr>
      <w:r>
        <w:rPr>
          <w:rFonts w:hint="eastAsia" w:ascii="宋体" w:hAnsi="宋体" w:cs="宋体"/>
          <w:b/>
          <w:color w:val="auto"/>
          <w:sz w:val="24"/>
          <w:highlight w:val="none"/>
        </w:rPr>
        <w:t xml:space="preserve">3.4.10 </w:t>
      </w:r>
      <w:r>
        <w:rPr>
          <w:rFonts w:hint="eastAsia" w:ascii="宋体" w:hAnsi="宋体" w:cs="宋体"/>
          <w:b/>
          <w:color w:val="auto"/>
          <w:sz w:val="24"/>
          <w:szCs w:val="24"/>
          <w:highlight w:val="none"/>
        </w:rPr>
        <w:t>本项目在开标后只进行一轮报价，即最后报价。网上交易系统中管理员发起最后报价后，</w:t>
      </w:r>
      <w:r>
        <w:rPr>
          <w:rFonts w:hint="eastAsia" w:ascii="宋体" w:hAnsi="宋体" w:cs="宋体"/>
          <w:b/>
          <w:color w:val="auto"/>
          <w:sz w:val="24"/>
          <w:highlight w:val="none"/>
        </w:rPr>
        <w:t>如供应商未在指定时限内提交最后报价，视为该供应商根据磋商情况退出磋商。</w:t>
      </w:r>
    </w:p>
    <w:p w14:paraId="398A5E83">
      <w:pPr>
        <w:autoSpaceDE w:val="0"/>
        <w:autoSpaceDN w:val="0"/>
        <w:adjustRightInd w:val="0"/>
        <w:snapToGrid w:val="0"/>
        <w:spacing w:before="120" w:beforeLines="50" w:line="360" w:lineRule="auto"/>
        <w:ind w:firstLine="569" w:firstLineChars="236"/>
        <w:jc w:val="left"/>
        <w:rPr>
          <w:rFonts w:ascii="宋体" w:hAnsi="宋体" w:cs="宋体"/>
          <w:b/>
          <w:color w:val="auto"/>
          <w:sz w:val="24"/>
          <w:highlight w:val="none"/>
        </w:rPr>
      </w:pPr>
      <w:r>
        <w:rPr>
          <w:rFonts w:hint="eastAsia" w:ascii="宋体" w:hAnsi="宋体" w:cs="宋体"/>
          <w:b/>
          <w:color w:val="auto"/>
          <w:sz w:val="24"/>
          <w:highlight w:val="none"/>
        </w:rPr>
        <w:t>3.4.11 供应商在网上报价过程中，如遇到网上投标系统的操作问题，可通过网上预留的咨询电话进行咨询。供应商因未按照要求进行操作、供应商办理的数字证书失效等其他自身原因导致响应文件错误或无效的，磋商小组将认定其为无效投标。</w:t>
      </w:r>
    </w:p>
    <w:p w14:paraId="6CFD8AAE">
      <w:pPr>
        <w:autoSpaceDE w:val="0"/>
        <w:autoSpaceDN w:val="0"/>
        <w:adjustRightInd w:val="0"/>
        <w:snapToGrid w:val="0"/>
        <w:spacing w:before="120" w:beforeLines="50" w:line="360" w:lineRule="auto"/>
        <w:ind w:firstLine="569" w:firstLineChars="236"/>
        <w:jc w:val="left"/>
        <w:rPr>
          <w:rFonts w:ascii="宋体" w:hAnsi="宋体" w:cs="宋体"/>
          <w:b/>
          <w:color w:val="auto"/>
          <w:sz w:val="24"/>
          <w:highlight w:val="none"/>
        </w:rPr>
      </w:pPr>
      <w:r>
        <w:rPr>
          <w:rFonts w:hint="eastAsia" w:ascii="宋体" w:hAnsi="宋体" w:cs="宋体"/>
          <w:b/>
          <w:color w:val="auto"/>
          <w:sz w:val="24"/>
          <w:highlight w:val="none"/>
        </w:rPr>
        <w:t>3.5 详细评审</w:t>
      </w:r>
    </w:p>
    <w:p w14:paraId="5B01E651">
      <w:pPr>
        <w:autoSpaceDE w:val="0"/>
        <w:autoSpaceDN w:val="0"/>
        <w:adjustRightInd w:val="0"/>
        <w:snapToGrid w:val="0"/>
        <w:spacing w:before="120" w:beforeLines="50" w:line="360" w:lineRule="auto"/>
        <w:ind w:firstLine="566" w:firstLineChars="236"/>
        <w:jc w:val="left"/>
        <w:rPr>
          <w:rFonts w:ascii="宋体" w:hAnsi="宋体" w:cs="宋体"/>
          <w:color w:val="auto"/>
          <w:sz w:val="24"/>
          <w:highlight w:val="none"/>
        </w:rPr>
      </w:pPr>
      <w:r>
        <w:rPr>
          <w:rFonts w:hint="eastAsia" w:ascii="宋体" w:hAnsi="宋体" w:cs="宋体"/>
          <w:color w:val="auto"/>
          <w:sz w:val="24"/>
          <w:highlight w:val="none"/>
        </w:rPr>
        <w:t>3.5.1 经磋商确定最终采购需求和提交最后报价的供应商后，由磋商小组采用综合评分法对提交最后报价的供应商的《响应文件》和最后报价进行综合评分。</w:t>
      </w:r>
    </w:p>
    <w:p w14:paraId="3B0651BA">
      <w:pPr>
        <w:autoSpaceDE w:val="0"/>
        <w:autoSpaceDN w:val="0"/>
        <w:adjustRightInd w:val="0"/>
        <w:snapToGrid w:val="0"/>
        <w:spacing w:before="120" w:beforeLines="50" w:line="360" w:lineRule="auto"/>
        <w:ind w:firstLine="566" w:firstLineChars="236"/>
        <w:jc w:val="left"/>
        <w:rPr>
          <w:rFonts w:ascii="宋体" w:hAnsi="宋体" w:cs="宋体"/>
          <w:color w:val="auto"/>
          <w:sz w:val="24"/>
          <w:highlight w:val="none"/>
        </w:rPr>
      </w:pPr>
      <w:r>
        <w:rPr>
          <w:rFonts w:hint="eastAsia" w:ascii="宋体" w:hAnsi="宋体" w:cs="宋体"/>
          <w:color w:val="auto"/>
          <w:sz w:val="24"/>
          <w:highlight w:val="none"/>
        </w:rPr>
        <w:t>3.5.2 按本章第4条规定执行促进中小企业发展扶持政策，用扣除后的价格参与评审。</w:t>
      </w:r>
    </w:p>
    <w:p w14:paraId="4EDFB881">
      <w:pPr>
        <w:autoSpaceDE w:val="0"/>
        <w:autoSpaceDN w:val="0"/>
        <w:adjustRightInd w:val="0"/>
        <w:snapToGrid w:val="0"/>
        <w:spacing w:before="120" w:beforeLines="50" w:line="360" w:lineRule="auto"/>
        <w:ind w:firstLine="566" w:firstLineChars="236"/>
        <w:jc w:val="left"/>
        <w:rPr>
          <w:rFonts w:ascii="宋体" w:hAnsi="宋体" w:cs="宋体"/>
          <w:color w:val="auto"/>
          <w:sz w:val="24"/>
          <w:highlight w:val="none"/>
        </w:rPr>
      </w:pPr>
      <w:r>
        <w:rPr>
          <w:rFonts w:hint="eastAsia" w:ascii="宋体" w:hAnsi="宋体" w:cs="宋体"/>
          <w:color w:val="auto"/>
          <w:sz w:val="24"/>
          <w:highlight w:val="none"/>
        </w:rPr>
        <w:t>3.5.3 磋商小组按本章第2.2款规定的量化因素和分值进行打分，并计算出综合评标得分。</w:t>
      </w:r>
    </w:p>
    <w:p w14:paraId="6F69FD26">
      <w:pPr>
        <w:autoSpaceDE w:val="0"/>
        <w:autoSpaceDN w:val="0"/>
        <w:adjustRightInd w:val="0"/>
        <w:snapToGrid w:val="0"/>
        <w:spacing w:before="120" w:beforeLines="50" w:line="360" w:lineRule="auto"/>
        <w:ind w:firstLine="566" w:firstLineChars="236"/>
        <w:jc w:val="left"/>
        <w:rPr>
          <w:rFonts w:ascii="宋体" w:hAnsi="宋体" w:cs="宋体"/>
          <w:color w:val="auto"/>
          <w:sz w:val="24"/>
          <w:highlight w:val="none"/>
        </w:rPr>
      </w:pPr>
      <w:r>
        <w:rPr>
          <w:rFonts w:hint="eastAsia" w:ascii="宋体" w:hAnsi="宋体" w:cs="宋体"/>
          <w:color w:val="auto"/>
          <w:sz w:val="24"/>
          <w:highlight w:val="none"/>
        </w:rPr>
        <w:t>3.5.4 评分计算保留2位小数，第三位小数四舍五入。评分计算中出现中间值时按插入法计算得分。</w:t>
      </w:r>
    </w:p>
    <w:p w14:paraId="68D1A7AF">
      <w:pPr>
        <w:autoSpaceDE w:val="0"/>
        <w:autoSpaceDN w:val="0"/>
        <w:adjustRightInd w:val="0"/>
        <w:snapToGrid w:val="0"/>
        <w:spacing w:before="120" w:beforeLines="50" w:line="360" w:lineRule="auto"/>
        <w:ind w:firstLine="566" w:firstLineChars="236"/>
        <w:jc w:val="left"/>
        <w:rPr>
          <w:rFonts w:ascii="宋体" w:hAnsi="宋体" w:cs="宋体"/>
          <w:color w:val="auto"/>
          <w:sz w:val="24"/>
          <w:highlight w:val="none"/>
        </w:rPr>
      </w:pPr>
      <w:r>
        <w:rPr>
          <w:rFonts w:hint="eastAsia" w:ascii="宋体" w:hAnsi="宋体" w:cs="宋体"/>
          <w:color w:val="auto"/>
          <w:sz w:val="24"/>
          <w:highlight w:val="none"/>
        </w:rPr>
        <w:t>3.5.5 如磋商小组一致认为最低投标或某些分项报价明显不合理，有降低质量、不能诚信履约的可能时，磋商小组有权要求供应商作出解释。如供应商不能作出合理解释，磋商小组在取得多数一致意见后，可确定该供应商不能成交。</w:t>
      </w:r>
    </w:p>
    <w:p w14:paraId="48268638">
      <w:pPr>
        <w:autoSpaceDE w:val="0"/>
        <w:autoSpaceDN w:val="0"/>
        <w:adjustRightInd w:val="0"/>
        <w:snapToGrid w:val="0"/>
        <w:spacing w:before="120" w:beforeLines="50" w:line="360" w:lineRule="auto"/>
        <w:ind w:firstLine="566" w:firstLineChars="236"/>
        <w:jc w:val="left"/>
        <w:rPr>
          <w:rFonts w:ascii="宋体" w:hAnsi="宋体" w:cs="宋体"/>
          <w:color w:val="auto"/>
          <w:sz w:val="24"/>
          <w:highlight w:val="none"/>
        </w:rPr>
      </w:pPr>
      <w:r>
        <w:rPr>
          <w:rFonts w:hint="eastAsia" w:ascii="宋体" w:hAnsi="宋体" w:cs="宋体"/>
          <w:color w:val="auto"/>
          <w:sz w:val="24"/>
          <w:highlight w:val="none"/>
        </w:rPr>
        <w:t>3.5.6 在评审过程中，凡遇到《磋商文件》中无界定或界定不清，前后不一致，使磋商小组成员意见有分歧且又难于协商一致的问题，均由磋商小组予以表决。</w:t>
      </w:r>
    </w:p>
    <w:p w14:paraId="0E3DAD63">
      <w:pPr>
        <w:autoSpaceDE w:val="0"/>
        <w:autoSpaceDN w:val="0"/>
        <w:adjustRightInd w:val="0"/>
        <w:snapToGrid w:val="0"/>
        <w:spacing w:before="120" w:beforeLines="50" w:line="360" w:lineRule="auto"/>
        <w:ind w:firstLine="566" w:firstLineChars="236"/>
        <w:jc w:val="left"/>
        <w:rPr>
          <w:rFonts w:ascii="宋体" w:hAnsi="宋体" w:cs="宋体"/>
          <w:color w:val="auto"/>
          <w:sz w:val="24"/>
          <w:highlight w:val="none"/>
        </w:rPr>
      </w:pPr>
      <w:r>
        <w:rPr>
          <w:rFonts w:hint="eastAsia" w:ascii="宋体" w:hAnsi="宋体" w:cs="宋体"/>
          <w:color w:val="auto"/>
          <w:sz w:val="24"/>
          <w:highlight w:val="none"/>
        </w:rPr>
        <w:t>3.5.7 为规避无序竞争，评审结束后，无论成交供应商或其他提交最后报价供应商，因提供虚假材料等判定成交无效、取消成交资格的情况，均将不改变磋商小组已作出的评审打分排序。</w:t>
      </w:r>
    </w:p>
    <w:p w14:paraId="4EF594FC">
      <w:pPr>
        <w:autoSpaceDE w:val="0"/>
        <w:autoSpaceDN w:val="0"/>
        <w:adjustRightInd w:val="0"/>
        <w:snapToGrid w:val="0"/>
        <w:spacing w:before="120" w:beforeLines="50" w:line="360" w:lineRule="auto"/>
        <w:ind w:firstLine="569" w:firstLineChars="236"/>
        <w:jc w:val="left"/>
        <w:rPr>
          <w:rFonts w:ascii="宋体" w:hAnsi="宋体" w:cs="宋体"/>
          <w:color w:val="auto"/>
          <w:sz w:val="24"/>
          <w:highlight w:val="none"/>
        </w:rPr>
      </w:pPr>
      <w:r>
        <w:rPr>
          <w:rFonts w:hint="eastAsia" w:ascii="宋体" w:hAnsi="宋体" w:cs="宋体"/>
          <w:b/>
          <w:color w:val="auto"/>
          <w:sz w:val="24"/>
          <w:highlight w:val="none"/>
        </w:rPr>
        <w:t>3.6 复核</w:t>
      </w:r>
    </w:p>
    <w:p w14:paraId="3B4B4FEE">
      <w:pPr>
        <w:autoSpaceDE w:val="0"/>
        <w:autoSpaceDN w:val="0"/>
        <w:adjustRightInd w:val="0"/>
        <w:snapToGrid w:val="0"/>
        <w:spacing w:before="120" w:beforeLines="50" w:line="360" w:lineRule="auto"/>
        <w:ind w:firstLine="566" w:firstLineChars="236"/>
        <w:jc w:val="left"/>
        <w:rPr>
          <w:rFonts w:ascii="宋体" w:hAnsi="宋体" w:cs="宋体"/>
          <w:color w:val="auto"/>
          <w:sz w:val="24"/>
          <w:highlight w:val="none"/>
        </w:rPr>
      </w:pPr>
      <w:r>
        <w:rPr>
          <w:rFonts w:hint="eastAsia" w:ascii="宋体" w:hAnsi="宋体" w:cs="宋体"/>
          <w:color w:val="auto"/>
          <w:sz w:val="24"/>
          <w:highlight w:val="none"/>
        </w:rPr>
        <w:t>3.6.1 磋商小组要对评分汇总情况进行复核，对评审数据进行校对、核对，特别是对排名第一的、报价最低的、被认定为无效的情形进行重点复核。</w:t>
      </w:r>
    </w:p>
    <w:p w14:paraId="085F3CA3">
      <w:pPr>
        <w:autoSpaceDE w:val="0"/>
        <w:autoSpaceDN w:val="0"/>
        <w:adjustRightInd w:val="0"/>
        <w:snapToGrid w:val="0"/>
        <w:spacing w:before="120" w:beforeLines="50" w:line="360" w:lineRule="auto"/>
        <w:ind w:firstLine="566" w:firstLineChars="236"/>
        <w:jc w:val="left"/>
        <w:rPr>
          <w:rFonts w:ascii="宋体" w:hAnsi="宋体" w:cs="宋体"/>
          <w:color w:val="auto"/>
          <w:sz w:val="24"/>
          <w:highlight w:val="none"/>
        </w:rPr>
      </w:pPr>
      <w:r>
        <w:rPr>
          <w:rFonts w:hint="eastAsia" w:ascii="宋体" w:hAnsi="宋体" w:cs="宋体"/>
          <w:color w:val="auto"/>
          <w:sz w:val="24"/>
          <w:highlight w:val="none"/>
        </w:rPr>
        <w:t>3.6.2 磋商小组对供应商的价格分等客观评分项的评分应当一致，对其他需要借助专业知识评判的主观评分项，应当严格按照评分细则公正评分，不得超出评分标准范围，对畸高、畸低的重大差异评分书面说明理由。</w:t>
      </w:r>
    </w:p>
    <w:p w14:paraId="73ADF034">
      <w:pPr>
        <w:autoSpaceDE w:val="0"/>
        <w:autoSpaceDN w:val="0"/>
        <w:adjustRightInd w:val="0"/>
        <w:snapToGrid w:val="0"/>
        <w:spacing w:before="120" w:beforeLines="50" w:line="360" w:lineRule="auto"/>
        <w:ind w:firstLine="569" w:firstLineChars="236"/>
        <w:jc w:val="left"/>
        <w:rPr>
          <w:rFonts w:ascii="宋体" w:hAnsi="宋体" w:cs="宋体"/>
          <w:b/>
          <w:color w:val="auto"/>
          <w:sz w:val="24"/>
          <w:highlight w:val="none"/>
        </w:rPr>
      </w:pPr>
      <w:r>
        <w:rPr>
          <w:rFonts w:hint="eastAsia" w:ascii="宋体" w:hAnsi="宋体" w:cs="宋体"/>
          <w:b/>
          <w:color w:val="auto"/>
          <w:sz w:val="24"/>
          <w:highlight w:val="none"/>
        </w:rPr>
        <w:t>3.7 评审结果</w:t>
      </w:r>
    </w:p>
    <w:p w14:paraId="38158687">
      <w:pPr>
        <w:autoSpaceDE w:val="0"/>
        <w:autoSpaceDN w:val="0"/>
        <w:adjustRightInd w:val="0"/>
        <w:snapToGrid w:val="0"/>
        <w:spacing w:before="120" w:beforeLines="50" w:line="360" w:lineRule="auto"/>
        <w:ind w:firstLine="616" w:firstLineChars="257"/>
        <w:jc w:val="left"/>
        <w:rPr>
          <w:rFonts w:ascii="宋体" w:hAnsi="宋体" w:cs="宋体"/>
          <w:color w:val="auto"/>
          <w:sz w:val="24"/>
          <w:highlight w:val="none"/>
        </w:rPr>
      </w:pPr>
      <w:r>
        <w:rPr>
          <w:rFonts w:hint="eastAsia" w:ascii="宋体" w:hAnsi="宋体" w:cs="宋体"/>
          <w:color w:val="auto"/>
          <w:sz w:val="24"/>
          <w:highlight w:val="none"/>
        </w:rPr>
        <w:t>3.7.1 磋商小组应当根据综合评分情况，按照评审得分由高到低顺序推荐3名以上成交候选供应商，并编写评审报告。符合本《政府采购竞争性磋商采购方式管理暂行办法》第二十一条第三款情形的，可以推荐2家成交候选供应商。评审得分相同的，按照最后报价由低到高的顺序推荐。评审得分且最后报价相同的，按照技术指标优劣顺序推荐。</w:t>
      </w:r>
    </w:p>
    <w:p w14:paraId="1411CEF9">
      <w:pPr>
        <w:autoSpaceDE w:val="0"/>
        <w:autoSpaceDN w:val="0"/>
        <w:adjustRightInd w:val="0"/>
        <w:snapToGrid w:val="0"/>
        <w:spacing w:before="120" w:beforeLines="50" w:line="360" w:lineRule="auto"/>
        <w:ind w:firstLine="566" w:firstLineChars="236"/>
        <w:jc w:val="left"/>
        <w:rPr>
          <w:rFonts w:ascii="宋体" w:hAnsi="宋体" w:cs="宋体"/>
          <w:color w:val="auto"/>
          <w:sz w:val="24"/>
          <w:highlight w:val="none"/>
        </w:rPr>
      </w:pPr>
      <w:r>
        <w:rPr>
          <w:rFonts w:hint="eastAsia" w:ascii="宋体" w:hAnsi="宋体" w:cs="宋体"/>
          <w:color w:val="auto"/>
          <w:sz w:val="24"/>
          <w:highlight w:val="none"/>
        </w:rPr>
        <w:t>3.7.2 确定中标单位：按第三章“供应商须知前附表”7.1款规定及本章第1条规定。</w:t>
      </w:r>
    </w:p>
    <w:p w14:paraId="6EA048A2">
      <w:pPr>
        <w:autoSpaceDE w:val="0"/>
        <w:autoSpaceDN w:val="0"/>
        <w:adjustRightInd w:val="0"/>
        <w:snapToGrid w:val="0"/>
        <w:spacing w:before="120" w:beforeLines="50" w:line="360" w:lineRule="auto"/>
        <w:ind w:firstLine="569" w:firstLineChars="236"/>
        <w:jc w:val="left"/>
        <w:rPr>
          <w:rFonts w:ascii="宋体" w:hAnsi="宋体" w:cs="宋体"/>
          <w:b/>
          <w:color w:val="auto"/>
          <w:sz w:val="24"/>
          <w:highlight w:val="none"/>
        </w:rPr>
      </w:pPr>
      <w:r>
        <w:rPr>
          <w:rFonts w:hint="eastAsia" w:ascii="宋体" w:hAnsi="宋体" w:cs="宋体"/>
          <w:b/>
          <w:color w:val="auto"/>
          <w:sz w:val="24"/>
          <w:highlight w:val="none"/>
        </w:rPr>
        <w:t>3.8 磋商终止</w:t>
      </w:r>
    </w:p>
    <w:p w14:paraId="51A8DAB7">
      <w:pPr>
        <w:autoSpaceDE w:val="0"/>
        <w:autoSpaceDN w:val="0"/>
        <w:adjustRightInd w:val="0"/>
        <w:snapToGrid w:val="0"/>
        <w:spacing w:before="120" w:beforeLines="50" w:line="360" w:lineRule="auto"/>
        <w:ind w:firstLine="566" w:firstLineChars="236"/>
        <w:jc w:val="left"/>
        <w:rPr>
          <w:rFonts w:ascii="宋体" w:hAnsi="宋体" w:cs="宋体"/>
          <w:color w:val="auto"/>
          <w:sz w:val="24"/>
          <w:highlight w:val="none"/>
        </w:rPr>
      </w:pPr>
      <w:r>
        <w:rPr>
          <w:rFonts w:hint="eastAsia" w:ascii="宋体" w:hAnsi="宋体" w:cs="宋体"/>
          <w:color w:val="auto"/>
          <w:sz w:val="24"/>
          <w:highlight w:val="none"/>
        </w:rPr>
        <w:t>3.8.1 出现下列情形之一的，终止竞争性磋商活动：</w:t>
      </w:r>
    </w:p>
    <w:p w14:paraId="4771F7E0">
      <w:pPr>
        <w:autoSpaceDE w:val="0"/>
        <w:autoSpaceDN w:val="0"/>
        <w:adjustRightInd w:val="0"/>
        <w:snapToGrid w:val="0"/>
        <w:spacing w:line="360" w:lineRule="auto"/>
        <w:ind w:firstLine="566" w:firstLineChars="236"/>
        <w:jc w:val="left"/>
        <w:rPr>
          <w:rFonts w:ascii="宋体" w:hAnsi="宋体" w:cs="宋体"/>
          <w:color w:val="auto"/>
          <w:sz w:val="24"/>
          <w:highlight w:val="none"/>
        </w:rPr>
      </w:pPr>
      <w:r>
        <w:rPr>
          <w:rFonts w:hint="eastAsia" w:ascii="宋体" w:hAnsi="宋体" w:cs="宋体"/>
          <w:color w:val="auto"/>
          <w:sz w:val="24"/>
          <w:highlight w:val="none"/>
        </w:rPr>
        <w:t>（1）因情况变化，不再符合规定的竞争性磋商采购方式适用情形的；</w:t>
      </w:r>
    </w:p>
    <w:p w14:paraId="6297A357">
      <w:pPr>
        <w:autoSpaceDE w:val="0"/>
        <w:autoSpaceDN w:val="0"/>
        <w:adjustRightInd w:val="0"/>
        <w:snapToGrid w:val="0"/>
        <w:spacing w:line="360" w:lineRule="auto"/>
        <w:ind w:firstLine="566" w:firstLineChars="236"/>
        <w:jc w:val="left"/>
        <w:rPr>
          <w:rFonts w:ascii="宋体" w:hAnsi="宋体" w:cs="宋体"/>
          <w:color w:val="auto"/>
          <w:sz w:val="24"/>
          <w:highlight w:val="none"/>
        </w:rPr>
      </w:pPr>
      <w:r>
        <w:rPr>
          <w:rFonts w:hint="eastAsia" w:ascii="宋体" w:hAnsi="宋体" w:cs="宋体"/>
          <w:color w:val="auto"/>
          <w:sz w:val="24"/>
          <w:highlight w:val="none"/>
        </w:rPr>
        <w:t>（2）出现影响采购公正的违法、违规行为的；</w:t>
      </w:r>
    </w:p>
    <w:p w14:paraId="267111E3">
      <w:pPr>
        <w:autoSpaceDE w:val="0"/>
        <w:autoSpaceDN w:val="0"/>
        <w:adjustRightInd w:val="0"/>
        <w:snapToGrid w:val="0"/>
        <w:spacing w:line="360" w:lineRule="auto"/>
        <w:ind w:firstLine="566" w:firstLineChars="236"/>
        <w:jc w:val="left"/>
        <w:rPr>
          <w:rFonts w:ascii="宋体" w:hAnsi="宋体" w:cs="宋体"/>
          <w:color w:val="auto"/>
          <w:sz w:val="24"/>
          <w:highlight w:val="none"/>
        </w:rPr>
      </w:pPr>
      <w:r>
        <w:rPr>
          <w:rFonts w:hint="eastAsia" w:ascii="宋体" w:hAnsi="宋体" w:cs="宋体"/>
          <w:color w:val="auto"/>
          <w:sz w:val="24"/>
          <w:highlight w:val="none"/>
        </w:rPr>
        <w:t>（3）除《政府采购竞争性磋商采购方式管理暂行办法》第二十一条第三款规定的情形外，在采购过程中符合竞争要求的供应商或者报价未超过预算金额的供应商不足3家的；</w:t>
      </w:r>
    </w:p>
    <w:p w14:paraId="4084F783">
      <w:pPr>
        <w:autoSpaceDE w:val="0"/>
        <w:autoSpaceDN w:val="0"/>
        <w:adjustRightInd w:val="0"/>
        <w:snapToGrid w:val="0"/>
        <w:spacing w:line="360" w:lineRule="auto"/>
        <w:ind w:firstLine="566" w:firstLineChars="236"/>
        <w:jc w:val="left"/>
        <w:rPr>
          <w:rFonts w:ascii="宋体" w:hAnsi="宋体" w:cs="宋体"/>
          <w:color w:val="auto"/>
          <w:sz w:val="24"/>
          <w:highlight w:val="none"/>
        </w:rPr>
      </w:pPr>
      <w:r>
        <w:rPr>
          <w:rFonts w:hint="eastAsia" w:ascii="宋体" w:hAnsi="宋体" w:cs="宋体"/>
          <w:color w:val="auto"/>
          <w:sz w:val="24"/>
          <w:highlight w:val="none"/>
        </w:rPr>
        <w:t>（4）在采购活动中因重大变故，采购任务取消的。</w:t>
      </w:r>
    </w:p>
    <w:p w14:paraId="00D6E4CB">
      <w:pPr>
        <w:autoSpaceDE w:val="0"/>
        <w:autoSpaceDN w:val="0"/>
        <w:adjustRightInd w:val="0"/>
        <w:snapToGrid w:val="0"/>
        <w:spacing w:before="120" w:beforeLines="50" w:line="360" w:lineRule="auto"/>
        <w:ind w:firstLine="566" w:firstLineChars="236"/>
        <w:jc w:val="left"/>
        <w:rPr>
          <w:rFonts w:ascii="宋体" w:hAnsi="宋体" w:cs="宋体"/>
          <w:color w:val="auto"/>
          <w:sz w:val="24"/>
          <w:highlight w:val="none"/>
        </w:rPr>
      </w:pPr>
      <w:r>
        <w:rPr>
          <w:rFonts w:hint="eastAsia" w:ascii="宋体" w:hAnsi="宋体" w:cs="宋体"/>
          <w:color w:val="auto"/>
          <w:sz w:val="24"/>
          <w:highlight w:val="none"/>
        </w:rPr>
        <w:t>3.8.2 磋商小组要在采购项目（标段</w:t>
      </w:r>
      <w:r>
        <w:rPr>
          <w:rFonts w:hint="eastAsia" w:ascii="宋体" w:hAnsi="宋体" w:cs="宋体"/>
          <w:color w:val="auto"/>
          <w:sz w:val="24"/>
          <w:highlight w:val="none"/>
          <w:lang w:val="zh-CN"/>
        </w:rPr>
        <w:t>&lt;包&gt;</w:t>
      </w:r>
      <w:r>
        <w:rPr>
          <w:rFonts w:hint="eastAsia" w:ascii="宋体" w:hAnsi="宋体" w:cs="宋体"/>
          <w:color w:val="auto"/>
          <w:sz w:val="24"/>
          <w:highlight w:val="none"/>
        </w:rPr>
        <w:t>）磋商失败时，出具《磋商文件》是否存在不合理条款的论证意见，要协助采购人、采购代理机构、财政部门答复质疑或处理投诉事项。　</w:t>
      </w:r>
    </w:p>
    <w:p w14:paraId="17B271C8">
      <w:pPr>
        <w:autoSpaceDE w:val="0"/>
        <w:autoSpaceDN w:val="0"/>
        <w:adjustRightInd w:val="0"/>
        <w:snapToGrid w:val="0"/>
        <w:spacing w:before="120" w:beforeLines="50" w:line="360" w:lineRule="auto"/>
        <w:ind w:firstLine="539"/>
        <w:outlineLvl w:val="1"/>
        <w:rPr>
          <w:rFonts w:ascii="宋体" w:hAnsi="宋体" w:cs="宋体"/>
          <w:b/>
          <w:bCs/>
          <w:color w:val="auto"/>
          <w:sz w:val="28"/>
          <w:szCs w:val="28"/>
          <w:highlight w:val="none"/>
          <w:lang w:val="zh-CN"/>
        </w:rPr>
      </w:pPr>
      <w:bookmarkStart w:id="35" w:name="_Toc83372559"/>
      <w:bookmarkStart w:id="36" w:name="_Toc60841758"/>
      <w:r>
        <w:rPr>
          <w:rFonts w:hint="eastAsia" w:ascii="宋体" w:hAnsi="宋体" w:cs="宋体"/>
          <w:b/>
          <w:bCs/>
          <w:color w:val="auto"/>
          <w:sz w:val="28"/>
          <w:szCs w:val="28"/>
          <w:highlight w:val="none"/>
          <w:lang w:val="zh-CN"/>
        </w:rPr>
        <w:t>4. 政府采购促进中小企业发展扶持政策</w:t>
      </w:r>
      <w:bookmarkEnd w:id="35"/>
      <w:bookmarkEnd w:id="36"/>
      <w:r>
        <w:rPr>
          <w:rFonts w:hint="eastAsia" w:ascii="宋体" w:hAnsi="宋体" w:cs="宋体"/>
          <w:b/>
          <w:bCs/>
          <w:color w:val="auto"/>
          <w:sz w:val="28"/>
          <w:szCs w:val="28"/>
          <w:highlight w:val="none"/>
          <w:lang w:val="en-US" w:eastAsia="zh-CN"/>
        </w:rPr>
        <w:t>(</w:t>
      </w:r>
      <w:r>
        <w:rPr>
          <w:rFonts w:hint="eastAsia" w:ascii="宋体" w:hAnsi="宋体" w:cs="宋体"/>
          <w:b/>
          <w:bCs/>
          <w:color w:val="auto"/>
          <w:sz w:val="28"/>
          <w:szCs w:val="28"/>
          <w:highlight w:val="none"/>
          <w:lang w:val="zh-CN"/>
        </w:rPr>
        <w:t>符合政府采购促进中小企业发展</w:t>
      </w:r>
      <w:r>
        <w:rPr>
          <w:rFonts w:hint="eastAsia" w:ascii="宋体" w:hAnsi="宋体" w:cs="宋体"/>
          <w:b/>
          <w:bCs/>
          <w:color w:val="auto"/>
          <w:sz w:val="28"/>
          <w:szCs w:val="28"/>
          <w:highlight w:val="none"/>
          <w:lang w:val="en-US" w:eastAsia="zh-CN"/>
        </w:rPr>
        <w:t>管理</w:t>
      </w:r>
      <w:r>
        <w:rPr>
          <w:rFonts w:hint="eastAsia" w:ascii="宋体" w:hAnsi="宋体" w:cs="宋体"/>
          <w:b/>
          <w:bCs/>
          <w:color w:val="auto"/>
          <w:sz w:val="28"/>
          <w:szCs w:val="28"/>
          <w:highlight w:val="none"/>
          <w:lang w:val="zh-CN"/>
        </w:rPr>
        <w:t>办法规定的</w:t>
      </w:r>
      <w:r>
        <w:rPr>
          <w:rFonts w:hint="eastAsia" w:ascii="宋体" w:hAnsi="宋体" w:cs="宋体"/>
          <w:b/>
          <w:bCs/>
          <w:color w:val="auto"/>
          <w:sz w:val="28"/>
          <w:szCs w:val="28"/>
          <w:highlight w:val="none"/>
          <w:lang w:val="en-US" w:eastAsia="zh-CN"/>
        </w:rPr>
        <w:t>投标</w:t>
      </w:r>
      <w:r>
        <w:rPr>
          <w:rFonts w:hint="eastAsia" w:ascii="宋体" w:hAnsi="宋体" w:cs="宋体"/>
          <w:b/>
          <w:bCs/>
          <w:color w:val="auto"/>
          <w:sz w:val="28"/>
          <w:szCs w:val="28"/>
          <w:highlight w:val="none"/>
          <w:lang w:val="zh-CN"/>
        </w:rPr>
        <w:t>报价给予</w:t>
      </w:r>
      <w:r>
        <w:rPr>
          <w:rFonts w:hint="eastAsia" w:ascii="宋体" w:hAnsi="宋体" w:cs="宋体"/>
          <w:b/>
          <w:bCs/>
          <w:color w:val="auto"/>
          <w:sz w:val="28"/>
          <w:szCs w:val="28"/>
          <w:highlight w:val="none"/>
          <w:lang w:val="en-US" w:eastAsia="zh-CN"/>
        </w:rPr>
        <w:t>20</w:t>
      </w:r>
      <w:r>
        <w:rPr>
          <w:rFonts w:hint="eastAsia" w:ascii="宋体" w:hAnsi="宋体" w:cs="宋体"/>
          <w:b/>
          <w:bCs/>
          <w:color w:val="auto"/>
          <w:sz w:val="28"/>
          <w:szCs w:val="28"/>
          <w:highlight w:val="none"/>
          <w:lang w:val="zh-CN"/>
        </w:rPr>
        <w:t>%的扣除，用扣除后的价格参加评审）</w:t>
      </w:r>
    </w:p>
    <w:p w14:paraId="784DEA6D">
      <w:pPr>
        <w:autoSpaceDE w:val="0"/>
        <w:autoSpaceDN w:val="0"/>
        <w:adjustRightInd w:val="0"/>
        <w:snapToGrid w:val="0"/>
        <w:spacing w:before="120" w:beforeLines="50" w:line="360" w:lineRule="auto"/>
        <w:ind w:firstLine="616" w:firstLineChars="257"/>
        <w:jc w:val="left"/>
        <w:rPr>
          <w:rFonts w:ascii="宋体" w:hAnsi="宋体" w:cs="宋体"/>
          <w:color w:val="auto"/>
          <w:sz w:val="24"/>
          <w:highlight w:val="none"/>
        </w:rPr>
      </w:pPr>
      <w:bookmarkStart w:id="37" w:name="_Toc83372560"/>
      <w:r>
        <w:rPr>
          <w:rFonts w:hint="eastAsia" w:ascii="宋体" w:hAnsi="宋体" w:cs="宋体"/>
          <w:color w:val="auto"/>
          <w:sz w:val="24"/>
          <w:highlight w:val="none"/>
        </w:rPr>
        <w:t xml:space="preserve">4.1 中小企业是指，在中华人民共和国境内依法设立，依据国务院批准的中小企业划分标准确定的中型、小型和微型企业，但与大企业的负责人为同 一人，或者与大企业存在直接控股、管理关系的除外。符合中小企业划分标准的个体工商户，在政府采购活动中视同中小企业。 </w:t>
      </w:r>
    </w:p>
    <w:p w14:paraId="6FE28BE5">
      <w:pPr>
        <w:autoSpaceDE w:val="0"/>
        <w:autoSpaceDN w:val="0"/>
        <w:adjustRightInd w:val="0"/>
        <w:snapToGrid w:val="0"/>
        <w:spacing w:before="120" w:beforeLines="50" w:line="360" w:lineRule="auto"/>
        <w:ind w:firstLine="616" w:firstLineChars="257"/>
        <w:jc w:val="left"/>
        <w:rPr>
          <w:rFonts w:ascii="宋体" w:hAnsi="宋体" w:cs="宋体"/>
          <w:color w:val="auto"/>
          <w:sz w:val="24"/>
          <w:highlight w:val="none"/>
        </w:rPr>
      </w:pPr>
      <w:r>
        <w:rPr>
          <w:rFonts w:hint="eastAsia" w:ascii="宋体" w:hAnsi="宋体" w:cs="宋体"/>
          <w:color w:val="auto"/>
          <w:sz w:val="24"/>
          <w:highlight w:val="none"/>
        </w:rPr>
        <w:t xml:space="preserve">4.2 本次政府采购活动中，供应商提供的货物、工程或者服务符合下列情形的，享受中小企业扶持政策： </w:t>
      </w:r>
    </w:p>
    <w:p w14:paraId="4CC15651">
      <w:pPr>
        <w:autoSpaceDE w:val="0"/>
        <w:autoSpaceDN w:val="0"/>
        <w:adjustRightInd w:val="0"/>
        <w:snapToGrid w:val="0"/>
        <w:spacing w:before="120" w:beforeLines="50" w:line="360" w:lineRule="auto"/>
        <w:ind w:firstLine="616" w:firstLineChars="257"/>
        <w:jc w:val="left"/>
        <w:rPr>
          <w:rFonts w:ascii="宋体" w:hAnsi="宋体" w:cs="宋体"/>
          <w:color w:val="auto"/>
          <w:sz w:val="24"/>
          <w:highlight w:val="none"/>
        </w:rPr>
      </w:pPr>
      <w:r>
        <w:rPr>
          <w:rFonts w:hint="eastAsia" w:ascii="宋体" w:hAnsi="宋体" w:cs="宋体"/>
          <w:color w:val="auto"/>
          <w:sz w:val="24"/>
          <w:highlight w:val="none"/>
        </w:rPr>
        <w:t xml:space="preserve">（1）在货物采购项目中，货物由中小企业制造，即货物由中小企业生产且使用该中小企业商号或者注册商标，但供应商提供的货物既有中小企业制造货物，也有大型企业制造货物的，不享受中小企业扶持政策； </w:t>
      </w:r>
    </w:p>
    <w:p w14:paraId="21AB94CF">
      <w:pPr>
        <w:autoSpaceDE w:val="0"/>
        <w:autoSpaceDN w:val="0"/>
        <w:adjustRightInd w:val="0"/>
        <w:snapToGrid w:val="0"/>
        <w:spacing w:before="120" w:beforeLines="50" w:line="360" w:lineRule="auto"/>
        <w:ind w:firstLine="616" w:firstLineChars="257"/>
        <w:jc w:val="left"/>
        <w:rPr>
          <w:rFonts w:ascii="宋体" w:hAnsi="宋体" w:cs="宋体"/>
          <w:color w:val="auto"/>
          <w:sz w:val="24"/>
          <w:highlight w:val="none"/>
        </w:rPr>
      </w:pPr>
      <w:r>
        <w:rPr>
          <w:rFonts w:hint="eastAsia" w:ascii="宋体" w:hAnsi="宋体" w:cs="宋体"/>
          <w:color w:val="auto"/>
          <w:sz w:val="24"/>
          <w:highlight w:val="none"/>
        </w:rPr>
        <w:t xml:space="preserve">（2）在工程采购项目中，工程由中小企业承建，即工程施工单位为中小企业； </w:t>
      </w:r>
    </w:p>
    <w:p w14:paraId="6971732E">
      <w:pPr>
        <w:autoSpaceDE w:val="0"/>
        <w:autoSpaceDN w:val="0"/>
        <w:adjustRightInd w:val="0"/>
        <w:snapToGrid w:val="0"/>
        <w:spacing w:before="120" w:beforeLines="50" w:line="360" w:lineRule="auto"/>
        <w:ind w:firstLine="616" w:firstLineChars="257"/>
        <w:jc w:val="left"/>
        <w:rPr>
          <w:rFonts w:ascii="宋体" w:hAnsi="宋体" w:cs="宋体"/>
          <w:color w:val="auto"/>
          <w:sz w:val="24"/>
          <w:highlight w:val="none"/>
        </w:rPr>
      </w:pPr>
      <w:r>
        <w:rPr>
          <w:rFonts w:hint="eastAsia" w:ascii="宋体" w:hAnsi="宋体" w:cs="宋体"/>
          <w:color w:val="auto"/>
          <w:sz w:val="24"/>
          <w:highlight w:val="none"/>
        </w:rPr>
        <w:t xml:space="preserve">（3）在服务采购项目中，服务由中小企业承接，即提供服务的人员为中小企业依照《中华人民共和国劳动合同法》订立劳动合同的从业人员； </w:t>
      </w:r>
    </w:p>
    <w:p w14:paraId="55F879C5">
      <w:pPr>
        <w:autoSpaceDE w:val="0"/>
        <w:autoSpaceDN w:val="0"/>
        <w:adjustRightInd w:val="0"/>
        <w:snapToGrid w:val="0"/>
        <w:spacing w:before="120" w:beforeLines="50" w:line="360" w:lineRule="auto"/>
        <w:ind w:firstLine="616" w:firstLineChars="257"/>
        <w:jc w:val="left"/>
        <w:rPr>
          <w:rFonts w:ascii="宋体" w:hAnsi="宋体" w:cs="宋体"/>
          <w:color w:val="auto"/>
          <w:sz w:val="24"/>
          <w:highlight w:val="none"/>
        </w:rPr>
      </w:pPr>
      <w:r>
        <w:rPr>
          <w:rFonts w:hint="eastAsia" w:ascii="宋体" w:hAnsi="宋体" w:cs="宋体"/>
          <w:color w:val="auto"/>
          <w:sz w:val="24"/>
          <w:highlight w:val="none"/>
        </w:rPr>
        <w:t xml:space="preserve">（4）以联合体形式参加政府采购活动，联合体各方均为中小企业的，联合体视同中小企业。其中，联合体各方均为小微企业的，联合体视同小微企业。 </w:t>
      </w:r>
    </w:p>
    <w:p w14:paraId="4E5EB8BD">
      <w:pPr>
        <w:autoSpaceDE w:val="0"/>
        <w:autoSpaceDN w:val="0"/>
        <w:adjustRightInd w:val="0"/>
        <w:snapToGrid w:val="0"/>
        <w:spacing w:before="120" w:beforeLines="50" w:line="360" w:lineRule="auto"/>
        <w:ind w:firstLine="616" w:firstLineChars="257"/>
        <w:jc w:val="left"/>
        <w:rPr>
          <w:rFonts w:ascii="宋体" w:hAnsi="宋体" w:cs="宋体"/>
          <w:color w:val="auto"/>
          <w:sz w:val="24"/>
          <w:highlight w:val="none"/>
        </w:rPr>
      </w:pPr>
      <w:r>
        <w:rPr>
          <w:rFonts w:hint="eastAsia" w:ascii="宋体" w:hAnsi="宋体" w:cs="宋体"/>
          <w:color w:val="auto"/>
          <w:sz w:val="24"/>
          <w:highlight w:val="none"/>
        </w:rPr>
        <w:t xml:space="preserve">4.3 若本项目或采购包是专门预留采购份额面向中小企业采购的，则供应商必须提供相关证明材料予以证明，参加本项目或采购包的供应商不再享受价格扣除政策。 </w:t>
      </w:r>
    </w:p>
    <w:p w14:paraId="25C49332">
      <w:pPr>
        <w:autoSpaceDE w:val="0"/>
        <w:autoSpaceDN w:val="0"/>
        <w:adjustRightInd w:val="0"/>
        <w:snapToGrid w:val="0"/>
        <w:spacing w:before="120" w:beforeLines="50" w:line="360" w:lineRule="auto"/>
        <w:ind w:firstLine="616" w:firstLineChars="257"/>
        <w:jc w:val="left"/>
        <w:rPr>
          <w:rFonts w:ascii="宋体" w:hAnsi="宋体" w:cs="宋体"/>
          <w:color w:val="auto"/>
          <w:sz w:val="24"/>
          <w:highlight w:val="none"/>
        </w:rPr>
      </w:pPr>
      <w:r>
        <w:rPr>
          <w:rFonts w:hint="eastAsia" w:ascii="宋体" w:hAnsi="宋体" w:cs="宋体"/>
          <w:color w:val="auto"/>
          <w:sz w:val="24"/>
          <w:highlight w:val="none"/>
        </w:rPr>
        <w:t xml:space="preserve">4.4 若本项目或采购包是非专门预留采购份额面向中小企业采购的，则对小微企业的价格给予 10%的扣除，用扣除后的价格参加评审。若本次政府采购活动允许大中型企业与小微企业组成联合体或者允许大中型企业向一家或者多家小微企业分包的，对于联合协议或者分包意向协议约定小微企业的合同份额占到合同总金额 30%以上的，给予联合体或者大中型企业 4%的价格扣除，用扣除后的价格参加评审。 </w:t>
      </w:r>
    </w:p>
    <w:p w14:paraId="44F26E84">
      <w:pPr>
        <w:autoSpaceDE w:val="0"/>
        <w:autoSpaceDN w:val="0"/>
        <w:adjustRightInd w:val="0"/>
        <w:snapToGrid w:val="0"/>
        <w:spacing w:before="120" w:beforeLines="50" w:line="360" w:lineRule="auto"/>
        <w:ind w:firstLine="616" w:firstLineChars="257"/>
        <w:jc w:val="left"/>
        <w:rPr>
          <w:rFonts w:ascii="宋体" w:hAnsi="宋体" w:cs="宋体"/>
          <w:color w:val="auto"/>
          <w:sz w:val="24"/>
          <w:highlight w:val="none"/>
        </w:rPr>
      </w:pPr>
      <w:r>
        <w:rPr>
          <w:rFonts w:hint="eastAsia" w:ascii="宋体" w:hAnsi="宋体" w:cs="宋体"/>
          <w:color w:val="auto"/>
          <w:sz w:val="24"/>
          <w:highlight w:val="none"/>
        </w:rPr>
        <w:t xml:space="preserve">4.5 享受小微企业价格扣除的界定依据（未按要求提供相关资料的，不享受价格扣除扶持政策）： </w:t>
      </w:r>
    </w:p>
    <w:p w14:paraId="06B5AC91">
      <w:pPr>
        <w:autoSpaceDE w:val="0"/>
        <w:autoSpaceDN w:val="0"/>
        <w:adjustRightInd w:val="0"/>
        <w:snapToGrid w:val="0"/>
        <w:spacing w:before="120" w:beforeLines="50" w:line="360" w:lineRule="auto"/>
        <w:ind w:firstLine="616" w:firstLineChars="257"/>
        <w:jc w:val="left"/>
        <w:rPr>
          <w:rFonts w:ascii="宋体" w:hAnsi="宋体" w:cs="宋体"/>
          <w:color w:val="auto"/>
          <w:sz w:val="24"/>
          <w:highlight w:val="none"/>
        </w:rPr>
      </w:pPr>
      <w:r>
        <w:rPr>
          <w:rFonts w:hint="eastAsia" w:ascii="宋体" w:hAnsi="宋体" w:cs="宋体"/>
          <w:color w:val="auto"/>
          <w:sz w:val="24"/>
          <w:highlight w:val="none"/>
        </w:rPr>
        <w:t>(1)参加本次政府采购活动的</w:t>
      </w:r>
      <w:r>
        <w:rPr>
          <w:rFonts w:hint="eastAsia" w:ascii="宋体" w:hAnsi="宋体" w:cs="宋体"/>
          <w:color w:val="auto"/>
          <w:sz w:val="24"/>
          <w:highlight w:val="none"/>
          <w:lang w:val="en-US" w:eastAsia="zh-CN"/>
        </w:rPr>
        <w:t>投标单位</w:t>
      </w:r>
      <w:r>
        <w:rPr>
          <w:rFonts w:hint="eastAsia" w:ascii="宋体" w:hAnsi="宋体" w:cs="宋体"/>
          <w:color w:val="auto"/>
          <w:sz w:val="24"/>
          <w:highlight w:val="none"/>
        </w:rPr>
        <w:t>应按附件格式提供</w:t>
      </w:r>
      <w:r>
        <w:rPr>
          <w:rFonts w:hint="eastAsia" w:ascii="宋体" w:hAnsi="宋体" w:cs="宋体"/>
          <w:color w:val="auto"/>
          <w:sz w:val="24"/>
          <w:highlight w:val="none"/>
          <w:lang w:val="en-US" w:eastAsia="zh-CN"/>
        </w:rPr>
        <w:t>真实有效的</w:t>
      </w:r>
      <w:r>
        <w:rPr>
          <w:rFonts w:hint="eastAsia" w:ascii="宋体" w:hAnsi="宋体" w:cs="宋体"/>
          <w:color w:val="auto"/>
          <w:sz w:val="24"/>
          <w:highlight w:val="none"/>
        </w:rPr>
        <w:t xml:space="preserve">《中小企业声明函》； </w:t>
      </w:r>
    </w:p>
    <w:p w14:paraId="2FDB8366">
      <w:pPr>
        <w:autoSpaceDE w:val="0"/>
        <w:autoSpaceDN w:val="0"/>
        <w:adjustRightInd w:val="0"/>
        <w:snapToGrid w:val="0"/>
        <w:spacing w:before="120" w:beforeLines="50" w:line="360" w:lineRule="auto"/>
        <w:ind w:firstLine="616" w:firstLineChars="257"/>
        <w:jc w:val="left"/>
        <w:rPr>
          <w:rFonts w:ascii="宋体" w:hAnsi="宋体" w:cs="宋体"/>
          <w:color w:val="auto"/>
          <w:sz w:val="24"/>
          <w:highlight w:val="none"/>
        </w:rPr>
      </w:pPr>
      <w:r>
        <w:rPr>
          <w:rFonts w:hint="eastAsia" w:ascii="宋体" w:hAnsi="宋体" w:cs="宋体"/>
          <w:color w:val="auto"/>
          <w:sz w:val="24"/>
          <w:highlight w:val="none"/>
        </w:rPr>
        <w:t xml:space="preserve">4.6 监狱企业视同小型、微型企业，享受预留份额、评审中价格扣除等政府采购促进中小企业发展的政府采购政策。监狱企业参加政府采购活动时，应当提供由省级以上监狱管理局、戒毒管理局（含新疆生产建设兵团）出具的属于监狱企业的证明文件。 </w:t>
      </w:r>
    </w:p>
    <w:p w14:paraId="720592B0">
      <w:pPr>
        <w:autoSpaceDE w:val="0"/>
        <w:autoSpaceDN w:val="0"/>
        <w:adjustRightInd w:val="0"/>
        <w:snapToGrid w:val="0"/>
        <w:spacing w:before="120" w:beforeLines="50" w:line="360" w:lineRule="auto"/>
        <w:ind w:firstLine="616" w:firstLineChars="257"/>
        <w:jc w:val="left"/>
        <w:rPr>
          <w:rFonts w:ascii="宋体" w:hAnsi="宋体" w:cs="宋体"/>
          <w:color w:val="auto"/>
          <w:sz w:val="24"/>
          <w:highlight w:val="none"/>
        </w:rPr>
      </w:pPr>
      <w:r>
        <w:rPr>
          <w:rFonts w:hint="eastAsia" w:ascii="宋体" w:hAnsi="宋体" w:cs="宋体"/>
          <w:color w:val="auto"/>
          <w:sz w:val="24"/>
          <w:highlight w:val="none"/>
        </w:rPr>
        <w:t xml:space="preserve">4.7 磋商小组对供应商申报的小微企业产品的价格扣除事项进行评审： </w:t>
      </w:r>
    </w:p>
    <w:p w14:paraId="6A5F1300">
      <w:pPr>
        <w:autoSpaceDE w:val="0"/>
        <w:autoSpaceDN w:val="0"/>
        <w:adjustRightInd w:val="0"/>
        <w:snapToGrid w:val="0"/>
        <w:spacing w:before="120" w:beforeLines="50" w:line="360" w:lineRule="auto"/>
        <w:ind w:firstLine="616" w:firstLineChars="257"/>
        <w:jc w:val="left"/>
        <w:rPr>
          <w:rFonts w:ascii="宋体" w:hAnsi="宋体" w:cs="宋体"/>
          <w:color w:val="auto"/>
          <w:sz w:val="24"/>
          <w:highlight w:val="none"/>
        </w:rPr>
      </w:pPr>
      <w:r>
        <w:rPr>
          <w:rFonts w:hint="eastAsia" w:ascii="宋体" w:hAnsi="宋体" w:cs="宋体"/>
          <w:color w:val="auto"/>
          <w:sz w:val="24"/>
          <w:highlight w:val="none"/>
        </w:rPr>
        <w:t xml:space="preserve">(1)磋商小组对供应商申报的小微企业产品的价格扣除事项的评审结论，分为合格与不合格； </w:t>
      </w:r>
    </w:p>
    <w:p w14:paraId="5DC8E4A5">
      <w:pPr>
        <w:autoSpaceDE w:val="0"/>
        <w:autoSpaceDN w:val="0"/>
        <w:adjustRightInd w:val="0"/>
        <w:snapToGrid w:val="0"/>
        <w:spacing w:before="120" w:beforeLines="50" w:line="360" w:lineRule="auto"/>
        <w:ind w:firstLine="616" w:firstLineChars="257"/>
        <w:jc w:val="left"/>
        <w:rPr>
          <w:rFonts w:ascii="宋体" w:hAnsi="宋体" w:cs="宋体"/>
          <w:color w:val="auto"/>
          <w:sz w:val="24"/>
          <w:highlight w:val="none"/>
        </w:rPr>
      </w:pPr>
      <w:r>
        <w:rPr>
          <w:rFonts w:hint="eastAsia" w:ascii="宋体" w:hAnsi="宋体" w:cs="宋体"/>
          <w:color w:val="auto"/>
          <w:sz w:val="24"/>
          <w:highlight w:val="none"/>
        </w:rPr>
        <w:t xml:space="preserve">(2)经评审、申报的价格扣除事项如有计算错误（明细金额或总金额有元以上计算错误）、多报产品、错报产品、明细报价不合理对价格扣除产生重要影响、缺失声明函等任一不符合政策要求及不准确的事项，磋商小组将评审为不合格，该供应商申报的价格扣除事项不予接受； </w:t>
      </w:r>
    </w:p>
    <w:p w14:paraId="53EE229D">
      <w:pPr>
        <w:autoSpaceDE w:val="0"/>
        <w:autoSpaceDN w:val="0"/>
        <w:adjustRightInd w:val="0"/>
        <w:snapToGrid w:val="0"/>
        <w:spacing w:before="120" w:beforeLines="50" w:line="360" w:lineRule="auto"/>
        <w:ind w:firstLine="616" w:firstLineChars="257"/>
        <w:jc w:val="left"/>
        <w:rPr>
          <w:rFonts w:ascii="宋体" w:hAnsi="宋体" w:cs="宋体"/>
          <w:color w:val="auto"/>
          <w:sz w:val="24"/>
          <w:highlight w:val="none"/>
        </w:rPr>
      </w:pPr>
      <w:r>
        <w:rPr>
          <w:rFonts w:hint="eastAsia" w:ascii="宋体" w:hAnsi="宋体" w:cs="宋体"/>
          <w:color w:val="auto"/>
          <w:sz w:val="24"/>
          <w:highlight w:val="none"/>
        </w:rPr>
        <w:t xml:space="preserve">(3)评审合格的，接受其申报的小微企业产品的价格扣除总金额，用扣除后的价格参与评审。 </w:t>
      </w:r>
    </w:p>
    <w:p w14:paraId="10271ED3">
      <w:pPr>
        <w:autoSpaceDE w:val="0"/>
        <w:autoSpaceDN w:val="0"/>
        <w:adjustRightInd w:val="0"/>
        <w:snapToGrid w:val="0"/>
        <w:spacing w:before="120" w:beforeLines="50" w:line="360" w:lineRule="auto"/>
        <w:ind w:firstLine="616" w:firstLineChars="257"/>
        <w:jc w:val="left"/>
        <w:rPr>
          <w:rFonts w:ascii="宋体" w:hAnsi="宋体" w:cs="宋体"/>
          <w:color w:val="auto"/>
          <w:sz w:val="24"/>
          <w:highlight w:val="none"/>
        </w:rPr>
      </w:pPr>
      <w:r>
        <w:rPr>
          <w:rFonts w:hint="eastAsia" w:ascii="宋体" w:hAnsi="宋体" w:cs="宋体"/>
          <w:color w:val="auto"/>
          <w:sz w:val="24"/>
          <w:highlight w:val="none"/>
        </w:rPr>
        <w:t xml:space="preserve">4.8 享受扶持政策获得政府采购合同的小微企业不得将合同分包给大中型企业，中型企业不得将合同分包给大型企业。 </w:t>
      </w:r>
    </w:p>
    <w:p w14:paraId="0B2BADB3">
      <w:pPr>
        <w:autoSpaceDE w:val="0"/>
        <w:autoSpaceDN w:val="0"/>
        <w:adjustRightInd w:val="0"/>
        <w:snapToGrid w:val="0"/>
        <w:spacing w:before="120" w:beforeLines="50" w:line="360" w:lineRule="auto"/>
        <w:ind w:firstLine="616" w:firstLineChars="257"/>
        <w:jc w:val="left"/>
        <w:rPr>
          <w:rFonts w:ascii="宋体" w:hAnsi="宋体" w:cs="宋体"/>
          <w:color w:val="auto"/>
          <w:sz w:val="24"/>
          <w:highlight w:val="none"/>
        </w:rPr>
      </w:pPr>
      <w:r>
        <w:rPr>
          <w:rFonts w:hint="eastAsia" w:ascii="宋体" w:hAnsi="宋体" w:cs="宋体"/>
          <w:color w:val="auto"/>
          <w:sz w:val="24"/>
          <w:highlight w:val="none"/>
        </w:rPr>
        <w:t>5.促进残疾人就业政策</w:t>
      </w:r>
    </w:p>
    <w:p w14:paraId="54D8FA96">
      <w:pPr>
        <w:autoSpaceDE w:val="0"/>
        <w:autoSpaceDN w:val="0"/>
        <w:adjustRightInd w:val="0"/>
        <w:snapToGrid w:val="0"/>
        <w:spacing w:before="120" w:beforeLines="50" w:line="360" w:lineRule="auto"/>
        <w:ind w:firstLine="616" w:firstLineChars="257"/>
        <w:jc w:val="left"/>
        <w:rPr>
          <w:rFonts w:ascii="宋体" w:hAnsi="宋体" w:cs="宋体"/>
          <w:color w:val="auto"/>
          <w:sz w:val="24"/>
          <w:highlight w:val="none"/>
        </w:rPr>
      </w:pPr>
      <w:r>
        <w:rPr>
          <w:rFonts w:hint="eastAsia" w:ascii="宋体" w:hAnsi="宋体" w:cs="宋体"/>
          <w:color w:val="auto"/>
          <w:sz w:val="24"/>
          <w:highlight w:val="none"/>
        </w:rPr>
        <w:t xml:space="preserve">5.1 享受政府采购支持政策的残疾人福利性单位应当同时满足以下条件： </w:t>
      </w:r>
    </w:p>
    <w:p w14:paraId="6AA5F568">
      <w:pPr>
        <w:autoSpaceDE w:val="0"/>
        <w:autoSpaceDN w:val="0"/>
        <w:adjustRightInd w:val="0"/>
        <w:snapToGrid w:val="0"/>
        <w:spacing w:before="120" w:beforeLines="50" w:line="360" w:lineRule="auto"/>
        <w:ind w:firstLine="616" w:firstLineChars="257"/>
        <w:jc w:val="left"/>
        <w:rPr>
          <w:rFonts w:ascii="宋体" w:hAnsi="宋体" w:cs="宋体"/>
          <w:color w:val="auto"/>
          <w:sz w:val="24"/>
          <w:highlight w:val="none"/>
        </w:rPr>
      </w:pPr>
      <w:r>
        <w:rPr>
          <w:rFonts w:hint="eastAsia" w:ascii="宋体" w:hAnsi="宋体" w:cs="宋体"/>
          <w:color w:val="auto"/>
          <w:sz w:val="24"/>
          <w:highlight w:val="none"/>
        </w:rPr>
        <w:t xml:space="preserve">(1)安置的残疾人占本单位在职职工人数的比例不低于 25%（含 25%），并且安置的残疾人人数不少于 10 人（含 10 人）； </w:t>
      </w:r>
    </w:p>
    <w:p w14:paraId="4694FD7F">
      <w:pPr>
        <w:autoSpaceDE w:val="0"/>
        <w:autoSpaceDN w:val="0"/>
        <w:adjustRightInd w:val="0"/>
        <w:snapToGrid w:val="0"/>
        <w:spacing w:before="120" w:beforeLines="50" w:line="360" w:lineRule="auto"/>
        <w:ind w:firstLine="616" w:firstLineChars="257"/>
        <w:jc w:val="left"/>
        <w:rPr>
          <w:rFonts w:ascii="宋体" w:hAnsi="宋体" w:cs="宋体"/>
          <w:color w:val="auto"/>
          <w:sz w:val="24"/>
          <w:highlight w:val="none"/>
        </w:rPr>
      </w:pPr>
      <w:r>
        <w:rPr>
          <w:rFonts w:hint="eastAsia" w:ascii="宋体" w:hAnsi="宋体" w:cs="宋体"/>
          <w:color w:val="auto"/>
          <w:sz w:val="24"/>
          <w:highlight w:val="none"/>
        </w:rPr>
        <w:t xml:space="preserve">(2)依法与安置的每位残疾人签订了一年以上（含一年）的劳动合同或服务协议； </w:t>
      </w:r>
    </w:p>
    <w:p w14:paraId="5EB35138">
      <w:pPr>
        <w:autoSpaceDE w:val="0"/>
        <w:autoSpaceDN w:val="0"/>
        <w:adjustRightInd w:val="0"/>
        <w:snapToGrid w:val="0"/>
        <w:spacing w:before="120" w:beforeLines="50" w:line="360" w:lineRule="auto"/>
        <w:ind w:firstLine="616" w:firstLineChars="257"/>
        <w:jc w:val="left"/>
        <w:rPr>
          <w:rFonts w:ascii="宋体" w:hAnsi="宋体" w:cs="宋体"/>
          <w:color w:val="auto"/>
          <w:sz w:val="24"/>
          <w:highlight w:val="none"/>
        </w:rPr>
      </w:pPr>
      <w:r>
        <w:rPr>
          <w:rFonts w:hint="eastAsia" w:ascii="宋体" w:hAnsi="宋体" w:cs="宋体"/>
          <w:color w:val="auto"/>
          <w:sz w:val="24"/>
          <w:highlight w:val="none"/>
        </w:rPr>
        <w:t xml:space="preserve">(3)为安置的每位残疾人按月足额缴纳了基本养老保险、基本医疗保险、失业保险、工伤保险和生育保险等社会保险费； </w:t>
      </w:r>
    </w:p>
    <w:p w14:paraId="46CA41D1">
      <w:pPr>
        <w:autoSpaceDE w:val="0"/>
        <w:autoSpaceDN w:val="0"/>
        <w:adjustRightInd w:val="0"/>
        <w:snapToGrid w:val="0"/>
        <w:spacing w:before="120" w:beforeLines="50" w:line="360" w:lineRule="auto"/>
        <w:ind w:firstLine="616" w:firstLineChars="257"/>
        <w:jc w:val="left"/>
        <w:rPr>
          <w:rFonts w:ascii="宋体" w:hAnsi="宋体" w:cs="宋体"/>
          <w:color w:val="auto"/>
          <w:sz w:val="24"/>
          <w:highlight w:val="none"/>
        </w:rPr>
      </w:pPr>
      <w:r>
        <w:rPr>
          <w:rFonts w:hint="eastAsia" w:ascii="宋体" w:hAnsi="宋体" w:cs="宋体"/>
          <w:color w:val="auto"/>
          <w:sz w:val="24"/>
          <w:highlight w:val="none"/>
        </w:rPr>
        <w:t xml:space="preserve">(4)通过银行等金融机构向安置的每位残疾人，按月支付了不低于单位所在区县适用的经省级人民政府批准的月最低工资标准的工资； </w:t>
      </w:r>
    </w:p>
    <w:p w14:paraId="580489D1">
      <w:pPr>
        <w:autoSpaceDE w:val="0"/>
        <w:autoSpaceDN w:val="0"/>
        <w:adjustRightInd w:val="0"/>
        <w:snapToGrid w:val="0"/>
        <w:spacing w:before="120" w:beforeLines="50" w:line="360" w:lineRule="auto"/>
        <w:ind w:firstLine="616" w:firstLineChars="257"/>
        <w:jc w:val="left"/>
        <w:rPr>
          <w:rFonts w:ascii="宋体" w:hAnsi="宋体" w:cs="宋体"/>
          <w:color w:val="auto"/>
          <w:sz w:val="24"/>
          <w:highlight w:val="none"/>
        </w:rPr>
      </w:pPr>
      <w:r>
        <w:rPr>
          <w:rFonts w:hint="eastAsia" w:ascii="宋体" w:hAnsi="宋体" w:cs="宋体"/>
          <w:color w:val="auto"/>
          <w:sz w:val="24"/>
          <w:highlight w:val="none"/>
        </w:rPr>
        <w:t xml:space="preserve">(5)提供本单位制造的货物、承担的工程或者服务（以下简称产品），或者提供其他残疾人福利性单位制造的货物（不包括使用非残疾人福利性单位注册商标的货物）。 </w:t>
      </w:r>
    </w:p>
    <w:p w14:paraId="4A0AB92D">
      <w:pPr>
        <w:autoSpaceDE w:val="0"/>
        <w:autoSpaceDN w:val="0"/>
        <w:adjustRightInd w:val="0"/>
        <w:snapToGrid w:val="0"/>
        <w:spacing w:before="120" w:beforeLines="50" w:line="360" w:lineRule="auto"/>
        <w:ind w:firstLine="616" w:firstLineChars="257"/>
        <w:jc w:val="left"/>
        <w:rPr>
          <w:rFonts w:ascii="宋体" w:hAnsi="宋体" w:cs="宋体"/>
          <w:color w:val="auto"/>
          <w:sz w:val="24"/>
          <w:highlight w:val="none"/>
        </w:rPr>
      </w:pPr>
      <w:r>
        <w:rPr>
          <w:rFonts w:hint="eastAsia" w:ascii="宋体" w:hAnsi="宋体" w:cs="宋体"/>
          <w:color w:val="auto"/>
          <w:sz w:val="24"/>
          <w:highlight w:val="none"/>
        </w:rPr>
        <w:t xml:space="preserve">前款所称残疾人是指法定劳动年龄内，持有《中华人民共和国残疾人证》或者《中华人民共和国残疾军人证（1 至 8 级）》的自然人，包括具有劳动条件和劳动意愿的精神残疾人。在职职工人数是指与残疾人福利性单位建立劳动关系并依法签订劳动合同或者服务协议的雇员人数。 </w:t>
      </w:r>
    </w:p>
    <w:p w14:paraId="698F4B13">
      <w:pPr>
        <w:autoSpaceDE w:val="0"/>
        <w:autoSpaceDN w:val="0"/>
        <w:adjustRightInd w:val="0"/>
        <w:snapToGrid w:val="0"/>
        <w:spacing w:before="120" w:beforeLines="50" w:line="360" w:lineRule="auto"/>
        <w:ind w:firstLine="616" w:firstLineChars="257"/>
        <w:jc w:val="left"/>
        <w:rPr>
          <w:rFonts w:ascii="宋体" w:hAnsi="宋体" w:cs="宋体"/>
          <w:b/>
          <w:color w:val="auto"/>
          <w:sz w:val="36"/>
          <w:szCs w:val="36"/>
          <w:highlight w:val="none"/>
        </w:rPr>
      </w:pPr>
      <w:r>
        <w:rPr>
          <w:rFonts w:hint="eastAsia" w:ascii="宋体" w:hAnsi="宋体" w:cs="宋体"/>
          <w:color w:val="auto"/>
          <w:sz w:val="24"/>
          <w:highlight w:val="none"/>
        </w:rPr>
        <w:t>5.2 符合条件的残疾人福利性单位在参加政府采购活动时，应当提供《残疾人福利性单位声明函》，并对声明的真实性负责。在本次活动中，残疾人福利性单位视同小型、微型企业，享受预留份额、评审中价格扣除等促进中小企业发展的政府采购政策。残疾人福利性单位属于小型、微型企业的，不重复享受政策</w:t>
      </w:r>
      <w:r>
        <w:rPr>
          <w:rFonts w:hint="eastAsia" w:ascii="宋体" w:hAnsi="宋体" w:cs="宋体"/>
          <w:color w:val="auto"/>
          <w:sz w:val="24"/>
          <w:highlight w:val="none"/>
          <w:lang w:eastAsia="zh-CN"/>
        </w:rPr>
        <w:t>。</w:t>
      </w:r>
    </w:p>
    <w:p w14:paraId="7B438EDD">
      <w:pPr>
        <w:widowControl w:val="0"/>
        <w:snapToGrid w:val="0"/>
        <w:spacing w:line="657" w:lineRule="atLeast"/>
        <w:jc w:val="center"/>
        <w:outlineLvl w:val="0"/>
        <w:rPr>
          <w:rFonts w:ascii="宋体" w:hAnsi="宋体" w:cs="宋体"/>
          <w:b/>
          <w:color w:val="auto"/>
          <w:sz w:val="36"/>
          <w:szCs w:val="36"/>
          <w:highlight w:val="none"/>
        </w:rPr>
      </w:pPr>
    </w:p>
    <w:p w14:paraId="7EEB485A">
      <w:pPr>
        <w:widowControl w:val="0"/>
        <w:snapToGrid w:val="0"/>
        <w:spacing w:line="657" w:lineRule="atLeast"/>
        <w:jc w:val="center"/>
        <w:outlineLvl w:val="0"/>
        <w:rPr>
          <w:rFonts w:ascii="宋体" w:hAnsi="宋体" w:cs="宋体"/>
          <w:b/>
          <w:color w:val="auto"/>
          <w:sz w:val="36"/>
          <w:szCs w:val="36"/>
          <w:highlight w:val="none"/>
        </w:rPr>
      </w:pPr>
    </w:p>
    <w:p w14:paraId="4A736C58">
      <w:pPr>
        <w:widowControl w:val="0"/>
        <w:snapToGrid w:val="0"/>
        <w:spacing w:line="657" w:lineRule="atLeast"/>
        <w:jc w:val="center"/>
        <w:outlineLvl w:val="0"/>
        <w:rPr>
          <w:rFonts w:ascii="宋体" w:hAnsi="宋体" w:cs="宋体"/>
          <w:b/>
          <w:color w:val="auto"/>
          <w:sz w:val="36"/>
          <w:szCs w:val="36"/>
          <w:highlight w:val="none"/>
        </w:rPr>
      </w:pPr>
    </w:p>
    <w:p w14:paraId="4A43C0E6">
      <w:pPr>
        <w:widowControl w:val="0"/>
        <w:snapToGrid w:val="0"/>
        <w:spacing w:line="657" w:lineRule="atLeast"/>
        <w:jc w:val="center"/>
        <w:outlineLvl w:val="0"/>
        <w:rPr>
          <w:rFonts w:ascii="宋体" w:hAnsi="宋体" w:cs="宋体"/>
          <w:b/>
          <w:color w:val="auto"/>
          <w:sz w:val="36"/>
          <w:szCs w:val="36"/>
          <w:highlight w:val="none"/>
        </w:rPr>
      </w:pPr>
    </w:p>
    <w:p w14:paraId="49C18F88">
      <w:pPr>
        <w:widowControl w:val="0"/>
        <w:snapToGrid w:val="0"/>
        <w:spacing w:line="657" w:lineRule="atLeast"/>
        <w:outlineLvl w:val="0"/>
        <w:rPr>
          <w:rFonts w:ascii="宋体" w:hAnsi="宋体" w:cs="宋体"/>
          <w:b/>
          <w:color w:val="auto"/>
          <w:sz w:val="36"/>
          <w:szCs w:val="36"/>
          <w:highlight w:val="none"/>
        </w:rPr>
      </w:pPr>
    </w:p>
    <w:p w14:paraId="0DC4731C">
      <w:pPr>
        <w:widowControl w:val="0"/>
        <w:snapToGrid w:val="0"/>
        <w:spacing w:line="657" w:lineRule="atLeast"/>
        <w:jc w:val="center"/>
        <w:outlineLvl w:val="0"/>
        <w:rPr>
          <w:rFonts w:ascii="宋体" w:hAnsi="宋体" w:cs="宋体"/>
          <w:b/>
          <w:color w:val="auto"/>
          <w:spacing w:val="20"/>
          <w:sz w:val="36"/>
          <w:szCs w:val="36"/>
          <w:highlight w:val="none"/>
        </w:rPr>
      </w:pPr>
      <w:r>
        <w:rPr>
          <w:rFonts w:hint="eastAsia" w:ascii="宋体" w:hAnsi="宋体" w:cs="宋体"/>
          <w:b/>
          <w:color w:val="auto"/>
          <w:sz w:val="36"/>
          <w:szCs w:val="36"/>
          <w:highlight w:val="none"/>
        </w:rPr>
        <w:t>第五章  合同主要条款</w:t>
      </w:r>
      <w:bookmarkEnd w:id="37"/>
    </w:p>
    <w:p w14:paraId="1D1B1715">
      <w:pPr>
        <w:pStyle w:val="7"/>
        <w:spacing w:after="0"/>
        <w:jc w:val="center"/>
        <w:rPr>
          <w:rFonts w:hint="eastAsia" w:ascii="宋体" w:hAnsi="宋体" w:cs="宋体"/>
          <w:b/>
          <w:bCs/>
          <w:color w:val="auto"/>
          <w:spacing w:val="-20"/>
          <w:kern w:val="44"/>
          <w:sz w:val="48"/>
          <w:szCs w:val="48"/>
          <w:highlight w:val="none"/>
        </w:rPr>
      </w:pPr>
    </w:p>
    <w:p w14:paraId="2CFB12A0">
      <w:pPr>
        <w:pStyle w:val="7"/>
        <w:spacing w:after="0"/>
        <w:jc w:val="center"/>
        <w:rPr>
          <w:rFonts w:hint="eastAsia" w:ascii="宋体" w:hAnsi="宋体" w:cs="宋体"/>
          <w:b/>
          <w:bCs/>
          <w:color w:val="auto"/>
          <w:spacing w:val="-20"/>
          <w:kern w:val="44"/>
          <w:sz w:val="48"/>
          <w:szCs w:val="48"/>
          <w:highlight w:val="none"/>
        </w:rPr>
      </w:pPr>
    </w:p>
    <w:p w14:paraId="71775EA1">
      <w:pPr>
        <w:pStyle w:val="7"/>
        <w:spacing w:after="0"/>
        <w:jc w:val="center"/>
        <w:rPr>
          <w:rFonts w:hint="eastAsia" w:ascii="宋体" w:hAnsi="宋体" w:cs="宋体"/>
          <w:b/>
          <w:bCs/>
          <w:color w:val="auto"/>
          <w:spacing w:val="-20"/>
          <w:kern w:val="44"/>
          <w:sz w:val="48"/>
          <w:szCs w:val="48"/>
          <w:highlight w:val="none"/>
        </w:rPr>
      </w:pPr>
    </w:p>
    <w:p w14:paraId="496AAC79">
      <w:pPr>
        <w:pStyle w:val="7"/>
        <w:spacing w:after="0"/>
        <w:jc w:val="center"/>
        <w:rPr>
          <w:rFonts w:hint="eastAsia" w:ascii="宋体" w:hAnsi="宋体" w:cs="宋体"/>
          <w:b/>
          <w:bCs/>
          <w:color w:val="auto"/>
          <w:spacing w:val="-20"/>
          <w:kern w:val="44"/>
          <w:sz w:val="48"/>
          <w:szCs w:val="48"/>
          <w:highlight w:val="none"/>
        </w:rPr>
      </w:pPr>
    </w:p>
    <w:p w14:paraId="5E993246">
      <w:pPr>
        <w:pStyle w:val="7"/>
        <w:spacing w:after="0"/>
        <w:jc w:val="center"/>
        <w:rPr>
          <w:rFonts w:hint="eastAsia" w:ascii="宋体" w:hAnsi="宋体" w:cs="宋体"/>
          <w:b/>
          <w:bCs/>
          <w:color w:val="auto"/>
          <w:spacing w:val="-20"/>
          <w:kern w:val="44"/>
          <w:sz w:val="48"/>
          <w:szCs w:val="48"/>
          <w:highlight w:val="none"/>
        </w:rPr>
      </w:pPr>
    </w:p>
    <w:p w14:paraId="5CC8C501">
      <w:pPr>
        <w:pStyle w:val="7"/>
        <w:spacing w:after="0"/>
        <w:jc w:val="center"/>
        <w:rPr>
          <w:rFonts w:hint="eastAsia" w:ascii="宋体" w:hAnsi="宋体" w:cs="宋体"/>
          <w:b/>
          <w:bCs/>
          <w:color w:val="auto"/>
          <w:spacing w:val="-20"/>
          <w:kern w:val="44"/>
          <w:sz w:val="48"/>
          <w:szCs w:val="48"/>
          <w:highlight w:val="none"/>
        </w:rPr>
      </w:pPr>
    </w:p>
    <w:p w14:paraId="4CB577DF">
      <w:pPr>
        <w:pStyle w:val="7"/>
        <w:spacing w:after="0"/>
        <w:jc w:val="center"/>
        <w:rPr>
          <w:rFonts w:hint="eastAsia" w:ascii="宋体" w:hAnsi="宋体" w:cs="宋体"/>
          <w:b/>
          <w:bCs/>
          <w:color w:val="auto"/>
          <w:spacing w:val="-20"/>
          <w:kern w:val="44"/>
          <w:sz w:val="48"/>
          <w:szCs w:val="48"/>
          <w:highlight w:val="none"/>
        </w:rPr>
      </w:pPr>
    </w:p>
    <w:p w14:paraId="1FCDC238">
      <w:pPr>
        <w:pStyle w:val="7"/>
        <w:spacing w:after="0"/>
        <w:jc w:val="center"/>
        <w:rPr>
          <w:rFonts w:hint="eastAsia" w:ascii="宋体" w:hAnsi="宋体" w:cs="宋体"/>
          <w:b/>
          <w:bCs/>
          <w:color w:val="auto"/>
          <w:spacing w:val="-20"/>
          <w:kern w:val="44"/>
          <w:sz w:val="48"/>
          <w:szCs w:val="48"/>
          <w:highlight w:val="none"/>
        </w:rPr>
      </w:pPr>
      <w:r>
        <w:rPr>
          <w:rFonts w:hint="eastAsia" w:ascii="宋体" w:hAnsi="宋体" w:cs="宋体"/>
          <w:b/>
          <w:bCs/>
          <w:color w:val="auto"/>
          <w:spacing w:val="-20"/>
          <w:kern w:val="44"/>
          <w:sz w:val="48"/>
          <w:szCs w:val="48"/>
          <w:highlight w:val="none"/>
        </w:rPr>
        <w:t>政府采购</w:t>
      </w:r>
      <w:r>
        <w:rPr>
          <w:rFonts w:hint="eastAsia" w:ascii="宋体" w:hAnsi="宋体" w:cs="宋体"/>
          <w:b/>
          <w:bCs/>
          <w:color w:val="auto"/>
          <w:spacing w:val="-20"/>
          <w:kern w:val="44"/>
          <w:sz w:val="48"/>
          <w:szCs w:val="48"/>
          <w:highlight w:val="none"/>
          <w:lang w:eastAsia="zh-CN"/>
        </w:rPr>
        <w:t>货物买卖</w:t>
      </w:r>
      <w:r>
        <w:rPr>
          <w:rFonts w:hint="eastAsia" w:ascii="宋体" w:hAnsi="宋体" w:cs="宋体"/>
          <w:b/>
          <w:bCs/>
          <w:color w:val="auto"/>
          <w:spacing w:val="-20"/>
          <w:kern w:val="44"/>
          <w:sz w:val="48"/>
          <w:szCs w:val="48"/>
          <w:highlight w:val="none"/>
        </w:rPr>
        <w:t>合同</w:t>
      </w:r>
    </w:p>
    <w:p w14:paraId="5C1E2E31">
      <w:pPr>
        <w:pStyle w:val="7"/>
        <w:spacing w:after="0"/>
        <w:jc w:val="center"/>
        <w:rPr>
          <w:rFonts w:hint="eastAsia" w:ascii="宋体" w:hAnsi="宋体" w:eastAsia="宋体" w:cs="宋体"/>
          <w:b/>
          <w:bCs/>
          <w:color w:val="auto"/>
          <w:spacing w:val="-20"/>
          <w:kern w:val="44"/>
          <w:sz w:val="48"/>
          <w:szCs w:val="48"/>
          <w:highlight w:val="none"/>
          <w:lang w:eastAsia="zh-CN"/>
        </w:rPr>
      </w:pPr>
      <w:r>
        <w:rPr>
          <w:rFonts w:hint="eastAsia" w:ascii="宋体" w:hAnsi="宋体" w:cs="宋体"/>
          <w:b/>
          <w:bCs/>
          <w:color w:val="auto"/>
          <w:spacing w:val="-20"/>
          <w:kern w:val="44"/>
          <w:sz w:val="48"/>
          <w:szCs w:val="48"/>
          <w:highlight w:val="none"/>
          <w:lang w:eastAsia="zh-CN"/>
        </w:rPr>
        <w:t>（试行）</w:t>
      </w:r>
    </w:p>
    <w:p w14:paraId="6B1DEEB4">
      <w:pPr>
        <w:rPr>
          <w:rFonts w:ascii="宋体" w:hAnsi="宋体" w:cs="宋体"/>
          <w:b/>
          <w:bCs/>
          <w:color w:val="auto"/>
          <w:spacing w:val="-20"/>
          <w:kern w:val="44"/>
          <w:sz w:val="40"/>
          <w:szCs w:val="40"/>
          <w:highlight w:val="none"/>
        </w:rPr>
      </w:pPr>
    </w:p>
    <w:p w14:paraId="2141E590">
      <w:pPr>
        <w:rPr>
          <w:rFonts w:ascii="宋体" w:hAnsi="宋体" w:cs="宋体"/>
          <w:b/>
          <w:bCs/>
          <w:color w:val="auto"/>
          <w:spacing w:val="-20"/>
          <w:kern w:val="44"/>
          <w:sz w:val="40"/>
          <w:szCs w:val="40"/>
          <w:highlight w:val="none"/>
        </w:rPr>
      </w:pPr>
    </w:p>
    <w:p w14:paraId="60EC6941">
      <w:pPr>
        <w:rPr>
          <w:rFonts w:ascii="宋体" w:hAnsi="宋体" w:cs="宋体"/>
          <w:b/>
          <w:bCs/>
          <w:color w:val="auto"/>
          <w:spacing w:val="-20"/>
          <w:kern w:val="44"/>
          <w:sz w:val="40"/>
          <w:szCs w:val="40"/>
          <w:highlight w:val="none"/>
        </w:rPr>
      </w:pPr>
    </w:p>
    <w:p w14:paraId="4AF22D6F">
      <w:pPr>
        <w:spacing w:line="360" w:lineRule="auto"/>
        <w:ind w:left="420" w:leftChars="200"/>
        <w:rPr>
          <w:color w:val="auto"/>
          <w:sz w:val="32"/>
          <w:szCs w:val="32"/>
          <w:highlight w:val="none"/>
        </w:rPr>
      </w:pPr>
      <w:r>
        <w:rPr>
          <w:rFonts w:hint="eastAsia" w:ascii="宋体" w:hAnsi="宋体" w:cs="宋体"/>
          <w:color w:val="auto"/>
          <w:kern w:val="0"/>
          <w:sz w:val="32"/>
          <w:szCs w:val="32"/>
          <w:highlight w:val="none"/>
        </w:rPr>
        <w:t>项目名称：</w:t>
      </w:r>
      <w:r>
        <w:rPr>
          <w:rFonts w:hint="eastAsia"/>
          <w:color w:val="auto"/>
          <w:sz w:val="32"/>
          <w:szCs w:val="32"/>
          <w:highlight w:val="none"/>
          <w:u w:val="single"/>
        </w:rPr>
        <w:t xml:space="preserve">                             </w:t>
      </w:r>
    </w:p>
    <w:p w14:paraId="177FE93F">
      <w:pPr>
        <w:spacing w:line="360" w:lineRule="auto"/>
        <w:ind w:left="420" w:leftChars="200"/>
        <w:rPr>
          <w:color w:val="auto"/>
          <w:sz w:val="32"/>
          <w:szCs w:val="32"/>
          <w:highlight w:val="none"/>
          <w:u w:val="single"/>
        </w:rPr>
      </w:pPr>
      <w:r>
        <w:rPr>
          <w:rFonts w:hint="eastAsia"/>
          <w:color w:val="auto"/>
          <w:sz w:val="32"/>
          <w:szCs w:val="32"/>
          <w:highlight w:val="none"/>
        </w:rPr>
        <w:t>合同编号：</w:t>
      </w:r>
      <w:r>
        <w:rPr>
          <w:rFonts w:hint="eastAsia"/>
          <w:color w:val="auto"/>
          <w:sz w:val="32"/>
          <w:szCs w:val="32"/>
          <w:highlight w:val="none"/>
          <w:u w:val="single"/>
        </w:rPr>
        <w:t xml:space="preserve">                             </w:t>
      </w:r>
    </w:p>
    <w:p w14:paraId="4E93C60B">
      <w:pPr>
        <w:spacing w:line="360" w:lineRule="auto"/>
        <w:ind w:left="420" w:leftChars="200"/>
        <w:rPr>
          <w:color w:val="auto"/>
          <w:sz w:val="32"/>
          <w:szCs w:val="32"/>
          <w:highlight w:val="none"/>
        </w:rPr>
      </w:pPr>
      <w:r>
        <w:rPr>
          <w:rFonts w:hint="eastAsia"/>
          <w:color w:val="auto"/>
          <w:sz w:val="32"/>
          <w:szCs w:val="32"/>
          <w:highlight w:val="none"/>
        </w:rPr>
        <w:t>甲    方：</w:t>
      </w:r>
      <w:r>
        <w:rPr>
          <w:rFonts w:hint="eastAsia"/>
          <w:color w:val="auto"/>
          <w:sz w:val="32"/>
          <w:szCs w:val="32"/>
          <w:highlight w:val="none"/>
          <w:u w:val="single"/>
        </w:rPr>
        <w:t xml:space="preserve">                             </w:t>
      </w:r>
    </w:p>
    <w:p w14:paraId="34258E89">
      <w:pPr>
        <w:spacing w:line="360" w:lineRule="auto"/>
        <w:ind w:left="420" w:leftChars="200"/>
        <w:rPr>
          <w:color w:val="auto"/>
          <w:sz w:val="32"/>
          <w:szCs w:val="32"/>
          <w:highlight w:val="none"/>
          <w:u w:val="single"/>
        </w:rPr>
      </w:pPr>
      <w:r>
        <w:rPr>
          <w:rFonts w:hint="eastAsia"/>
          <w:color w:val="auto"/>
          <w:sz w:val="32"/>
          <w:szCs w:val="32"/>
          <w:highlight w:val="none"/>
        </w:rPr>
        <w:t>乙    方：</w:t>
      </w:r>
      <w:r>
        <w:rPr>
          <w:rFonts w:hint="eastAsia"/>
          <w:color w:val="auto"/>
          <w:sz w:val="32"/>
          <w:szCs w:val="32"/>
          <w:highlight w:val="none"/>
          <w:u w:val="single"/>
        </w:rPr>
        <w:t xml:space="preserve">                             </w:t>
      </w:r>
    </w:p>
    <w:p w14:paraId="01E0A359">
      <w:pPr>
        <w:spacing w:line="360" w:lineRule="auto"/>
        <w:ind w:left="420" w:leftChars="200"/>
        <w:rPr>
          <w:color w:val="auto"/>
          <w:sz w:val="32"/>
          <w:szCs w:val="32"/>
          <w:highlight w:val="none"/>
        </w:rPr>
      </w:pPr>
      <w:r>
        <w:rPr>
          <w:rFonts w:hint="eastAsia"/>
          <w:color w:val="auto"/>
          <w:sz w:val="32"/>
          <w:szCs w:val="32"/>
          <w:highlight w:val="none"/>
        </w:rPr>
        <w:t>签订时间：</w:t>
      </w:r>
      <w:r>
        <w:rPr>
          <w:rFonts w:hint="eastAsia"/>
          <w:color w:val="auto"/>
          <w:sz w:val="32"/>
          <w:szCs w:val="32"/>
          <w:highlight w:val="none"/>
          <w:u w:val="single"/>
        </w:rPr>
        <w:t xml:space="preserve">      </w:t>
      </w:r>
      <w:r>
        <w:rPr>
          <w:color w:val="auto"/>
          <w:sz w:val="32"/>
          <w:szCs w:val="32"/>
          <w:highlight w:val="none"/>
          <w:u w:val="single"/>
        </w:rPr>
        <w:t xml:space="preserve">           </w:t>
      </w:r>
      <w:r>
        <w:rPr>
          <w:rFonts w:hint="eastAsia"/>
          <w:color w:val="auto"/>
          <w:sz w:val="32"/>
          <w:szCs w:val="32"/>
          <w:highlight w:val="none"/>
          <w:u w:val="single"/>
        </w:rPr>
        <w:t xml:space="preserve">            </w:t>
      </w:r>
    </w:p>
    <w:p w14:paraId="1B0B24CE">
      <w:pPr>
        <w:rPr>
          <w:color w:val="auto"/>
          <w:highlight w:val="none"/>
        </w:rPr>
      </w:pPr>
    </w:p>
    <w:p w14:paraId="53207368">
      <w:pPr>
        <w:rPr>
          <w:rFonts w:eastAsia="黑体"/>
          <w:color w:val="auto"/>
          <w:sz w:val="44"/>
          <w:szCs w:val="44"/>
          <w:highlight w:val="none"/>
        </w:rPr>
      </w:pPr>
      <w:r>
        <w:rPr>
          <w:rFonts w:eastAsia="黑体"/>
          <w:color w:val="auto"/>
          <w:sz w:val="44"/>
          <w:szCs w:val="44"/>
          <w:highlight w:val="none"/>
        </w:rPr>
        <w:br w:type="page"/>
      </w:r>
    </w:p>
    <w:p w14:paraId="0EFE7340">
      <w:pPr>
        <w:rPr>
          <w:rFonts w:eastAsia="黑体"/>
          <w:color w:val="auto"/>
          <w:sz w:val="44"/>
          <w:szCs w:val="44"/>
          <w:highlight w:val="none"/>
        </w:rPr>
      </w:pPr>
    </w:p>
    <w:p w14:paraId="3E77ACC5">
      <w:pPr>
        <w:rPr>
          <w:rFonts w:eastAsia="黑体"/>
          <w:color w:val="auto"/>
          <w:sz w:val="44"/>
          <w:szCs w:val="44"/>
          <w:highlight w:val="none"/>
        </w:rPr>
      </w:pPr>
    </w:p>
    <w:p w14:paraId="46B76576">
      <w:pPr>
        <w:jc w:val="center"/>
        <w:rPr>
          <w:rFonts w:hint="eastAsia" w:eastAsia="黑体"/>
          <w:color w:val="auto"/>
          <w:sz w:val="44"/>
          <w:szCs w:val="44"/>
          <w:highlight w:val="none"/>
          <w:lang w:eastAsia="zh-CN"/>
        </w:rPr>
      </w:pPr>
      <w:r>
        <w:rPr>
          <w:rFonts w:hint="eastAsia" w:eastAsia="黑体"/>
          <w:color w:val="auto"/>
          <w:sz w:val="44"/>
          <w:szCs w:val="44"/>
          <w:highlight w:val="none"/>
          <w:lang w:eastAsia="zh-CN"/>
        </w:rPr>
        <w:t>使</w:t>
      </w:r>
      <w:r>
        <w:rPr>
          <w:rFonts w:hint="eastAsia" w:eastAsia="黑体"/>
          <w:color w:val="auto"/>
          <w:sz w:val="44"/>
          <w:szCs w:val="44"/>
          <w:highlight w:val="none"/>
          <w:lang w:val="en-US" w:eastAsia="zh-CN"/>
        </w:rPr>
        <w:t xml:space="preserve"> </w:t>
      </w:r>
      <w:r>
        <w:rPr>
          <w:rFonts w:hint="eastAsia" w:eastAsia="黑体"/>
          <w:color w:val="auto"/>
          <w:sz w:val="44"/>
          <w:szCs w:val="44"/>
          <w:highlight w:val="none"/>
          <w:lang w:eastAsia="zh-CN"/>
        </w:rPr>
        <w:t>用</w:t>
      </w:r>
      <w:r>
        <w:rPr>
          <w:rFonts w:hint="eastAsia" w:eastAsia="黑体"/>
          <w:color w:val="auto"/>
          <w:sz w:val="44"/>
          <w:szCs w:val="44"/>
          <w:highlight w:val="none"/>
          <w:lang w:val="en-US" w:eastAsia="zh-CN"/>
        </w:rPr>
        <w:t xml:space="preserve"> </w:t>
      </w:r>
      <w:r>
        <w:rPr>
          <w:rFonts w:hint="eastAsia" w:eastAsia="黑体"/>
          <w:color w:val="auto"/>
          <w:sz w:val="44"/>
          <w:szCs w:val="44"/>
          <w:highlight w:val="none"/>
          <w:lang w:eastAsia="zh-CN"/>
        </w:rPr>
        <w:t>说</w:t>
      </w:r>
      <w:r>
        <w:rPr>
          <w:rFonts w:hint="eastAsia" w:eastAsia="黑体"/>
          <w:color w:val="auto"/>
          <w:sz w:val="44"/>
          <w:szCs w:val="44"/>
          <w:highlight w:val="none"/>
          <w:lang w:val="en-US" w:eastAsia="zh-CN"/>
        </w:rPr>
        <w:t xml:space="preserve"> </w:t>
      </w:r>
      <w:r>
        <w:rPr>
          <w:rFonts w:hint="eastAsia" w:eastAsia="黑体"/>
          <w:color w:val="auto"/>
          <w:sz w:val="44"/>
          <w:szCs w:val="44"/>
          <w:highlight w:val="none"/>
          <w:lang w:eastAsia="zh-CN"/>
        </w:rPr>
        <w:t>明</w:t>
      </w:r>
    </w:p>
    <w:p w14:paraId="3FA32B8A">
      <w:pPr>
        <w:ind w:firstLine="640" w:firstLineChars="200"/>
        <w:rPr>
          <w:rFonts w:hint="eastAsia" w:ascii="仿宋_GB2312" w:hAnsi="仿宋_GB2312" w:eastAsia="仿宋_GB2312" w:cs="仿宋_GB2312"/>
          <w:color w:val="auto"/>
          <w:sz w:val="32"/>
          <w:szCs w:val="32"/>
          <w:highlight w:val="none"/>
          <w:lang w:val="en-US" w:eastAsia="zh-CN"/>
        </w:rPr>
      </w:pPr>
    </w:p>
    <w:p w14:paraId="79EC5730">
      <w:pPr>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1.本合同标准文本适用于购买现成货物的采购项目，不包括需要供应商定制开发、创新研发的货物采购项目。</w:t>
      </w:r>
    </w:p>
    <w:p w14:paraId="56645FE0">
      <w:pPr>
        <w:ind w:firstLine="0" w:firstLineChars="0"/>
        <w:rPr>
          <w:rFonts w:hint="default" w:eastAsia="黑体"/>
          <w:color w:val="auto"/>
          <w:sz w:val="44"/>
          <w:szCs w:val="44"/>
          <w:highlight w:val="none"/>
          <w:lang w:val="en-US" w:eastAsia="zh-CN"/>
        </w:rPr>
      </w:pPr>
      <w:r>
        <w:rPr>
          <w:rFonts w:hint="eastAsia" w:eastAsia="黑体"/>
          <w:color w:val="auto"/>
          <w:sz w:val="44"/>
          <w:szCs w:val="44"/>
          <w:highlight w:val="none"/>
          <w:lang w:val="en-US" w:eastAsia="zh-CN"/>
        </w:rPr>
        <w:t xml:space="preserve">   </w:t>
      </w:r>
      <w:r>
        <w:rPr>
          <w:rFonts w:hint="eastAsia" w:ascii="仿宋_GB2312" w:hAnsi="仿宋_GB2312" w:eastAsia="仿宋_GB2312" w:cs="仿宋_GB2312"/>
          <w:color w:val="auto"/>
          <w:sz w:val="32"/>
          <w:szCs w:val="32"/>
          <w:highlight w:val="none"/>
          <w:lang w:val="en-US" w:eastAsia="zh-CN"/>
        </w:rPr>
        <w:t>2.本合同标准文本为政府采购货物买卖合同编制提供参考，可以结合采购项目具体情况，对文本作必要的调整修订后使用。</w:t>
      </w:r>
    </w:p>
    <w:p w14:paraId="11B31EA7">
      <w:pPr>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3.本合同标准文本各条款中，如涉及填写多家供应商、制造商，多种采购标的、分包主要内容等信息的，可根据采购项目具体情况添加信息项。</w:t>
      </w:r>
    </w:p>
    <w:p w14:paraId="2D00DF85">
      <w:pPr>
        <w:ind w:firstLine="880" w:firstLineChars="200"/>
        <w:jc w:val="both"/>
        <w:rPr>
          <w:rFonts w:eastAsia="黑体"/>
          <w:color w:val="auto"/>
          <w:sz w:val="44"/>
          <w:szCs w:val="44"/>
          <w:highlight w:val="none"/>
        </w:rPr>
        <w:sectPr>
          <w:footerReference r:id="rId9"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p>
    <w:p w14:paraId="7EFDFD24">
      <w:pPr>
        <w:pStyle w:val="3"/>
        <w:adjustRightInd w:val="0"/>
        <w:snapToGrid w:val="0"/>
        <w:spacing w:beforeLines="0" w:line="400" w:lineRule="exact"/>
        <w:jc w:val="center"/>
        <w:rPr>
          <w:rFonts w:hint="eastAsia" w:ascii="黑体" w:hAnsi="黑体" w:eastAsia="黑体"/>
          <w:color w:val="auto"/>
          <w:sz w:val="28"/>
          <w:szCs w:val="28"/>
          <w:highlight w:val="none"/>
        </w:rPr>
      </w:pPr>
      <w:bookmarkStart w:id="38" w:name="_Toc22209"/>
    </w:p>
    <w:p w14:paraId="6138EE2F">
      <w:pPr>
        <w:pStyle w:val="3"/>
        <w:adjustRightInd w:val="0"/>
        <w:snapToGrid w:val="0"/>
        <w:spacing w:beforeLines="0" w:line="400" w:lineRule="exact"/>
        <w:jc w:val="center"/>
        <w:rPr>
          <w:rFonts w:hint="eastAsia" w:ascii="黑体" w:hAnsi="华文中宋" w:eastAsia="黑体"/>
          <w:b w:val="0"/>
          <w:bCs w:val="0"/>
          <w:color w:val="auto"/>
          <w:sz w:val="28"/>
          <w:szCs w:val="28"/>
          <w:highlight w:val="none"/>
        </w:rPr>
      </w:pPr>
      <w:r>
        <w:rPr>
          <w:rFonts w:hint="eastAsia" w:ascii="黑体" w:hAnsi="黑体" w:eastAsia="黑体"/>
          <w:b w:val="0"/>
          <w:bCs w:val="0"/>
          <w:color w:val="auto"/>
          <w:sz w:val="28"/>
          <w:szCs w:val="28"/>
          <w:highlight w:val="none"/>
        </w:rPr>
        <w:t xml:space="preserve">第一节 </w:t>
      </w:r>
      <w:r>
        <w:rPr>
          <w:rFonts w:hint="eastAsia" w:ascii="黑体" w:hAnsi="华文中宋" w:eastAsia="黑体"/>
          <w:b w:val="0"/>
          <w:bCs w:val="0"/>
          <w:color w:val="auto"/>
          <w:sz w:val="28"/>
          <w:szCs w:val="28"/>
          <w:highlight w:val="none"/>
        </w:rPr>
        <w:t>政府采购合同协议书</w:t>
      </w:r>
      <w:bookmarkEnd w:id="38"/>
    </w:p>
    <w:p w14:paraId="7A4ABA5C">
      <w:pPr>
        <w:pStyle w:val="3"/>
        <w:adjustRightInd w:val="0"/>
        <w:snapToGrid w:val="0"/>
        <w:spacing w:beforeLines="0" w:line="400" w:lineRule="exact"/>
        <w:jc w:val="center"/>
        <w:rPr>
          <w:rFonts w:hint="eastAsia" w:ascii="黑体" w:hAnsi="华文中宋" w:eastAsia="黑体"/>
          <w:b w:val="0"/>
          <w:bCs w:val="0"/>
          <w:color w:val="auto"/>
          <w:sz w:val="28"/>
          <w:szCs w:val="28"/>
          <w:highlight w:val="none"/>
        </w:rPr>
      </w:pPr>
    </w:p>
    <w:p w14:paraId="0F28A735">
      <w:pPr>
        <w:adjustRightInd w:val="0"/>
        <w:snapToGrid w:val="0"/>
        <w:spacing w:before="0" w:beforeLines="0" w:line="400" w:lineRule="exact"/>
        <w:rPr>
          <w:rFonts w:ascii="宋体" w:hAnsi="宋体"/>
          <w:color w:val="auto"/>
          <w:szCs w:val="21"/>
          <w:highlight w:val="none"/>
        </w:rPr>
      </w:pPr>
      <w:r>
        <w:rPr>
          <w:rFonts w:hint="eastAsia" w:ascii="宋体" w:hAnsi="宋体"/>
          <w:color w:val="auto"/>
          <w:szCs w:val="21"/>
          <w:highlight w:val="none"/>
        </w:rPr>
        <w:t>甲方（全称）：</w:t>
      </w:r>
      <w:r>
        <w:rPr>
          <w:rFonts w:hint="eastAsia" w:ascii="宋体" w:hAnsi="宋体"/>
          <w:color w:val="auto"/>
          <w:szCs w:val="21"/>
          <w:highlight w:val="none"/>
          <w:u w:val="single"/>
        </w:rPr>
        <w:t xml:space="preserve">                        </w:t>
      </w:r>
      <w:r>
        <w:rPr>
          <w:rFonts w:hint="eastAsia" w:ascii="宋体" w:hAnsi="宋体"/>
          <w:color w:val="auto"/>
          <w:szCs w:val="21"/>
          <w:highlight w:val="none"/>
        </w:rPr>
        <w:t>（采购人</w:t>
      </w:r>
      <w:r>
        <w:rPr>
          <w:rFonts w:hint="eastAsia" w:ascii="宋体" w:hAnsi="宋体"/>
          <w:color w:val="auto"/>
          <w:szCs w:val="21"/>
          <w:highlight w:val="none"/>
          <w:lang w:eastAsia="zh-CN"/>
        </w:rPr>
        <w:t>、受采购人委托签订合同的单位</w:t>
      </w:r>
      <w:r>
        <w:rPr>
          <w:rFonts w:hint="eastAsia" w:ascii="宋体" w:hAnsi="宋体"/>
          <w:color w:val="auto"/>
          <w:szCs w:val="21"/>
          <w:highlight w:val="none"/>
        </w:rPr>
        <w:t>或采购</w:t>
      </w:r>
      <w:r>
        <w:rPr>
          <w:rFonts w:hint="eastAsia" w:ascii="宋体" w:hAnsi="宋体"/>
          <w:color w:val="auto"/>
          <w:szCs w:val="21"/>
          <w:highlight w:val="none"/>
          <w:lang w:val="en-US" w:eastAsia="zh-CN"/>
        </w:rPr>
        <w:tab/>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文件约定的合同甲方）</w:t>
      </w:r>
    </w:p>
    <w:p w14:paraId="6AD159C0">
      <w:pPr>
        <w:adjustRightInd w:val="0"/>
        <w:snapToGrid w:val="0"/>
        <w:spacing w:before="0" w:beforeLines="0" w:line="400" w:lineRule="exact"/>
        <w:rPr>
          <w:rFonts w:ascii="宋体" w:hAnsi="宋体"/>
          <w:color w:val="auto"/>
          <w:szCs w:val="21"/>
          <w:highlight w:val="none"/>
        </w:rPr>
      </w:pPr>
      <w:r>
        <w:rPr>
          <w:rFonts w:hint="eastAsia" w:ascii="宋体" w:hAnsi="宋体"/>
          <w:color w:val="auto"/>
          <w:szCs w:val="21"/>
          <w:highlight w:val="none"/>
        </w:rPr>
        <w:t>乙方</w:t>
      </w:r>
      <w:r>
        <w:rPr>
          <w:rFonts w:hint="eastAsia" w:ascii="宋体" w:hAnsi="宋体"/>
          <w:color w:val="auto"/>
          <w:szCs w:val="21"/>
          <w:highlight w:val="none"/>
          <w:lang w:val="en-US" w:eastAsia="zh-CN"/>
        </w:rPr>
        <w:t>1</w:t>
      </w:r>
      <w:r>
        <w:rPr>
          <w:rFonts w:hint="eastAsia" w:ascii="宋体" w:hAnsi="宋体"/>
          <w:color w:val="auto"/>
          <w:szCs w:val="21"/>
          <w:highlight w:val="none"/>
        </w:rPr>
        <w:t>（全称）：</w:t>
      </w:r>
      <w:r>
        <w:rPr>
          <w:rFonts w:hint="eastAsia" w:ascii="宋体" w:hAnsi="宋体"/>
          <w:color w:val="auto"/>
          <w:szCs w:val="21"/>
          <w:highlight w:val="none"/>
          <w:u w:val="single"/>
        </w:rPr>
        <w:t xml:space="preserve">                       </w:t>
      </w:r>
      <w:r>
        <w:rPr>
          <w:rFonts w:hint="eastAsia" w:ascii="宋体" w:hAnsi="宋体"/>
          <w:color w:val="auto"/>
          <w:szCs w:val="21"/>
          <w:highlight w:val="none"/>
        </w:rPr>
        <w:t>（供应商）</w:t>
      </w:r>
    </w:p>
    <w:p w14:paraId="51AB84CA">
      <w:pPr>
        <w:adjustRightInd w:val="0"/>
        <w:snapToGrid w:val="0"/>
        <w:spacing w:before="0" w:beforeLines="0" w:line="400" w:lineRule="exact"/>
        <w:rPr>
          <w:rFonts w:hint="eastAsia" w:ascii="宋体" w:hAnsi="宋体"/>
          <w:color w:val="auto"/>
          <w:szCs w:val="21"/>
          <w:highlight w:val="none"/>
        </w:rPr>
      </w:pPr>
      <w:r>
        <w:rPr>
          <w:rFonts w:hint="eastAsia" w:ascii="宋体" w:hAnsi="宋体"/>
          <w:color w:val="auto"/>
          <w:szCs w:val="21"/>
          <w:highlight w:val="none"/>
        </w:rPr>
        <w:t>乙方2（全称）：</w:t>
      </w:r>
      <w:r>
        <w:rPr>
          <w:rFonts w:hint="eastAsia" w:ascii="宋体" w:hAnsi="宋体"/>
          <w:color w:val="auto"/>
          <w:szCs w:val="21"/>
          <w:highlight w:val="none"/>
          <w:u w:val="single"/>
        </w:rPr>
        <w:t xml:space="preserve">                        </w:t>
      </w:r>
      <w:r>
        <w:rPr>
          <w:rFonts w:hint="eastAsia" w:ascii="宋体" w:hAnsi="宋体"/>
          <w:color w:val="auto"/>
          <w:szCs w:val="21"/>
          <w:highlight w:val="none"/>
        </w:rPr>
        <w:t>（联合体成员供应商或其他合同主体）（如有）</w:t>
      </w:r>
    </w:p>
    <w:p w14:paraId="00EF8251">
      <w:pPr>
        <w:adjustRightInd w:val="0"/>
        <w:snapToGrid w:val="0"/>
        <w:spacing w:before="0" w:beforeLines="0" w:line="400" w:lineRule="exact"/>
        <w:rPr>
          <w:rFonts w:hint="eastAsia" w:ascii="宋体" w:hAnsi="宋体"/>
          <w:color w:val="auto"/>
          <w:szCs w:val="21"/>
          <w:highlight w:val="none"/>
        </w:rPr>
      </w:pPr>
      <w:r>
        <w:rPr>
          <w:rFonts w:hint="eastAsia"/>
          <w:color w:val="auto"/>
          <w:highlight w:val="none"/>
          <w:lang w:eastAsia="zh-CN"/>
        </w:rPr>
        <w:t>乙方</w:t>
      </w:r>
      <w:r>
        <w:rPr>
          <w:rFonts w:hint="eastAsia" w:ascii="宋体" w:hAnsi="宋体"/>
          <w:color w:val="auto"/>
          <w:szCs w:val="21"/>
          <w:highlight w:val="none"/>
          <w:lang w:val="en-US" w:eastAsia="zh-CN"/>
        </w:rPr>
        <w:t>3</w:t>
      </w:r>
      <w:r>
        <w:rPr>
          <w:rFonts w:hint="eastAsia"/>
          <w:color w:val="auto"/>
          <w:highlight w:val="none"/>
          <w:lang w:val="en-US" w:eastAsia="zh-CN"/>
        </w:rPr>
        <w:t>（全称）</w:t>
      </w:r>
      <w:r>
        <w:rPr>
          <w:rFonts w:hint="eastAsia" w:ascii="宋体" w:hAnsi="宋体"/>
          <w:color w:val="auto"/>
          <w:szCs w:val="21"/>
          <w:highlight w:val="none"/>
          <w:u w:val="single"/>
        </w:rPr>
        <w:t xml:space="preserve">                          </w:t>
      </w:r>
      <w:r>
        <w:rPr>
          <w:rFonts w:hint="eastAsia" w:ascii="宋体" w:hAnsi="宋体"/>
          <w:color w:val="auto"/>
          <w:szCs w:val="21"/>
          <w:highlight w:val="none"/>
        </w:rPr>
        <w:t>（联合体成员供应商或其他合同主体）（如有）</w:t>
      </w:r>
    </w:p>
    <w:p w14:paraId="56144425">
      <w:pPr>
        <w:spacing w:beforeLines="0" w:line="400" w:lineRule="exact"/>
        <w:rPr>
          <w:rFonts w:hint="default" w:eastAsia="宋体"/>
          <w:color w:val="auto"/>
          <w:highlight w:val="none"/>
          <w:lang w:val="en-US" w:eastAsia="zh-CN"/>
        </w:rPr>
      </w:pPr>
    </w:p>
    <w:p w14:paraId="2E327F2E">
      <w:pPr>
        <w:pStyle w:val="8"/>
        <w:tabs>
          <w:tab w:val="left" w:pos="0"/>
        </w:tabs>
        <w:adjustRightInd w:val="0"/>
        <w:snapToGrid w:val="0"/>
        <w:spacing w:before="0" w:beforeLines="0" w:after="0" w:line="400" w:lineRule="exact"/>
        <w:ind w:left="0" w:leftChars="0" w:firstLine="400" w:firstLineChars="200"/>
        <w:rPr>
          <w:rFonts w:ascii="宋体" w:hAnsi="宋体"/>
          <w:color w:val="auto"/>
          <w:szCs w:val="21"/>
          <w:highlight w:val="none"/>
        </w:rPr>
      </w:pPr>
      <w:r>
        <w:rPr>
          <w:rFonts w:hint="eastAsia" w:ascii="宋体" w:hAnsi="宋体"/>
          <w:color w:val="auto"/>
          <w:szCs w:val="21"/>
          <w:highlight w:val="none"/>
        </w:rPr>
        <w:t>依据《中华人民共和国民法典》</w:t>
      </w:r>
      <w:r>
        <w:rPr>
          <w:rFonts w:hint="eastAsia" w:ascii="宋体" w:hAnsi="宋体"/>
          <w:color w:val="auto"/>
          <w:szCs w:val="21"/>
          <w:highlight w:val="none"/>
          <w:lang w:eastAsia="zh-CN"/>
        </w:rPr>
        <w:t>、</w:t>
      </w:r>
      <w:r>
        <w:rPr>
          <w:rFonts w:hint="eastAsia" w:ascii="宋体" w:hAnsi="宋体"/>
          <w:color w:val="auto"/>
          <w:szCs w:val="21"/>
          <w:highlight w:val="none"/>
        </w:rPr>
        <w:t>《中华人民共和国政府采购法》等有关的法律法规，以及</w:t>
      </w:r>
      <w:r>
        <w:rPr>
          <w:rFonts w:hint="eastAsia" w:ascii="宋体" w:hAnsi="宋体"/>
          <w:i w:val="0"/>
          <w:iCs w:val="0"/>
          <w:color w:val="auto"/>
          <w:szCs w:val="21"/>
          <w:highlight w:val="none"/>
          <w:u w:val="none"/>
          <w:lang w:eastAsia="zh-CN"/>
        </w:rPr>
        <w:t>本采购项目</w:t>
      </w:r>
      <w:r>
        <w:rPr>
          <w:rFonts w:hint="eastAsia" w:ascii="宋体" w:hAnsi="宋体"/>
          <w:color w:val="auto"/>
          <w:szCs w:val="21"/>
          <w:highlight w:val="none"/>
        </w:rPr>
        <w:t>的</w:t>
      </w:r>
      <w:r>
        <w:rPr>
          <w:rFonts w:hint="eastAsia" w:ascii="宋体" w:hAnsi="宋体"/>
          <w:color w:val="auto"/>
          <w:szCs w:val="21"/>
          <w:highlight w:val="none"/>
          <w:lang w:eastAsia="zh-CN"/>
        </w:rPr>
        <w:t>招标</w:t>
      </w:r>
      <w:r>
        <w:rPr>
          <w:rFonts w:hint="eastAsia" w:ascii="宋体" w:hAnsi="宋体"/>
          <w:color w:val="auto"/>
          <w:szCs w:val="21"/>
          <w:highlight w:val="none"/>
          <w:lang w:val="en-US" w:eastAsia="zh-CN"/>
        </w:rPr>
        <w:t>/谈判</w:t>
      </w:r>
      <w:r>
        <w:rPr>
          <w:rFonts w:hint="eastAsia" w:ascii="宋体" w:hAnsi="宋体"/>
          <w:color w:val="auto"/>
          <w:szCs w:val="21"/>
          <w:highlight w:val="none"/>
          <w:lang w:eastAsia="zh-CN"/>
        </w:rPr>
        <w:t>文件等</w:t>
      </w:r>
      <w:r>
        <w:rPr>
          <w:rFonts w:hint="eastAsia" w:ascii="宋体" w:hAnsi="宋体"/>
          <w:color w:val="auto"/>
          <w:szCs w:val="21"/>
          <w:highlight w:val="none"/>
        </w:rPr>
        <w:t>采购文件</w:t>
      </w:r>
      <w:r>
        <w:rPr>
          <w:rFonts w:hint="eastAsia" w:ascii="宋体" w:hAnsi="宋体"/>
          <w:color w:val="auto"/>
          <w:szCs w:val="21"/>
          <w:highlight w:val="none"/>
          <w:lang w:eastAsia="zh-CN"/>
        </w:rPr>
        <w:t>、</w:t>
      </w:r>
      <w:r>
        <w:rPr>
          <w:rFonts w:hint="eastAsia" w:ascii="宋体" w:hAnsi="宋体"/>
          <w:color w:val="auto"/>
          <w:szCs w:val="21"/>
          <w:highlight w:val="none"/>
        </w:rPr>
        <w:t xml:space="preserve">乙方的《投标（响应）文件》及《中标（成交）通知书》，甲乙双方同意签订本合同。具体情况及要求如下：     </w:t>
      </w:r>
    </w:p>
    <w:p w14:paraId="414E6EDB">
      <w:pPr>
        <w:numPr>
          <w:ilvl w:val="0"/>
          <w:numId w:val="11"/>
        </w:numPr>
        <w:adjustRightInd w:val="0"/>
        <w:snapToGrid w:val="0"/>
        <w:spacing w:before="0" w:beforeLines="0" w:line="400" w:lineRule="exact"/>
        <w:ind w:firstLine="422" w:firstLineChars="200"/>
        <w:rPr>
          <w:rFonts w:ascii="宋体" w:hAnsi="宋体"/>
          <w:b/>
          <w:color w:val="auto"/>
          <w:szCs w:val="21"/>
          <w:highlight w:val="none"/>
        </w:rPr>
      </w:pPr>
      <w:r>
        <w:rPr>
          <w:rFonts w:hint="eastAsia" w:ascii="宋体" w:hAnsi="宋体"/>
          <w:b/>
          <w:color w:val="auto"/>
          <w:szCs w:val="21"/>
          <w:highlight w:val="none"/>
        </w:rPr>
        <w:t>项目信息</w:t>
      </w:r>
    </w:p>
    <w:p w14:paraId="4EE7ECBA">
      <w:pPr>
        <w:pStyle w:val="8"/>
        <w:numPr>
          <w:ilvl w:val="0"/>
          <w:numId w:val="12"/>
        </w:numPr>
        <w:tabs>
          <w:tab w:val="left" w:pos="0"/>
        </w:tabs>
        <w:adjustRightInd w:val="0"/>
        <w:snapToGrid w:val="0"/>
        <w:spacing w:before="0" w:beforeLines="0" w:after="0" w:line="400" w:lineRule="exact"/>
        <w:ind w:left="0" w:leftChars="0" w:firstLine="400" w:firstLineChars="200"/>
        <w:rPr>
          <w:rFonts w:ascii="宋体" w:hAnsi="宋体"/>
          <w:color w:val="auto"/>
          <w:szCs w:val="21"/>
          <w:highlight w:val="none"/>
          <w:u w:val="single"/>
        </w:rPr>
      </w:pPr>
      <w:r>
        <w:rPr>
          <w:rFonts w:hint="eastAsia" w:ascii="宋体" w:hAnsi="宋体"/>
          <w:color w:val="auto"/>
          <w:szCs w:val="21"/>
          <w:highlight w:val="none"/>
        </w:rPr>
        <w:t>采购项目名称：</w:t>
      </w:r>
      <w:r>
        <w:rPr>
          <w:rFonts w:ascii="宋体" w:hAnsi="宋体"/>
          <w:color w:val="auto"/>
          <w:szCs w:val="21"/>
          <w:highlight w:val="none"/>
          <w:u w:val="single"/>
        </w:rPr>
        <w:t xml:space="preserve">                                          </w:t>
      </w:r>
    </w:p>
    <w:p w14:paraId="21AFC320">
      <w:pPr>
        <w:pStyle w:val="8"/>
        <w:numPr>
          <w:ilvl w:val="0"/>
          <w:numId w:val="0"/>
        </w:numPr>
        <w:tabs>
          <w:tab w:val="left" w:pos="999"/>
        </w:tabs>
        <w:adjustRightInd w:val="0"/>
        <w:snapToGrid w:val="0"/>
        <w:spacing w:before="0" w:beforeLines="0" w:after="0" w:line="400" w:lineRule="exact"/>
        <w:ind w:left="0" w:leftChars="0" w:firstLine="0" w:firstLineChars="0"/>
        <w:rPr>
          <w:rFonts w:hint="default" w:ascii="宋体" w:hAnsi="宋体" w:eastAsia="宋体"/>
          <w:color w:val="auto"/>
          <w:szCs w:val="21"/>
          <w:highlight w:val="none"/>
          <w:u w:val="none"/>
          <w:lang w:val="en-US" w:eastAsia="zh-CN"/>
        </w:rPr>
      </w:pPr>
      <w:r>
        <w:rPr>
          <w:rFonts w:hint="eastAsia" w:ascii="宋体" w:hAnsi="宋体"/>
          <w:color w:val="auto"/>
          <w:szCs w:val="21"/>
          <w:highlight w:val="none"/>
          <w:u w:val="none"/>
          <w:lang w:val="en-US" w:eastAsia="zh-CN"/>
        </w:rPr>
        <w:t xml:space="preserve">         采购项目编号：</w:t>
      </w:r>
      <w:r>
        <w:rPr>
          <w:rFonts w:ascii="宋体" w:hAnsi="宋体"/>
          <w:color w:val="auto"/>
          <w:szCs w:val="21"/>
          <w:highlight w:val="none"/>
          <w:u w:val="single"/>
        </w:rPr>
        <w:t xml:space="preserve">                                          </w:t>
      </w:r>
    </w:p>
    <w:p w14:paraId="6F42A644">
      <w:pPr>
        <w:pStyle w:val="8"/>
        <w:tabs>
          <w:tab w:val="left" w:pos="0"/>
        </w:tabs>
        <w:adjustRightInd w:val="0"/>
        <w:snapToGrid w:val="0"/>
        <w:spacing w:before="0" w:beforeLines="0" w:after="0" w:line="400" w:lineRule="exact"/>
        <w:ind w:left="0" w:leftChars="0" w:firstLine="400" w:firstLineChars="200"/>
        <w:rPr>
          <w:rFonts w:ascii="宋体" w:hAnsi="宋体"/>
          <w:color w:val="auto"/>
          <w:szCs w:val="21"/>
          <w:highlight w:val="none"/>
        </w:rPr>
      </w:pPr>
      <w:r>
        <w:rPr>
          <w:rFonts w:hint="eastAsia" w:ascii="宋体" w:hAnsi="宋体"/>
          <w:color w:val="auto"/>
          <w:szCs w:val="21"/>
          <w:highlight w:val="none"/>
        </w:rPr>
        <w:t>（2）采购计划编号：</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 xml:space="preserve"> </w:t>
      </w:r>
    </w:p>
    <w:p w14:paraId="17ECFA78">
      <w:pPr>
        <w:adjustRightInd w:val="0"/>
        <w:snapToGrid w:val="0"/>
        <w:spacing w:before="0" w:beforeLines="0"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（3）项目内容：</w:t>
      </w:r>
    </w:p>
    <w:p w14:paraId="6A37F0F1">
      <w:pPr>
        <w:adjustRightInd w:val="0"/>
        <w:snapToGrid w:val="0"/>
        <w:spacing w:before="0" w:beforeLines="0" w:line="400" w:lineRule="exact"/>
        <w:ind w:firstLine="420" w:firstLineChars="20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lang w:eastAsia="zh-CN"/>
        </w:rPr>
        <w:t>采购标的及数量</w:t>
      </w:r>
      <w:r>
        <w:rPr>
          <w:rFonts w:hint="eastAsia" w:ascii="宋体" w:hAnsi="宋体"/>
          <w:color w:val="auto"/>
          <w:szCs w:val="21"/>
          <w:highlight w:val="none"/>
          <w:lang w:val="en-US" w:eastAsia="zh-CN"/>
        </w:rPr>
        <w:t>（台/套</w:t>
      </w:r>
      <w:r>
        <w:rPr>
          <w:rFonts w:hint="default" w:ascii="宋体" w:hAnsi="宋体"/>
          <w:color w:val="auto"/>
          <w:szCs w:val="21"/>
          <w:highlight w:val="none"/>
          <w:lang w:val="en" w:eastAsia="zh-CN"/>
        </w:rPr>
        <w:t>/</w:t>
      </w:r>
      <w:r>
        <w:rPr>
          <w:rFonts w:hint="eastAsia" w:ascii="宋体" w:hAnsi="宋体"/>
          <w:color w:val="auto"/>
          <w:szCs w:val="21"/>
          <w:highlight w:val="none"/>
          <w:lang w:val="en" w:eastAsia="zh-CN"/>
        </w:rPr>
        <w:t>个</w:t>
      </w:r>
      <w:r>
        <w:rPr>
          <w:rFonts w:hint="default" w:ascii="宋体" w:hAnsi="宋体"/>
          <w:color w:val="auto"/>
          <w:szCs w:val="21"/>
          <w:highlight w:val="none"/>
          <w:lang w:val="en" w:eastAsia="zh-CN"/>
        </w:rPr>
        <w:t>/</w:t>
      </w:r>
      <w:r>
        <w:rPr>
          <w:rFonts w:hint="eastAsia" w:ascii="宋体" w:hAnsi="宋体"/>
          <w:color w:val="auto"/>
          <w:szCs w:val="21"/>
          <w:highlight w:val="none"/>
          <w:lang w:val="en" w:eastAsia="zh-CN"/>
        </w:rPr>
        <w:t>架</w:t>
      </w:r>
      <w:r>
        <w:rPr>
          <w:rFonts w:hint="default" w:ascii="宋体" w:hAnsi="宋体"/>
          <w:color w:val="auto"/>
          <w:szCs w:val="21"/>
          <w:highlight w:val="none"/>
          <w:lang w:val="en" w:eastAsia="zh-CN"/>
        </w:rPr>
        <w:t>/</w:t>
      </w:r>
      <w:r>
        <w:rPr>
          <w:rFonts w:hint="eastAsia" w:ascii="宋体" w:hAnsi="宋体"/>
          <w:color w:val="auto"/>
          <w:szCs w:val="21"/>
          <w:highlight w:val="none"/>
          <w:lang w:val="en" w:eastAsia="zh-CN"/>
        </w:rPr>
        <w:t>组等</w:t>
      </w:r>
      <w:r>
        <w:rPr>
          <w:rFonts w:hint="eastAsia" w:ascii="宋体" w:hAnsi="宋体"/>
          <w:color w:val="auto"/>
          <w:szCs w:val="21"/>
          <w:highlight w:val="none"/>
          <w:lang w:val="en-US" w:eastAsia="zh-CN"/>
        </w:rPr>
        <w:t>）</w:t>
      </w:r>
      <w:r>
        <w:rPr>
          <w:rFonts w:hint="eastAsia" w:ascii="宋体" w:hAnsi="宋体"/>
          <w:color w:val="auto"/>
          <w:szCs w:val="21"/>
          <w:highlight w:val="none"/>
          <w:lang w:eastAsia="zh-CN"/>
        </w:rPr>
        <w:t>：</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none"/>
          <w:lang w:val="en-US" w:eastAsia="zh-CN"/>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lang w:val="en-US" w:eastAsia="zh-CN"/>
        </w:rPr>
        <w:t xml:space="preserve"> </w:t>
      </w:r>
    </w:p>
    <w:p w14:paraId="33566903">
      <w:pPr>
        <w:numPr>
          <w:ilvl w:val="0"/>
          <w:numId w:val="0"/>
        </w:numPr>
        <w:adjustRightInd w:val="0"/>
        <w:snapToGrid w:val="0"/>
        <w:spacing w:before="0" w:beforeLines="0" w:line="400" w:lineRule="exact"/>
        <w:ind w:firstLine="420" w:firstLineChars="200"/>
        <w:rPr>
          <w:rFonts w:hint="default" w:ascii="宋体" w:hAnsi="宋体" w:cs="宋体"/>
          <w:color w:val="auto"/>
          <w:szCs w:val="21"/>
          <w:highlight w:val="none"/>
          <w:lang w:val="en" w:eastAsia="zh-CN"/>
        </w:rPr>
      </w:pPr>
      <w:r>
        <w:rPr>
          <w:rFonts w:hint="eastAsia" w:ascii="宋体" w:hAnsi="宋体"/>
          <w:color w:val="auto"/>
          <w:szCs w:val="21"/>
          <w:highlight w:val="none"/>
          <w:u w:val="none"/>
          <w:lang w:val="en-US" w:eastAsia="zh-CN"/>
        </w:rPr>
        <w:t xml:space="preserve">     </w:t>
      </w:r>
      <w:r>
        <w:rPr>
          <w:rFonts w:hint="eastAsia" w:ascii="宋体" w:hAnsi="宋体" w:cs="宋体"/>
          <w:color w:val="auto"/>
          <w:szCs w:val="21"/>
          <w:highlight w:val="none"/>
          <w:lang w:val="en-US" w:eastAsia="zh-CN"/>
        </w:rPr>
        <w:t>品牌：</w:t>
      </w:r>
      <w:r>
        <w:rPr>
          <w:rFonts w:hint="eastAsia" w:ascii="宋体" w:hAnsi="宋体" w:cs="宋体"/>
          <w:color w:val="auto"/>
          <w:szCs w:val="21"/>
          <w:highlight w:val="none"/>
          <w:u w:val="single"/>
          <w:lang w:val="en-US" w:eastAsia="zh-CN"/>
        </w:rPr>
        <w:t xml:space="preserve">      </w:t>
      </w:r>
      <w:r>
        <w:rPr>
          <w:rFonts w:hint="default" w:ascii="宋体" w:hAnsi="宋体" w:cs="宋体"/>
          <w:color w:val="auto"/>
          <w:szCs w:val="21"/>
          <w:highlight w:val="none"/>
          <w:u w:val="single"/>
          <w:lang w:val="en" w:eastAsia="zh-CN"/>
        </w:rPr>
        <w:t xml:space="preserve">   </w:t>
      </w:r>
      <w:r>
        <w:rPr>
          <w:rFonts w:hint="eastAsia" w:ascii="宋体" w:hAnsi="宋体" w:cs="宋体"/>
          <w:color w:val="auto"/>
          <w:szCs w:val="21"/>
          <w:highlight w:val="none"/>
          <w:u w:val="single"/>
          <w:lang w:val="en-US" w:eastAsia="zh-CN"/>
        </w:rPr>
        <w:t xml:space="preserve">    </w:t>
      </w:r>
      <w:r>
        <w:rPr>
          <w:rFonts w:hint="default" w:ascii="宋体" w:hAnsi="宋体" w:cs="宋体"/>
          <w:color w:val="auto"/>
          <w:szCs w:val="21"/>
          <w:highlight w:val="none"/>
          <w:u w:val="single"/>
          <w:lang w:val="en" w:eastAsia="zh-CN"/>
        </w:rPr>
        <w:t xml:space="preserve"> </w:t>
      </w:r>
      <w:r>
        <w:rPr>
          <w:rFonts w:hint="eastAsia" w:ascii="宋体" w:hAnsi="宋体" w:cs="宋体"/>
          <w:color w:val="auto"/>
          <w:szCs w:val="21"/>
          <w:highlight w:val="none"/>
          <w:u w:val="single"/>
          <w:lang w:val="en-US" w:eastAsia="zh-CN"/>
        </w:rPr>
        <w:t xml:space="preserve"> </w:t>
      </w:r>
      <w:r>
        <w:rPr>
          <w:rFonts w:hint="default" w:ascii="宋体" w:hAnsi="宋体" w:cs="宋体"/>
          <w:color w:val="auto"/>
          <w:szCs w:val="21"/>
          <w:highlight w:val="none"/>
          <w:u w:val="none"/>
          <w:lang w:val="en" w:eastAsia="zh-CN"/>
        </w:rPr>
        <w:t xml:space="preserve">     </w:t>
      </w:r>
      <w:r>
        <w:rPr>
          <w:rFonts w:hint="eastAsia" w:ascii="宋体" w:hAnsi="宋体" w:cs="宋体"/>
          <w:color w:val="auto"/>
          <w:szCs w:val="21"/>
          <w:highlight w:val="none"/>
          <w:lang w:val="en-US" w:eastAsia="zh-CN"/>
        </w:rPr>
        <w:t>规格型号：</w:t>
      </w:r>
      <w:r>
        <w:rPr>
          <w:rFonts w:hint="eastAsia" w:ascii="宋体" w:hAnsi="宋体" w:cs="宋体"/>
          <w:color w:val="auto"/>
          <w:szCs w:val="21"/>
          <w:highlight w:val="none"/>
          <w:u w:val="single"/>
          <w:lang w:val="en-US" w:eastAsia="zh-CN"/>
        </w:rPr>
        <w:t xml:space="preserve">   </w:t>
      </w:r>
      <w:r>
        <w:rPr>
          <w:rFonts w:hint="default" w:ascii="宋体" w:hAnsi="宋体" w:cs="宋体"/>
          <w:color w:val="auto"/>
          <w:szCs w:val="21"/>
          <w:highlight w:val="none"/>
          <w:u w:val="single"/>
          <w:lang w:val="en" w:eastAsia="zh-CN"/>
        </w:rPr>
        <w:t xml:space="preserve">  </w:t>
      </w:r>
      <w:r>
        <w:rPr>
          <w:rFonts w:hint="eastAsia" w:ascii="宋体" w:hAnsi="宋体" w:cs="宋体"/>
          <w:color w:val="auto"/>
          <w:szCs w:val="21"/>
          <w:highlight w:val="none"/>
          <w:u w:val="single"/>
          <w:lang w:val="en-US" w:eastAsia="zh-CN"/>
        </w:rPr>
        <w:t xml:space="preserve">       </w:t>
      </w:r>
      <w:r>
        <w:rPr>
          <w:rFonts w:hint="default" w:ascii="宋体" w:hAnsi="宋体" w:cs="宋体"/>
          <w:color w:val="auto"/>
          <w:szCs w:val="21"/>
          <w:highlight w:val="none"/>
          <w:u w:val="single"/>
          <w:lang w:val="en" w:eastAsia="zh-CN"/>
        </w:rPr>
        <w:t xml:space="preserve">   </w:t>
      </w:r>
    </w:p>
    <w:p w14:paraId="0C912548">
      <w:pPr>
        <w:adjustRightInd w:val="0"/>
        <w:snapToGrid w:val="0"/>
        <w:spacing w:before="0" w:beforeLines="0" w:line="400" w:lineRule="exact"/>
        <w:ind w:firstLine="945" w:firstLineChars="450"/>
        <w:rPr>
          <w:rFonts w:ascii="宋体" w:hAnsi="宋体"/>
          <w:color w:val="auto"/>
          <w:szCs w:val="21"/>
          <w:highlight w:val="none"/>
          <w:u w:val="single"/>
        </w:rPr>
      </w:pPr>
      <w:r>
        <w:rPr>
          <w:rFonts w:hint="eastAsia" w:ascii="宋体" w:hAnsi="宋体"/>
          <w:color w:val="auto"/>
          <w:szCs w:val="21"/>
          <w:highlight w:val="none"/>
          <w:u w:val="none"/>
          <w:lang w:val="en-US" w:eastAsia="zh-CN"/>
        </w:rPr>
        <w:t>采购标的的技术要求、商务要求具体见附件。</w:t>
      </w:r>
    </w:p>
    <w:p w14:paraId="0F612209">
      <w:pPr>
        <w:numPr>
          <w:ilvl w:val="0"/>
          <w:numId w:val="0"/>
        </w:numPr>
        <w:adjustRightInd w:val="0"/>
        <w:snapToGrid w:val="0"/>
        <w:spacing w:before="0" w:beforeLines="0" w:line="400" w:lineRule="exact"/>
        <w:ind w:firstLine="945" w:firstLineChars="450"/>
        <w:rPr>
          <w:rFonts w:hint="eastAsia" w:ascii="宋体" w:hAnsi="宋体" w:cs="宋体"/>
          <w:color w:val="auto"/>
          <w:szCs w:val="21"/>
          <w:highlight w:val="none"/>
          <w:lang w:val="en-US" w:eastAsia="zh-CN"/>
        </w:rPr>
      </w:pPr>
      <w:r>
        <w:rPr>
          <w:rFonts w:hint="eastAsia" w:ascii="汉仪书宋二S" w:hAnsi="汉仪书宋二S" w:eastAsia="汉仪书宋二S" w:cs="汉仪书宋二S"/>
          <w:color w:val="auto"/>
          <w:szCs w:val="21"/>
          <w:highlight w:val="none"/>
          <w:lang w:val="en-US" w:eastAsia="zh-CN"/>
        </w:rPr>
        <w:t>①</w:t>
      </w:r>
      <w:r>
        <w:rPr>
          <w:rFonts w:hint="eastAsia" w:ascii="宋体" w:hAnsi="宋体" w:cs="宋体"/>
          <w:color w:val="auto"/>
          <w:szCs w:val="21"/>
          <w:highlight w:val="none"/>
          <w:lang w:val="en-US" w:eastAsia="zh-CN"/>
        </w:rPr>
        <w:t>涉及信息类产品，请填写该产品关键部件的品牌、型号：</w:t>
      </w:r>
    </w:p>
    <w:p w14:paraId="085357D6">
      <w:pPr>
        <w:numPr>
          <w:ilvl w:val="0"/>
          <w:numId w:val="0"/>
        </w:numPr>
        <w:adjustRightInd w:val="0"/>
        <w:snapToGrid w:val="0"/>
        <w:spacing w:before="0" w:beforeLines="0" w:line="400" w:lineRule="exact"/>
        <w:ind w:firstLine="420" w:firstLineChars="200"/>
        <w:rPr>
          <w:rFonts w:hint="eastAsia" w:ascii="宋体" w:hAnsi="宋体" w:cs="宋体"/>
          <w:color w:val="auto"/>
          <w:kern w:val="0"/>
          <w:szCs w:val="21"/>
          <w:highlight w:val="none"/>
          <w:u w:val="single"/>
          <w:lang w:val="en-US" w:eastAsia="zh-CN"/>
        </w:rPr>
      </w:pPr>
      <w:r>
        <w:rPr>
          <w:rFonts w:hint="eastAsia" w:ascii="宋体" w:hAnsi="宋体" w:cs="宋体"/>
          <w:color w:val="auto"/>
          <w:szCs w:val="21"/>
          <w:highlight w:val="none"/>
          <w:lang w:val="en-US" w:eastAsia="zh-CN"/>
        </w:rPr>
        <w:t xml:space="preserve">     标的名称：</w:t>
      </w:r>
      <w:r>
        <w:rPr>
          <w:rFonts w:hint="eastAsia" w:ascii="宋体" w:hAnsi="宋体" w:cs="宋体"/>
          <w:color w:val="auto"/>
          <w:kern w:val="0"/>
          <w:szCs w:val="21"/>
          <w:highlight w:val="none"/>
          <w:u w:val="single"/>
          <w:lang w:val="en-US" w:eastAsia="zh-CN"/>
        </w:rPr>
        <w:t xml:space="preserve">      </w:t>
      </w:r>
      <w:r>
        <w:rPr>
          <w:rFonts w:hint="default" w:ascii="宋体" w:hAnsi="宋体" w:cs="宋体"/>
          <w:color w:val="auto"/>
          <w:kern w:val="0"/>
          <w:szCs w:val="21"/>
          <w:highlight w:val="none"/>
          <w:u w:val="single"/>
          <w:lang w:val="en" w:eastAsia="zh-CN"/>
        </w:rPr>
        <w:t xml:space="preserve">               </w:t>
      </w:r>
      <w:r>
        <w:rPr>
          <w:rFonts w:hint="eastAsia" w:ascii="宋体" w:hAnsi="宋体" w:cs="宋体"/>
          <w:color w:val="auto"/>
          <w:kern w:val="0"/>
          <w:szCs w:val="21"/>
          <w:highlight w:val="none"/>
          <w:u w:val="single"/>
          <w:lang w:val="en-US" w:eastAsia="zh-CN"/>
        </w:rPr>
        <w:t xml:space="preserve">    </w:t>
      </w:r>
    </w:p>
    <w:p w14:paraId="47187443">
      <w:pPr>
        <w:numPr>
          <w:ilvl w:val="0"/>
          <w:numId w:val="0"/>
        </w:numPr>
        <w:adjustRightInd w:val="0"/>
        <w:snapToGrid w:val="0"/>
        <w:spacing w:before="0" w:beforeLines="0" w:line="400" w:lineRule="exact"/>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 xml:space="preserve">     关键部件：</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none"/>
          <w:lang w:val="en-US" w:eastAsia="zh-CN"/>
        </w:rPr>
        <w:t xml:space="preserve"> </w:t>
      </w:r>
      <w:r>
        <w:rPr>
          <w:rFonts w:hint="eastAsia" w:ascii="宋体" w:hAnsi="宋体" w:cs="宋体"/>
          <w:color w:val="auto"/>
          <w:szCs w:val="21"/>
          <w:highlight w:val="none"/>
          <w:lang w:val="en-US" w:eastAsia="zh-CN"/>
        </w:rPr>
        <w:t>品牌：</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none"/>
          <w:lang w:val="en-US" w:eastAsia="zh-CN"/>
        </w:rPr>
        <w:t xml:space="preserve"> </w:t>
      </w:r>
      <w:r>
        <w:rPr>
          <w:rFonts w:hint="eastAsia" w:ascii="宋体" w:hAnsi="宋体" w:cs="宋体"/>
          <w:color w:val="auto"/>
          <w:szCs w:val="21"/>
          <w:highlight w:val="none"/>
          <w:lang w:val="en-US" w:eastAsia="zh-CN"/>
        </w:rPr>
        <w:t>型号：</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lang w:val="en-US" w:eastAsia="zh-CN"/>
        </w:rPr>
        <w:t xml:space="preserve"> </w:t>
      </w:r>
    </w:p>
    <w:p w14:paraId="4ECCF9A6">
      <w:pPr>
        <w:pStyle w:val="29"/>
        <w:spacing w:beforeLine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kern w:val="2"/>
          <w:sz w:val="21"/>
          <w:szCs w:val="21"/>
          <w:highlight w:val="none"/>
          <w:lang w:val="en-US" w:eastAsia="zh-CN"/>
        </w:rPr>
        <w:t>关键部件</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lang w:val="en-US" w:eastAsia="zh-CN"/>
        </w:rPr>
        <w:t>品牌：</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lang w:val="en-US" w:eastAsia="zh-CN"/>
        </w:rPr>
        <w:t>型号：</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 xml:space="preserve"> </w:t>
      </w:r>
    </w:p>
    <w:p w14:paraId="39AE1A3E">
      <w:pPr>
        <w:pStyle w:val="29"/>
        <w:spacing w:beforeLine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关键部件：</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lang w:val="en-US" w:eastAsia="zh-CN"/>
        </w:rPr>
        <w:t>品牌：</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lang w:val="en-US" w:eastAsia="zh-CN"/>
        </w:rPr>
        <w:t>型号：</w:t>
      </w:r>
      <w:r>
        <w:rPr>
          <w:rFonts w:hint="eastAsia" w:ascii="宋体" w:hAnsi="宋体" w:eastAsia="宋体" w:cs="宋体"/>
          <w:color w:val="auto"/>
          <w:sz w:val="21"/>
          <w:szCs w:val="21"/>
          <w:highlight w:val="none"/>
          <w:u w:val="single"/>
          <w:lang w:val="en-US" w:eastAsia="zh-CN"/>
        </w:rPr>
        <w:t xml:space="preserve">       </w:t>
      </w:r>
    </w:p>
    <w:p w14:paraId="2D7447EB">
      <w:pPr>
        <w:pStyle w:val="29"/>
        <w:numPr>
          <w:ilvl w:val="0"/>
          <w:numId w:val="0"/>
        </w:numPr>
        <w:adjustRightInd w:val="0"/>
        <w:snapToGrid w:val="0"/>
        <w:spacing w:before="0" w:beforeLines="0" w:line="400" w:lineRule="exact"/>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（注：关键部件是指财政部会同有关部门发布的政府采购需求标准规定的需要通过国家有关部门指定的测评机构开展的安全可靠测评的软硬件，如CPU芯片、操作系统、数据库等。）</w:t>
      </w:r>
    </w:p>
    <w:p w14:paraId="26B8AD0A">
      <w:pPr>
        <w:pStyle w:val="29"/>
        <w:numPr>
          <w:ilvl w:val="0"/>
          <w:numId w:val="0"/>
        </w:numPr>
        <w:adjustRightInd w:val="0"/>
        <w:snapToGrid w:val="0"/>
        <w:spacing w:before="0" w:beforeLines="0" w:line="400" w:lineRule="exact"/>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w:t>
      </w:r>
      <w:r>
        <w:rPr>
          <w:rFonts w:hint="eastAsia" w:ascii="汉仪书宋二S" w:hAnsi="汉仪书宋二S" w:eastAsia="汉仪书宋二S" w:cs="汉仪书宋二S"/>
          <w:color w:val="auto"/>
          <w:sz w:val="21"/>
          <w:szCs w:val="21"/>
          <w:highlight w:val="none"/>
          <w:lang w:val="en-US" w:eastAsia="zh-CN"/>
        </w:rPr>
        <w:t>②</w:t>
      </w:r>
      <w:r>
        <w:rPr>
          <w:rFonts w:hint="eastAsia" w:ascii="宋体" w:hAnsi="宋体" w:eastAsia="宋体" w:cs="宋体"/>
          <w:color w:val="auto"/>
          <w:sz w:val="21"/>
          <w:szCs w:val="21"/>
          <w:highlight w:val="none"/>
          <w:lang w:val="en-US" w:eastAsia="zh-CN"/>
        </w:rPr>
        <w:t>涉及车辆采购，请填写是否属于新能源汽车：</w:t>
      </w:r>
    </w:p>
    <w:p w14:paraId="1D03A575">
      <w:pPr>
        <w:pStyle w:val="29"/>
        <w:numPr>
          <w:ilvl w:val="0"/>
          <w:numId w:val="0"/>
        </w:numPr>
        <w:adjustRightInd w:val="0"/>
        <w:snapToGrid w:val="0"/>
        <w:spacing w:before="0" w:beforeLines="0" w:line="400" w:lineRule="exact"/>
        <w:ind w:firstLine="0" w:firstLineChars="0"/>
        <w:rPr>
          <w:rFonts w:hint="eastAsia" w:ascii="宋体" w:hAnsi="宋体" w:eastAsia="宋体" w:cs="宋体"/>
          <w:iCs w:val="0"/>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rPr>
        <w:t>是</w:t>
      </w:r>
      <w:r>
        <w:rPr>
          <w:rFonts w:hint="eastAsia" w:ascii="宋体" w:hAnsi="宋体" w:eastAsia="宋体" w:cs="宋体"/>
          <w:iCs w:val="0"/>
          <w:color w:val="auto"/>
          <w:sz w:val="21"/>
          <w:szCs w:val="21"/>
          <w:highlight w:val="none"/>
          <w:lang w:eastAsia="zh-CN"/>
        </w:rPr>
        <w:t>，《政府采购品目分类目录》底级品目名称</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 xml:space="preserve"> 数量：</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 xml:space="preserve"> 金额：</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iCs w:val="0"/>
          <w:color w:val="auto"/>
          <w:sz w:val="21"/>
          <w:szCs w:val="21"/>
          <w:highlight w:val="none"/>
          <w:lang w:val="en-US" w:eastAsia="zh-CN"/>
        </w:rPr>
        <w:t xml:space="preserve"> </w:t>
      </w:r>
    </w:p>
    <w:p w14:paraId="25A95A1C">
      <w:pPr>
        <w:pStyle w:val="29"/>
        <w:numPr>
          <w:ilvl w:val="0"/>
          <w:numId w:val="0"/>
        </w:numPr>
        <w:adjustRightInd w:val="0"/>
        <w:snapToGrid w:val="0"/>
        <w:spacing w:before="0" w:beforeLines="0" w:line="400" w:lineRule="exact"/>
        <w:ind w:firstLine="0" w:firstLineChars="0"/>
        <w:rPr>
          <w:rFonts w:hint="eastAsia" w:ascii="宋体" w:hAnsi="宋体" w:eastAsia="宋体" w:cs="宋体"/>
          <w:iCs w:val="0"/>
          <w:color w:val="auto"/>
          <w:sz w:val="21"/>
          <w:szCs w:val="21"/>
          <w:highlight w:val="none"/>
          <w:lang w:eastAsia="zh-CN"/>
        </w:rPr>
      </w:pP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否</w:t>
      </w:r>
    </w:p>
    <w:p w14:paraId="7DB7C8AC">
      <w:pPr>
        <w:pStyle w:val="29"/>
        <w:numPr>
          <w:ilvl w:val="0"/>
          <w:numId w:val="0"/>
        </w:numPr>
        <w:adjustRightInd w:val="0"/>
        <w:snapToGrid w:val="0"/>
        <w:spacing w:before="0" w:beforeLines="0" w:line="400" w:lineRule="exact"/>
        <w:ind w:left="0" w:firstLine="0" w:firstLineChars="0"/>
        <w:rPr>
          <w:rFonts w:hint="eastAsia" w:ascii="宋体" w:hAnsi="宋体" w:eastAsia="宋体" w:cs="宋体"/>
          <w:iCs w:val="0"/>
          <w:color w:val="auto"/>
          <w:sz w:val="21"/>
          <w:szCs w:val="21"/>
          <w:highlight w:val="none"/>
          <w:lang w:val="en-US" w:eastAsia="zh-CN"/>
        </w:rPr>
      </w:pPr>
      <w:r>
        <w:rPr>
          <w:rFonts w:hint="eastAsia" w:ascii="宋体" w:hAnsi="宋体" w:eastAsia="宋体" w:cs="宋体"/>
          <w:iCs w:val="0"/>
          <w:color w:val="auto"/>
          <w:sz w:val="21"/>
          <w:szCs w:val="21"/>
          <w:highlight w:val="none"/>
          <w:lang w:val="en-US" w:eastAsia="zh-CN"/>
        </w:rPr>
        <w:t xml:space="preserve">    （</w:t>
      </w:r>
      <w:r>
        <w:rPr>
          <w:rFonts w:hint="default" w:ascii="宋体" w:hAnsi="宋体" w:eastAsia="宋体" w:cs="宋体"/>
          <w:iCs w:val="0"/>
          <w:color w:val="auto"/>
          <w:sz w:val="21"/>
          <w:szCs w:val="21"/>
          <w:highlight w:val="none"/>
          <w:lang w:val="en" w:eastAsia="zh-CN"/>
        </w:rPr>
        <w:t>4</w:t>
      </w:r>
      <w:r>
        <w:rPr>
          <w:rFonts w:hint="eastAsia" w:ascii="宋体" w:hAnsi="宋体" w:eastAsia="宋体" w:cs="宋体"/>
          <w:iCs w:val="0"/>
          <w:color w:val="auto"/>
          <w:sz w:val="21"/>
          <w:szCs w:val="21"/>
          <w:highlight w:val="none"/>
          <w:lang w:val="en-US" w:eastAsia="zh-CN"/>
        </w:rPr>
        <w:t>）政府采购组织形式：</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政府集中采购</w:t>
      </w: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val="en-US" w:eastAsia="zh-CN"/>
        </w:rPr>
        <w:t xml:space="preserve">部门集中采购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val="en-US" w:eastAsia="zh-CN"/>
        </w:rPr>
        <w:t>分散采购</w:t>
      </w:r>
    </w:p>
    <w:p w14:paraId="204B0162">
      <w:pPr>
        <w:pStyle w:val="29"/>
        <w:numPr>
          <w:ilvl w:val="0"/>
          <w:numId w:val="0"/>
        </w:numPr>
        <w:adjustRightInd w:val="0"/>
        <w:snapToGrid w:val="0"/>
        <w:spacing w:before="0" w:beforeLines="0" w:line="400" w:lineRule="exact"/>
        <w:ind w:left="0" w:firstLine="420" w:firstLineChars="0"/>
        <w:rPr>
          <w:rFonts w:hint="eastAsia" w:ascii="宋体" w:hAnsi="宋体" w:eastAsia="宋体" w:cs="宋体"/>
          <w:iCs w:val="0"/>
          <w:color w:val="auto"/>
          <w:sz w:val="21"/>
          <w:szCs w:val="21"/>
          <w:highlight w:val="none"/>
          <w:lang w:eastAsia="zh-CN"/>
        </w:rPr>
      </w:pPr>
      <w:r>
        <w:rPr>
          <w:rFonts w:hint="eastAsia" w:ascii="宋体" w:hAnsi="宋体" w:eastAsia="宋体" w:cs="宋体"/>
          <w:iCs w:val="0"/>
          <w:color w:val="auto"/>
          <w:sz w:val="21"/>
          <w:szCs w:val="21"/>
          <w:highlight w:val="none"/>
          <w:lang w:val="en-US" w:eastAsia="zh-CN"/>
        </w:rPr>
        <w:t>（</w:t>
      </w:r>
      <w:r>
        <w:rPr>
          <w:rFonts w:hint="default" w:ascii="宋体" w:hAnsi="宋体" w:eastAsia="宋体" w:cs="宋体"/>
          <w:iCs w:val="0"/>
          <w:color w:val="auto"/>
          <w:sz w:val="21"/>
          <w:szCs w:val="21"/>
          <w:highlight w:val="none"/>
          <w:lang w:val="en" w:eastAsia="zh-CN"/>
        </w:rPr>
        <w:t>5</w:t>
      </w:r>
      <w:r>
        <w:rPr>
          <w:rFonts w:hint="eastAsia" w:ascii="宋体" w:hAnsi="宋体" w:eastAsia="宋体" w:cs="宋体"/>
          <w:iCs w:val="0"/>
          <w:color w:val="auto"/>
          <w:sz w:val="21"/>
          <w:szCs w:val="21"/>
          <w:highlight w:val="none"/>
          <w:lang w:val="en-US" w:eastAsia="zh-CN"/>
        </w:rPr>
        <w:t>）政府采购方式：</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公开招标</w:t>
      </w: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邀请招标</w:t>
      </w: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竞争性谈判</w:t>
      </w: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竞争性磋商</w:t>
      </w:r>
    </w:p>
    <w:p w14:paraId="45F95CA4">
      <w:pPr>
        <w:pStyle w:val="29"/>
        <w:numPr>
          <w:ilvl w:val="0"/>
          <w:numId w:val="0"/>
        </w:numPr>
        <w:adjustRightInd w:val="0"/>
        <w:snapToGrid w:val="0"/>
        <w:spacing w:before="0" w:beforeLines="0" w:line="400" w:lineRule="exact"/>
        <w:ind w:left="0" w:firstLine="420" w:firstLineChars="0"/>
        <w:rPr>
          <w:rFonts w:hint="eastAsia" w:ascii="宋体" w:hAnsi="宋体" w:eastAsia="宋体" w:cs="宋体"/>
          <w:iCs w:val="0"/>
          <w:color w:val="auto"/>
          <w:sz w:val="21"/>
          <w:szCs w:val="21"/>
          <w:highlight w:val="none"/>
          <w:u w:val="single"/>
          <w:lang w:val="en-US" w:eastAsia="zh-CN"/>
        </w:rPr>
      </w:pPr>
      <w:r>
        <w:rPr>
          <w:rFonts w:hint="eastAsia" w:ascii="宋体" w:hAnsi="宋体" w:cs="宋体"/>
          <w:color w:val="auto"/>
          <w:szCs w:val="21"/>
          <w:highlight w:val="none"/>
          <w:u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询价</w:t>
      </w: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单一来源</w:t>
      </w: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框架协议</w:t>
      </w:r>
      <w:r>
        <w:rPr>
          <w:rFonts w:hint="eastAsia" w:ascii="宋体" w:hAnsi="宋体" w:eastAsia="宋体" w:cs="宋体"/>
          <w:iCs w:val="0"/>
          <w:color w:val="auto"/>
          <w:sz w:val="21"/>
          <w:szCs w:val="21"/>
          <w:highlight w:val="none"/>
          <w:lang w:val="en-US" w:eastAsia="zh-CN"/>
        </w:rPr>
        <w:t xml:space="preserve"> </w:t>
      </w:r>
      <w:r>
        <w:rPr>
          <w:rFonts w:hint="eastAsia" w:ascii="宋体" w:hAnsi="宋体" w:eastAsia="宋体" w:cs="宋体"/>
          <w:iCs w:val="0"/>
          <w:color w:val="auto"/>
          <w:sz w:val="21"/>
          <w:szCs w:val="21"/>
          <w:highlight w:val="none"/>
        </w:rPr>
        <w:sym w:font="Wingdings" w:char="00A8"/>
      </w:r>
      <w:r>
        <w:rPr>
          <w:rFonts w:hint="eastAsia" w:ascii="宋体" w:hAnsi="宋体" w:eastAsia="宋体" w:cs="宋体"/>
          <w:iCs w:val="0"/>
          <w:color w:val="auto"/>
          <w:sz w:val="21"/>
          <w:szCs w:val="21"/>
          <w:highlight w:val="none"/>
          <w:lang w:eastAsia="zh-CN"/>
        </w:rPr>
        <w:t>其他：</w:t>
      </w:r>
      <w:r>
        <w:rPr>
          <w:rFonts w:hint="eastAsia" w:ascii="宋体" w:hAnsi="宋体" w:eastAsia="宋体" w:cs="宋体"/>
          <w:iCs w:val="0"/>
          <w:color w:val="auto"/>
          <w:sz w:val="21"/>
          <w:szCs w:val="21"/>
          <w:highlight w:val="none"/>
          <w:u w:val="single"/>
          <w:lang w:val="en-US" w:eastAsia="zh-CN"/>
        </w:rPr>
        <w:t xml:space="preserve">          </w:t>
      </w:r>
    </w:p>
    <w:p w14:paraId="1F295C4C">
      <w:pPr>
        <w:pStyle w:val="29"/>
        <w:numPr>
          <w:ilvl w:val="0"/>
          <w:numId w:val="0"/>
        </w:numPr>
        <w:adjustRightInd w:val="0"/>
        <w:snapToGrid w:val="0"/>
        <w:spacing w:before="0" w:beforeLines="0" w:line="400" w:lineRule="exact"/>
        <w:ind w:left="0" w:firstLine="420" w:firstLineChars="0"/>
        <w:rPr>
          <w:rFonts w:hint="default" w:ascii="宋体" w:hAnsi="宋体" w:eastAsia="宋体" w:cs="宋体"/>
          <w:iCs w:val="0"/>
          <w:color w:val="auto"/>
          <w:sz w:val="21"/>
          <w:szCs w:val="21"/>
          <w:highlight w:val="none"/>
          <w:u w:val="none"/>
          <w:lang w:val="en-US" w:eastAsia="zh-CN"/>
        </w:rPr>
      </w:pPr>
      <w:r>
        <w:rPr>
          <w:rFonts w:hint="eastAsia" w:ascii="宋体" w:hAnsi="宋体" w:eastAsia="宋体" w:cs="宋体"/>
          <w:iCs w:val="0"/>
          <w:color w:val="auto"/>
          <w:sz w:val="21"/>
          <w:szCs w:val="21"/>
          <w:highlight w:val="none"/>
          <w:u w:val="none"/>
          <w:lang w:val="en-US" w:eastAsia="zh-CN"/>
        </w:rPr>
        <w:t>（注：在框架协议采购的第二阶段，可选择使用该合同文本）</w:t>
      </w:r>
    </w:p>
    <w:p w14:paraId="62A991E4">
      <w:pPr>
        <w:pStyle w:val="29"/>
        <w:numPr>
          <w:ilvl w:val="0"/>
          <w:numId w:val="0"/>
        </w:numPr>
        <w:adjustRightInd w:val="0"/>
        <w:snapToGrid w:val="0"/>
        <w:spacing w:before="0" w:beforeLines="0" w:line="400" w:lineRule="exact"/>
        <w:ind w:firstLine="220" w:firstLineChars="100"/>
        <w:rPr>
          <w:rFonts w:hint="eastAsia" w:ascii="宋体" w:hAnsi="宋体" w:eastAsia="宋体" w:cs="Times New Roman"/>
          <w:color w:val="auto"/>
          <w:w w:val="100"/>
          <w:kern w:val="2"/>
          <w:sz w:val="21"/>
          <w:szCs w:val="21"/>
          <w:highlight w:val="none"/>
          <w:lang w:val="en-US" w:eastAsia="zh-CN" w:bidi="ar-SA"/>
        </w:rPr>
      </w:pPr>
      <w:r>
        <w:rPr>
          <w:rFonts w:hint="eastAsia" w:ascii="宋体" w:hAnsi="宋体"/>
          <w:color w:val="auto"/>
          <w:szCs w:val="21"/>
          <w:highlight w:val="none"/>
          <w:lang w:val="en-US" w:eastAsia="zh-CN"/>
        </w:rPr>
        <w:t xml:space="preserve"> （</w:t>
      </w:r>
      <w:r>
        <w:rPr>
          <w:rFonts w:hint="default" w:ascii="宋体" w:hAnsi="宋体"/>
          <w:color w:val="auto"/>
          <w:szCs w:val="21"/>
          <w:highlight w:val="none"/>
          <w:lang w:val="en" w:eastAsia="zh-CN"/>
        </w:rPr>
        <w:t>6</w:t>
      </w:r>
      <w:r>
        <w:rPr>
          <w:rFonts w:hint="eastAsia" w:ascii="宋体" w:hAnsi="宋体"/>
          <w:color w:val="auto"/>
          <w:szCs w:val="21"/>
          <w:highlight w:val="none"/>
          <w:lang w:val="en-US" w:eastAsia="zh-CN"/>
        </w:rPr>
        <w:t>）</w:t>
      </w:r>
      <w:r>
        <w:rPr>
          <w:rFonts w:hint="eastAsia" w:ascii="宋体" w:hAnsi="宋体" w:eastAsia="宋体" w:cs="Times New Roman"/>
          <w:color w:val="auto"/>
          <w:w w:val="100"/>
          <w:kern w:val="2"/>
          <w:sz w:val="21"/>
          <w:szCs w:val="21"/>
          <w:highlight w:val="none"/>
          <w:lang w:val="en-US" w:eastAsia="zh-CN" w:bidi="ar-SA"/>
        </w:rPr>
        <w:t>中标（成交）采购标的制造商是否为中小企业：</w:t>
      </w:r>
      <w:r>
        <w:rPr>
          <w:rFonts w:hint="eastAsia" w:ascii="宋体" w:hAnsi="宋体" w:eastAsia="宋体" w:cs="Times New Roman"/>
          <w:color w:val="auto"/>
          <w:w w:val="100"/>
          <w:kern w:val="2"/>
          <w:sz w:val="21"/>
          <w:szCs w:val="21"/>
          <w:highlight w:val="none"/>
          <w:lang w:val="en-US" w:eastAsia="zh-CN" w:bidi="ar-SA"/>
        </w:rPr>
        <w:sym w:font="Wingdings" w:char="00A8"/>
      </w:r>
      <w:r>
        <w:rPr>
          <w:rFonts w:hint="eastAsia" w:ascii="宋体" w:hAnsi="宋体" w:eastAsia="宋体" w:cs="Times New Roman"/>
          <w:color w:val="auto"/>
          <w:w w:val="100"/>
          <w:kern w:val="2"/>
          <w:sz w:val="21"/>
          <w:szCs w:val="21"/>
          <w:highlight w:val="none"/>
          <w:lang w:val="en-US" w:eastAsia="zh-CN" w:bidi="ar-SA"/>
        </w:rPr>
        <w:t xml:space="preserve">是      </w:t>
      </w:r>
      <w:r>
        <w:rPr>
          <w:rFonts w:hint="eastAsia" w:ascii="宋体" w:hAnsi="宋体" w:eastAsia="宋体" w:cs="Times New Roman"/>
          <w:color w:val="auto"/>
          <w:w w:val="100"/>
          <w:kern w:val="2"/>
          <w:sz w:val="21"/>
          <w:szCs w:val="21"/>
          <w:highlight w:val="none"/>
          <w:lang w:val="en-US" w:eastAsia="zh-CN" w:bidi="ar-SA"/>
        </w:rPr>
        <w:sym w:font="Wingdings" w:char="00A8"/>
      </w:r>
      <w:r>
        <w:rPr>
          <w:rFonts w:hint="eastAsia" w:ascii="宋体" w:hAnsi="宋体" w:eastAsia="宋体" w:cs="Times New Roman"/>
          <w:color w:val="auto"/>
          <w:w w:val="100"/>
          <w:kern w:val="2"/>
          <w:sz w:val="21"/>
          <w:szCs w:val="21"/>
          <w:highlight w:val="none"/>
          <w:lang w:val="en-US" w:eastAsia="zh-CN" w:bidi="ar-SA"/>
        </w:rPr>
        <w:t>否</w:t>
      </w:r>
    </w:p>
    <w:p w14:paraId="1EAE1B2E">
      <w:pPr>
        <w:numPr>
          <w:ilvl w:val="0"/>
          <w:numId w:val="0"/>
        </w:numPr>
        <w:adjustRightInd w:val="0"/>
        <w:snapToGrid w:val="0"/>
        <w:spacing w:before="0" w:beforeLines="0" w:line="400" w:lineRule="exact"/>
        <w:ind w:left="0" w:leftChars="0" w:firstLine="0" w:firstLineChars="0"/>
        <w:rPr>
          <w:rFonts w:hint="eastAsia" w:ascii="宋体" w:hAnsi="宋体"/>
          <w:iCs/>
          <w:color w:val="auto"/>
          <w:szCs w:val="21"/>
          <w:highlight w:val="none"/>
        </w:rPr>
      </w:pPr>
      <w:r>
        <w:rPr>
          <w:rFonts w:hint="eastAsia" w:ascii="宋体" w:hAnsi="宋体"/>
          <w:color w:val="auto"/>
          <w:w w:val="100"/>
          <w:szCs w:val="21"/>
          <w:highlight w:val="none"/>
          <w:lang w:val="en-US" w:eastAsia="zh-CN"/>
        </w:rPr>
        <w:t xml:space="preserve">         本合同</w:t>
      </w:r>
      <w:r>
        <w:rPr>
          <w:rFonts w:hint="eastAsia" w:ascii="宋体" w:hAnsi="宋体"/>
          <w:color w:val="auto"/>
          <w:w w:val="100"/>
          <w:szCs w:val="21"/>
          <w:highlight w:val="none"/>
        </w:rPr>
        <w:t>是否</w:t>
      </w:r>
      <w:r>
        <w:rPr>
          <w:rFonts w:hint="eastAsia" w:ascii="宋体" w:hAnsi="宋体"/>
          <w:color w:val="auto"/>
          <w:w w:val="100"/>
          <w:szCs w:val="21"/>
          <w:highlight w:val="none"/>
          <w:lang w:eastAsia="zh-CN"/>
        </w:rPr>
        <w:t>为专门面向</w:t>
      </w:r>
      <w:r>
        <w:rPr>
          <w:rFonts w:hint="eastAsia" w:ascii="宋体" w:hAnsi="宋体"/>
          <w:color w:val="auto"/>
          <w:w w:val="100"/>
          <w:szCs w:val="21"/>
          <w:highlight w:val="none"/>
        </w:rPr>
        <w:t>中小企业</w:t>
      </w:r>
      <w:r>
        <w:rPr>
          <w:rFonts w:hint="eastAsia" w:ascii="宋体" w:hAnsi="宋体"/>
          <w:color w:val="auto"/>
          <w:w w:val="100"/>
          <w:szCs w:val="21"/>
          <w:highlight w:val="none"/>
          <w:lang w:eastAsia="zh-CN"/>
        </w:rPr>
        <w:t>的采</w:t>
      </w:r>
      <w:r>
        <w:rPr>
          <w:rFonts w:hint="eastAsia" w:ascii="宋体" w:hAnsi="宋体"/>
          <w:color w:val="auto"/>
          <w:w w:val="100"/>
          <w:szCs w:val="21"/>
          <w:highlight w:val="none"/>
          <w:shd w:val="clear" w:color="auto" w:fill="auto"/>
          <w:lang w:eastAsia="zh-CN"/>
        </w:rPr>
        <w:t>购</w:t>
      </w:r>
      <w:r>
        <w:rPr>
          <w:rFonts w:hint="eastAsia" w:ascii="宋体" w:hAnsi="宋体"/>
          <w:color w:val="auto"/>
          <w:w w:val="100"/>
          <w:szCs w:val="21"/>
          <w:highlight w:val="none"/>
          <w:shd w:val="clear" w:color="auto" w:fill="auto"/>
        </w:rPr>
        <w:t>合同</w:t>
      </w:r>
      <w:r>
        <w:rPr>
          <w:rFonts w:hint="eastAsia" w:ascii="宋体" w:hAnsi="宋体"/>
          <w:color w:val="auto"/>
          <w:w w:val="100"/>
          <w:szCs w:val="21"/>
          <w:highlight w:val="none"/>
          <w:shd w:val="clear" w:color="auto" w:fill="auto"/>
          <w:lang w:eastAsia="zh-CN"/>
        </w:rPr>
        <w:t>（中小企业预留合同）</w:t>
      </w:r>
      <w:r>
        <w:rPr>
          <w:rFonts w:hint="eastAsia" w:ascii="宋体" w:hAnsi="宋体"/>
          <w:color w:val="auto"/>
          <w:szCs w:val="21"/>
          <w:highlight w:val="none"/>
          <w:shd w:val="clear" w:color="auto" w:fill="auto"/>
        </w:rPr>
        <w:t>：</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 </w:t>
      </w: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rPr>
        <w:t>否</w:t>
      </w:r>
    </w:p>
    <w:p w14:paraId="7B977C1D">
      <w:pPr>
        <w:numPr>
          <w:ilvl w:val="0"/>
          <w:numId w:val="0"/>
        </w:numPr>
        <w:adjustRightInd w:val="0"/>
        <w:snapToGrid w:val="0"/>
        <w:spacing w:before="0" w:beforeLines="0" w:line="400" w:lineRule="exact"/>
        <w:ind w:firstLine="0" w:firstLineChars="0"/>
        <w:rPr>
          <w:rFonts w:hint="eastAsia" w:ascii="宋体" w:hAnsi="宋体"/>
          <w:iCs/>
          <w:color w:val="auto"/>
          <w:szCs w:val="21"/>
          <w:highlight w:val="none"/>
        </w:rPr>
      </w:pPr>
      <w:r>
        <w:rPr>
          <w:rFonts w:hint="eastAsia"/>
          <w:color w:val="auto"/>
          <w:highlight w:val="none"/>
          <w:lang w:val="en-US" w:eastAsia="zh-CN"/>
        </w:rPr>
        <w:t xml:space="preserve">         若本项目不专门面向中小企业采购，是否给予小微企业评审优惠：</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   </w:t>
      </w:r>
      <w:r>
        <w:rPr>
          <w:rFonts w:hint="eastAsia" w:ascii="宋体" w:hAnsi="宋体"/>
          <w:iCs/>
          <w:color w:val="auto"/>
          <w:szCs w:val="21"/>
          <w:highlight w:val="none"/>
        </w:rPr>
        <w:sym w:font="Wingdings" w:char="00A8"/>
      </w:r>
      <w:r>
        <w:rPr>
          <w:rFonts w:hint="eastAsia" w:ascii="宋体" w:hAnsi="宋体"/>
          <w:iCs/>
          <w:color w:val="auto"/>
          <w:szCs w:val="21"/>
          <w:highlight w:val="none"/>
        </w:rPr>
        <w:t>否</w:t>
      </w:r>
    </w:p>
    <w:p w14:paraId="4877917B">
      <w:pPr>
        <w:numPr>
          <w:ilvl w:val="0"/>
          <w:numId w:val="0"/>
        </w:numPr>
        <w:adjustRightInd w:val="0"/>
        <w:snapToGrid w:val="0"/>
        <w:spacing w:before="0" w:beforeLines="0" w:line="400" w:lineRule="exact"/>
        <w:ind w:firstLine="0" w:firstLineChars="0"/>
        <w:rPr>
          <w:rFonts w:hint="eastAsia" w:ascii="宋体" w:hAnsi="宋体"/>
          <w:iCs/>
          <w:color w:val="auto"/>
          <w:szCs w:val="21"/>
          <w:highlight w:val="none"/>
        </w:rPr>
      </w:pPr>
      <w:r>
        <w:rPr>
          <w:rFonts w:hint="eastAsia"/>
          <w:color w:val="auto"/>
          <w:highlight w:val="none"/>
          <w:lang w:val="en-US" w:eastAsia="zh-CN"/>
        </w:rPr>
        <w:t xml:space="preserve">         中标（成交）采购标的制造商是否为残疾人福利性单位：</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   </w:t>
      </w:r>
      <w:r>
        <w:rPr>
          <w:rFonts w:hint="eastAsia" w:ascii="宋体" w:hAnsi="宋体"/>
          <w:iCs/>
          <w:color w:val="auto"/>
          <w:szCs w:val="21"/>
          <w:highlight w:val="none"/>
        </w:rPr>
        <w:sym w:font="Wingdings" w:char="00A8"/>
      </w:r>
      <w:r>
        <w:rPr>
          <w:rFonts w:hint="eastAsia" w:ascii="宋体" w:hAnsi="宋体"/>
          <w:iCs/>
          <w:color w:val="auto"/>
          <w:szCs w:val="21"/>
          <w:highlight w:val="none"/>
        </w:rPr>
        <w:t>否</w:t>
      </w:r>
    </w:p>
    <w:p w14:paraId="081E999D">
      <w:pPr>
        <w:numPr>
          <w:ilvl w:val="0"/>
          <w:numId w:val="0"/>
        </w:numPr>
        <w:snapToGrid w:val="0"/>
        <w:spacing w:beforeLines="0" w:line="400" w:lineRule="exact"/>
        <w:ind w:firstLine="0" w:firstLineChars="0"/>
        <w:rPr>
          <w:rFonts w:hint="default"/>
          <w:color w:val="auto"/>
          <w:highlight w:val="none"/>
          <w:lang w:val="en-US" w:eastAsia="zh-CN"/>
        </w:rPr>
      </w:pPr>
      <w:r>
        <w:rPr>
          <w:rFonts w:hint="eastAsia"/>
          <w:color w:val="auto"/>
          <w:highlight w:val="none"/>
          <w:lang w:val="en-US" w:eastAsia="zh-CN"/>
        </w:rPr>
        <w:t xml:space="preserve">         中标（成交）采购标的制造商是否为监狱企业：</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       </w:t>
      </w:r>
      <w:r>
        <w:rPr>
          <w:rFonts w:hint="eastAsia" w:ascii="宋体" w:hAnsi="宋体"/>
          <w:iCs/>
          <w:color w:val="auto"/>
          <w:szCs w:val="21"/>
          <w:highlight w:val="none"/>
        </w:rPr>
        <w:sym w:font="Wingdings" w:char="00A8"/>
      </w:r>
      <w:r>
        <w:rPr>
          <w:rFonts w:hint="eastAsia" w:ascii="宋体" w:hAnsi="宋体"/>
          <w:iCs/>
          <w:color w:val="auto"/>
          <w:szCs w:val="21"/>
          <w:highlight w:val="none"/>
        </w:rPr>
        <w:t>否</w:t>
      </w:r>
    </w:p>
    <w:p w14:paraId="57FB1A71">
      <w:pPr>
        <w:adjustRightInd w:val="0"/>
        <w:snapToGrid w:val="0"/>
        <w:spacing w:before="0" w:beforeLines="0" w:line="40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hint="default" w:ascii="宋体" w:hAnsi="宋体"/>
          <w:color w:val="auto"/>
          <w:szCs w:val="21"/>
          <w:highlight w:val="none"/>
          <w:lang w:val="en" w:eastAsia="zh-CN"/>
        </w:rPr>
        <w:t>7</w:t>
      </w:r>
      <w:r>
        <w:rPr>
          <w:rFonts w:hint="eastAsia" w:ascii="宋体" w:hAnsi="宋体"/>
          <w:color w:val="auto"/>
          <w:szCs w:val="21"/>
          <w:highlight w:val="none"/>
        </w:rPr>
        <w:t>）合同是否分包：</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       </w:t>
      </w:r>
      <w:r>
        <w:rPr>
          <w:rFonts w:hint="eastAsia" w:ascii="宋体" w:hAnsi="宋体"/>
          <w:iCs/>
          <w:color w:val="auto"/>
          <w:szCs w:val="21"/>
          <w:highlight w:val="none"/>
        </w:rPr>
        <w:sym w:font="Wingdings" w:char="00A8"/>
      </w:r>
      <w:r>
        <w:rPr>
          <w:rFonts w:hint="eastAsia" w:ascii="宋体" w:hAnsi="宋体"/>
          <w:iCs/>
          <w:color w:val="auto"/>
          <w:szCs w:val="21"/>
          <w:highlight w:val="none"/>
        </w:rPr>
        <w:t>否</w:t>
      </w:r>
    </w:p>
    <w:p w14:paraId="610F87BF">
      <w:pPr>
        <w:adjustRightInd w:val="0"/>
        <w:snapToGrid w:val="0"/>
        <w:spacing w:before="0" w:beforeLines="0" w:line="400" w:lineRule="exact"/>
        <w:ind w:firstLine="840" w:firstLineChars="400"/>
        <w:rPr>
          <w:rFonts w:hint="eastAsia" w:ascii="宋体" w:hAnsi="宋体"/>
          <w:color w:val="auto"/>
          <w:szCs w:val="21"/>
          <w:highlight w:val="none"/>
          <w:u w:val="single"/>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rPr>
        <w:t>分包主要内容：</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p>
    <w:p w14:paraId="1B932B3B">
      <w:pPr>
        <w:adjustRightInd w:val="0"/>
        <w:snapToGrid w:val="0"/>
        <w:spacing w:before="0" w:beforeLines="0" w:line="400" w:lineRule="exact"/>
        <w:ind w:firstLine="840" w:firstLineChars="400"/>
        <w:rPr>
          <w:rFonts w:hint="eastAsia" w:ascii="宋体" w:hAnsi="宋体"/>
          <w:color w:val="auto"/>
          <w:szCs w:val="21"/>
          <w:highlight w:val="none"/>
        </w:rPr>
      </w:pPr>
      <w:r>
        <w:rPr>
          <w:rFonts w:hint="eastAsia" w:ascii="宋体" w:hAnsi="宋体"/>
          <w:color w:val="auto"/>
          <w:szCs w:val="21"/>
          <w:highlight w:val="none"/>
          <w:u w:val="none"/>
          <w:lang w:val="en-US" w:eastAsia="zh-CN"/>
        </w:rPr>
        <w:t xml:space="preserve"> </w:t>
      </w:r>
      <w:r>
        <w:rPr>
          <w:rFonts w:hint="eastAsia" w:ascii="宋体" w:hAnsi="宋体"/>
          <w:color w:val="auto"/>
          <w:szCs w:val="21"/>
          <w:highlight w:val="none"/>
        </w:rPr>
        <w:t>分包</w:t>
      </w:r>
      <w:r>
        <w:rPr>
          <w:rFonts w:hint="eastAsia" w:ascii="宋体" w:hAnsi="宋体"/>
          <w:color w:val="auto"/>
          <w:szCs w:val="21"/>
          <w:highlight w:val="none"/>
        </w:rPr>
        <w:t>供应商</w:t>
      </w:r>
      <w:r>
        <w:rPr>
          <w:rFonts w:hint="eastAsia" w:ascii="宋体" w:hAnsi="宋体"/>
          <w:color w:val="auto"/>
          <w:szCs w:val="21"/>
          <w:highlight w:val="none"/>
          <w:lang w:eastAsia="zh-CN"/>
        </w:rPr>
        <w:t>/制造商</w:t>
      </w:r>
      <w:r>
        <w:rPr>
          <w:rFonts w:hint="eastAsia" w:ascii="宋体" w:hAnsi="宋体"/>
          <w:color w:val="auto"/>
          <w:szCs w:val="21"/>
          <w:highlight w:val="none"/>
        </w:rPr>
        <w:t>名称</w:t>
      </w:r>
      <w:r>
        <w:rPr>
          <w:rFonts w:hint="eastAsia" w:ascii="宋体" w:hAnsi="宋体"/>
          <w:color w:val="auto"/>
          <w:szCs w:val="21"/>
          <w:highlight w:val="none"/>
          <w:lang w:eastAsia="zh-CN"/>
        </w:rPr>
        <w:t>（如供应商和制造商不同，请分别填写）</w:t>
      </w:r>
      <w:r>
        <w:rPr>
          <w:rFonts w:hint="eastAsia" w:ascii="宋体" w:hAnsi="宋体"/>
          <w:color w:val="auto"/>
          <w:szCs w:val="21"/>
          <w:highlight w:val="none"/>
        </w:rPr>
        <w:t>：</w:t>
      </w:r>
    </w:p>
    <w:p w14:paraId="5F4402EB">
      <w:pPr>
        <w:adjustRightInd w:val="0"/>
        <w:snapToGrid w:val="0"/>
        <w:spacing w:before="0" w:beforeLines="0" w:line="400" w:lineRule="exact"/>
        <w:ind w:firstLine="840" w:firstLineChars="400"/>
        <w:rPr>
          <w:rFonts w:ascii="宋体" w:hAnsi="宋体"/>
          <w:color w:val="auto"/>
          <w:szCs w:val="21"/>
          <w:highlight w:val="none"/>
          <w:u w:val="single"/>
        </w:rPr>
      </w:pPr>
      <w:r>
        <w:rPr>
          <w:rFonts w:hint="eastAsia" w:ascii="宋体" w:hAnsi="宋体"/>
          <w:color w:val="auto"/>
          <w:szCs w:val="21"/>
          <w:highlight w:val="none"/>
          <w:u w:val="non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p>
    <w:p w14:paraId="1A3FAAF2">
      <w:pPr>
        <w:adjustRightInd w:val="0"/>
        <w:snapToGrid w:val="0"/>
        <w:spacing w:before="0" w:beforeLines="0" w:line="400" w:lineRule="exact"/>
        <w:ind w:firstLine="840" w:firstLineChars="400"/>
        <w:rPr>
          <w:rFonts w:hint="eastAsia" w:ascii="宋体" w:hAnsi="宋体"/>
          <w:color w:val="auto"/>
          <w:szCs w:val="21"/>
          <w:highlight w:val="none"/>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rPr>
        <w:t>分包供应商</w:t>
      </w:r>
      <w:r>
        <w:rPr>
          <w:rFonts w:hint="eastAsia" w:ascii="宋体" w:hAnsi="宋体"/>
          <w:color w:val="auto"/>
          <w:szCs w:val="21"/>
          <w:highlight w:val="none"/>
          <w:lang w:val="en-US" w:eastAsia="zh-CN"/>
        </w:rPr>
        <w:t>/</w:t>
      </w:r>
      <w:r>
        <w:rPr>
          <w:rFonts w:hint="eastAsia" w:ascii="宋体" w:hAnsi="宋体"/>
          <w:color w:val="auto"/>
          <w:szCs w:val="21"/>
          <w:highlight w:val="none"/>
          <w:lang w:eastAsia="zh-CN"/>
        </w:rPr>
        <w:t>制造商</w:t>
      </w:r>
      <w:r>
        <w:rPr>
          <w:rFonts w:hint="eastAsia" w:ascii="宋体" w:hAnsi="宋体"/>
          <w:color w:val="auto"/>
          <w:szCs w:val="21"/>
          <w:highlight w:val="none"/>
        </w:rPr>
        <w:t>类型</w:t>
      </w:r>
      <w:r>
        <w:rPr>
          <w:rFonts w:hint="eastAsia" w:ascii="宋体" w:hAnsi="宋体"/>
          <w:color w:val="auto"/>
          <w:szCs w:val="21"/>
          <w:highlight w:val="none"/>
          <w:lang w:eastAsia="zh-CN"/>
        </w:rPr>
        <w:t>（如果供应商和制造商不同，只填写制造商类型）</w:t>
      </w:r>
      <w:r>
        <w:rPr>
          <w:rFonts w:hint="eastAsia" w:ascii="宋体" w:hAnsi="宋体"/>
          <w:color w:val="auto"/>
          <w:szCs w:val="21"/>
          <w:highlight w:val="none"/>
        </w:rPr>
        <w:t>：</w:t>
      </w:r>
    </w:p>
    <w:p w14:paraId="1C65B6EC">
      <w:pPr>
        <w:adjustRightInd w:val="0"/>
        <w:snapToGrid w:val="0"/>
        <w:spacing w:beforeLines="0" w:line="400" w:lineRule="exact"/>
        <w:ind w:firstLine="840" w:firstLineChars="400"/>
        <w:rPr>
          <w:rFonts w:hint="eastAsia" w:ascii="宋体" w:hAnsi="宋体"/>
          <w:iCs/>
          <w:color w:val="auto"/>
          <w:szCs w:val="21"/>
          <w:highlight w:val="none"/>
          <w:lang w:val="en-US" w:eastAsia="zh-CN"/>
        </w:rPr>
      </w:pP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大型企业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中型企业  </w:t>
      </w:r>
      <w:r>
        <w:rPr>
          <w:rFonts w:hint="eastAsia" w:ascii="宋体" w:hAnsi="宋体"/>
          <w:iCs/>
          <w:color w:val="auto"/>
          <w:szCs w:val="21"/>
          <w:highlight w:val="none"/>
        </w:rPr>
        <w:sym w:font="Wingdings" w:char="00A8"/>
      </w:r>
      <w:r>
        <w:rPr>
          <w:rFonts w:hint="eastAsia" w:ascii="宋体" w:hAnsi="宋体"/>
          <w:iCs/>
          <w:color w:val="auto"/>
          <w:szCs w:val="21"/>
          <w:highlight w:val="none"/>
        </w:rPr>
        <w:t>小微型企业</w:t>
      </w:r>
      <w:r>
        <w:rPr>
          <w:rFonts w:hint="eastAsia" w:ascii="宋体" w:hAnsi="宋体"/>
          <w:iCs/>
          <w:color w:val="auto"/>
          <w:szCs w:val="21"/>
          <w:highlight w:val="none"/>
          <w:lang w:val="en-US" w:eastAsia="zh-CN"/>
        </w:rPr>
        <w:t xml:space="preserve">  </w:t>
      </w:r>
    </w:p>
    <w:p w14:paraId="516E12D9">
      <w:pPr>
        <w:adjustRightInd w:val="0"/>
        <w:snapToGrid w:val="0"/>
        <w:spacing w:beforeLines="0" w:line="400" w:lineRule="exact"/>
        <w:ind w:firstLine="840" w:firstLineChars="400"/>
        <w:rPr>
          <w:rFonts w:hint="default" w:eastAsia="华文楷体"/>
          <w:color w:val="auto"/>
          <w:highlight w:val="none"/>
          <w:u w:val="none"/>
          <w:lang w:val="en-US" w:eastAsia="zh-CN"/>
        </w:rPr>
      </w:pP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lang w:eastAsia="zh-CN"/>
        </w:rPr>
        <w:t>残疾人福利性单位</w:t>
      </w: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lang w:eastAsia="zh-CN"/>
        </w:rPr>
        <w:t>监狱</w:t>
      </w:r>
      <w:r>
        <w:rPr>
          <w:rFonts w:hint="eastAsia" w:ascii="宋体" w:hAnsi="宋体"/>
          <w:iCs/>
          <w:color w:val="auto"/>
          <w:szCs w:val="21"/>
          <w:highlight w:val="none"/>
        </w:rPr>
        <w:t>企业</w:t>
      </w: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lang w:eastAsia="zh-CN"/>
        </w:rPr>
        <w:t>其他</w:t>
      </w:r>
    </w:p>
    <w:p w14:paraId="17EEC284">
      <w:pPr>
        <w:numPr>
          <w:ilvl w:val="0"/>
          <w:numId w:val="0"/>
        </w:numPr>
        <w:adjustRightInd w:val="0"/>
        <w:snapToGrid w:val="0"/>
        <w:spacing w:before="0" w:beforeLines="0" w:line="400" w:lineRule="exact"/>
        <w:ind w:left="0" w:leftChars="0" w:firstLine="0" w:firstLineChars="0"/>
        <w:rPr>
          <w:rFonts w:hint="eastAsia" w:ascii="宋体" w:hAnsi="宋体" w:cs="宋体"/>
          <w:iCs/>
          <w:color w:val="auto"/>
          <w:szCs w:val="21"/>
          <w:highlight w:val="none"/>
        </w:rPr>
      </w:pPr>
      <w:r>
        <w:rPr>
          <w:rFonts w:hint="eastAsia" w:ascii="宋体" w:hAnsi="宋体"/>
          <w:color w:val="auto"/>
          <w:szCs w:val="21"/>
          <w:highlight w:val="none"/>
          <w:u w:val="none"/>
          <w:lang w:val="en-US" w:eastAsia="zh-CN"/>
        </w:rPr>
        <w:t xml:space="preserve">    </w:t>
      </w:r>
      <w:r>
        <w:rPr>
          <w:rFonts w:hint="eastAsia" w:ascii="宋体" w:hAnsi="宋体" w:cs="宋体"/>
          <w:color w:val="auto"/>
          <w:szCs w:val="21"/>
          <w:highlight w:val="none"/>
          <w:u w:val="none"/>
          <w:lang w:val="en-US" w:eastAsia="zh-CN"/>
        </w:rPr>
        <w:t>（</w:t>
      </w:r>
      <w:r>
        <w:rPr>
          <w:rFonts w:hint="default" w:ascii="宋体" w:hAnsi="宋体" w:cs="宋体"/>
          <w:color w:val="auto"/>
          <w:szCs w:val="21"/>
          <w:highlight w:val="none"/>
          <w:u w:val="none"/>
          <w:lang w:val="en" w:eastAsia="zh-CN"/>
        </w:rPr>
        <w:t>8</w:t>
      </w:r>
      <w:r>
        <w:rPr>
          <w:rFonts w:hint="eastAsia" w:ascii="宋体" w:hAnsi="宋体" w:cs="宋体"/>
          <w:color w:val="auto"/>
          <w:szCs w:val="21"/>
          <w:highlight w:val="none"/>
          <w:u w:val="none"/>
          <w:lang w:val="en-US" w:eastAsia="zh-CN"/>
        </w:rPr>
        <w:t>）中标（成交）供应商是否为外商投资企业：</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 xml:space="preserve">是       </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否</w:t>
      </w:r>
    </w:p>
    <w:p w14:paraId="052889EF">
      <w:pPr>
        <w:pStyle w:val="29"/>
        <w:tabs>
          <w:tab w:val="left" w:pos="1340"/>
        </w:tabs>
        <w:spacing w:beforeLines="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none"/>
          <w:lang w:val="en-US" w:eastAsia="zh-CN"/>
        </w:rPr>
        <w:t xml:space="preserve">     外商投资企业类型：</w:t>
      </w:r>
      <w:r>
        <w:rPr>
          <w:rFonts w:hint="eastAsia" w:ascii="宋体" w:hAnsi="宋体" w:eastAsia="宋体" w:cs="宋体"/>
          <w:iCs/>
          <w:color w:val="auto"/>
          <w:sz w:val="21"/>
          <w:szCs w:val="21"/>
          <w:highlight w:val="none"/>
        </w:rPr>
        <w:sym w:font="Wingdings" w:char="00A8"/>
      </w:r>
      <w:r>
        <w:rPr>
          <w:rFonts w:hint="eastAsia" w:ascii="宋体" w:hAnsi="宋体" w:eastAsia="宋体" w:cs="宋体"/>
          <w:color w:val="auto"/>
          <w:sz w:val="21"/>
          <w:szCs w:val="21"/>
          <w:highlight w:val="none"/>
          <w:u w:val="none"/>
          <w:lang w:val="en-US" w:eastAsia="zh-CN"/>
        </w:rPr>
        <w:t xml:space="preserve">全部由外国投资者投资  </w:t>
      </w:r>
      <w:r>
        <w:rPr>
          <w:rFonts w:hint="eastAsia" w:ascii="宋体" w:hAnsi="宋体" w:eastAsia="宋体" w:cs="宋体"/>
          <w:iCs/>
          <w:color w:val="auto"/>
          <w:sz w:val="21"/>
          <w:szCs w:val="21"/>
          <w:highlight w:val="none"/>
        </w:rPr>
        <w:sym w:font="Wingdings" w:char="00A8"/>
      </w:r>
      <w:r>
        <w:rPr>
          <w:rFonts w:hint="eastAsia" w:ascii="宋体" w:hAnsi="宋体" w:eastAsia="宋体" w:cs="宋体"/>
          <w:iCs/>
          <w:color w:val="auto"/>
          <w:sz w:val="21"/>
          <w:szCs w:val="21"/>
          <w:highlight w:val="none"/>
          <w:lang w:val="en-US" w:eastAsia="zh-CN"/>
        </w:rPr>
        <w:t>部分由外国投资者投资</w:t>
      </w:r>
    </w:p>
    <w:p w14:paraId="1A3E9BF7">
      <w:pPr>
        <w:numPr>
          <w:ilvl w:val="0"/>
          <w:numId w:val="0"/>
        </w:numPr>
        <w:adjustRightInd w:val="0"/>
        <w:snapToGrid w:val="0"/>
        <w:spacing w:before="0" w:beforeLines="0" w:line="400" w:lineRule="exact"/>
        <w:ind w:firstLine="420" w:firstLineChars="200"/>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w:t>
      </w:r>
      <w:r>
        <w:rPr>
          <w:rFonts w:hint="default" w:ascii="宋体" w:hAnsi="宋体" w:cs="宋体"/>
          <w:b w:val="0"/>
          <w:bCs w:val="0"/>
          <w:color w:val="auto"/>
          <w:sz w:val="21"/>
          <w:szCs w:val="21"/>
          <w:highlight w:val="none"/>
          <w:u w:val="none"/>
          <w:lang w:val="en" w:eastAsia="zh-CN"/>
        </w:rPr>
        <w:t>9</w:t>
      </w:r>
      <w:r>
        <w:rPr>
          <w:rFonts w:hint="eastAsia" w:ascii="宋体" w:hAnsi="宋体" w:eastAsia="宋体" w:cs="宋体"/>
          <w:b w:val="0"/>
          <w:bCs w:val="0"/>
          <w:color w:val="auto"/>
          <w:sz w:val="21"/>
          <w:szCs w:val="21"/>
          <w:highlight w:val="none"/>
          <w:u w:val="none"/>
          <w:lang w:val="en-US" w:eastAsia="zh-CN"/>
        </w:rPr>
        <w:t>）是否涉及进口产品：</w:t>
      </w:r>
    </w:p>
    <w:p w14:paraId="789FFD58">
      <w:pPr>
        <w:numPr>
          <w:ilvl w:val="0"/>
          <w:numId w:val="0"/>
        </w:numPr>
        <w:adjustRightInd w:val="0"/>
        <w:snapToGrid w:val="0"/>
        <w:spacing w:before="0" w:beforeLines="0" w:line="400" w:lineRule="exact"/>
        <w:ind w:firstLine="840" w:firstLineChars="400"/>
        <w:rPr>
          <w:rFonts w:hint="eastAsia" w:ascii="宋体" w:hAnsi="宋体" w:eastAsia="宋体" w:cs="宋体"/>
          <w:color w:val="auto"/>
          <w:szCs w:val="21"/>
          <w:highlight w:val="none"/>
          <w:u w:val="single"/>
          <w:lang w:val="en-US" w:eastAsia="zh-CN"/>
        </w:rPr>
      </w:pPr>
      <w:r>
        <w:rPr>
          <w:rFonts w:hint="eastAsia" w:ascii="宋体" w:hAnsi="宋体" w:cs="宋体"/>
          <w:iCs w:val="0"/>
          <w:color w:val="auto"/>
          <w:szCs w:val="21"/>
          <w:highlight w:val="none"/>
          <w:lang w:val="en-US" w:eastAsia="zh-CN"/>
        </w:rPr>
        <w:t xml:space="preserve"> </w:t>
      </w:r>
      <w:r>
        <w:rPr>
          <w:rFonts w:hint="eastAsia" w:ascii="宋体" w:hAnsi="宋体" w:eastAsia="宋体" w:cs="宋体"/>
          <w:iCs w:val="0"/>
          <w:color w:val="auto"/>
          <w:szCs w:val="21"/>
          <w:highlight w:val="none"/>
        </w:rPr>
        <w:sym w:font="Wingdings" w:char="00A8"/>
      </w:r>
      <w:r>
        <w:rPr>
          <w:rFonts w:hint="eastAsia" w:ascii="宋体" w:hAnsi="宋体" w:eastAsia="宋体" w:cs="宋体"/>
          <w:iCs w:val="0"/>
          <w:color w:val="auto"/>
          <w:szCs w:val="21"/>
          <w:highlight w:val="none"/>
        </w:rPr>
        <w:t>是</w:t>
      </w:r>
      <w:r>
        <w:rPr>
          <w:rFonts w:hint="eastAsia" w:ascii="宋体" w:hAnsi="宋体" w:eastAsia="宋体" w:cs="宋体"/>
          <w:iCs w:val="0"/>
          <w:color w:val="auto"/>
          <w:szCs w:val="21"/>
          <w:highlight w:val="none"/>
          <w:lang w:eastAsia="zh-CN"/>
        </w:rPr>
        <w:t>，</w:t>
      </w:r>
      <w:r>
        <w:rPr>
          <w:rFonts w:hint="eastAsia" w:ascii="宋体" w:hAnsi="宋体" w:cs="宋体"/>
          <w:iCs w:val="0"/>
          <w:color w:val="auto"/>
          <w:szCs w:val="21"/>
          <w:highlight w:val="none"/>
          <w:lang w:eastAsia="zh-CN"/>
        </w:rPr>
        <w:t>《政府采购品目分类目录》底级品目名称</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lang w:val="en-US" w:eastAsia="zh-CN"/>
        </w:rPr>
        <w:t xml:space="preserve"> </w:t>
      </w:r>
      <w:r>
        <w:rPr>
          <w:rFonts w:hint="eastAsia" w:ascii="宋体" w:hAnsi="宋体" w:cs="宋体"/>
          <w:color w:val="auto"/>
          <w:szCs w:val="21"/>
          <w:highlight w:val="none"/>
          <w:lang w:val="en-US" w:eastAsia="zh-CN"/>
        </w:rPr>
        <w:t>金额：</w:t>
      </w:r>
      <w:r>
        <w:rPr>
          <w:rFonts w:hint="eastAsia" w:ascii="宋体" w:hAnsi="宋体" w:eastAsia="宋体" w:cs="宋体"/>
          <w:color w:val="auto"/>
          <w:szCs w:val="21"/>
          <w:highlight w:val="none"/>
          <w:u w:val="single"/>
          <w:lang w:val="en-US" w:eastAsia="zh-CN"/>
        </w:rPr>
        <w:t xml:space="preserve">  </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lang w:val="en-US" w:eastAsia="zh-CN"/>
        </w:rPr>
        <w:t xml:space="preserve"> </w:t>
      </w:r>
    </w:p>
    <w:p w14:paraId="7D09ADCE">
      <w:pPr>
        <w:numPr>
          <w:ilvl w:val="0"/>
          <w:numId w:val="0"/>
        </w:numPr>
        <w:adjustRightInd w:val="0"/>
        <w:snapToGrid w:val="0"/>
        <w:spacing w:before="0" w:beforeLines="0" w:line="400" w:lineRule="exact"/>
        <w:ind w:firstLine="840" w:firstLineChars="400"/>
        <w:rPr>
          <w:rFonts w:hint="eastAsia" w:ascii="宋体" w:hAnsi="宋体" w:eastAsia="宋体"/>
          <w:iCs w:val="0"/>
          <w:color w:val="auto"/>
          <w:szCs w:val="21"/>
          <w:highlight w:val="none"/>
        </w:rPr>
      </w:pPr>
      <w:r>
        <w:rPr>
          <w:rFonts w:hint="eastAsia" w:ascii="宋体" w:hAnsi="宋体" w:cs="宋体"/>
          <w:color w:val="auto"/>
          <w:szCs w:val="21"/>
          <w:highlight w:val="none"/>
          <w:lang w:val="en-US" w:eastAsia="zh-CN"/>
        </w:rPr>
        <w:t xml:space="preserve">        国别：</w:t>
      </w:r>
      <w:r>
        <w:rPr>
          <w:rFonts w:hint="eastAsia" w:ascii="宋体" w:hAnsi="宋体" w:eastAsia="宋体" w:cs="宋体"/>
          <w:color w:val="auto"/>
          <w:szCs w:val="21"/>
          <w:highlight w:val="none"/>
          <w:u w:val="single"/>
          <w:lang w:val="en-US" w:eastAsia="zh-CN"/>
        </w:rPr>
        <w:t xml:space="preserve">  </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lang w:val="en-US" w:eastAsia="zh-CN"/>
        </w:rPr>
        <w:t>品牌：</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none"/>
          <w:lang w:val="en-US" w:eastAsia="zh-CN"/>
        </w:rPr>
        <w:t xml:space="preserve"> 规格型号：</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iCs w:val="0"/>
          <w:color w:val="auto"/>
          <w:szCs w:val="21"/>
          <w:highlight w:val="none"/>
        </w:rPr>
        <w:t xml:space="preserve">      </w:t>
      </w:r>
    </w:p>
    <w:p w14:paraId="49E413AA">
      <w:pPr>
        <w:adjustRightInd w:val="0"/>
        <w:snapToGrid w:val="0"/>
        <w:spacing w:before="0" w:beforeLines="0" w:line="400" w:lineRule="exact"/>
        <w:ind w:firstLine="840" w:firstLineChars="400"/>
        <w:rPr>
          <w:rFonts w:hint="eastAsia" w:ascii="宋体" w:hAnsi="宋体"/>
          <w:color w:val="auto"/>
          <w:szCs w:val="21"/>
          <w:highlight w:val="none"/>
          <w:u w:val="none"/>
          <w:lang w:val="en-US" w:eastAsia="zh-CN"/>
        </w:rPr>
      </w:pPr>
      <w:r>
        <w:rPr>
          <w:rFonts w:hint="eastAsia" w:ascii="宋体" w:hAnsi="宋体"/>
          <w:iCs w:val="0"/>
          <w:color w:val="auto"/>
          <w:szCs w:val="21"/>
          <w:highlight w:val="none"/>
          <w:lang w:val="en-US" w:eastAsia="zh-CN"/>
        </w:rPr>
        <w:t xml:space="preserve"> </w:t>
      </w:r>
      <w:r>
        <w:rPr>
          <w:rFonts w:hint="eastAsia" w:ascii="宋体" w:hAnsi="宋体"/>
          <w:iCs w:val="0"/>
          <w:color w:val="auto"/>
          <w:szCs w:val="21"/>
          <w:highlight w:val="none"/>
        </w:rPr>
        <w:sym w:font="Wingdings" w:char="00A8"/>
      </w:r>
      <w:r>
        <w:rPr>
          <w:rFonts w:hint="eastAsia" w:ascii="宋体" w:hAnsi="宋体" w:eastAsia="宋体"/>
          <w:iCs w:val="0"/>
          <w:color w:val="auto"/>
          <w:szCs w:val="21"/>
          <w:highlight w:val="none"/>
          <w:lang w:eastAsia="zh-CN"/>
        </w:rPr>
        <w:t>否</w:t>
      </w:r>
    </w:p>
    <w:p w14:paraId="3E87B359">
      <w:pPr>
        <w:numPr>
          <w:ilvl w:val="0"/>
          <w:numId w:val="0"/>
        </w:numPr>
        <w:tabs>
          <w:tab w:val="left" w:pos="740"/>
        </w:tabs>
        <w:adjustRightInd w:val="0"/>
        <w:snapToGrid w:val="0"/>
        <w:spacing w:before="0" w:beforeLines="0" w:line="400" w:lineRule="exact"/>
        <w:ind w:left="0" w:firstLine="0" w:firstLineChars="0"/>
        <w:rPr>
          <w:rFonts w:hint="eastAsia" w:ascii="宋体" w:hAnsi="宋体" w:eastAsia="宋体"/>
          <w:b w:val="0"/>
          <w:bCs w:val="0"/>
          <w:color w:val="auto"/>
          <w:sz w:val="21"/>
          <w:szCs w:val="21"/>
          <w:highlight w:val="none"/>
          <w:u w:val="none"/>
          <w:lang w:val="en-US" w:eastAsia="zh-CN"/>
        </w:rPr>
      </w:pPr>
      <w:r>
        <w:rPr>
          <w:rFonts w:hint="eastAsia" w:ascii="宋体" w:hAnsi="宋体"/>
          <w:b w:val="0"/>
          <w:bCs w:val="0"/>
          <w:color w:val="auto"/>
          <w:sz w:val="21"/>
          <w:szCs w:val="21"/>
          <w:highlight w:val="none"/>
          <w:u w:val="none"/>
          <w:lang w:val="en-US" w:eastAsia="zh-CN"/>
        </w:rPr>
        <w:t xml:space="preserve">    （1</w:t>
      </w:r>
      <w:r>
        <w:rPr>
          <w:rFonts w:hint="default" w:ascii="宋体" w:hAnsi="宋体"/>
          <w:b w:val="0"/>
          <w:bCs w:val="0"/>
          <w:color w:val="auto"/>
          <w:sz w:val="21"/>
          <w:szCs w:val="21"/>
          <w:highlight w:val="none"/>
          <w:u w:val="none"/>
          <w:lang w:val="en" w:eastAsia="zh-CN"/>
        </w:rPr>
        <w:t>0</w:t>
      </w:r>
      <w:r>
        <w:rPr>
          <w:rFonts w:hint="eastAsia" w:ascii="宋体" w:hAnsi="宋体"/>
          <w:b w:val="0"/>
          <w:bCs w:val="0"/>
          <w:color w:val="auto"/>
          <w:sz w:val="21"/>
          <w:szCs w:val="21"/>
          <w:highlight w:val="none"/>
          <w:u w:val="none"/>
          <w:lang w:val="en-US" w:eastAsia="zh-CN"/>
        </w:rPr>
        <w:t>）</w:t>
      </w:r>
      <w:r>
        <w:rPr>
          <w:rFonts w:hint="eastAsia" w:ascii="宋体" w:hAnsi="宋体" w:eastAsia="宋体"/>
          <w:b w:val="0"/>
          <w:bCs w:val="0"/>
          <w:color w:val="auto"/>
          <w:sz w:val="21"/>
          <w:szCs w:val="21"/>
          <w:highlight w:val="none"/>
          <w:u w:val="none"/>
          <w:lang w:val="en-US" w:eastAsia="zh-CN"/>
        </w:rPr>
        <w:t>是否涉及节能产品：</w:t>
      </w:r>
    </w:p>
    <w:p w14:paraId="540B0C90">
      <w:pPr>
        <w:numPr>
          <w:ilvl w:val="0"/>
          <w:numId w:val="0"/>
        </w:numPr>
        <w:tabs>
          <w:tab w:val="left" w:pos="740"/>
        </w:tabs>
        <w:adjustRightInd w:val="0"/>
        <w:snapToGrid w:val="0"/>
        <w:spacing w:before="0" w:beforeLines="0" w:line="400" w:lineRule="exact"/>
        <w:ind w:firstLine="0" w:firstLineChars="0"/>
        <w:rPr>
          <w:rFonts w:hint="eastAsia" w:ascii="宋体" w:hAnsi="宋体"/>
          <w:iCs/>
          <w:color w:val="auto"/>
          <w:szCs w:val="21"/>
          <w:highlight w:val="none"/>
          <w:lang w:val="en-US" w:eastAsia="zh-CN"/>
        </w:rPr>
      </w:pPr>
      <w:r>
        <w:rPr>
          <w:rFonts w:hint="eastAsia" w:ascii="宋体" w:hAnsi="宋体"/>
          <w:b w:val="0"/>
          <w:bCs w:val="0"/>
          <w:color w:val="auto"/>
          <w:sz w:val="21"/>
          <w:szCs w:val="21"/>
          <w:highlight w:val="none"/>
          <w:u w:val="none"/>
          <w:lang w:val="en-US" w:eastAsia="zh-CN"/>
        </w:rPr>
        <w:t xml:space="preserve">         </w:t>
      </w:r>
      <w:r>
        <w:rPr>
          <w:rFonts w:hint="eastAsia" w:ascii="宋体" w:hAnsi="宋体" w:eastAsia="宋体"/>
          <w:iCs w:val="0"/>
          <w:color w:val="auto"/>
          <w:szCs w:val="21"/>
          <w:highlight w:val="none"/>
        </w:rPr>
        <w:sym w:font="Wingdings" w:char="00A8"/>
      </w:r>
      <w:r>
        <w:rPr>
          <w:rFonts w:hint="eastAsia" w:ascii="宋体" w:hAnsi="宋体" w:eastAsia="宋体"/>
          <w:iCs w:val="0"/>
          <w:color w:val="auto"/>
          <w:szCs w:val="21"/>
          <w:highlight w:val="none"/>
        </w:rPr>
        <w:t>是</w:t>
      </w:r>
      <w:r>
        <w:rPr>
          <w:rFonts w:hint="eastAsia" w:ascii="宋体" w:hAnsi="宋体" w:eastAsia="宋体"/>
          <w:iCs w:val="0"/>
          <w:color w:val="auto"/>
          <w:szCs w:val="21"/>
          <w:highlight w:val="none"/>
          <w:lang w:eastAsia="zh-CN"/>
        </w:rPr>
        <w:t>，</w:t>
      </w:r>
      <w:r>
        <w:rPr>
          <w:rFonts w:hint="eastAsia" w:ascii="宋体" w:hAnsi="宋体"/>
          <w:iCs w:val="0"/>
          <w:color w:val="auto"/>
          <w:szCs w:val="21"/>
          <w:highlight w:val="none"/>
          <w:lang w:eastAsia="zh-CN"/>
        </w:rPr>
        <w:t>《节能产品政府采购品目清单》的底级品目名称：</w:t>
      </w:r>
      <w:r>
        <w:rPr>
          <w:rFonts w:hint="eastAsia" w:ascii="宋体" w:hAnsi="宋体" w:eastAsia="宋体"/>
          <w:color w:val="auto"/>
          <w:szCs w:val="21"/>
          <w:highlight w:val="none"/>
          <w:u w:val="single"/>
          <w:lang w:val="en-US" w:eastAsia="zh-CN"/>
        </w:rPr>
        <w:t xml:space="preserve">      </w:t>
      </w:r>
      <w:r>
        <w:rPr>
          <w:rFonts w:hint="eastAsia" w:ascii="宋体" w:hAnsi="宋体"/>
          <w:color w:val="auto"/>
          <w:szCs w:val="21"/>
          <w:highlight w:val="none"/>
          <w:u w:val="single"/>
          <w:lang w:val="en-US" w:eastAsia="zh-CN"/>
        </w:rPr>
        <w:t xml:space="preserve">   </w:t>
      </w:r>
      <w:r>
        <w:rPr>
          <w:rFonts w:hint="eastAsia" w:ascii="宋体" w:hAnsi="宋体"/>
          <w:iCs/>
          <w:color w:val="auto"/>
          <w:szCs w:val="21"/>
          <w:highlight w:val="none"/>
          <w:lang w:val="en-US" w:eastAsia="zh-CN"/>
        </w:rPr>
        <w:t xml:space="preserve">     </w:t>
      </w:r>
    </w:p>
    <w:p w14:paraId="51B8966A">
      <w:pPr>
        <w:numPr>
          <w:ilvl w:val="0"/>
          <w:numId w:val="0"/>
        </w:numPr>
        <w:tabs>
          <w:tab w:val="left" w:pos="740"/>
        </w:tabs>
        <w:adjustRightInd w:val="0"/>
        <w:snapToGrid w:val="0"/>
        <w:spacing w:before="0" w:beforeLines="0" w:line="400" w:lineRule="exact"/>
        <w:ind w:firstLine="0" w:firstLineChars="0"/>
        <w:rPr>
          <w:rFonts w:hint="eastAsia" w:ascii="宋体" w:hAnsi="宋体"/>
          <w:iCs/>
          <w:color w:val="auto"/>
          <w:szCs w:val="21"/>
          <w:highlight w:val="none"/>
          <w:lang w:val="en-US" w:eastAsia="zh-CN"/>
        </w:rPr>
      </w:pP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lang w:eastAsia="zh-CN"/>
        </w:rPr>
        <w:t>强制采购</w:t>
      </w: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lang w:eastAsia="zh-CN"/>
        </w:rPr>
        <w:t>优先采购</w:t>
      </w:r>
      <w:r>
        <w:rPr>
          <w:rFonts w:hint="eastAsia" w:ascii="宋体" w:hAnsi="宋体"/>
          <w:iCs/>
          <w:color w:val="auto"/>
          <w:szCs w:val="21"/>
          <w:highlight w:val="none"/>
          <w:lang w:val="en-US" w:eastAsia="zh-CN"/>
        </w:rPr>
        <w:t xml:space="preserve">    </w:t>
      </w:r>
    </w:p>
    <w:p w14:paraId="68B4D72B">
      <w:pPr>
        <w:numPr>
          <w:ilvl w:val="0"/>
          <w:numId w:val="0"/>
        </w:numPr>
        <w:tabs>
          <w:tab w:val="left" w:pos="740"/>
        </w:tabs>
        <w:adjustRightInd w:val="0"/>
        <w:snapToGrid w:val="0"/>
        <w:spacing w:before="0" w:beforeLines="0" w:line="400" w:lineRule="exact"/>
        <w:ind w:firstLine="0" w:firstLineChars="0"/>
        <w:rPr>
          <w:rFonts w:hint="eastAsia" w:ascii="宋体" w:hAnsi="宋体" w:eastAsia="宋体"/>
          <w:iCs w:val="0"/>
          <w:color w:val="auto"/>
          <w:szCs w:val="21"/>
          <w:highlight w:val="none"/>
        </w:rPr>
      </w:pPr>
      <w:r>
        <w:rPr>
          <w:rFonts w:hint="eastAsia" w:ascii="宋体" w:hAnsi="宋体"/>
          <w:iCs/>
          <w:color w:val="auto"/>
          <w:szCs w:val="21"/>
          <w:highlight w:val="none"/>
          <w:lang w:val="en-US" w:eastAsia="zh-CN"/>
        </w:rPr>
        <w:t xml:space="preserve">         </w:t>
      </w:r>
      <w:r>
        <w:rPr>
          <w:rFonts w:hint="eastAsia" w:ascii="宋体" w:hAnsi="宋体" w:eastAsia="宋体"/>
          <w:iCs w:val="0"/>
          <w:color w:val="auto"/>
          <w:szCs w:val="21"/>
          <w:highlight w:val="none"/>
        </w:rPr>
        <w:sym w:font="Wingdings" w:char="00A8"/>
      </w:r>
      <w:r>
        <w:rPr>
          <w:rFonts w:hint="eastAsia" w:ascii="宋体" w:hAnsi="宋体" w:eastAsia="宋体"/>
          <w:iCs w:val="0"/>
          <w:color w:val="auto"/>
          <w:szCs w:val="21"/>
          <w:highlight w:val="none"/>
        </w:rPr>
        <w:t>否</w:t>
      </w:r>
    </w:p>
    <w:p w14:paraId="0353C294">
      <w:pPr>
        <w:numPr>
          <w:ilvl w:val="0"/>
          <w:numId w:val="0"/>
        </w:numPr>
        <w:tabs>
          <w:tab w:val="left" w:pos="740"/>
        </w:tabs>
        <w:adjustRightInd w:val="0"/>
        <w:snapToGrid w:val="0"/>
        <w:spacing w:before="0" w:beforeLines="0" w:line="400" w:lineRule="exact"/>
        <w:ind w:left="0" w:firstLine="0" w:firstLineChars="0"/>
        <w:rPr>
          <w:rFonts w:hint="eastAsia" w:ascii="宋体" w:hAnsi="宋体" w:eastAsia="宋体"/>
          <w:b w:val="0"/>
          <w:bCs w:val="0"/>
          <w:color w:val="auto"/>
          <w:sz w:val="21"/>
          <w:szCs w:val="21"/>
          <w:highlight w:val="none"/>
          <w:u w:val="none"/>
          <w:lang w:val="en-US" w:eastAsia="zh-CN"/>
        </w:rPr>
      </w:pPr>
      <w:r>
        <w:rPr>
          <w:rFonts w:hint="eastAsia" w:ascii="宋体" w:hAnsi="宋体"/>
          <w:b w:val="0"/>
          <w:bCs w:val="0"/>
          <w:color w:val="auto"/>
          <w:sz w:val="21"/>
          <w:szCs w:val="21"/>
          <w:highlight w:val="none"/>
          <w:u w:val="none"/>
          <w:lang w:val="en-US" w:eastAsia="zh-CN"/>
        </w:rPr>
        <w:t xml:space="preserve">          </w:t>
      </w:r>
      <w:r>
        <w:rPr>
          <w:rFonts w:hint="eastAsia" w:ascii="宋体" w:hAnsi="宋体" w:eastAsia="宋体"/>
          <w:b w:val="0"/>
          <w:bCs w:val="0"/>
          <w:color w:val="auto"/>
          <w:sz w:val="21"/>
          <w:szCs w:val="21"/>
          <w:highlight w:val="none"/>
          <w:u w:val="none"/>
          <w:lang w:val="en-US" w:eastAsia="zh-CN"/>
        </w:rPr>
        <w:t>是否涉及</w:t>
      </w:r>
      <w:r>
        <w:rPr>
          <w:rFonts w:hint="eastAsia" w:ascii="宋体" w:hAnsi="宋体"/>
          <w:b w:val="0"/>
          <w:bCs w:val="0"/>
          <w:color w:val="auto"/>
          <w:sz w:val="21"/>
          <w:szCs w:val="21"/>
          <w:highlight w:val="none"/>
          <w:u w:val="none"/>
          <w:lang w:val="en-US" w:eastAsia="zh-CN"/>
        </w:rPr>
        <w:t>环境标志</w:t>
      </w:r>
      <w:r>
        <w:rPr>
          <w:rFonts w:hint="eastAsia" w:ascii="宋体" w:hAnsi="宋体" w:eastAsia="宋体"/>
          <w:b w:val="0"/>
          <w:bCs w:val="0"/>
          <w:color w:val="auto"/>
          <w:sz w:val="21"/>
          <w:szCs w:val="21"/>
          <w:highlight w:val="none"/>
          <w:u w:val="none"/>
          <w:lang w:val="en-US" w:eastAsia="zh-CN"/>
        </w:rPr>
        <w:t>产品：</w:t>
      </w:r>
    </w:p>
    <w:p w14:paraId="5348B03F">
      <w:pPr>
        <w:numPr>
          <w:ilvl w:val="0"/>
          <w:numId w:val="0"/>
        </w:numPr>
        <w:tabs>
          <w:tab w:val="left" w:pos="740"/>
        </w:tabs>
        <w:adjustRightInd w:val="0"/>
        <w:snapToGrid w:val="0"/>
        <w:spacing w:before="0" w:beforeLines="0" w:line="400" w:lineRule="exact"/>
        <w:ind w:firstLine="0" w:firstLineChars="0"/>
        <w:rPr>
          <w:rFonts w:hint="eastAsia" w:ascii="宋体" w:hAnsi="宋体"/>
          <w:iCs w:val="0"/>
          <w:color w:val="auto"/>
          <w:szCs w:val="21"/>
          <w:highlight w:val="none"/>
          <w:lang w:eastAsia="zh-CN"/>
        </w:rPr>
      </w:pPr>
      <w:r>
        <w:rPr>
          <w:rFonts w:hint="eastAsia" w:ascii="宋体" w:hAnsi="宋体"/>
          <w:b w:val="0"/>
          <w:bCs w:val="0"/>
          <w:color w:val="auto"/>
          <w:sz w:val="21"/>
          <w:szCs w:val="21"/>
          <w:highlight w:val="none"/>
          <w:u w:val="none"/>
          <w:lang w:val="en-US" w:eastAsia="zh-CN"/>
        </w:rPr>
        <w:t xml:space="preserve">         </w:t>
      </w:r>
      <w:r>
        <w:rPr>
          <w:rFonts w:hint="eastAsia" w:ascii="宋体" w:hAnsi="宋体" w:eastAsia="宋体"/>
          <w:iCs w:val="0"/>
          <w:color w:val="auto"/>
          <w:szCs w:val="21"/>
          <w:highlight w:val="none"/>
        </w:rPr>
        <w:sym w:font="Wingdings" w:char="00A8"/>
      </w:r>
      <w:r>
        <w:rPr>
          <w:rFonts w:hint="eastAsia" w:ascii="宋体" w:hAnsi="宋体" w:eastAsia="宋体"/>
          <w:iCs w:val="0"/>
          <w:color w:val="auto"/>
          <w:szCs w:val="21"/>
          <w:highlight w:val="none"/>
        </w:rPr>
        <w:t>是</w:t>
      </w:r>
      <w:r>
        <w:rPr>
          <w:rFonts w:hint="eastAsia" w:ascii="宋体" w:hAnsi="宋体" w:eastAsia="宋体"/>
          <w:iCs w:val="0"/>
          <w:color w:val="auto"/>
          <w:szCs w:val="21"/>
          <w:highlight w:val="none"/>
          <w:lang w:eastAsia="zh-CN"/>
        </w:rPr>
        <w:t>，</w:t>
      </w:r>
      <w:r>
        <w:rPr>
          <w:rFonts w:hint="eastAsia" w:ascii="宋体" w:hAnsi="宋体"/>
          <w:iCs w:val="0"/>
          <w:color w:val="auto"/>
          <w:szCs w:val="21"/>
          <w:highlight w:val="none"/>
          <w:lang w:eastAsia="zh-CN"/>
        </w:rPr>
        <w:t>《环境标志产品政府采购品目清单》的底级品目名称：</w:t>
      </w:r>
      <w:r>
        <w:rPr>
          <w:rFonts w:hint="eastAsia" w:ascii="宋体" w:hAnsi="宋体" w:eastAsia="宋体"/>
          <w:color w:val="auto"/>
          <w:szCs w:val="21"/>
          <w:highlight w:val="none"/>
          <w:u w:val="single"/>
          <w:lang w:val="en-US" w:eastAsia="zh-CN"/>
        </w:rPr>
        <w:t xml:space="preserve">      </w:t>
      </w:r>
      <w:r>
        <w:rPr>
          <w:rFonts w:hint="eastAsia" w:ascii="宋体" w:hAnsi="宋体"/>
          <w:color w:val="auto"/>
          <w:szCs w:val="21"/>
          <w:highlight w:val="none"/>
          <w:u w:val="single"/>
          <w:lang w:val="en-US" w:eastAsia="zh-CN"/>
        </w:rPr>
        <w:t xml:space="preserve">   </w:t>
      </w:r>
      <w:r>
        <w:rPr>
          <w:rFonts w:hint="eastAsia" w:ascii="宋体" w:hAnsi="宋体"/>
          <w:iCs/>
          <w:color w:val="auto"/>
          <w:szCs w:val="21"/>
          <w:highlight w:val="none"/>
          <w:lang w:val="en-US" w:eastAsia="zh-CN"/>
        </w:rPr>
        <w:t xml:space="preserve"> </w:t>
      </w:r>
    </w:p>
    <w:p w14:paraId="564A7947">
      <w:pPr>
        <w:numPr>
          <w:ilvl w:val="0"/>
          <w:numId w:val="0"/>
        </w:numPr>
        <w:tabs>
          <w:tab w:val="left" w:pos="740"/>
        </w:tabs>
        <w:adjustRightInd w:val="0"/>
        <w:snapToGrid w:val="0"/>
        <w:spacing w:before="0" w:beforeLines="0" w:line="400" w:lineRule="exact"/>
        <w:ind w:firstLine="0" w:firstLineChars="0"/>
        <w:rPr>
          <w:rFonts w:hint="eastAsia" w:ascii="宋体" w:hAnsi="宋体"/>
          <w:iCs/>
          <w:color w:val="auto"/>
          <w:szCs w:val="21"/>
          <w:highlight w:val="none"/>
          <w:lang w:val="en-US" w:eastAsia="zh-CN"/>
        </w:rPr>
      </w:pP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lang w:eastAsia="zh-CN"/>
        </w:rPr>
        <w:t>强制采购</w:t>
      </w: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lang w:eastAsia="zh-CN"/>
        </w:rPr>
        <w:t>优先采购</w:t>
      </w:r>
      <w:r>
        <w:rPr>
          <w:rFonts w:hint="eastAsia" w:ascii="宋体" w:hAnsi="宋体"/>
          <w:iCs/>
          <w:color w:val="auto"/>
          <w:szCs w:val="21"/>
          <w:highlight w:val="none"/>
          <w:lang w:val="en-US" w:eastAsia="zh-CN"/>
        </w:rPr>
        <w:t xml:space="preserve">    </w:t>
      </w:r>
    </w:p>
    <w:p w14:paraId="0B014814">
      <w:pPr>
        <w:numPr>
          <w:ilvl w:val="0"/>
          <w:numId w:val="0"/>
        </w:numPr>
        <w:tabs>
          <w:tab w:val="left" w:pos="740"/>
        </w:tabs>
        <w:adjustRightInd w:val="0"/>
        <w:snapToGrid w:val="0"/>
        <w:spacing w:before="0" w:beforeLines="0" w:line="400" w:lineRule="exact"/>
        <w:ind w:firstLine="0" w:firstLineChars="0"/>
        <w:rPr>
          <w:rFonts w:hint="eastAsia" w:ascii="宋体" w:hAnsi="宋体"/>
          <w:b w:val="0"/>
          <w:bCs w:val="0"/>
          <w:color w:val="auto"/>
          <w:sz w:val="21"/>
          <w:szCs w:val="21"/>
          <w:highlight w:val="none"/>
          <w:u w:val="none"/>
          <w:lang w:val="en-US" w:eastAsia="zh-CN"/>
        </w:rPr>
      </w:pPr>
      <w:r>
        <w:rPr>
          <w:rFonts w:hint="eastAsia" w:ascii="宋体" w:hAnsi="宋体"/>
          <w:iCs/>
          <w:color w:val="auto"/>
          <w:szCs w:val="21"/>
          <w:highlight w:val="none"/>
          <w:lang w:val="en-US" w:eastAsia="zh-CN"/>
        </w:rPr>
        <w:t xml:space="preserve">         </w:t>
      </w:r>
      <w:r>
        <w:rPr>
          <w:rFonts w:hint="eastAsia" w:ascii="宋体" w:hAnsi="宋体" w:eastAsia="宋体"/>
          <w:iCs w:val="0"/>
          <w:color w:val="auto"/>
          <w:szCs w:val="21"/>
          <w:highlight w:val="none"/>
        </w:rPr>
        <w:sym w:font="Wingdings" w:char="00A8"/>
      </w:r>
      <w:r>
        <w:rPr>
          <w:rFonts w:hint="eastAsia" w:ascii="宋体" w:hAnsi="宋体" w:eastAsia="宋体"/>
          <w:iCs w:val="0"/>
          <w:color w:val="auto"/>
          <w:szCs w:val="21"/>
          <w:highlight w:val="none"/>
        </w:rPr>
        <w:t>否</w:t>
      </w:r>
    </w:p>
    <w:p w14:paraId="3FDE966E">
      <w:pPr>
        <w:pStyle w:val="29"/>
        <w:numPr>
          <w:ilvl w:val="0"/>
          <w:numId w:val="0"/>
        </w:numPr>
        <w:adjustRightInd w:val="0"/>
        <w:snapToGrid w:val="0"/>
        <w:spacing w:before="0" w:beforeLines="0" w:line="400" w:lineRule="exact"/>
        <w:ind w:firstLine="0" w:firstLineChars="0"/>
        <w:rPr>
          <w:rFonts w:hint="eastAsia" w:ascii="宋体" w:hAnsi="宋体" w:eastAsia="宋体" w:cs="Times New Roman"/>
          <w:iCs w:val="0"/>
          <w:color w:val="auto"/>
          <w:kern w:val="2"/>
          <w:sz w:val="21"/>
          <w:szCs w:val="21"/>
          <w:highlight w:val="none"/>
          <w:u w:val="none"/>
          <w:lang w:val="en-US" w:eastAsia="zh-CN"/>
        </w:rPr>
      </w:pPr>
      <w:r>
        <w:rPr>
          <w:rFonts w:hint="eastAsia" w:ascii="宋体" w:hAnsi="宋体"/>
          <w:b w:val="0"/>
          <w:bCs w:val="0"/>
          <w:color w:val="auto"/>
          <w:sz w:val="21"/>
          <w:szCs w:val="21"/>
          <w:highlight w:val="none"/>
          <w:u w:val="none"/>
          <w:lang w:val="en-US" w:eastAsia="zh-CN"/>
        </w:rPr>
        <w:t xml:space="preserve">          </w:t>
      </w:r>
      <w:r>
        <w:rPr>
          <w:rFonts w:hint="eastAsia" w:ascii="宋体" w:hAnsi="宋体" w:eastAsia="宋体" w:cs="Times New Roman"/>
          <w:b w:val="0"/>
          <w:bCs w:val="0"/>
          <w:color w:val="auto"/>
          <w:kern w:val="2"/>
          <w:sz w:val="21"/>
          <w:szCs w:val="21"/>
          <w:highlight w:val="none"/>
          <w:u w:val="none"/>
          <w:lang w:val="en-US" w:eastAsia="zh-CN"/>
        </w:rPr>
        <w:t>是否涉及绿色产品：</w:t>
      </w:r>
      <w:r>
        <w:rPr>
          <w:rFonts w:hint="eastAsia" w:ascii="宋体" w:hAnsi="宋体" w:eastAsia="宋体" w:cs="Times New Roman"/>
          <w:iCs w:val="0"/>
          <w:color w:val="auto"/>
          <w:kern w:val="2"/>
          <w:sz w:val="21"/>
          <w:szCs w:val="21"/>
          <w:highlight w:val="none"/>
          <w:u w:val="none"/>
          <w:lang w:val="en-US" w:eastAsia="zh-CN"/>
        </w:rPr>
        <w:t xml:space="preserve"> </w:t>
      </w:r>
    </w:p>
    <w:p w14:paraId="6DDA4E81">
      <w:pPr>
        <w:pStyle w:val="29"/>
        <w:spacing w:beforeLines="0"/>
        <w:ind w:firstLine="420" w:firstLineChars="0"/>
        <w:rPr>
          <w:rFonts w:hint="eastAsia" w:ascii="宋体" w:hAnsi="宋体" w:eastAsia="宋体"/>
          <w:color w:val="auto"/>
          <w:szCs w:val="21"/>
          <w:highlight w:val="none"/>
          <w:u w:val="single"/>
          <w:lang w:val="en-US" w:eastAsia="zh-CN"/>
        </w:rPr>
      </w:pPr>
      <w:r>
        <w:rPr>
          <w:rFonts w:hint="eastAsia" w:ascii="宋体" w:hAnsi="宋体" w:eastAsia="宋体" w:cs="Times New Roman"/>
          <w:iCs w:val="0"/>
          <w:color w:val="auto"/>
          <w:kern w:val="2"/>
          <w:sz w:val="21"/>
          <w:szCs w:val="21"/>
          <w:highlight w:val="none"/>
          <w:u w:val="none"/>
          <w:lang w:val="en-US" w:eastAsia="zh-CN"/>
        </w:rPr>
        <w:t xml:space="preserve">     </w:t>
      </w:r>
      <w:r>
        <w:rPr>
          <w:rFonts w:hint="eastAsia" w:ascii="宋体" w:hAnsi="宋体" w:eastAsia="宋体" w:cs="Times New Roman"/>
          <w:iCs w:val="0"/>
          <w:color w:val="auto"/>
          <w:kern w:val="2"/>
          <w:sz w:val="21"/>
          <w:szCs w:val="21"/>
          <w:highlight w:val="none"/>
          <w:u w:val="none"/>
        </w:rPr>
        <w:sym w:font="Wingdings" w:char="00A8"/>
      </w:r>
      <w:r>
        <w:rPr>
          <w:rFonts w:hint="eastAsia" w:ascii="宋体" w:hAnsi="宋体" w:eastAsia="宋体" w:cs="Times New Roman"/>
          <w:iCs w:val="0"/>
          <w:color w:val="auto"/>
          <w:kern w:val="2"/>
          <w:sz w:val="21"/>
          <w:szCs w:val="21"/>
          <w:highlight w:val="none"/>
          <w:u w:val="none"/>
        </w:rPr>
        <w:t>是</w:t>
      </w:r>
      <w:r>
        <w:rPr>
          <w:rFonts w:hint="eastAsia" w:ascii="宋体" w:hAnsi="宋体" w:eastAsia="宋体" w:cs="Times New Roman"/>
          <w:iCs w:val="0"/>
          <w:color w:val="auto"/>
          <w:kern w:val="2"/>
          <w:sz w:val="21"/>
          <w:szCs w:val="21"/>
          <w:highlight w:val="none"/>
          <w:u w:val="none"/>
          <w:lang w:eastAsia="zh-CN"/>
        </w:rPr>
        <w:t>，绿色产品政府采购相关政策确定的底级品目名称：</w:t>
      </w:r>
      <w:r>
        <w:rPr>
          <w:rFonts w:hint="eastAsia" w:ascii="宋体" w:hAnsi="宋体" w:eastAsia="宋体"/>
          <w:color w:val="auto"/>
          <w:szCs w:val="21"/>
          <w:highlight w:val="none"/>
          <w:u w:val="single"/>
          <w:lang w:val="en-US" w:eastAsia="zh-CN"/>
        </w:rPr>
        <w:t xml:space="preserve">         </w:t>
      </w:r>
    </w:p>
    <w:p w14:paraId="39A38285">
      <w:pPr>
        <w:numPr>
          <w:ilvl w:val="0"/>
          <w:numId w:val="0"/>
        </w:numPr>
        <w:tabs>
          <w:tab w:val="left" w:pos="740"/>
        </w:tabs>
        <w:adjustRightInd w:val="0"/>
        <w:snapToGrid w:val="0"/>
        <w:spacing w:before="0" w:beforeLines="0" w:line="400" w:lineRule="exact"/>
        <w:ind w:firstLine="0" w:firstLineChars="0"/>
        <w:rPr>
          <w:rFonts w:hint="eastAsia" w:ascii="宋体" w:hAnsi="宋体"/>
          <w:iCs/>
          <w:color w:val="auto"/>
          <w:szCs w:val="21"/>
          <w:highlight w:val="none"/>
          <w:lang w:val="en-US" w:eastAsia="zh-CN"/>
        </w:rPr>
      </w:pP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lang w:eastAsia="zh-CN"/>
        </w:rPr>
        <w:t>强制采购</w:t>
      </w: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lang w:eastAsia="zh-CN"/>
        </w:rPr>
        <w:t>优先采购</w:t>
      </w:r>
      <w:r>
        <w:rPr>
          <w:rFonts w:hint="eastAsia" w:ascii="宋体" w:hAnsi="宋体"/>
          <w:iCs/>
          <w:color w:val="auto"/>
          <w:szCs w:val="21"/>
          <w:highlight w:val="none"/>
          <w:lang w:val="en-US" w:eastAsia="zh-CN"/>
        </w:rPr>
        <w:t xml:space="preserve">    </w:t>
      </w:r>
    </w:p>
    <w:p w14:paraId="411A3163">
      <w:pPr>
        <w:pStyle w:val="29"/>
        <w:spacing w:beforeLines="0"/>
        <w:ind w:firstLine="420" w:firstLineChars="0"/>
        <w:rPr>
          <w:rFonts w:hint="eastAsia" w:ascii="宋体" w:hAnsi="宋体"/>
          <w:b w:val="0"/>
          <w:bCs w:val="0"/>
          <w:color w:val="auto"/>
          <w:sz w:val="21"/>
          <w:szCs w:val="21"/>
          <w:highlight w:val="none"/>
          <w:u w:val="none"/>
          <w:lang w:val="en-US" w:eastAsia="zh-CN"/>
        </w:rPr>
      </w:pPr>
      <w:r>
        <w:rPr>
          <w:rFonts w:hint="eastAsia" w:ascii="宋体" w:hAnsi="宋体" w:eastAsia="宋体" w:cs="Times New Roman"/>
          <w:iCs w:val="0"/>
          <w:color w:val="auto"/>
          <w:kern w:val="2"/>
          <w:sz w:val="21"/>
          <w:szCs w:val="21"/>
          <w:highlight w:val="none"/>
          <w:u w:val="none"/>
          <w:lang w:val="en-US" w:eastAsia="zh-CN"/>
        </w:rPr>
        <w:t xml:space="preserve">     </w:t>
      </w:r>
      <w:r>
        <w:rPr>
          <w:rFonts w:hint="eastAsia" w:ascii="宋体" w:hAnsi="宋体" w:eastAsia="宋体" w:cs="Times New Roman"/>
          <w:iCs w:val="0"/>
          <w:color w:val="auto"/>
          <w:kern w:val="2"/>
          <w:sz w:val="21"/>
          <w:szCs w:val="21"/>
          <w:highlight w:val="none"/>
          <w:u w:val="none"/>
        </w:rPr>
        <w:sym w:font="Wingdings" w:char="00A8"/>
      </w:r>
      <w:r>
        <w:rPr>
          <w:rFonts w:hint="eastAsia" w:ascii="宋体" w:hAnsi="宋体" w:eastAsia="宋体" w:cs="Times New Roman"/>
          <w:iCs w:val="0"/>
          <w:color w:val="auto"/>
          <w:kern w:val="2"/>
          <w:sz w:val="21"/>
          <w:szCs w:val="21"/>
          <w:highlight w:val="none"/>
          <w:u w:val="none"/>
        </w:rPr>
        <w:t>否</w:t>
      </w:r>
    </w:p>
    <w:p w14:paraId="4C2ACC98">
      <w:pPr>
        <w:numPr>
          <w:ilvl w:val="0"/>
          <w:numId w:val="0"/>
        </w:numPr>
        <w:adjustRightInd w:val="0"/>
        <w:snapToGrid w:val="0"/>
        <w:spacing w:before="0" w:beforeLines="0" w:line="400" w:lineRule="exact"/>
        <w:ind w:firstLine="0" w:firstLineChars="0"/>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 xml:space="preserve">    （1</w:t>
      </w:r>
      <w:r>
        <w:rPr>
          <w:rFonts w:hint="default" w:ascii="宋体" w:hAnsi="宋体"/>
          <w:color w:val="auto"/>
          <w:szCs w:val="21"/>
          <w:highlight w:val="none"/>
          <w:lang w:val="en" w:eastAsia="zh-CN"/>
        </w:rPr>
        <w:t>1</w:t>
      </w:r>
      <w:r>
        <w:rPr>
          <w:rFonts w:hint="eastAsia" w:ascii="宋体" w:hAnsi="宋体"/>
          <w:color w:val="auto"/>
          <w:szCs w:val="21"/>
          <w:highlight w:val="none"/>
          <w:lang w:val="en-US" w:eastAsia="zh-CN"/>
        </w:rPr>
        <w:t>）</w:t>
      </w:r>
      <w:r>
        <w:rPr>
          <w:rFonts w:hint="eastAsia" w:ascii="宋体" w:hAnsi="宋体" w:eastAsia="宋体"/>
          <w:color w:val="auto"/>
          <w:szCs w:val="21"/>
          <w:highlight w:val="none"/>
          <w:lang w:val="en-US" w:eastAsia="zh-CN"/>
        </w:rPr>
        <w:t>涉及商品包装和快递包装的，是否参考</w:t>
      </w:r>
      <w:r>
        <w:rPr>
          <w:rFonts w:hint="eastAsia" w:ascii="宋体" w:hAnsi="宋体"/>
          <w:color w:val="auto"/>
          <w:szCs w:val="21"/>
          <w:highlight w:val="none"/>
        </w:rPr>
        <w:t>《商品包装政府采购需求标准（试行）》、《快递包装政府采购需求标准（试行）》</w:t>
      </w:r>
      <w:r>
        <w:rPr>
          <w:rFonts w:hint="eastAsia" w:ascii="宋体" w:hAnsi="宋体" w:eastAsia="宋体"/>
          <w:color w:val="auto"/>
          <w:szCs w:val="21"/>
          <w:highlight w:val="none"/>
          <w:lang w:eastAsia="zh-CN"/>
        </w:rPr>
        <w:t>明确产品及相关快递服务的具体包装要求：</w:t>
      </w:r>
    </w:p>
    <w:p w14:paraId="315AE941">
      <w:pPr>
        <w:numPr>
          <w:ilvl w:val="0"/>
          <w:numId w:val="0"/>
        </w:numPr>
        <w:adjustRightInd w:val="0"/>
        <w:snapToGrid w:val="0"/>
        <w:spacing w:before="0" w:beforeLines="0" w:line="400" w:lineRule="exact"/>
        <w:ind w:firstLine="840" w:firstLineChars="400"/>
        <w:rPr>
          <w:rFonts w:hint="eastAsia" w:ascii="宋体" w:hAnsi="宋体" w:eastAsia="宋体"/>
          <w:iCs w:val="0"/>
          <w:color w:val="auto"/>
          <w:szCs w:val="21"/>
          <w:highlight w:val="none"/>
          <w:lang w:val="en-US" w:eastAsia="zh-CN"/>
        </w:rPr>
      </w:pPr>
      <w:r>
        <w:rPr>
          <w:rFonts w:hint="eastAsia" w:ascii="宋体" w:hAnsi="宋体" w:eastAsia="宋体"/>
          <w:iCs w:val="0"/>
          <w:color w:val="auto"/>
          <w:szCs w:val="21"/>
          <w:highlight w:val="none"/>
        </w:rPr>
        <w:sym w:font="Wingdings" w:char="00A8"/>
      </w:r>
      <w:r>
        <w:rPr>
          <w:rFonts w:hint="eastAsia" w:ascii="宋体" w:hAnsi="宋体" w:eastAsia="宋体"/>
          <w:iCs w:val="0"/>
          <w:color w:val="auto"/>
          <w:szCs w:val="21"/>
          <w:highlight w:val="none"/>
        </w:rPr>
        <w:t xml:space="preserve">是       </w:t>
      </w:r>
      <w:r>
        <w:rPr>
          <w:rFonts w:hint="eastAsia" w:ascii="宋体" w:hAnsi="宋体" w:eastAsia="宋体"/>
          <w:iCs w:val="0"/>
          <w:color w:val="auto"/>
          <w:szCs w:val="21"/>
          <w:highlight w:val="none"/>
        </w:rPr>
        <w:sym w:font="Wingdings" w:char="00A8"/>
      </w:r>
      <w:r>
        <w:rPr>
          <w:rFonts w:hint="eastAsia" w:ascii="宋体" w:hAnsi="宋体" w:eastAsia="宋体"/>
          <w:iCs w:val="0"/>
          <w:color w:val="auto"/>
          <w:szCs w:val="21"/>
          <w:highlight w:val="none"/>
        </w:rPr>
        <w:t>否</w:t>
      </w:r>
      <w:r>
        <w:rPr>
          <w:rFonts w:hint="eastAsia" w:ascii="宋体" w:hAnsi="宋体" w:eastAsia="宋体"/>
          <w:iCs w:val="0"/>
          <w:color w:val="auto"/>
          <w:szCs w:val="21"/>
          <w:highlight w:val="none"/>
          <w:lang w:val="en-US" w:eastAsia="zh-CN"/>
        </w:rPr>
        <w:t xml:space="preserve">      </w:t>
      </w:r>
      <w:r>
        <w:rPr>
          <w:rFonts w:hint="eastAsia" w:ascii="宋体" w:hAnsi="宋体" w:eastAsia="宋体"/>
          <w:iCs w:val="0"/>
          <w:color w:val="auto"/>
          <w:szCs w:val="21"/>
          <w:highlight w:val="none"/>
        </w:rPr>
        <w:sym w:font="Wingdings" w:char="00A8"/>
      </w:r>
      <w:r>
        <w:rPr>
          <w:rFonts w:hint="eastAsia" w:ascii="宋体" w:hAnsi="宋体" w:eastAsia="宋体"/>
          <w:iCs w:val="0"/>
          <w:color w:val="auto"/>
          <w:szCs w:val="21"/>
          <w:highlight w:val="none"/>
          <w:lang w:eastAsia="zh-CN"/>
        </w:rPr>
        <w:t>不涉及</w:t>
      </w:r>
    </w:p>
    <w:p w14:paraId="3F1DD48E">
      <w:pPr>
        <w:numPr>
          <w:ilvl w:val="0"/>
          <w:numId w:val="11"/>
        </w:numPr>
        <w:adjustRightInd w:val="0"/>
        <w:snapToGrid w:val="0"/>
        <w:spacing w:before="0" w:beforeLines="0" w:line="400" w:lineRule="exact"/>
        <w:ind w:firstLine="422" w:firstLineChars="200"/>
        <w:rPr>
          <w:rFonts w:ascii="宋体" w:hAnsi="宋体"/>
          <w:b/>
          <w:color w:val="auto"/>
          <w:szCs w:val="21"/>
          <w:highlight w:val="none"/>
        </w:rPr>
      </w:pPr>
      <w:r>
        <w:rPr>
          <w:rFonts w:hint="eastAsia" w:ascii="宋体" w:hAnsi="宋体"/>
          <w:b/>
          <w:color w:val="auto"/>
          <w:szCs w:val="21"/>
          <w:highlight w:val="none"/>
        </w:rPr>
        <w:t>合同金额</w:t>
      </w:r>
    </w:p>
    <w:p w14:paraId="7E96CABC">
      <w:pPr>
        <w:adjustRightInd w:val="0"/>
        <w:snapToGrid w:val="0"/>
        <w:spacing w:before="0" w:beforeLines="0" w:line="400" w:lineRule="exact"/>
        <w:ind w:firstLine="420" w:firstLineChars="200"/>
        <w:rPr>
          <w:rFonts w:ascii="宋体" w:hAnsi="宋体"/>
          <w:color w:val="auto"/>
          <w:szCs w:val="21"/>
          <w:highlight w:val="none"/>
        </w:rPr>
      </w:pPr>
      <w:r>
        <w:rPr>
          <w:rFonts w:hint="eastAsia" w:ascii="宋体" w:hAnsi="宋体"/>
          <w:color w:val="auto"/>
          <w:szCs w:val="21"/>
          <w:highlight w:val="none"/>
        </w:rPr>
        <w:t>（1）合同金额小写：</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p>
    <w:p w14:paraId="2378CFCD">
      <w:pPr>
        <w:adjustRightInd w:val="0"/>
        <w:snapToGrid w:val="0"/>
        <w:spacing w:before="0" w:beforeLines="0" w:line="400" w:lineRule="exact"/>
        <w:ind w:left="0" w:firstLine="0" w:firstLineChars="0"/>
        <w:rPr>
          <w:rFonts w:ascii="宋体" w:hAnsi="宋体"/>
          <w:color w:val="auto"/>
          <w:szCs w:val="21"/>
          <w:highlight w:val="none"/>
          <w:u w:val="single"/>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rPr>
        <w:t>大写：</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p>
    <w:p w14:paraId="1CF9BB2B">
      <w:pPr>
        <w:adjustRightInd w:val="0"/>
        <w:snapToGrid w:val="0"/>
        <w:spacing w:before="0" w:beforeLines="0" w:line="400" w:lineRule="exact"/>
        <w:ind w:firstLine="0" w:firstLineChars="0"/>
        <w:rPr>
          <w:rFonts w:ascii="宋体" w:hAnsi="宋体"/>
          <w:color w:val="auto"/>
          <w:szCs w:val="21"/>
          <w:highlight w:val="none"/>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rPr>
        <w:t>分包金额</w:t>
      </w:r>
      <w:r>
        <w:rPr>
          <w:rFonts w:hint="eastAsia" w:ascii="宋体" w:hAnsi="宋体"/>
          <w:color w:val="auto"/>
          <w:szCs w:val="21"/>
          <w:highlight w:val="none"/>
          <w:lang w:eastAsia="zh-CN"/>
        </w:rPr>
        <w:t>（如有）</w:t>
      </w:r>
      <w:r>
        <w:rPr>
          <w:rFonts w:hint="eastAsia" w:ascii="宋体" w:hAnsi="宋体"/>
          <w:color w:val="auto"/>
          <w:szCs w:val="21"/>
          <w:highlight w:val="none"/>
        </w:rPr>
        <w:t>小写：</w:t>
      </w:r>
      <w:r>
        <w:rPr>
          <w:rFonts w:hint="eastAsia" w:ascii="宋体" w:hAnsi="宋体"/>
          <w:color w:val="auto"/>
          <w:szCs w:val="21"/>
          <w:highlight w:val="none"/>
          <w:u w:val="single"/>
        </w:rPr>
        <w:t xml:space="preserve">                   </w:t>
      </w:r>
    </w:p>
    <w:p w14:paraId="645BC352">
      <w:pPr>
        <w:adjustRightInd w:val="0"/>
        <w:snapToGrid w:val="0"/>
        <w:spacing w:before="0" w:beforeLines="0" w:line="400" w:lineRule="exact"/>
        <w:ind w:firstLine="0" w:firstLineChars="0"/>
        <w:rPr>
          <w:rFonts w:hint="eastAsia" w:ascii="宋体" w:hAnsi="宋体"/>
          <w:color w:val="auto"/>
          <w:szCs w:val="21"/>
          <w:highlight w:val="none"/>
          <w:u w:val="single"/>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rPr>
        <w:t>大写：</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p>
    <w:p w14:paraId="17E28E5D">
      <w:pPr>
        <w:adjustRightInd w:val="0"/>
        <w:snapToGrid w:val="0"/>
        <w:spacing w:before="0" w:beforeLines="0" w:line="400" w:lineRule="exact"/>
        <w:ind w:firstLine="0" w:firstLineChars="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 xml:space="preserve">    （注：固定单价合同应填写单价和最高限价）</w:t>
      </w:r>
    </w:p>
    <w:p w14:paraId="5581BC22">
      <w:pPr>
        <w:numPr>
          <w:ilvl w:val="0"/>
          <w:numId w:val="0"/>
        </w:numPr>
        <w:adjustRightInd w:val="0"/>
        <w:snapToGrid w:val="0"/>
        <w:spacing w:before="0" w:beforeLines="0" w:line="400" w:lineRule="exact"/>
        <w:ind w:firstLine="0" w:firstLineChars="0"/>
        <w:rPr>
          <w:rFonts w:hint="eastAsia" w:ascii="宋体" w:hAnsi="宋体"/>
          <w:color w:val="auto"/>
          <w:szCs w:val="21"/>
          <w:highlight w:val="none"/>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2</w:t>
      </w:r>
      <w:r>
        <w:rPr>
          <w:rFonts w:hint="eastAsia" w:ascii="宋体" w:hAnsi="宋体"/>
          <w:color w:val="auto"/>
          <w:szCs w:val="21"/>
          <w:highlight w:val="none"/>
          <w:lang w:eastAsia="zh-CN"/>
        </w:rPr>
        <w:t>）</w:t>
      </w:r>
      <w:r>
        <w:rPr>
          <w:rFonts w:hint="eastAsia" w:ascii="宋体" w:hAnsi="宋体"/>
          <w:color w:val="auto"/>
          <w:szCs w:val="21"/>
          <w:highlight w:val="none"/>
        </w:rPr>
        <w:t>合同定价方式</w:t>
      </w:r>
      <w:r>
        <w:rPr>
          <w:rFonts w:hint="eastAsia" w:ascii="宋体" w:hAnsi="宋体"/>
          <w:color w:val="auto"/>
          <w:szCs w:val="21"/>
          <w:highlight w:val="none"/>
          <w:lang w:eastAsia="zh-CN"/>
        </w:rPr>
        <w:t>（采用组合定价方式的，可以勾选多项）</w:t>
      </w:r>
      <w:r>
        <w:rPr>
          <w:rFonts w:hint="eastAsia" w:ascii="宋体" w:hAnsi="宋体"/>
          <w:color w:val="auto"/>
          <w:szCs w:val="21"/>
          <w:highlight w:val="none"/>
        </w:rPr>
        <w:t>：</w:t>
      </w:r>
    </w:p>
    <w:p w14:paraId="785DB300">
      <w:pPr>
        <w:adjustRightInd w:val="0"/>
        <w:snapToGrid w:val="0"/>
        <w:spacing w:before="0" w:beforeLines="0" w:line="400" w:lineRule="exact"/>
        <w:ind w:firstLine="420" w:firstLineChars="200"/>
        <w:rPr>
          <w:rFonts w:hint="eastAsia" w:ascii="宋体" w:hAnsi="宋体" w:eastAsia="宋体"/>
          <w:color w:val="auto"/>
          <w:szCs w:val="21"/>
          <w:highlight w:val="none"/>
          <w:lang w:eastAsia="zh-CN"/>
        </w:rPr>
      </w:pP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固定总价 </w:t>
      </w:r>
      <w:r>
        <w:rPr>
          <w:rFonts w:hint="eastAsia" w:ascii="宋体" w:hAnsi="宋体"/>
          <w:iCs/>
          <w:color w:val="auto"/>
          <w:szCs w:val="21"/>
          <w:highlight w:val="none"/>
        </w:rPr>
        <w:sym w:font="Wingdings" w:char="00A8"/>
      </w:r>
      <w:r>
        <w:rPr>
          <w:rFonts w:hint="eastAsia" w:ascii="宋体" w:hAnsi="宋体"/>
          <w:iCs/>
          <w:color w:val="auto"/>
          <w:szCs w:val="21"/>
          <w:highlight w:val="none"/>
        </w:rPr>
        <w:t>固定单价</w:t>
      </w: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lang w:eastAsia="zh-CN"/>
        </w:rPr>
        <w:t>固定费率</w:t>
      </w:r>
      <w:r>
        <w:rPr>
          <w:rFonts w:hint="eastAsia" w:ascii="宋体" w:hAnsi="宋体"/>
          <w:iCs/>
          <w:color w:val="auto"/>
          <w:szCs w:val="21"/>
          <w:highlight w:val="none"/>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成本补偿 </w:t>
      </w:r>
      <w:r>
        <w:rPr>
          <w:rFonts w:hint="eastAsia" w:ascii="宋体" w:hAnsi="宋体"/>
          <w:iCs/>
          <w:color w:val="auto"/>
          <w:szCs w:val="21"/>
          <w:highlight w:val="none"/>
        </w:rPr>
        <w:sym w:font="Wingdings" w:char="00A8"/>
      </w:r>
      <w:r>
        <w:rPr>
          <w:rFonts w:hint="eastAsia" w:ascii="宋体" w:hAnsi="宋体"/>
          <w:iCs/>
          <w:color w:val="auto"/>
          <w:szCs w:val="21"/>
          <w:highlight w:val="none"/>
        </w:rPr>
        <w:t>绩效激励</w:t>
      </w:r>
      <w:r>
        <w:rPr>
          <w:rFonts w:hint="eastAsia" w:ascii="宋体" w:hAnsi="宋体"/>
          <w:iCs/>
          <w:color w:val="auto"/>
          <w:szCs w:val="21"/>
          <w:highlight w:val="none"/>
          <w:lang w:val="en-US" w:eastAsia="zh-CN"/>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lang w:eastAsia="zh-CN"/>
        </w:rPr>
        <w:t>其他</w:t>
      </w:r>
      <w:r>
        <w:rPr>
          <w:rFonts w:hint="eastAsia" w:ascii="宋体" w:hAnsi="宋体"/>
          <w:color w:val="auto"/>
          <w:szCs w:val="21"/>
          <w:highlight w:val="none"/>
          <w:u w:val="single"/>
        </w:rPr>
        <w:t xml:space="preserve">       </w:t>
      </w:r>
    </w:p>
    <w:p w14:paraId="5E570BBA">
      <w:pPr>
        <w:pStyle w:val="91"/>
        <w:spacing w:beforeLines="0" w:line="400" w:lineRule="exact"/>
        <w:rPr>
          <w:color w:val="auto"/>
          <w:highlight w:val="none"/>
        </w:rPr>
      </w:pPr>
      <w:r>
        <w:rPr>
          <w:rFonts w:hint="eastAsia" w:ascii="宋体" w:hAnsi="宋体"/>
          <w:color w:val="auto"/>
          <w:highlight w:val="none"/>
        </w:rPr>
        <w:t>（</w:t>
      </w:r>
      <w:r>
        <w:rPr>
          <w:rFonts w:hint="eastAsia" w:ascii="宋体" w:hAnsi="宋体"/>
          <w:color w:val="auto"/>
          <w:highlight w:val="none"/>
          <w:lang w:val="en-US" w:eastAsia="zh-CN"/>
        </w:rPr>
        <w:t>3</w:t>
      </w:r>
      <w:r>
        <w:rPr>
          <w:rFonts w:hint="eastAsia" w:ascii="宋体" w:hAnsi="宋体"/>
          <w:color w:val="auto"/>
          <w:highlight w:val="none"/>
        </w:rPr>
        <w:t>）付款方式（按项目实际勾选填写）：</w:t>
      </w:r>
    </w:p>
    <w:p w14:paraId="2CD6BA77">
      <w:pPr>
        <w:adjustRightInd w:val="0"/>
        <w:snapToGrid w:val="0"/>
        <w:spacing w:before="0" w:beforeLines="0" w:line="400" w:lineRule="exact"/>
        <w:ind w:firstLine="630" w:firstLineChars="300"/>
        <w:rPr>
          <w:rFonts w:ascii="宋体" w:hAnsi="宋体"/>
          <w:color w:val="auto"/>
          <w:szCs w:val="21"/>
          <w:highlight w:val="none"/>
          <w:u w:val="single"/>
        </w:rPr>
      </w:pPr>
      <w:r>
        <w:rPr>
          <w:rFonts w:hint="eastAsia" w:ascii="宋体" w:hAnsi="宋体"/>
          <w:color w:val="auto"/>
          <w:szCs w:val="21"/>
          <w:highlight w:val="none"/>
        </w:rPr>
        <w:sym w:font="Wingdings" w:char="00A8"/>
      </w:r>
      <w:r>
        <w:rPr>
          <w:rFonts w:hint="eastAsia" w:ascii="宋体" w:hAnsi="宋体"/>
          <w:color w:val="auto"/>
          <w:szCs w:val="21"/>
          <w:highlight w:val="none"/>
        </w:rPr>
        <w:t>全额付款：</w:t>
      </w:r>
      <w:r>
        <w:rPr>
          <w:rFonts w:hint="eastAsia" w:ascii="宋体" w:hAnsi="宋体"/>
          <w:color w:val="auto"/>
          <w:szCs w:val="21"/>
          <w:highlight w:val="none"/>
          <w:u w:val="single"/>
        </w:rPr>
        <w:t xml:space="preserve">     （应</w:t>
      </w:r>
      <w:r>
        <w:rPr>
          <w:rFonts w:hint="eastAsia" w:ascii="宋体" w:hAnsi="宋体"/>
          <w:color w:val="auto"/>
          <w:szCs w:val="21"/>
          <w:highlight w:val="none"/>
          <w:u w:val="single"/>
          <w:lang w:eastAsia="zh-CN"/>
        </w:rPr>
        <w:t>明确</w:t>
      </w:r>
      <w:r>
        <w:rPr>
          <w:rFonts w:hint="eastAsia" w:ascii="宋体" w:hAnsi="宋体"/>
          <w:color w:val="auto"/>
          <w:szCs w:val="21"/>
          <w:highlight w:val="none"/>
          <w:u w:val="single"/>
        </w:rPr>
        <w:t>一次性支付合同款项</w:t>
      </w:r>
      <w:r>
        <w:rPr>
          <w:rFonts w:hint="eastAsia" w:ascii="宋体" w:hAnsi="宋体"/>
          <w:color w:val="auto"/>
          <w:szCs w:val="21"/>
          <w:highlight w:val="none"/>
          <w:u w:val="single"/>
          <w:lang w:eastAsia="zh-CN"/>
        </w:rPr>
        <w:t>的条件</w:t>
      </w:r>
      <w:r>
        <w:rPr>
          <w:rFonts w:hint="eastAsia" w:ascii="宋体" w:hAnsi="宋体"/>
          <w:color w:val="auto"/>
          <w:szCs w:val="21"/>
          <w:highlight w:val="none"/>
          <w:u w:val="single"/>
        </w:rPr>
        <w:t xml:space="preserve">）                    </w:t>
      </w:r>
    </w:p>
    <w:p w14:paraId="3FD8E121">
      <w:pPr>
        <w:snapToGrid w:val="0"/>
        <w:spacing w:beforeLines="0" w:line="400" w:lineRule="exact"/>
        <w:ind w:firstLine="630" w:firstLineChars="300"/>
        <w:rPr>
          <w:color w:val="auto"/>
          <w:highlight w:val="none"/>
        </w:rPr>
      </w:pPr>
      <w:r>
        <w:rPr>
          <w:rFonts w:hint="eastAsia" w:ascii="宋体" w:hAnsi="宋体"/>
          <w:color w:val="auto"/>
          <w:szCs w:val="21"/>
          <w:highlight w:val="none"/>
        </w:rPr>
        <w:sym w:font="Wingdings" w:char="00A8"/>
      </w:r>
      <w:r>
        <w:rPr>
          <w:rFonts w:hint="eastAsia" w:ascii="宋体" w:hAnsi="宋体"/>
          <w:color w:val="auto"/>
          <w:szCs w:val="21"/>
          <w:highlight w:val="none"/>
        </w:rPr>
        <w:t>分期付款：</w:t>
      </w:r>
      <w:r>
        <w:rPr>
          <w:rFonts w:hint="eastAsia" w:ascii="宋体" w:hAnsi="宋体"/>
          <w:color w:val="auto"/>
          <w:szCs w:val="21"/>
          <w:highlight w:val="none"/>
          <w:u w:val="single"/>
        </w:rPr>
        <w:t xml:space="preserve">  （应明确分期支付合同款项的各期比例和支付条件</w:t>
      </w:r>
      <w:r>
        <w:rPr>
          <w:rFonts w:hint="eastAsia" w:ascii="宋体" w:hAnsi="宋体"/>
          <w:color w:val="auto"/>
          <w:szCs w:val="21"/>
          <w:highlight w:val="none"/>
          <w:u w:val="single"/>
          <w:lang w:eastAsia="zh-CN"/>
        </w:rPr>
        <w:t>，各期支付条件应与分期履约验收情况挂钩</w:t>
      </w:r>
      <w:r>
        <w:rPr>
          <w:rFonts w:hint="eastAsia" w:ascii="宋体" w:hAnsi="宋体"/>
          <w:color w:val="auto"/>
          <w:szCs w:val="21"/>
          <w:highlight w:val="none"/>
          <w:u w:val="single"/>
        </w:rPr>
        <w:t xml:space="preserve">） </w:t>
      </w:r>
      <w:r>
        <w:rPr>
          <w:rFonts w:hint="eastAsia" w:ascii="宋体" w:hAnsi="宋体"/>
          <w:color w:val="auto"/>
          <w:szCs w:val="21"/>
          <w:highlight w:val="none"/>
          <w:u w:val="none"/>
          <w:lang w:eastAsia="zh-CN"/>
        </w:rPr>
        <w:t>，</w:t>
      </w:r>
      <w:r>
        <w:rPr>
          <w:rFonts w:hint="eastAsia" w:ascii="宋体" w:hAnsi="宋体"/>
          <w:color w:val="auto"/>
          <w:szCs w:val="21"/>
          <w:highlight w:val="none"/>
          <w:lang w:eastAsia="zh-CN"/>
        </w:rPr>
        <w:t>其中涉及预付款的</w:t>
      </w:r>
      <w:r>
        <w:rPr>
          <w:rFonts w:hint="eastAsia" w:ascii="宋体" w:hAnsi="宋体"/>
          <w:color w:val="auto"/>
          <w:szCs w:val="21"/>
          <w:highlight w:val="none"/>
        </w:rPr>
        <w:t>：</w:t>
      </w:r>
      <w:r>
        <w:rPr>
          <w:rFonts w:hint="eastAsia" w:ascii="宋体" w:hAnsi="宋体"/>
          <w:color w:val="auto"/>
          <w:szCs w:val="21"/>
          <w:highlight w:val="none"/>
          <w:u w:val="single"/>
        </w:rPr>
        <w:t xml:space="preserve"> （应明确预付款的支付比例和支付条件） </w:t>
      </w:r>
    </w:p>
    <w:p w14:paraId="513C6D2F">
      <w:pPr>
        <w:adjustRightInd w:val="0"/>
        <w:snapToGrid w:val="0"/>
        <w:spacing w:before="0" w:beforeLines="0" w:line="400" w:lineRule="exact"/>
        <w:ind w:firstLine="630" w:firstLineChars="300"/>
        <w:rPr>
          <w:rFonts w:ascii="宋体" w:hAnsi="宋体"/>
          <w:color w:val="auto"/>
          <w:szCs w:val="21"/>
          <w:highlight w:val="none"/>
          <w:u w:val="single"/>
        </w:rPr>
      </w:pPr>
      <w:r>
        <w:rPr>
          <w:rFonts w:hint="eastAsia" w:ascii="宋体" w:hAnsi="宋体"/>
          <w:color w:val="auto"/>
          <w:szCs w:val="21"/>
          <w:highlight w:val="none"/>
        </w:rPr>
        <w:sym w:font="Wingdings" w:char="00A8"/>
      </w:r>
      <w:r>
        <w:rPr>
          <w:rFonts w:hint="eastAsia" w:ascii="宋体" w:hAnsi="宋体"/>
          <w:color w:val="auto"/>
          <w:szCs w:val="21"/>
          <w:highlight w:val="none"/>
        </w:rPr>
        <w:t>成本补偿：</w:t>
      </w:r>
      <w:r>
        <w:rPr>
          <w:rFonts w:hint="eastAsia" w:ascii="宋体" w:hAnsi="宋体"/>
          <w:color w:val="auto"/>
          <w:szCs w:val="21"/>
          <w:highlight w:val="none"/>
          <w:u w:val="single"/>
        </w:rPr>
        <w:t xml:space="preserve">      （应明确按照成本补偿方式的支付方式和支付条件）   </w:t>
      </w:r>
    </w:p>
    <w:p w14:paraId="146259CB">
      <w:pPr>
        <w:adjustRightInd w:val="0"/>
        <w:snapToGrid w:val="0"/>
        <w:spacing w:before="0" w:beforeLines="0" w:line="400" w:lineRule="exact"/>
        <w:ind w:firstLine="630" w:firstLineChars="300"/>
        <w:rPr>
          <w:rFonts w:ascii="宋体" w:hAnsi="宋体"/>
          <w:color w:val="auto"/>
          <w:szCs w:val="21"/>
          <w:highlight w:val="none"/>
        </w:rPr>
      </w:pPr>
      <w:r>
        <w:rPr>
          <w:rFonts w:hint="eastAsia" w:ascii="宋体" w:hAnsi="宋体"/>
          <w:color w:val="auto"/>
          <w:szCs w:val="21"/>
          <w:highlight w:val="none"/>
        </w:rPr>
        <w:sym w:font="Wingdings" w:char="00A8"/>
      </w:r>
      <w:r>
        <w:rPr>
          <w:rFonts w:hint="eastAsia" w:ascii="宋体" w:hAnsi="宋体"/>
          <w:color w:val="auto"/>
          <w:szCs w:val="21"/>
          <w:highlight w:val="none"/>
        </w:rPr>
        <w:t>绩效激励：</w:t>
      </w:r>
      <w:r>
        <w:rPr>
          <w:rFonts w:hint="eastAsia" w:ascii="宋体" w:hAnsi="宋体"/>
          <w:color w:val="auto"/>
          <w:szCs w:val="21"/>
          <w:highlight w:val="none"/>
          <w:u w:val="single"/>
        </w:rPr>
        <w:t xml:space="preserve">      （应明确按照绩效激励方式的支付方式和支付条件）   </w:t>
      </w:r>
    </w:p>
    <w:p w14:paraId="51693A4D">
      <w:pPr>
        <w:numPr>
          <w:ilvl w:val="0"/>
          <w:numId w:val="11"/>
        </w:numPr>
        <w:adjustRightInd w:val="0"/>
        <w:snapToGrid w:val="0"/>
        <w:spacing w:before="0" w:beforeLines="0" w:line="400" w:lineRule="exact"/>
        <w:ind w:firstLine="422" w:firstLineChars="200"/>
        <w:rPr>
          <w:rFonts w:ascii="宋体" w:hAnsi="宋体"/>
          <w:b/>
          <w:bCs w:val="0"/>
          <w:color w:val="auto"/>
          <w:szCs w:val="21"/>
          <w:highlight w:val="none"/>
          <w:u w:val="single"/>
        </w:rPr>
      </w:pPr>
      <w:r>
        <w:rPr>
          <w:rFonts w:hint="eastAsia" w:ascii="宋体" w:hAnsi="宋体"/>
          <w:b/>
          <w:bCs w:val="0"/>
          <w:color w:val="auto"/>
          <w:szCs w:val="21"/>
          <w:highlight w:val="none"/>
        </w:rPr>
        <w:t>合同履行</w:t>
      </w:r>
    </w:p>
    <w:p w14:paraId="44B7C1F7">
      <w:pPr>
        <w:adjustRightInd w:val="0"/>
        <w:snapToGrid w:val="0"/>
        <w:spacing w:before="0" w:beforeLines="0"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（1）起始日期：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日，完成日期：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4A79140C">
      <w:pPr>
        <w:adjustRightInd w:val="0"/>
        <w:snapToGrid w:val="0"/>
        <w:spacing w:before="0" w:beforeLines="0" w:line="40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履约</w:t>
      </w:r>
      <w:r>
        <w:rPr>
          <w:rFonts w:hint="eastAsia" w:ascii="宋体" w:hAnsi="宋体" w:cs="宋体"/>
          <w:color w:val="auto"/>
          <w:szCs w:val="21"/>
          <w:highlight w:val="none"/>
        </w:rPr>
        <w:t>地点</w:t>
      </w:r>
      <w:r>
        <w:rPr>
          <w:rFonts w:hint="eastAsia" w:ascii="宋体" w:hAnsi="宋体" w:cs="宋体"/>
          <w:b w:val="0"/>
          <w:bCs/>
          <w:color w:val="auto"/>
          <w:szCs w:val="21"/>
          <w:highlight w:val="none"/>
        </w:rPr>
        <w:t>：</w:t>
      </w:r>
      <w:r>
        <w:rPr>
          <w:rFonts w:hint="eastAsia" w:ascii="宋体" w:hAnsi="宋体" w:cs="宋体"/>
          <w:color w:val="auto"/>
          <w:szCs w:val="21"/>
          <w:highlight w:val="none"/>
          <w:u w:val="single"/>
        </w:rPr>
        <w:t xml:space="preserve">                             </w:t>
      </w:r>
    </w:p>
    <w:p w14:paraId="2E2B5438">
      <w:pPr>
        <w:adjustRightInd w:val="0"/>
        <w:snapToGrid w:val="0"/>
        <w:spacing w:before="0" w:beforeLines="0" w:line="40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cs="宋体"/>
          <w:bCs/>
          <w:color w:val="auto"/>
          <w:szCs w:val="21"/>
          <w:highlight w:val="none"/>
        </w:rPr>
        <w:t>（3）履约担保：</w:t>
      </w:r>
      <w:r>
        <w:rPr>
          <w:rFonts w:hint="eastAsia" w:ascii="宋体" w:hAnsi="宋体" w:eastAsia="宋体" w:cs="宋体"/>
          <w:color w:val="auto"/>
          <w:sz w:val="21"/>
          <w:highlight w:val="none"/>
          <w:lang w:val="en-US" w:eastAsia="zh-CN"/>
        </w:rPr>
        <w:t>是否收取履约保证金：</w:t>
      </w:r>
      <w:r>
        <w:rPr>
          <w:rFonts w:hint="eastAsia" w:ascii="宋体" w:hAnsi="宋体" w:eastAsia="宋体" w:cs="宋体"/>
          <w:color w:val="auto"/>
          <w:sz w:val="21"/>
          <w:szCs w:val="21"/>
          <w:highlight w:val="none"/>
        </w:rPr>
        <w:sym w:font="Wingdings" w:char="00A8"/>
      </w:r>
      <w:r>
        <w:rPr>
          <w:rFonts w:hint="eastAsia" w:ascii="宋体" w:hAnsi="宋体" w:eastAsia="宋体" w:cs="宋体"/>
          <w:color w:val="auto"/>
          <w:sz w:val="21"/>
          <w:szCs w:val="21"/>
          <w:highlight w:val="none"/>
          <w:lang w:eastAsia="zh-CN"/>
        </w:rPr>
        <w:t>是</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sym w:font="Wingdings" w:char="00A8"/>
      </w:r>
      <w:r>
        <w:rPr>
          <w:rFonts w:hint="eastAsia" w:ascii="宋体" w:hAnsi="宋体" w:eastAsia="宋体" w:cs="宋体"/>
          <w:color w:val="auto"/>
          <w:sz w:val="21"/>
          <w:szCs w:val="21"/>
          <w:highlight w:val="none"/>
          <w:lang w:eastAsia="zh-CN"/>
        </w:rPr>
        <w:t>否</w:t>
      </w:r>
    </w:p>
    <w:p w14:paraId="1EB4BD26">
      <w:pPr>
        <w:pStyle w:val="29"/>
        <w:spacing w:beforeLines="0"/>
        <w:rPr>
          <w:rFonts w:hint="eastAsia" w:ascii="宋体" w:hAnsi="宋体" w:eastAsia="宋体" w:cs="宋体"/>
          <w:color w:val="auto"/>
          <w:sz w:val="21"/>
          <w:highlight w:val="none"/>
          <w:lang w:val="en-US" w:eastAsia="zh-CN"/>
        </w:rPr>
      </w:pPr>
      <w:r>
        <w:rPr>
          <w:rFonts w:hint="eastAsia" w:ascii="宋体" w:hAnsi="宋体" w:cs="宋体"/>
          <w:bCs/>
          <w:color w:val="auto"/>
          <w:szCs w:val="21"/>
          <w:highlight w:val="none"/>
          <w:u w:val="none"/>
          <w:lang w:val="en-US" w:eastAsia="zh-CN"/>
        </w:rPr>
        <w:t xml:space="preserve">  </w:t>
      </w:r>
      <w:r>
        <w:rPr>
          <w:rFonts w:hint="eastAsia" w:ascii="宋体" w:hAnsi="宋体" w:eastAsia="宋体" w:cs="宋体"/>
          <w:color w:val="auto"/>
          <w:sz w:val="21"/>
          <w:highlight w:val="none"/>
          <w:lang w:val="en-US" w:eastAsia="zh-CN"/>
        </w:rPr>
        <w:t xml:space="preserve">  收取履约保证金形式：</w:t>
      </w:r>
      <w:r>
        <w:rPr>
          <w:rFonts w:hint="eastAsia" w:ascii="宋体" w:hAnsi="宋体" w:eastAsia="宋体" w:cs="宋体"/>
          <w:bCs/>
          <w:color w:val="auto"/>
          <w:sz w:val="21"/>
          <w:szCs w:val="21"/>
          <w:highlight w:val="none"/>
          <w:u w:val="single"/>
        </w:rPr>
        <w:t xml:space="preserve">                            </w:t>
      </w:r>
    </w:p>
    <w:p w14:paraId="6F43BE3D">
      <w:pPr>
        <w:pStyle w:val="29"/>
        <w:spacing w:beforeLines="0"/>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 xml:space="preserve">    收取履约保证金金额：</w:t>
      </w:r>
      <w:r>
        <w:rPr>
          <w:rFonts w:hint="eastAsia" w:ascii="宋体" w:hAnsi="宋体" w:eastAsia="宋体" w:cs="宋体"/>
          <w:bCs/>
          <w:color w:val="auto"/>
          <w:sz w:val="21"/>
          <w:szCs w:val="21"/>
          <w:highlight w:val="none"/>
          <w:u w:val="single"/>
        </w:rPr>
        <w:t xml:space="preserve">                            </w:t>
      </w:r>
    </w:p>
    <w:p w14:paraId="6CE923C1">
      <w:pPr>
        <w:snapToGrid w:val="0"/>
        <w:spacing w:beforeLines="0" w:line="400" w:lineRule="exact"/>
        <w:ind w:firstLine="420" w:firstLineChars="200"/>
        <w:rPr>
          <w:rFonts w:hint="eastAsia" w:ascii="宋体" w:hAnsi="宋体" w:eastAsia="宋体" w:cs="宋体"/>
          <w:color w:val="auto"/>
          <w:sz w:val="21"/>
          <w:highlight w:val="none"/>
          <w:lang w:val="en-US" w:eastAsia="zh-CN"/>
        </w:rPr>
      </w:pPr>
      <w:r>
        <w:rPr>
          <w:rFonts w:hint="eastAsia" w:ascii="宋体" w:hAnsi="宋体" w:cs="宋体"/>
          <w:bCs/>
          <w:color w:val="auto"/>
          <w:szCs w:val="21"/>
          <w:highlight w:val="none"/>
          <w:u w:val="none"/>
          <w:lang w:val="en-US" w:eastAsia="zh-CN"/>
        </w:rPr>
        <w:t xml:space="preserve">    履约担保期限</w:t>
      </w:r>
      <w:r>
        <w:rPr>
          <w:rFonts w:hint="eastAsia" w:ascii="宋体" w:hAnsi="宋体" w:cs="宋体"/>
          <w:bCs/>
          <w:color w:val="auto"/>
          <w:szCs w:val="21"/>
          <w:highlight w:val="none"/>
          <w:u w:val="none"/>
          <w:lang w:eastAsia="zh-CN"/>
        </w:rPr>
        <w:t>：</w:t>
      </w:r>
      <w:r>
        <w:rPr>
          <w:rFonts w:hint="eastAsia" w:ascii="宋体" w:hAnsi="宋体" w:eastAsia="宋体" w:cs="宋体"/>
          <w:bCs/>
          <w:color w:val="auto"/>
          <w:sz w:val="21"/>
          <w:szCs w:val="21"/>
          <w:highlight w:val="none"/>
          <w:u w:val="single"/>
        </w:rPr>
        <w:t xml:space="preserve">      </w:t>
      </w:r>
      <w:r>
        <w:rPr>
          <w:rFonts w:hint="eastAsia" w:ascii="宋体" w:hAnsi="宋体" w:cs="宋体"/>
          <w:bCs/>
          <w:color w:val="auto"/>
          <w:sz w:val="21"/>
          <w:szCs w:val="21"/>
          <w:highlight w:val="none"/>
          <w:u w:val="single"/>
          <w:lang w:val="en-US" w:eastAsia="zh-CN"/>
        </w:rPr>
        <w:t xml:space="preserve">                     </w:t>
      </w:r>
      <w:r>
        <w:rPr>
          <w:rFonts w:hint="eastAsia" w:ascii="宋体" w:hAnsi="宋体" w:eastAsia="宋体" w:cs="宋体"/>
          <w:bCs/>
          <w:color w:val="auto"/>
          <w:sz w:val="21"/>
          <w:szCs w:val="21"/>
          <w:highlight w:val="none"/>
          <w:u w:val="single"/>
        </w:rPr>
        <w:t xml:space="preserve">       </w:t>
      </w:r>
    </w:p>
    <w:p w14:paraId="42262E51">
      <w:pPr>
        <w:adjustRightInd w:val="0"/>
        <w:snapToGrid w:val="0"/>
        <w:spacing w:before="0" w:beforeLines="0" w:line="40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（4）分期履行要求：</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u w:val="single"/>
          <w:lang w:val="en-US" w:eastAsia="zh-CN"/>
        </w:rPr>
        <w:t xml:space="preserve">    </w:t>
      </w:r>
      <w:r>
        <w:rPr>
          <w:rFonts w:hint="eastAsia" w:ascii="宋体" w:hAnsi="宋体" w:cs="宋体"/>
          <w:bCs/>
          <w:color w:val="auto"/>
          <w:szCs w:val="21"/>
          <w:highlight w:val="none"/>
          <w:u w:val="single"/>
        </w:rPr>
        <w:t xml:space="preserve"> </w:t>
      </w:r>
    </w:p>
    <w:p w14:paraId="11F61BC2">
      <w:pPr>
        <w:adjustRightInd w:val="0"/>
        <w:snapToGrid w:val="0"/>
        <w:spacing w:before="0" w:beforeLines="0" w:line="400" w:lineRule="exact"/>
        <w:ind w:firstLine="420" w:firstLineChars="200"/>
        <w:rPr>
          <w:rFonts w:hint="eastAsia" w:ascii="宋体" w:hAnsi="宋体" w:cs="宋体"/>
          <w:color w:val="auto"/>
          <w:szCs w:val="21"/>
          <w:highlight w:val="none"/>
          <w:u w:val="single"/>
        </w:rPr>
      </w:pPr>
      <w:r>
        <w:rPr>
          <w:rFonts w:hint="eastAsia" w:ascii="宋体" w:hAnsi="宋体" w:cs="宋体"/>
          <w:bCs/>
          <w:color w:val="auto"/>
          <w:szCs w:val="21"/>
          <w:highlight w:val="none"/>
        </w:rPr>
        <w:t>（5）</w:t>
      </w:r>
      <w:r>
        <w:rPr>
          <w:rFonts w:hint="eastAsia" w:ascii="宋体" w:hAnsi="宋体" w:cs="宋体"/>
          <w:bCs/>
          <w:color w:val="auto"/>
          <w:szCs w:val="21"/>
          <w:highlight w:val="none"/>
          <w:lang w:eastAsia="zh-CN"/>
        </w:rPr>
        <w:t>风险处置措施和替代方案</w:t>
      </w:r>
      <w:r>
        <w:rPr>
          <w:rFonts w:hint="eastAsia" w:ascii="宋体" w:hAnsi="宋体" w:cs="宋体"/>
          <w:bCs/>
          <w:color w:val="auto"/>
          <w:szCs w:val="21"/>
          <w:highlight w:val="none"/>
        </w:rPr>
        <w:t>：</w:t>
      </w:r>
      <w:r>
        <w:rPr>
          <w:rFonts w:hint="eastAsia" w:ascii="宋体" w:hAnsi="宋体" w:cs="宋体"/>
          <w:color w:val="auto"/>
          <w:szCs w:val="21"/>
          <w:highlight w:val="none"/>
          <w:u w:val="single"/>
        </w:rPr>
        <w:t xml:space="preserve">                                                               </w:t>
      </w:r>
    </w:p>
    <w:p w14:paraId="455D9C64">
      <w:pPr>
        <w:numPr>
          <w:ilvl w:val="0"/>
          <w:numId w:val="11"/>
        </w:numPr>
        <w:adjustRightInd w:val="0"/>
        <w:snapToGrid w:val="0"/>
        <w:spacing w:before="0" w:beforeLines="0" w:line="400" w:lineRule="exact"/>
        <w:ind w:firstLine="422" w:firstLineChars="200"/>
        <w:rPr>
          <w:rFonts w:ascii="宋体" w:hAnsi="宋体"/>
          <w:b/>
          <w:color w:val="auto"/>
          <w:szCs w:val="21"/>
          <w:highlight w:val="none"/>
        </w:rPr>
      </w:pPr>
      <w:r>
        <w:rPr>
          <w:rFonts w:hint="eastAsia" w:ascii="宋体" w:hAnsi="宋体"/>
          <w:b/>
          <w:color w:val="auto"/>
          <w:szCs w:val="21"/>
          <w:highlight w:val="none"/>
        </w:rPr>
        <w:t>合同验收</w:t>
      </w:r>
    </w:p>
    <w:p w14:paraId="3346B255">
      <w:pPr>
        <w:numPr>
          <w:ilvl w:val="0"/>
          <w:numId w:val="13"/>
        </w:numPr>
        <w:adjustRightInd w:val="0"/>
        <w:snapToGrid w:val="0"/>
        <w:spacing w:before="0" w:beforeLines="0" w:line="400" w:lineRule="exact"/>
        <w:ind w:firstLine="420" w:firstLineChars="200"/>
        <w:rPr>
          <w:rFonts w:hint="eastAsia" w:ascii="宋体" w:hAnsi="宋体"/>
          <w:bCs/>
          <w:color w:val="auto"/>
          <w:szCs w:val="21"/>
          <w:highlight w:val="none"/>
        </w:rPr>
      </w:pPr>
      <w:r>
        <w:rPr>
          <w:rFonts w:hint="eastAsia" w:ascii="宋体" w:hAnsi="宋体"/>
          <w:bCs/>
          <w:color w:val="auto"/>
          <w:szCs w:val="21"/>
          <w:highlight w:val="none"/>
        </w:rPr>
        <w:t>验收组织方式：</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 xml:space="preserve">自行组织 </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委托第三方组织</w:t>
      </w:r>
    </w:p>
    <w:p w14:paraId="6B31389A">
      <w:pPr>
        <w:numPr>
          <w:ilvl w:val="0"/>
          <w:numId w:val="0"/>
        </w:numPr>
        <w:adjustRightInd w:val="0"/>
        <w:snapToGrid w:val="0"/>
        <w:spacing w:before="0" w:beforeLines="0" w:line="400" w:lineRule="exact"/>
        <w:rPr>
          <w:rFonts w:ascii="宋体" w:hAnsi="宋体"/>
          <w:bCs/>
          <w:color w:val="auto"/>
          <w:szCs w:val="21"/>
          <w:highlight w:val="none"/>
        </w:rPr>
      </w:pPr>
      <w:r>
        <w:rPr>
          <w:rFonts w:hint="eastAsia" w:ascii="宋体" w:hAnsi="宋体"/>
          <w:bCs/>
          <w:color w:val="auto"/>
          <w:szCs w:val="21"/>
          <w:highlight w:val="none"/>
          <w:lang w:val="en-US" w:eastAsia="zh-CN"/>
        </w:rPr>
        <w:t xml:space="preserve">         </w:t>
      </w:r>
      <w:r>
        <w:rPr>
          <w:rFonts w:hint="eastAsia" w:ascii="宋体" w:hAnsi="宋体"/>
          <w:bCs/>
          <w:color w:val="auto"/>
          <w:szCs w:val="21"/>
          <w:highlight w:val="none"/>
        </w:rPr>
        <w:t>验收主体：</w:t>
      </w:r>
      <w:r>
        <w:rPr>
          <w:rFonts w:hint="eastAsia" w:ascii="宋体" w:hAnsi="宋体"/>
          <w:bCs/>
          <w:color w:val="auto"/>
          <w:szCs w:val="21"/>
          <w:highlight w:val="none"/>
          <w:u w:val="single"/>
        </w:rPr>
        <w:t xml:space="preserve">                  </w:t>
      </w:r>
    </w:p>
    <w:p w14:paraId="5757EB6E">
      <w:pPr>
        <w:adjustRightInd w:val="0"/>
        <w:snapToGrid w:val="0"/>
        <w:spacing w:before="0" w:beforeLines="0" w:line="400" w:lineRule="exact"/>
        <w:ind w:firstLine="0" w:firstLineChars="0"/>
        <w:rPr>
          <w:rFonts w:ascii="宋体" w:hAnsi="宋体"/>
          <w:bCs/>
          <w:color w:val="auto"/>
          <w:szCs w:val="21"/>
          <w:highlight w:val="none"/>
        </w:rPr>
      </w:pPr>
      <w:r>
        <w:rPr>
          <w:rFonts w:hint="eastAsia" w:ascii="宋体" w:hAnsi="宋体"/>
          <w:bCs/>
          <w:color w:val="auto"/>
          <w:szCs w:val="21"/>
          <w:highlight w:val="none"/>
          <w:lang w:val="en-US" w:eastAsia="zh-CN"/>
        </w:rPr>
        <w:t xml:space="preserve">        </w:t>
      </w:r>
      <w:r>
        <w:rPr>
          <w:rFonts w:hint="eastAsia" w:ascii="宋体" w:hAnsi="宋体"/>
          <w:bCs/>
          <w:color w:val="auto"/>
          <w:szCs w:val="21"/>
          <w:highlight w:val="none"/>
        </w:rPr>
        <w:t>是否邀请本项目的其他供应商</w:t>
      </w:r>
      <w:r>
        <w:rPr>
          <w:rFonts w:hint="eastAsia" w:ascii="宋体" w:hAnsi="宋体"/>
          <w:bCs/>
          <w:color w:val="auto"/>
          <w:szCs w:val="21"/>
          <w:highlight w:val="none"/>
          <w:lang w:eastAsia="zh-CN"/>
        </w:rPr>
        <w:t>参加验收</w:t>
      </w:r>
      <w:r>
        <w:rPr>
          <w:rFonts w:hint="eastAsia" w:ascii="宋体" w:hAnsi="宋体"/>
          <w:bCs/>
          <w:color w:val="auto"/>
          <w:szCs w:val="21"/>
          <w:highlight w:val="none"/>
        </w:rPr>
        <w:t>：</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 xml:space="preserve">是  </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否</w:t>
      </w:r>
    </w:p>
    <w:p w14:paraId="012AEF09">
      <w:pPr>
        <w:adjustRightInd w:val="0"/>
        <w:snapToGrid w:val="0"/>
        <w:spacing w:before="0" w:beforeLines="0" w:line="400" w:lineRule="exact"/>
        <w:ind w:firstLine="840" w:firstLineChars="400"/>
        <w:rPr>
          <w:rFonts w:ascii="宋体" w:hAnsi="宋体"/>
          <w:bCs/>
          <w:color w:val="auto"/>
          <w:szCs w:val="21"/>
          <w:highlight w:val="none"/>
        </w:rPr>
      </w:pPr>
      <w:r>
        <w:rPr>
          <w:rFonts w:hint="eastAsia" w:ascii="宋体" w:hAnsi="宋体"/>
          <w:bCs/>
          <w:color w:val="auto"/>
          <w:szCs w:val="21"/>
          <w:highlight w:val="none"/>
        </w:rPr>
        <w:t>是否邀请专家</w:t>
      </w:r>
      <w:r>
        <w:rPr>
          <w:rFonts w:hint="eastAsia" w:ascii="宋体" w:hAnsi="宋体"/>
          <w:bCs/>
          <w:color w:val="auto"/>
          <w:szCs w:val="21"/>
          <w:highlight w:val="none"/>
          <w:lang w:eastAsia="zh-CN"/>
        </w:rPr>
        <w:t>参加验收</w:t>
      </w:r>
      <w:r>
        <w:rPr>
          <w:rFonts w:hint="eastAsia" w:ascii="宋体" w:hAnsi="宋体"/>
          <w:bCs/>
          <w:color w:val="auto"/>
          <w:szCs w:val="21"/>
          <w:highlight w:val="none"/>
        </w:rPr>
        <w:t>：</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 xml:space="preserve">是  </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否</w:t>
      </w:r>
    </w:p>
    <w:p w14:paraId="2ACC2BA1">
      <w:pPr>
        <w:adjustRightInd w:val="0"/>
        <w:snapToGrid w:val="0"/>
        <w:spacing w:before="0" w:beforeLines="0" w:line="400" w:lineRule="exact"/>
        <w:ind w:firstLine="840" w:firstLineChars="400"/>
        <w:rPr>
          <w:rFonts w:ascii="宋体" w:hAnsi="宋体"/>
          <w:bCs/>
          <w:color w:val="auto"/>
          <w:szCs w:val="21"/>
          <w:highlight w:val="none"/>
        </w:rPr>
      </w:pPr>
      <w:r>
        <w:rPr>
          <w:rFonts w:hint="eastAsia" w:ascii="宋体" w:hAnsi="宋体"/>
          <w:bCs/>
          <w:color w:val="auto"/>
          <w:szCs w:val="21"/>
          <w:highlight w:val="none"/>
        </w:rPr>
        <w:t>是否邀请服务对象</w:t>
      </w:r>
      <w:r>
        <w:rPr>
          <w:rFonts w:hint="eastAsia" w:ascii="宋体" w:hAnsi="宋体"/>
          <w:bCs/>
          <w:color w:val="auto"/>
          <w:szCs w:val="21"/>
          <w:highlight w:val="none"/>
          <w:lang w:eastAsia="zh-CN"/>
        </w:rPr>
        <w:t>参加验收</w:t>
      </w:r>
      <w:r>
        <w:rPr>
          <w:rFonts w:hint="eastAsia" w:ascii="宋体" w:hAnsi="宋体"/>
          <w:bCs/>
          <w:color w:val="auto"/>
          <w:szCs w:val="21"/>
          <w:highlight w:val="none"/>
        </w:rPr>
        <w:t>：</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 xml:space="preserve">是  </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否</w:t>
      </w:r>
    </w:p>
    <w:p w14:paraId="190BF0F4">
      <w:pPr>
        <w:adjustRightInd w:val="0"/>
        <w:snapToGrid w:val="0"/>
        <w:spacing w:before="0" w:beforeLines="0" w:line="400" w:lineRule="exact"/>
        <w:ind w:firstLine="840" w:firstLineChars="400"/>
        <w:rPr>
          <w:rFonts w:ascii="宋体" w:hAnsi="宋体"/>
          <w:bCs/>
          <w:color w:val="auto"/>
          <w:szCs w:val="21"/>
          <w:highlight w:val="none"/>
        </w:rPr>
      </w:pPr>
      <w:r>
        <w:rPr>
          <w:rFonts w:hint="eastAsia" w:ascii="宋体" w:hAnsi="宋体"/>
          <w:bCs/>
          <w:color w:val="auto"/>
          <w:szCs w:val="21"/>
          <w:highlight w:val="none"/>
        </w:rPr>
        <w:t>是否邀请第三方检测机构</w:t>
      </w:r>
      <w:r>
        <w:rPr>
          <w:rFonts w:hint="eastAsia" w:ascii="宋体" w:hAnsi="宋体"/>
          <w:bCs/>
          <w:color w:val="auto"/>
          <w:szCs w:val="21"/>
          <w:highlight w:val="none"/>
          <w:lang w:eastAsia="zh-CN"/>
        </w:rPr>
        <w:t>参加验收</w:t>
      </w:r>
      <w:r>
        <w:rPr>
          <w:rFonts w:hint="eastAsia" w:ascii="宋体" w:hAnsi="宋体"/>
          <w:bCs/>
          <w:color w:val="auto"/>
          <w:szCs w:val="21"/>
          <w:highlight w:val="none"/>
        </w:rPr>
        <w:t>：</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 xml:space="preserve">是  </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否</w:t>
      </w:r>
    </w:p>
    <w:p w14:paraId="7BC5961E">
      <w:pPr>
        <w:adjustRightInd w:val="0"/>
        <w:snapToGrid w:val="0"/>
        <w:spacing w:before="0" w:beforeLines="0" w:line="400" w:lineRule="exact"/>
        <w:ind w:firstLine="840" w:firstLineChars="400"/>
        <w:rPr>
          <w:rFonts w:hint="eastAsia" w:ascii="宋体" w:hAnsi="宋体"/>
          <w:bCs/>
          <w:color w:val="auto"/>
          <w:szCs w:val="21"/>
          <w:highlight w:val="none"/>
        </w:rPr>
      </w:pPr>
      <w:r>
        <w:rPr>
          <w:rFonts w:hint="eastAsia" w:ascii="宋体" w:hAnsi="宋体"/>
          <w:bCs/>
          <w:color w:val="auto"/>
          <w:szCs w:val="21"/>
          <w:highlight w:val="none"/>
          <w:lang w:eastAsia="zh-CN"/>
        </w:rPr>
        <w:t>是否进行抽查检测：</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是</w:t>
      </w:r>
      <w:r>
        <w:rPr>
          <w:rFonts w:hint="eastAsia" w:ascii="宋体" w:hAnsi="宋体"/>
          <w:bCs/>
          <w:color w:val="auto"/>
          <w:szCs w:val="21"/>
          <w:highlight w:val="none"/>
          <w:lang w:eastAsia="zh-CN"/>
        </w:rPr>
        <w:t>，抽查比例：</w:t>
      </w:r>
      <w:r>
        <w:rPr>
          <w:rFonts w:hint="eastAsia" w:ascii="宋体" w:hAnsi="宋体"/>
          <w:bCs/>
          <w:color w:val="auto"/>
          <w:szCs w:val="21"/>
          <w:highlight w:val="none"/>
          <w:u w:val="single"/>
        </w:rPr>
        <w:t xml:space="preserve">   </w:t>
      </w:r>
      <w:r>
        <w:rPr>
          <w:rFonts w:hint="eastAsia" w:ascii="宋体" w:hAnsi="宋体"/>
          <w:bCs/>
          <w:color w:val="auto"/>
          <w:szCs w:val="21"/>
          <w:highlight w:val="none"/>
          <w:u w:val="single"/>
          <w:lang w:val="en-US" w:eastAsia="zh-CN"/>
        </w:rPr>
        <w:t xml:space="preserve">     </w:t>
      </w:r>
      <w:r>
        <w:rPr>
          <w:rFonts w:hint="eastAsia" w:ascii="宋体" w:hAnsi="宋体"/>
          <w:bCs/>
          <w:color w:val="auto"/>
          <w:szCs w:val="21"/>
          <w:highlight w:val="none"/>
        </w:rPr>
        <w:t xml:space="preserve"> </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否</w:t>
      </w:r>
    </w:p>
    <w:p w14:paraId="5F3AAB4B">
      <w:pPr>
        <w:adjustRightInd w:val="0"/>
        <w:snapToGrid w:val="0"/>
        <w:spacing w:before="0" w:beforeLines="0" w:line="400" w:lineRule="exact"/>
        <w:ind w:firstLine="840" w:firstLineChars="400"/>
        <w:rPr>
          <w:rFonts w:hint="eastAsia" w:ascii="宋体" w:hAnsi="宋体" w:eastAsia="宋体"/>
          <w:bCs/>
          <w:color w:val="auto"/>
          <w:szCs w:val="21"/>
          <w:highlight w:val="none"/>
          <w:u w:val="single"/>
          <w:lang w:eastAsia="zh-CN"/>
        </w:rPr>
      </w:pPr>
      <w:r>
        <w:rPr>
          <w:rFonts w:hint="eastAsia" w:ascii="宋体" w:hAnsi="宋体" w:eastAsia="宋体"/>
          <w:bCs/>
          <w:color w:val="auto"/>
          <w:szCs w:val="21"/>
          <w:highlight w:val="none"/>
          <w:lang w:val="en-US" w:eastAsia="zh-CN"/>
        </w:rPr>
        <w:t>是否存在破坏性检测：</w:t>
      </w:r>
      <w:r>
        <w:rPr>
          <w:rFonts w:hint="eastAsia" w:ascii="宋体" w:hAnsi="宋体" w:eastAsia="宋体" w:cs="宋体"/>
          <w:color w:val="auto"/>
          <w:sz w:val="21"/>
          <w:szCs w:val="21"/>
          <w:highlight w:val="none"/>
        </w:rPr>
        <w:sym w:font="Wingdings" w:char="00A8"/>
      </w:r>
      <w:r>
        <w:rPr>
          <w:rFonts w:hint="eastAsia" w:ascii="宋体" w:hAnsi="宋体" w:eastAsia="宋体"/>
          <w:bCs/>
          <w:color w:val="auto"/>
          <w:szCs w:val="21"/>
          <w:highlight w:val="none"/>
        </w:rPr>
        <w:t>是</w:t>
      </w:r>
      <w:r>
        <w:rPr>
          <w:rFonts w:hint="eastAsia" w:ascii="宋体" w:hAnsi="宋体" w:eastAsia="宋体"/>
          <w:bCs/>
          <w:color w:val="auto"/>
          <w:szCs w:val="21"/>
          <w:highlight w:val="none"/>
          <w:lang w:eastAsia="zh-CN"/>
        </w:rPr>
        <w:t>，</w:t>
      </w:r>
      <w:r>
        <w:rPr>
          <w:rFonts w:hint="eastAsia" w:ascii="宋体" w:hAnsi="宋体" w:eastAsia="宋体"/>
          <w:bCs/>
          <w:color w:val="auto"/>
          <w:szCs w:val="21"/>
          <w:highlight w:val="none"/>
          <w:u w:val="single"/>
          <w:lang w:eastAsia="zh-CN"/>
        </w:rPr>
        <w:t>（应明确对被破坏的检测产品的处理方式）</w:t>
      </w:r>
    </w:p>
    <w:p w14:paraId="3B1081BA">
      <w:pPr>
        <w:adjustRightInd w:val="0"/>
        <w:snapToGrid w:val="0"/>
        <w:spacing w:before="0" w:beforeLines="0" w:line="400" w:lineRule="exact"/>
        <w:ind w:firstLine="840" w:firstLineChars="400"/>
        <w:rPr>
          <w:rFonts w:hint="eastAsia" w:ascii="宋体" w:hAnsi="宋体" w:eastAsia="宋体"/>
          <w:bCs/>
          <w:color w:val="auto"/>
          <w:szCs w:val="21"/>
          <w:highlight w:val="none"/>
          <w:lang w:eastAsia="zh-CN"/>
        </w:rPr>
      </w:pPr>
      <w:r>
        <w:rPr>
          <w:rFonts w:hint="eastAsia" w:ascii="宋体" w:hAnsi="宋体" w:eastAsia="宋体"/>
          <w:bCs/>
          <w:color w:val="auto"/>
          <w:szCs w:val="21"/>
          <w:highlight w:val="none"/>
          <w:lang w:val="en-US" w:eastAsia="zh-CN"/>
        </w:rPr>
        <w:t xml:space="preserve">                    </w:t>
      </w:r>
      <w:r>
        <w:rPr>
          <w:rFonts w:hint="eastAsia" w:ascii="宋体" w:hAnsi="宋体" w:eastAsia="宋体" w:cs="宋体"/>
          <w:color w:val="auto"/>
          <w:sz w:val="21"/>
          <w:szCs w:val="21"/>
          <w:highlight w:val="none"/>
        </w:rPr>
        <w:sym w:font="Wingdings" w:char="00A8"/>
      </w:r>
      <w:r>
        <w:rPr>
          <w:rFonts w:hint="eastAsia" w:ascii="宋体" w:hAnsi="宋体" w:eastAsia="宋体"/>
          <w:bCs/>
          <w:color w:val="auto"/>
          <w:szCs w:val="21"/>
          <w:highlight w:val="none"/>
        </w:rPr>
        <w:t>否</w:t>
      </w:r>
    </w:p>
    <w:p w14:paraId="3AC44B2A">
      <w:pPr>
        <w:adjustRightInd w:val="0"/>
        <w:snapToGrid w:val="0"/>
        <w:spacing w:before="0" w:beforeLines="0" w:line="400" w:lineRule="exact"/>
        <w:ind w:firstLine="840" w:firstLineChars="400"/>
        <w:rPr>
          <w:rFonts w:hint="eastAsia" w:ascii="宋体" w:hAnsi="宋体"/>
          <w:bCs/>
          <w:color w:val="auto"/>
          <w:szCs w:val="21"/>
          <w:highlight w:val="none"/>
          <w:u w:val="single"/>
        </w:rPr>
      </w:pPr>
      <w:r>
        <w:rPr>
          <w:rFonts w:hint="eastAsia" w:ascii="宋体" w:hAnsi="宋体"/>
          <w:bCs/>
          <w:color w:val="auto"/>
          <w:szCs w:val="21"/>
          <w:highlight w:val="none"/>
        </w:rPr>
        <w:t>验收组织的其他事项：</w:t>
      </w:r>
      <w:r>
        <w:rPr>
          <w:rFonts w:hint="eastAsia" w:ascii="宋体" w:hAnsi="宋体"/>
          <w:bCs/>
          <w:color w:val="auto"/>
          <w:szCs w:val="21"/>
          <w:highlight w:val="none"/>
          <w:u w:val="single"/>
        </w:rPr>
        <w:t xml:space="preserve">                </w:t>
      </w:r>
    </w:p>
    <w:p w14:paraId="5F0FA83F">
      <w:pPr>
        <w:adjustRightInd w:val="0"/>
        <w:snapToGrid w:val="0"/>
        <w:spacing w:before="0" w:beforeLines="0" w:line="400" w:lineRule="exact"/>
        <w:ind w:firstLine="420" w:firstLineChars="200"/>
        <w:rPr>
          <w:rFonts w:hint="eastAsia" w:ascii="宋体" w:hAnsi="宋体"/>
          <w:bCs/>
          <w:color w:val="auto"/>
          <w:szCs w:val="21"/>
          <w:highlight w:val="none"/>
          <w:u w:val="single"/>
        </w:rPr>
      </w:pPr>
      <w:r>
        <w:rPr>
          <w:rFonts w:hint="eastAsia" w:ascii="宋体" w:hAnsi="宋体"/>
          <w:bCs/>
          <w:color w:val="auto"/>
          <w:szCs w:val="21"/>
          <w:highlight w:val="none"/>
        </w:rPr>
        <w:t>（2）履约验收时间：</w:t>
      </w:r>
      <w:r>
        <w:rPr>
          <w:rFonts w:hint="eastAsia" w:ascii="宋体" w:hAnsi="宋体"/>
          <w:bCs/>
          <w:color w:val="auto"/>
          <w:szCs w:val="21"/>
          <w:highlight w:val="none"/>
          <w:u w:val="single"/>
        </w:rPr>
        <w:t>（计划于何时验收/供应商提出验收申请之日起   日内组织验收）</w:t>
      </w:r>
      <w:r>
        <w:rPr>
          <w:rFonts w:hint="eastAsia" w:ascii="宋体" w:hAnsi="宋体"/>
          <w:bCs/>
          <w:color w:val="auto"/>
          <w:szCs w:val="21"/>
          <w:highlight w:val="none"/>
          <w:u w:val="single"/>
          <w:lang w:val="en-US" w:eastAsia="zh-CN"/>
        </w:rPr>
        <w:t xml:space="preserve"> </w:t>
      </w:r>
    </w:p>
    <w:p w14:paraId="04E67115">
      <w:pPr>
        <w:adjustRightInd w:val="0"/>
        <w:snapToGrid w:val="0"/>
        <w:spacing w:before="0" w:beforeLines="0" w:line="400" w:lineRule="exact"/>
        <w:ind w:firstLine="420" w:firstLineChars="200"/>
        <w:rPr>
          <w:rFonts w:hint="eastAsia" w:ascii="宋体" w:hAnsi="宋体"/>
          <w:bCs/>
          <w:color w:val="auto"/>
          <w:szCs w:val="21"/>
          <w:highlight w:val="none"/>
        </w:rPr>
      </w:pPr>
      <w:r>
        <w:rPr>
          <w:rFonts w:hint="eastAsia" w:ascii="宋体" w:hAnsi="宋体"/>
          <w:bCs/>
          <w:color w:val="auto"/>
          <w:szCs w:val="21"/>
          <w:highlight w:val="none"/>
        </w:rPr>
        <w:t>（3）履约验收方式：</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 xml:space="preserve">一次性验收         </w:t>
      </w:r>
    </w:p>
    <w:p w14:paraId="243B7E28">
      <w:pPr>
        <w:adjustRightInd w:val="0"/>
        <w:snapToGrid w:val="0"/>
        <w:spacing w:before="0" w:beforeLines="0" w:line="400" w:lineRule="exact"/>
        <w:ind w:firstLine="0" w:firstLineChars="0"/>
        <w:rPr>
          <w:rFonts w:hint="eastAsia" w:ascii="宋体" w:hAnsi="宋体" w:eastAsia="宋体"/>
          <w:bCs/>
          <w:color w:val="auto"/>
          <w:szCs w:val="21"/>
          <w:highlight w:val="none"/>
          <w:lang w:val="en-US" w:eastAsia="zh-CN"/>
        </w:rPr>
      </w:pPr>
      <w:r>
        <w:rPr>
          <w:rFonts w:hint="eastAsia" w:ascii="宋体" w:hAnsi="宋体"/>
          <w:bCs/>
          <w:color w:val="auto"/>
          <w:szCs w:val="21"/>
          <w:highlight w:val="none"/>
          <w:lang w:val="en-US" w:eastAsia="zh-CN"/>
        </w:rPr>
        <w:t xml:space="preserve">                       </w:t>
      </w:r>
      <w:r>
        <w:rPr>
          <w:rFonts w:hint="eastAsia" w:ascii="宋体" w:hAnsi="宋体" w:eastAsia="宋体" w:cs="宋体"/>
          <w:color w:val="auto"/>
          <w:sz w:val="21"/>
          <w:szCs w:val="21"/>
          <w:highlight w:val="none"/>
        </w:rPr>
        <w:sym w:font="Wingdings" w:char="00A8"/>
      </w:r>
      <w:r>
        <w:rPr>
          <w:rFonts w:hint="eastAsia" w:ascii="宋体" w:hAnsi="宋体"/>
          <w:bCs/>
          <w:color w:val="auto"/>
          <w:szCs w:val="21"/>
          <w:highlight w:val="none"/>
        </w:rPr>
        <w:t>分期/分项验收</w:t>
      </w:r>
      <w:r>
        <w:rPr>
          <w:rFonts w:hint="eastAsia" w:ascii="宋体" w:hAnsi="宋体"/>
          <w:bCs/>
          <w:color w:val="auto"/>
          <w:szCs w:val="21"/>
          <w:highlight w:val="none"/>
          <w:lang w:eastAsia="zh-CN"/>
        </w:rPr>
        <w:t>：</w:t>
      </w:r>
      <w:r>
        <w:rPr>
          <w:rFonts w:hint="eastAsia" w:ascii="宋体" w:hAnsi="宋体"/>
          <w:bCs/>
          <w:color w:val="auto"/>
          <w:szCs w:val="21"/>
          <w:highlight w:val="none"/>
          <w:u w:val="single"/>
        </w:rPr>
        <w:t xml:space="preserve"> </w:t>
      </w:r>
      <w:r>
        <w:rPr>
          <w:rFonts w:hint="eastAsia" w:ascii="宋体" w:hAnsi="宋体"/>
          <w:bCs/>
          <w:color w:val="auto"/>
          <w:szCs w:val="21"/>
          <w:highlight w:val="none"/>
          <w:u w:val="single"/>
          <w:lang w:eastAsia="zh-CN"/>
        </w:rPr>
        <w:t>（应明确分期</w:t>
      </w:r>
      <w:r>
        <w:rPr>
          <w:rFonts w:hint="default" w:ascii="宋体" w:hAnsi="宋体"/>
          <w:bCs/>
          <w:color w:val="auto"/>
          <w:szCs w:val="21"/>
          <w:highlight w:val="none"/>
          <w:u w:val="single"/>
          <w:lang w:val="en" w:eastAsia="zh-CN"/>
        </w:rPr>
        <w:t>/</w:t>
      </w:r>
      <w:r>
        <w:rPr>
          <w:rFonts w:hint="eastAsia" w:ascii="宋体" w:hAnsi="宋体"/>
          <w:bCs/>
          <w:color w:val="auto"/>
          <w:szCs w:val="21"/>
          <w:highlight w:val="none"/>
          <w:u w:val="single"/>
          <w:lang w:val="en" w:eastAsia="zh-CN"/>
        </w:rPr>
        <w:t>分项验收的工作安排</w:t>
      </w:r>
      <w:r>
        <w:rPr>
          <w:rFonts w:hint="eastAsia" w:ascii="宋体" w:hAnsi="宋体"/>
          <w:bCs/>
          <w:color w:val="auto"/>
          <w:szCs w:val="21"/>
          <w:highlight w:val="none"/>
          <w:u w:val="single"/>
          <w:lang w:eastAsia="zh-CN"/>
        </w:rPr>
        <w:t>）</w:t>
      </w:r>
      <w:r>
        <w:rPr>
          <w:rFonts w:hint="eastAsia" w:ascii="宋体" w:hAnsi="宋体"/>
          <w:bCs/>
          <w:color w:val="auto"/>
          <w:szCs w:val="21"/>
          <w:highlight w:val="none"/>
          <w:u w:val="single"/>
        </w:rPr>
        <w:t xml:space="preserve"> </w:t>
      </w:r>
      <w:r>
        <w:rPr>
          <w:rFonts w:hint="eastAsia" w:ascii="宋体" w:hAnsi="宋体"/>
          <w:bCs/>
          <w:color w:val="auto"/>
          <w:szCs w:val="21"/>
          <w:highlight w:val="none"/>
          <w:u w:val="single"/>
          <w:lang w:val="en-US" w:eastAsia="zh-CN"/>
        </w:rPr>
        <w:t xml:space="preserve"> </w:t>
      </w:r>
    </w:p>
    <w:p w14:paraId="0C985063">
      <w:pPr>
        <w:adjustRightInd w:val="0"/>
        <w:snapToGrid w:val="0"/>
        <w:spacing w:before="0" w:beforeLines="0" w:line="400" w:lineRule="exact"/>
        <w:ind w:firstLine="420" w:firstLineChars="200"/>
        <w:rPr>
          <w:rFonts w:ascii="宋体" w:hAnsi="宋体"/>
          <w:bCs/>
          <w:color w:val="auto"/>
          <w:szCs w:val="21"/>
          <w:highlight w:val="none"/>
        </w:rPr>
      </w:pPr>
      <w:r>
        <w:rPr>
          <w:rFonts w:hint="eastAsia" w:ascii="宋体" w:hAnsi="宋体"/>
          <w:bCs/>
          <w:color w:val="auto"/>
          <w:szCs w:val="21"/>
          <w:highlight w:val="none"/>
        </w:rPr>
        <w:t>（4）履约验收程序：</w:t>
      </w:r>
      <w:r>
        <w:rPr>
          <w:rFonts w:hint="eastAsia" w:ascii="宋体" w:hAnsi="宋体"/>
          <w:bCs/>
          <w:color w:val="auto"/>
          <w:szCs w:val="21"/>
          <w:highlight w:val="none"/>
          <w:u w:val="single"/>
        </w:rPr>
        <w:t xml:space="preserve">                                         </w:t>
      </w:r>
    </w:p>
    <w:p w14:paraId="4AFE7DF6">
      <w:pPr>
        <w:adjustRightInd w:val="0"/>
        <w:snapToGrid w:val="0"/>
        <w:spacing w:before="0" w:beforeLines="0" w:line="400" w:lineRule="exact"/>
        <w:ind w:firstLine="420" w:firstLineChars="200"/>
        <w:rPr>
          <w:rFonts w:ascii="宋体" w:hAnsi="宋体"/>
          <w:bCs/>
          <w:color w:val="auto"/>
          <w:szCs w:val="21"/>
          <w:highlight w:val="none"/>
          <w:u w:val="single"/>
        </w:rPr>
      </w:pPr>
      <w:r>
        <w:rPr>
          <w:rFonts w:hint="eastAsia" w:ascii="宋体" w:hAnsi="宋体"/>
          <w:bCs/>
          <w:color w:val="auto"/>
          <w:szCs w:val="21"/>
          <w:highlight w:val="none"/>
        </w:rPr>
        <w:t>（5）履约验收的内容：</w:t>
      </w:r>
      <w:r>
        <w:rPr>
          <w:rFonts w:hint="eastAsia" w:ascii="宋体" w:hAnsi="宋体"/>
          <w:bCs/>
          <w:color w:val="auto"/>
          <w:szCs w:val="21"/>
          <w:highlight w:val="none"/>
          <w:u w:val="single"/>
        </w:rPr>
        <w:t xml:space="preserve"> </w:t>
      </w:r>
      <w:r>
        <w:rPr>
          <w:rFonts w:hint="eastAsia" w:ascii="宋体" w:hAnsi="宋体"/>
          <w:bCs/>
          <w:color w:val="auto"/>
          <w:szCs w:val="21"/>
          <w:highlight w:val="none"/>
          <w:u w:val="single"/>
          <w:lang w:eastAsia="zh-CN"/>
        </w:rPr>
        <w:t>（应当包括每一项技术和商务要求的履约情况，特别是落实政府采购扶持中小企业，支持绿色发展和乡村振兴等政策情况）</w:t>
      </w:r>
      <w:r>
        <w:rPr>
          <w:rFonts w:hint="eastAsia" w:ascii="宋体" w:hAnsi="宋体"/>
          <w:bCs/>
          <w:color w:val="auto"/>
          <w:szCs w:val="21"/>
          <w:highlight w:val="none"/>
          <w:u w:val="single"/>
        </w:rPr>
        <w:t xml:space="preserve">                                      </w:t>
      </w:r>
    </w:p>
    <w:p w14:paraId="408FFC0D">
      <w:pPr>
        <w:adjustRightInd w:val="0"/>
        <w:snapToGrid w:val="0"/>
        <w:spacing w:before="0" w:beforeLines="0" w:line="400" w:lineRule="exact"/>
        <w:ind w:firstLine="420" w:firstLineChars="200"/>
        <w:rPr>
          <w:rFonts w:hint="eastAsia" w:ascii="宋体" w:hAnsi="宋体"/>
          <w:bCs/>
          <w:color w:val="auto"/>
          <w:szCs w:val="21"/>
          <w:highlight w:val="none"/>
          <w:u w:val="single"/>
        </w:rPr>
      </w:pPr>
      <w:r>
        <w:rPr>
          <w:rFonts w:hint="eastAsia" w:ascii="宋体" w:hAnsi="宋体"/>
          <w:bCs/>
          <w:color w:val="auto"/>
          <w:szCs w:val="21"/>
          <w:highlight w:val="none"/>
        </w:rPr>
        <w:t>（6）履约验收标准：</w:t>
      </w:r>
      <w:r>
        <w:rPr>
          <w:rFonts w:hint="eastAsia" w:ascii="宋体" w:hAnsi="宋体"/>
          <w:bCs/>
          <w:color w:val="auto"/>
          <w:szCs w:val="21"/>
          <w:highlight w:val="none"/>
          <w:u w:val="single"/>
        </w:rPr>
        <w:t xml:space="preserve">                                         </w:t>
      </w:r>
    </w:p>
    <w:p w14:paraId="6823D19E">
      <w:pPr>
        <w:pStyle w:val="29"/>
        <w:spacing w:beforeLines="0"/>
        <w:rPr>
          <w:rFonts w:hint="eastAsia" w:ascii="宋体" w:hAnsi="宋体" w:eastAsia="宋体" w:cs="宋体"/>
          <w:color w:val="auto"/>
          <w:sz w:val="21"/>
          <w:highlight w:val="none"/>
          <w:lang w:eastAsia="zh-CN"/>
        </w:rPr>
      </w:pPr>
      <w:r>
        <w:rPr>
          <w:rFonts w:hint="eastAsia" w:ascii="宋体" w:hAnsi="宋体" w:eastAsia="宋体" w:cs="宋体"/>
          <w:bCs/>
          <w:color w:val="auto"/>
          <w:sz w:val="21"/>
          <w:szCs w:val="21"/>
          <w:highlight w:val="none"/>
          <w:u w:val="none"/>
          <w:lang w:eastAsia="zh-CN"/>
        </w:rPr>
        <w:t>（</w:t>
      </w:r>
      <w:r>
        <w:rPr>
          <w:rFonts w:hint="eastAsia" w:ascii="宋体" w:hAnsi="宋体" w:eastAsia="宋体" w:cs="宋体"/>
          <w:bCs/>
          <w:color w:val="auto"/>
          <w:sz w:val="21"/>
          <w:szCs w:val="21"/>
          <w:highlight w:val="none"/>
          <w:u w:val="none"/>
          <w:lang w:val="en-US" w:eastAsia="zh-CN"/>
        </w:rPr>
        <w:t>7</w:t>
      </w:r>
      <w:r>
        <w:rPr>
          <w:rFonts w:hint="eastAsia" w:ascii="宋体" w:hAnsi="宋体" w:eastAsia="宋体" w:cs="宋体"/>
          <w:bCs/>
          <w:color w:val="auto"/>
          <w:sz w:val="21"/>
          <w:szCs w:val="21"/>
          <w:highlight w:val="none"/>
          <w:u w:val="none"/>
          <w:lang w:eastAsia="zh-CN"/>
        </w:rPr>
        <w:t>）是否以采购活动中供应商提供的样品作为参考：</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 xml:space="preserve">是  </w:t>
      </w:r>
      <w:r>
        <w:rPr>
          <w:rFonts w:hint="eastAsia" w:ascii="宋体" w:hAnsi="宋体" w:eastAsia="宋体" w:cs="宋体"/>
          <w:color w:val="auto"/>
          <w:sz w:val="21"/>
          <w:szCs w:val="21"/>
          <w:highlight w:val="none"/>
        </w:rPr>
        <w:sym w:font="Wingdings" w:char="00A8"/>
      </w:r>
      <w:r>
        <w:rPr>
          <w:rFonts w:hint="eastAsia" w:ascii="宋体" w:hAnsi="宋体" w:eastAsia="宋体" w:cs="宋体"/>
          <w:bCs/>
          <w:color w:val="auto"/>
          <w:sz w:val="21"/>
          <w:szCs w:val="21"/>
          <w:highlight w:val="none"/>
        </w:rPr>
        <w:t>否</w:t>
      </w:r>
    </w:p>
    <w:p w14:paraId="57BDEC47">
      <w:pPr>
        <w:adjustRightInd w:val="0"/>
        <w:snapToGrid w:val="0"/>
        <w:spacing w:before="0" w:beforeLines="0" w:line="400" w:lineRule="exact"/>
        <w:ind w:firstLine="420" w:firstLineChars="200"/>
        <w:rPr>
          <w:rFonts w:hint="eastAsia" w:ascii="宋体" w:hAnsi="宋体" w:cs="宋体"/>
          <w:bCs/>
          <w:color w:val="auto"/>
          <w:szCs w:val="21"/>
          <w:highlight w:val="none"/>
          <w:u w:val="single"/>
        </w:rPr>
      </w:pPr>
      <w:r>
        <w:rPr>
          <w:rFonts w:hint="eastAsia" w:ascii="宋体" w:hAnsi="宋体" w:cs="宋体"/>
          <w:bCs/>
          <w:color w:val="auto"/>
          <w:szCs w:val="21"/>
          <w:highlight w:val="none"/>
        </w:rPr>
        <w:t>（8）履约验收其他事项：</w:t>
      </w:r>
      <w:r>
        <w:rPr>
          <w:rFonts w:hint="eastAsia" w:ascii="宋体" w:hAnsi="宋体" w:cs="宋体"/>
          <w:bCs/>
          <w:color w:val="auto"/>
          <w:szCs w:val="21"/>
          <w:highlight w:val="none"/>
          <w:u w:val="single"/>
        </w:rPr>
        <w:t xml:space="preserve">      </w:t>
      </w:r>
      <w:r>
        <w:rPr>
          <w:rFonts w:hint="eastAsia" w:ascii="宋体" w:hAnsi="宋体" w:cs="宋体"/>
          <w:bCs/>
          <w:i w:val="0"/>
          <w:iCs w:val="0"/>
          <w:color w:val="auto"/>
          <w:szCs w:val="21"/>
          <w:highlight w:val="none"/>
          <w:u w:val="single"/>
        </w:rPr>
        <w:t>（产权过户登记等）</w:t>
      </w:r>
      <w:r>
        <w:rPr>
          <w:rFonts w:hint="eastAsia" w:ascii="宋体" w:hAnsi="宋体" w:cs="宋体"/>
          <w:bCs/>
          <w:color w:val="auto"/>
          <w:szCs w:val="21"/>
          <w:highlight w:val="none"/>
          <w:u w:val="single"/>
        </w:rPr>
        <w:t xml:space="preserve">          </w:t>
      </w:r>
    </w:p>
    <w:p w14:paraId="267635A5">
      <w:pPr>
        <w:numPr>
          <w:ilvl w:val="0"/>
          <w:numId w:val="11"/>
        </w:numPr>
        <w:adjustRightInd w:val="0"/>
        <w:snapToGrid w:val="0"/>
        <w:spacing w:before="0" w:beforeLines="0" w:line="40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组成合同的文件</w:t>
      </w:r>
    </w:p>
    <w:p w14:paraId="01FF4BE2">
      <w:pPr>
        <w:adjustRightInd w:val="0"/>
        <w:snapToGrid w:val="0"/>
        <w:spacing w:before="0" w:beforeLines="0" w:line="400" w:lineRule="exact"/>
        <w:ind w:firstLine="420" w:firstLineChars="200"/>
        <w:rPr>
          <w:rFonts w:ascii="宋体" w:hAnsi="宋体"/>
          <w:color w:val="auto"/>
          <w:szCs w:val="21"/>
          <w:highlight w:val="none"/>
        </w:rPr>
      </w:pPr>
      <w:r>
        <w:rPr>
          <w:rFonts w:hint="eastAsia" w:ascii="宋体" w:hAnsi="宋体"/>
          <w:color w:val="auto"/>
          <w:szCs w:val="21"/>
          <w:highlight w:val="none"/>
        </w:rPr>
        <w:t>本协议书与下列文件一起构成合同文件，如下述文件之间有任何抵触、矛盾或歧义，应按以下顺序解释：</w:t>
      </w:r>
    </w:p>
    <w:p w14:paraId="394E096F">
      <w:pPr>
        <w:adjustRightInd w:val="0"/>
        <w:snapToGrid w:val="0"/>
        <w:spacing w:before="0" w:beforeLines="0" w:line="400" w:lineRule="exact"/>
        <w:ind w:firstLine="420" w:firstLineChars="200"/>
        <w:rPr>
          <w:rFonts w:hint="eastAsia" w:ascii="宋体" w:hAnsi="宋体"/>
          <w:color w:val="auto"/>
          <w:szCs w:val="21"/>
          <w:highlight w:val="none"/>
          <w:lang w:eastAsia="zh-CN"/>
        </w:rPr>
      </w:pPr>
      <w:r>
        <w:rPr>
          <w:rFonts w:hint="eastAsia" w:ascii="宋体" w:hAnsi="宋体"/>
          <w:color w:val="auto"/>
          <w:szCs w:val="21"/>
          <w:highlight w:val="none"/>
        </w:rPr>
        <w:t>（1）</w:t>
      </w:r>
      <w:r>
        <w:rPr>
          <w:rFonts w:hint="eastAsia" w:ascii="宋体" w:hAnsi="宋体"/>
          <w:color w:val="auto"/>
          <w:szCs w:val="21"/>
          <w:highlight w:val="none"/>
          <w:lang w:eastAsia="zh-CN"/>
        </w:rPr>
        <w:t>政府采购</w:t>
      </w:r>
      <w:r>
        <w:rPr>
          <w:rFonts w:hint="eastAsia" w:ascii="宋体" w:hAnsi="宋体"/>
          <w:color w:val="auto"/>
          <w:szCs w:val="21"/>
          <w:highlight w:val="none"/>
        </w:rPr>
        <w:t>合同协议书及其变更、补充</w:t>
      </w:r>
      <w:r>
        <w:rPr>
          <w:rFonts w:hint="eastAsia" w:ascii="宋体" w:hAnsi="宋体"/>
          <w:color w:val="auto"/>
          <w:szCs w:val="21"/>
          <w:highlight w:val="none"/>
          <w:lang w:eastAsia="zh-CN"/>
        </w:rPr>
        <w:t>协议</w:t>
      </w:r>
    </w:p>
    <w:p w14:paraId="6327F98F">
      <w:pPr>
        <w:adjustRightInd w:val="0"/>
        <w:snapToGrid w:val="0"/>
        <w:spacing w:before="0" w:beforeLines="0" w:line="40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）政府采购合同专用条款</w:t>
      </w:r>
    </w:p>
    <w:p w14:paraId="68C8A13B">
      <w:pPr>
        <w:adjustRightInd w:val="0"/>
        <w:snapToGrid w:val="0"/>
        <w:spacing w:before="0" w:beforeLines="0" w:line="40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）政府采购合同通用条款</w:t>
      </w:r>
    </w:p>
    <w:p w14:paraId="03CD3FFC">
      <w:pPr>
        <w:adjustRightInd w:val="0"/>
        <w:snapToGrid w:val="0"/>
        <w:spacing w:before="0" w:beforeLines="0" w:line="40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）中标</w:t>
      </w:r>
      <w:r>
        <w:rPr>
          <w:rFonts w:hint="eastAsia" w:ascii="宋体" w:hAnsi="宋体"/>
          <w:color w:val="auto"/>
          <w:szCs w:val="21"/>
          <w:highlight w:val="none"/>
          <w:lang w:eastAsia="zh-CN"/>
        </w:rPr>
        <w:t>（成交）</w:t>
      </w:r>
      <w:r>
        <w:rPr>
          <w:rFonts w:hint="eastAsia" w:ascii="宋体" w:hAnsi="宋体"/>
          <w:color w:val="auto"/>
          <w:szCs w:val="21"/>
          <w:highlight w:val="none"/>
        </w:rPr>
        <w:t>通知书</w:t>
      </w:r>
    </w:p>
    <w:p w14:paraId="3416DB30">
      <w:pPr>
        <w:adjustRightInd w:val="0"/>
        <w:snapToGrid w:val="0"/>
        <w:spacing w:before="0" w:beforeLines="0" w:line="40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5</w:t>
      </w:r>
      <w:r>
        <w:rPr>
          <w:rFonts w:hint="eastAsia" w:ascii="宋体" w:hAnsi="宋体"/>
          <w:color w:val="auto"/>
          <w:szCs w:val="21"/>
          <w:highlight w:val="none"/>
        </w:rPr>
        <w:t>）投标（响应）文件</w:t>
      </w:r>
    </w:p>
    <w:p w14:paraId="02366504">
      <w:pPr>
        <w:adjustRightInd w:val="0"/>
        <w:snapToGrid w:val="0"/>
        <w:spacing w:before="0" w:beforeLines="0" w:line="400" w:lineRule="exact"/>
        <w:ind w:firstLine="420" w:firstLineChars="200"/>
        <w:rPr>
          <w:rFonts w:ascii="宋体" w:hAnsi="宋体"/>
          <w:color w:val="auto"/>
          <w:szCs w:val="21"/>
          <w:highlight w:val="none"/>
        </w:rPr>
      </w:pPr>
      <w:r>
        <w:rPr>
          <w:rFonts w:hint="eastAsia" w:ascii="宋体" w:hAnsi="宋体"/>
          <w:color w:val="auto"/>
          <w:szCs w:val="21"/>
          <w:highlight w:val="none"/>
        </w:rPr>
        <w:t>（6）采购文件</w:t>
      </w:r>
    </w:p>
    <w:p w14:paraId="5BD782DC">
      <w:pPr>
        <w:adjustRightInd w:val="0"/>
        <w:snapToGrid w:val="0"/>
        <w:spacing w:before="0" w:beforeLines="0" w:line="400" w:lineRule="exact"/>
        <w:ind w:firstLine="420" w:firstLineChars="200"/>
        <w:rPr>
          <w:rFonts w:ascii="宋体" w:hAnsi="宋体"/>
          <w:color w:val="auto"/>
          <w:szCs w:val="21"/>
          <w:highlight w:val="none"/>
        </w:rPr>
      </w:pPr>
      <w:r>
        <w:rPr>
          <w:rFonts w:hint="eastAsia" w:ascii="宋体" w:hAnsi="宋体"/>
          <w:color w:val="auto"/>
          <w:szCs w:val="21"/>
          <w:highlight w:val="none"/>
        </w:rPr>
        <w:t>（7）有关技术文件，图纸</w:t>
      </w:r>
    </w:p>
    <w:p w14:paraId="16D620E0">
      <w:pPr>
        <w:pStyle w:val="29"/>
        <w:spacing w:beforeLines="0"/>
        <w:rPr>
          <w:rFonts w:hint="eastAsia" w:ascii="宋体" w:hAnsi="宋体" w:eastAsia="宋体" w:cs="宋体"/>
          <w:color w:val="auto"/>
          <w:kern w:val="2"/>
          <w:sz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lang w:eastAsia="zh-CN"/>
        </w:rPr>
        <w:t>）</w:t>
      </w:r>
      <w:r>
        <w:rPr>
          <w:rFonts w:hint="eastAsia" w:ascii="宋体" w:hAnsi="宋体" w:eastAsia="宋体" w:cs="宋体"/>
          <w:bCs w:val="0"/>
          <w:color w:val="auto"/>
          <w:kern w:val="2"/>
          <w:sz w:val="21"/>
          <w:szCs w:val="21"/>
          <w:highlight w:val="none"/>
          <w:lang w:eastAsia="zh-CN"/>
        </w:rPr>
        <w:t>国家法律、行政法规和规章制度规定或合同约定的作为合同组成部分的其他文件</w:t>
      </w:r>
    </w:p>
    <w:p w14:paraId="583C90E2">
      <w:pPr>
        <w:numPr>
          <w:ilvl w:val="0"/>
          <w:numId w:val="11"/>
        </w:numPr>
        <w:adjustRightInd w:val="0"/>
        <w:snapToGrid w:val="0"/>
        <w:spacing w:before="0" w:beforeLines="0" w:line="40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合同生效</w:t>
      </w:r>
    </w:p>
    <w:p w14:paraId="497D3F16">
      <w:pPr>
        <w:adjustRightInd w:val="0"/>
        <w:snapToGrid w:val="0"/>
        <w:spacing w:before="0" w:beforeLines="0" w:line="400" w:lineRule="exact"/>
        <w:ind w:firstLine="420" w:firstLineChars="200"/>
        <w:rPr>
          <w:rFonts w:ascii="宋体" w:hAnsi="宋体"/>
          <w:color w:val="auto"/>
          <w:szCs w:val="21"/>
          <w:highlight w:val="none"/>
        </w:rPr>
      </w:pPr>
      <w:r>
        <w:rPr>
          <w:rFonts w:hint="eastAsia" w:ascii="宋体" w:hAnsi="宋体"/>
          <w:color w:val="auto"/>
          <w:szCs w:val="21"/>
          <w:highlight w:val="none"/>
        </w:rPr>
        <w:t>本合同自</w:t>
      </w:r>
      <w:r>
        <w:rPr>
          <w:rFonts w:hint="eastAsia" w:ascii="宋体" w:hAnsi="宋体"/>
          <w:color w:val="auto"/>
          <w:szCs w:val="21"/>
          <w:highlight w:val="none"/>
          <w:u w:val="single"/>
        </w:rPr>
        <w:t xml:space="preserve">                             </w:t>
      </w:r>
      <w:r>
        <w:rPr>
          <w:rFonts w:hint="eastAsia" w:ascii="宋体" w:hAnsi="宋体"/>
          <w:color w:val="auto"/>
          <w:szCs w:val="21"/>
          <w:highlight w:val="none"/>
        </w:rPr>
        <w:t>生效。</w:t>
      </w:r>
    </w:p>
    <w:p w14:paraId="383A7A93">
      <w:pPr>
        <w:numPr>
          <w:ilvl w:val="0"/>
          <w:numId w:val="11"/>
        </w:numPr>
        <w:adjustRightInd w:val="0"/>
        <w:snapToGrid w:val="0"/>
        <w:spacing w:before="0" w:beforeLines="0" w:line="40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合同份数</w:t>
      </w:r>
    </w:p>
    <w:p w14:paraId="5CA7F76E">
      <w:pPr>
        <w:adjustRightInd w:val="0"/>
        <w:snapToGrid w:val="0"/>
        <w:spacing w:before="0" w:beforeLines="0" w:line="400" w:lineRule="exact"/>
        <w:ind w:firstLine="420" w:firstLineChars="200"/>
        <w:rPr>
          <w:rFonts w:ascii="宋体" w:hAnsi="宋体"/>
          <w:color w:val="auto"/>
          <w:szCs w:val="21"/>
          <w:highlight w:val="none"/>
        </w:rPr>
      </w:pPr>
      <w:r>
        <w:rPr>
          <w:rFonts w:hint="eastAsia" w:ascii="宋体" w:hAnsi="宋体"/>
          <w:color w:val="auto"/>
          <w:szCs w:val="21"/>
          <w:highlight w:val="none"/>
        </w:rPr>
        <w:t>本合同一式</w:t>
      </w:r>
      <w:r>
        <w:rPr>
          <w:rFonts w:hint="eastAsia" w:ascii="宋体" w:hAnsi="宋体"/>
          <w:color w:val="auto"/>
          <w:szCs w:val="21"/>
          <w:highlight w:val="none"/>
          <w:u w:val="single"/>
        </w:rPr>
        <w:t xml:space="preserve">    </w:t>
      </w:r>
      <w:r>
        <w:rPr>
          <w:rFonts w:hint="eastAsia" w:ascii="宋体" w:hAnsi="宋体"/>
          <w:color w:val="auto"/>
          <w:szCs w:val="21"/>
          <w:highlight w:val="none"/>
        </w:rPr>
        <w:t>份，</w:t>
      </w:r>
      <w:r>
        <w:rPr>
          <w:rFonts w:hint="eastAsia" w:ascii="宋体" w:hAnsi="宋体"/>
          <w:color w:val="auto"/>
          <w:szCs w:val="21"/>
          <w:highlight w:val="none"/>
          <w:lang w:eastAsia="zh-CN"/>
        </w:rPr>
        <w:t>甲方</w:t>
      </w:r>
      <w:r>
        <w:rPr>
          <w:rFonts w:hint="eastAsia" w:ascii="宋体" w:hAnsi="宋体"/>
          <w:color w:val="auto"/>
          <w:szCs w:val="21"/>
          <w:highlight w:val="none"/>
        </w:rPr>
        <w:t>执</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份，</w:t>
      </w:r>
      <w:r>
        <w:rPr>
          <w:rFonts w:hint="eastAsia" w:ascii="宋体" w:hAnsi="宋体"/>
          <w:color w:val="auto"/>
          <w:szCs w:val="21"/>
          <w:highlight w:val="none"/>
          <w:lang w:eastAsia="zh-CN"/>
        </w:rPr>
        <w:t>乙方</w:t>
      </w:r>
      <w:r>
        <w:rPr>
          <w:rFonts w:hint="eastAsia" w:ascii="宋体" w:hAnsi="宋体"/>
          <w:color w:val="auto"/>
          <w:szCs w:val="21"/>
          <w:highlight w:val="none"/>
        </w:rPr>
        <w:t>执</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份，均具有同等法律效力。</w:t>
      </w:r>
    </w:p>
    <w:p w14:paraId="404E53EA">
      <w:pPr>
        <w:adjustRightInd w:val="0"/>
        <w:snapToGrid w:val="0"/>
        <w:spacing w:before="0" w:beforeLines="0" w:line="400" w:lineRule="exact"/>
        <w:ind w:firstLine="420" w:firstLineChars="200"/>
        <w:rPr>
          <w:rFonts w:ascii="宋体" w:hAnsi="宋体"/>
          <w:color w:val="auto"/>
          <w:szCs w:val="21"/>
          <w:highlight w:val="none"/>
        </w:rPr>
      </w:pPr>
      <w:r>
        <w:rPr>
          <w:rFonts w:hint="eastAsia" w:ascii="宋体" w:hAnsi="宋体"/>
          <w:color w:val="auto"/>
          <w:szCs w:val="21"/>
          <w:highlight w:val="none"/>
        </w:rPr>
        <w:t>合同订立时间：</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2DBF87B6">
      <w:pPr>
        <w:adjustRightInd w:val="0"/>
        <w:snapToGrid w:val="0"/>
        <w:spacing w:before="0" w:beforeLines="0" w:line="400" w:lineRule="exact"/>
        <w:ind w:firstLine="420" w:firstLineChars="200"/>
        <w:rPr>
          <w:rFonts w:ascii="宋体" w:hAnsi="宋体"/>
          <w:color w:val="auto"/>
          <w:szCs w:val="21"/>
          <w:highlight w:val="none"/>
        </w:rPr>
      </w:pPr>
      <w:r>
        <w:rPr>
          <w:rFonts w:hint="eastAsia" w:ascii="宋体" w:hAnsi="宋体"/>
          <w:color w:val="auto"/>
          <w:szCs w:val="21"/>
          <w:highlight w:val="none"/>
        </w:rPr>
        <w:t>合同订立地点：</w:t>
      </w:r>
      <w:r>
        <w:rPr>
          <w:rFonts w:hint="eastAsia" w:ascii="宋体" w:hAnsi="宋体"/>
          <w:color w:val="auto"/>
          <w:szCs w:val="21"/>
          <w:highlight w:val="none"/>
          <w:u w:val="single"/>
        </w:rPr>
        <w:t xml:space="preserve">                           </w:t>
      </w:r>
    </w:p>
    <w:p w14:paraId="64F75770">
      <w:pPr>
        <w:adjustRightInd w:val="0"/>
        <w:snapToGrid w:val="0"/>
        <w:spacing w:before="0" w:beforeLines="0" w:line="400" w:lineRule="exact"/>
        <w:ind w:firstLine="420" w:firstLineChars="200"/>
        <w:rPr>
          <w:color w:val="auto"/>
          <w:highlight w:val="none"/>
        </w:rPr>
      </w:pPr>
      <w:r>
        <w:rPr>
          <w:rFonts w:hint="eastAsia" w:ascii="宋体" w:hAnsi="宋体"/>
          <w:color w:val="auto"/>
          <w:szCs w:val="21"/>
          <w:highlight w:val="none"/>
        </w:rPr>
        <w:t>附件：具体标</w:t>
      </w:r>
      <w:r>
        <w:rPr>
          <w:rFonts w:hint="eastAsia" w:ascii="宋体" w:hAnsi="宋体"/>
          <w:color w:val="auto"/>
          <w:szCs w:val="21"/>
          <w:highlight w:val="none"/>
          <w:lang w:eastAsia="zh-CN"/>
        </w:rPr>
        <w:t>的及其</w:t>
      </w:r>
      <w:r>
        <w:rPr>
          <w:rFonts w:hint="eastAsia" w:ascii="宋体" w:hAnsi="宋体"/>
          <w:color w:val="auto"/>
          <w:szCs w:val="21"/>
          <w:highlight w:val="none"/>
          <w:u w:val="none"/>
          <w:lang w:val="en-US" w:eastAsia="zh-CN"/>
        </w:rPr>
        <w:t>技术要求和商务要求</w:t>
      </w:r>
      <w:r>
        <w:rPr>
          <w:rFonts w:hint="eastAsia" w:ascii="宋体" w:hAnsi="宋体"/>
          <w:color w:val="auto"/>
          <w:szCs w:val="21"/>
          <w:highlight w:val="none"/>
        </w:rPr>
        <w:t>、联合协议、分包</w:t>
      </w:r>
      <w:r>
        <w:rPr>
          <w:rFonts w:hint="eastAsia" w:ascii="宋体" w:hAnsi="宋体"/>
          <w:color w:val="auto"/>
          <w:szCs w:val="21"/>
          <w:highlight w:val="none"/>
          <w:lang w:eastAsia="zh-CN"/>
        </w:rPr>
        <w:t>意向</w:t>
      </w:r>
      <w:r>
        <w:rPr>
          <w:rFonts w:hint="eastAsia" w:ascii="宋体" w:hAnsi="宋体"/>
          <w:color w:val="auto"/>
          <w:szCs w:val="21"/>
          <w:highlight w:val="none"/>
        </w:rPr>
        <w:t>协议等。</w:t>
      </w:r>
    </w:p>
    <w:p w14:paraId="3587BC8C">
      <w:pPr>
        <w:pStyle w:val="91"/>
        <w:spacing w:beforeLines="0" w:line="400" w:lineRule="exact"/>
        <w:rPr>
          <w:color w:val="auto"/>
          <w:highlight w:val="none"/>
        </w:rPr>
      </w:pPr>
    </w:p>
    <w:p w14:paraId="4368076C">
      <w:pPr>
        <w:pStyle w:val="3"/>
        <w:spacing w:beforeLines="0" w:line="400" w:lineRule="exact"/>
        <w:rPr>
          <w:rFonts w:hint="eastAsia" w:ascii="宋体" w:hAnsi="宋体" w:cs="Times New Roman"/>
          <w:b w:val="0"/>
          <w:bCs w:val="0"/>
          <w:color w:val="auto"/>
          <w:sz w:val="21"/>
          <w:szCs w:val="21"/>
          <w:highlight w:val="none"/>
          <w:lang w:val="en-US" w:eastAsia="zh-CN"/>
        </w:rPr>
      </w:pPr>
      <w:r>
        <w:rPr>
          <w:rFonts w:hint="default"/>
          <w:color w:val="auto"/>
          <w:highlight w:val="none"/>
          <w:lang w:val="en"/>
        </w:rPr>
        <w:t xml:space="preserve">   </w:t>
      </w:r>
    </w:p>
    <w:p w14:paraId="0B21B99A">
      <w:pPr>
        <w:rPr>
          <w:rFonts w:hint="eastAsia"/>
          <w:color w:val="auto"/>
          <w:highlight w:val="none"/>
        </w:rPr>
      </w:pPr>
      <w:r>
        <w:rPr>
          <w:rFonts w:hint="eastAsia"/>
          <w:color w:val="auto"/>
          <w:highlight w:val="none"/>
        </w:rPr>
        <w:br w:type="page"/>
      </w:r>
    </w:p>
    <w:p w14:paraId="4B1A6D84">
      <w:pPr>
        <w:pStyle w:val="91"/>
        <w:rPr>
          <w:rFonts w:hint="eastAsia"/>
          <w:color w:val="auto"/>
          <w:highlight w:val="none"/>
        </w:rPr>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1891"/>
        <w:gridCol w:w="2412"/>
        <w:gridCol w:w="1979"/>
        <w:gridCol w:w="2116"/>
      </w:tblGrid>
      <w:tr w14:paraId="5DFFADE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4303" w:type="dxa"/>
            <w:gridSpan w:val="2"/>
            <w:tcBorders>
              <w:bottom w:val="single" w:color="auto" w:sz="2" w:space="0"/>
              <w:right w:val="single" w:color="auto" w:sz="2" w:space="0"/>
            </w:tcBorders>
            <w:noWrap w:val="0"/>
            <w:vAlign w:val="center"/>
          </w:tcPr>
          <w:p w14:paraId="488B2247">
            <w:pPr>
              <w:adjustRightInd w:val="0"/>
              <w:snapToGrid w:val="0"/>
              <w:spacing w:line="300" w:lineRule="exact"/>
              <w:jc w:val="center"/>
              <w:rPr>
                <w:color w:val="auto"/>
                <w:highlight w:val="none"/>
              </w:rPr>
            </w:pPr>
            <w:r>
              <w:rPr>
                <w:color w:val="auto"/>
                <w:szCs w:val="21"/>
                <w:highlight w:val="none"/>
              </w:rPr>
              <w:t>甲方</w:t>
            </w:r>
            <w:r>
              <w:rPr>
                <w:rFonts w:hint="eastAsia"/>
                <w:color w:val="auto"/>
                <w:szCs w:val="21"/>
                <w:highlight w:val="none"/>
              </w:rPr>
              <w:t>（采购人</w:t>
            </w:r>
            <w:r>
              <w:rPr>
                <w:rFonts w:hint="eastAsia" w:ascii="宋体" w:hAnsi="宋体"/>
                <w:color w:val="auto"/>
                <w:szCs w:val="21"/>
                <w:highlight w:val="none"/>
                <w:lang w:eastAsia="zh-CN"/>
              </w:rPr>
              <w:t>、受采购人委托签订合同的单位</w:t>
            </w:r>
            <w:r>
              <w:rPr>
                <w:rFonts w:hint="eastAsia" w:ascii="宋体" w:hAnsi="宋体"/>
                <w:color w:val="auto"/>
                <w:szCs w:val="21"/>
                <w:highlight w:val="none"/>
              </w:rPr>
              <w:t>或</w:t>
            </w:r>
            <w:r>
              <w:rPr>
                <w:rFonts w:hint="eastAsia"/>
                <w:color w:val="auto"/>
                <w:szCs w:val="21"/>
                <w:highlight w:val="none"/>
              </w:rPr>
              <w:t>采购文件约定的合同甲方）</w:t>
            </w:r>
          </w:p>
        </w:tc>
        <w:tc>
          <w:tcPr>
            <w:tcW w:w="4095" w:type="dxa"/>
            <w:gridSpan w:val="2"/>
            <w:tcBorders>
              <w:left w:val="single" w:color="auto" w:sz="2" w:space="0"/>
              <w:bottom w:val="single" w:color="auto" w:sz="2" w:space="0"/>
            </w:tcBorders>
            <w:noWrap w:val="0"/>
            <w:vAlign w:val="center"/>
          </w:tcPr>
          <w:p w14:paraId="7B2D1734">
            <w:pPr>
              <w:adjustRightInd w:val="0"/>
              <w:snapToGrid w:val="0"/>
              <w:spacing w:line="300" w:lineRule="exact"/>
              <w:jc w:val="center"/>
              <w:rPr>
                <w:color w:val="auto"/>
                <w:highlight w:val="none"/>
              </w:rPr>
            </w:pPr>
            <w:r>
              <w:rPr>
                <w:color w:val="auto"/>
                <w:szCs w:val="21"/>
                <w:highlight w:val="none"/>
              </w:rPr>
              <w:t>乙方</w:t>
            </w:r>
            <w:r>
              <w:rPr>
                <w:rFonts w:hint="eastAsia"/>
                <w:color w:val="auto"/>
                <w:szCs w:val="21"/>
                <w:highlight w:val="none"/>
              </w:rPr>
              <w:t>（供应商）</w:t>
            </w:r>
          </w:p>
        </w:tc>
      </w:tr>
      <w:tr w14:paraId="36D6C8A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891" w:type="dxa"/>
            <w:tcBorders>
              <w:top w:val="single" w:color="auto" w:sz="2" w:space="0"/>
              <w:bottom w:val="single" w:color="auto" w:sz="2" w:space="0"/>
              <w:right w:val="single" w:color="auto" w:sz="2" w:space="0"/>
            </w:tcBorders>
            <w:noWrap w:val="0"/>
            <w:vAlign w:val="center"/>
          </w:tcPr>
          <w:p w14:paraId="0B89002F">
            <w:pPr>
              <w:adjustRightInd w:val="0"/>
              <w:snapToGrid w:val="0"/>
              <w:spacing w:line="300" w:lineRule="exact"/>
              <w:jc w:val="center"/>
              <w:rPr>
                <w:color w:val="auto"/>
                <w:szCs w:val="21"/>
                <w:highlight w:val="none"/>
              </w:rPr>
            </w:pPr>
            <w:r>
              <w:rPr>
                <w:color w:val="auto"/>
                <w:szCs w:val="21"/>
                <w:highlight w:val="none"/>
              </w:rPr>
              <w:t>单位名称</w:t>
            </w:r>
            <w:r>
              <w:rPr>
                <w:rFonts w:hint="eastAsia"/>
                <w:color w:val="auto"/>
                <w:szCs w:val="21"/>
                <w:highlight w:val="none"/>
              </w:rPr>
              <w:t>（公章</w:t>
            </w:r>
            <w:r>
              <w:rPr>
                <w:rFonts w:hint="eastAsia"/>
                <w:color w:val="auto"/>
                <w:szCs w:val="21"/>
                <w:highlight w:val="none"/>
                <w:lang w:eastAsia="zh-CN"/>
              </w:rPr>
              <w:t>或合同章</w:t>
            </w:r>
            <w:r>
              <w:rPr>
                <w:rFonts w:hint="eastAsia"/>
                <w:color w:val="auto"/>
                <w:szCs w:val="21"/>
                <w:highlight w:val="none"/>
              </w:rPr>
              <w:t>）</w:t>
            </w:r>
          </w:p>
        </w:tc>
        <w:tc>
          <w:tcPr>
            <w:tcW w:w="2412" w:type="dxa"/>
            <w:tcBorders>
              <w:top w:val="single" w:color="auto" w:sz="2" w:space="0"/>
              <w:left w:val="single" w:color="auto" w:sz="2" w:space="0"/>
              <w:bottom w:val="single" w:color="auto" w:sz="2" w:space="0"/>
              <w:right w:val="single" w:color="auto" w:sz="2" w:space="0"/>
            </w:tcBorders>
            <w:noWrap w:val="0"/>
            <w:vAlign w:val="center"/>
          </w:tcPr>
          <w:p w14:paraId="06FC9238">
            <w:pPr>
              <w:adjustRightInd w:val="0"/>
              <w:snapToGrid w:val="0"/>
              <w:spacing w:line="300" w:lineRule="exact"/>
              <w:jc w:val="center"/>
              <w:rPr>
                <w:color w:val="auto"/>
                <w:szCs w:val="21"/>
                <w:highlight w:val="none"/>
              </w:rPr>
            </w:pPr>
          </w:p>
        </w:tc>
        <w:tc>
          <w:tcPr>
            <w:tcW w:w="1979" w:type="dxa"/>
            <w:tcBorders>
              <w:top w:val="single" w:color="auto" w:sz="2" w:space="0"/>
              <w:left w:val="single" w:color="auto" w:sz="2" w:space="0"/>
              <w:bottom w:val="single" w:color="auto" w:sz="2" w:space="0"/>
              <w:right w:val="single" w:color="auto" w:sz="2" w:space="0"/>
            </w:tcBorders>
            <w:noWrap w:val="0"/>
            <w:vAlign w:val="center"/>
          </w:tcPr>
          <w:p w14:paraId="00612FBD">
            <w:pPr>
              <w:adjustRightInd w:val="0"/>
              <w:snapToGrid w:val="0"/>
              <w:spacing w:line="300" w:lineRule="exact"/>
              <w:jc w:val="center"/>
              <w:rPr>
                <w:color w:val="auto"/>
                <w:szCs w:val="21"/>
                <w:highlight w:val="none"/>
              </w:rPr>
            </w:pPr>
            <w:r>
              <w:rPr>
                <w:color w:val="auto"/>
                <w:szCs w:val="21"/>
                <w:highlight w:val="none"/>
              </w:rPr>
              <w:t>单位名称</w:t>
            </w:r>
            <w:r>
              <w:rPr>
                <w:rFonts w:hint="eastAsia"/>
                <w:color w:val="auto"/>
                <w:szCs w:val="21"/>
                <w:highlight w:val="none"/>
              </w:rPr>
              <w:t>（公章</w:t>
            </w:r>
            <w:r>
              <w:rPr>
                <w:rFonts w:hint="eastAsia"/>
                <w:color w:val="auto"/>
                <w:szCs w:val="21"/>
                <w:highlight w:val="none"/>
                <w:lang w:eastAsia="zh-CN"/>
              </w:rPr>
              <w:t>或合同章</w:t>
            </w:r>
            <w:r>
              <w:rPr>
                <w:rFonts w:hint="eastAsia"/>
                <w:color w:val="auto"/>
                <w:szCs w:val="21"/>
                <w:highlight w:val="none"/>
              </w:rPr>
              <w:t>）</w:t>
            </w:r>
          </w:p>
        </w:tc>
        <w:tc>
          <w:tcPr>
            <w:tcW w:w="2116" w:type="dxa"/>
            <w:tcBorders>
              <w:top w:val="single" w:color="auto" w:sz="2" w:space="0"/>
              <w:left w:val="single" w:color="auto" w:sz="2" w:space="0"/>
              <w:bottom w:val="single" w:color="auto" w:sz="2" w:space="0"/>
            </w:tcBorders>
            <w:noWrap w:val="0"/>
            <w:vAlign w:val="center"/>
          </w:tcPr>
          <w:p w14:paraId="09462277">
            <w:pPr>
              <w:adjustRightInd w:val="0"/>
              <w:snapToGrid w:val="0"/>
              <w:spacing w:line="300" w:lineRule="exact"/>
              <w:jc w:val="center"/>
              <w:rPr>
                <w:color w:val="auto"/>
                <w:spacing w:val="20"/>
                <w:szCs w:val="21"/>
                <w:highlight w:val="none"/>
              </w:rPr>
            </w:pPr>
          </w:p>
        </w:tc>
      </w:tr>
      <w:tr w14:paraId="2CE62B7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891" w:type="dxa"/>
            <w:vMerge w:val="restart"/>
            <w:tcBorders>
              <w:top w:val="single" w:color="auto" w:sz="2" w:space="0"/>
              <w:right w:val="single" w:color="auto" w:sz="2" w:space="0"/>
            </w:tcBorders>
            <w:noWrap w:val="0"/>
            <w:vAlign w:val="center"/>
          </w:tcPr>
          <w:p w14:paraId="558D2F88">
            <w:pPr>
              <w:adjustRightInd w:val="0"/>
              <w:snapToGrid w:val="0"/>
              <w:spacing w:line="300" w:lineRule="exact"/>
              <w:jc w:val="center"/>
              <w:rPr>
                <w:color w:val="auto"/>
                <w:szCs w:val="21"/>
                <w:highlight w:val="none"/>
              </w:rPr>
            </w:pPr>
            <w:r>
              <w:rPr>
                <w:color w:val="auto"/>
                <w:szCs w:val="21"/>
                <w:highlight w:val="none"/>
              </w:rPr>
              <w:t>法定代表人</w:t>
            </w:r>
          </w:p>
          <w:p w14:paraId="7DA9D434">
            <w:pPr>
              <w:adjustRightInd w:val="0"/>
              <w:snapToGrid w:val="0"/>
              <w:spacing w:line="300" w:lineRule="exact"/>
              <w:ind w:firstLine="100" w:firstLineChars="48"/>
              <w:jc w:val="center"/>
              <w:rPr>
                <w:color w:val="auto"/>
                <w:szCs w:val="21"/>
                <w:highlight w:val="none"/>
              </w:rPr>
            </w:pPr>
            <w:r>
              <w:rPr>
                <w:rFonts w:hint="eastAsia"/>
                <w:color w:val="auto"/>
                <w:szCs w:val="21"/>
                <w:highlight w:val="none"/>
              </w:rPr>
              <w:t>或其</w:t>
            </w:r>
            <w:r>
              <w:rPr>
                <w:color w:val="auto"/>
                <w:szCs w:val="21"/>
                <w:highlight w:val="none"/>
              </w:rPr>
              <w:t>委托代理人</w:t>
            </w:r>
            <w:r>
              <w:rPr>
                <w:rFonts w:hint="eastAsia"/>
                <w:color w:val="auto"/>
                <w:szCs w:val="21"/>
                <w:highlight w:val="none"/>
              </w:rPr>
              <w:t>（签章）</w:t>
            </w:r>
          </w:p>
        </w:tc>
        <w:tc>
          <w:tcPr>
            <w:tcW w:w="2412" w:type="dxa"/>
            <w:vMerge w:val="restart"/>
            <w:tcBorders>
              <w:top w:val="single" w:color="auto" w:sz="2" w:space="0"/>
              <w:left w:val="single" w:color="auto" w:sz="2" w:space="0"/>
              <w:right w:val="single" w:color="auto" w:sz="2" w:space="0"/>
            </w:tcBorders>
            <w:noWrap w:val="0"/>
            <w:vAlign w:val="center"/>
          </w:tcPr>
          <w:p w14:paraId="2509DF02">
            <w:pPr>
              <w:adjustRightInd w:val="0"/>
              <w:snapToGrid w:val="0"/>
              <w:spacing w:line="300" w:lineRule="exact"/>
              <w:jc w:val="center"/>
              <w:rPr>
                <w:color w:val="auto"/>
                <w:szCs w:val="21"/>
                <w:highlight w:val="none"/>
              </w:rPr>
            </w:pPr>
          </w:p>
        </w:tc>
        <w:tc>
          <w:tcPr>
            <w:tcW w:w="1979" w:type="dxa"/>
            <w:tcBorders>
              <w:top w:val="single" w:color="auto" w:sz="2" w:space="0"/>
              <w:left w:val="single" w:color="auto" w:sz="2" w:space="0"/>
              <w:right w:val="single" w:color="auto" w:sz="2" w:space="0"/>
            </w:tcBorders>
            <w:noWrap w:val="0"/>
            <w:vAlign w:val="center"/>
          </w:tcPr>
          <w:p w14:paraId="4F233885">
            <w:pPr>
              <w:adjustRightInd w:val="0"/>
              <w:snapToGrid w:val="0"/>
              <w:spacing w:line="300" w:lineRule="exact"/>
              <w:jc w:val="center"/>
              <w:rPr>
                <w:color w:val="auto"/>
                <w:szCs w:val="21"/>
                <w:highlight w:val="none"/>
              </w:rPr>
            </w:pPr>
            <w:r>
              <w:rPr>
                <w:color w:val="auto"/>
                <w:szCs w:val="21"/>
                <w:highlight w:val="none"/>
              </w:rPr>
              <w:t>法定代表人</w:t>
            </w:r>
          </w:p>
          <w:p w14:paraId="257A1DE5">
            <w:pPr>
              <w:adjustRightInd w:val="0"/>
              <w:snapToGrid w:val="0"/>
              <w:spacing w:line="300" w:lineRule="exact"/>
              <w:jc w:val="center"/>
              <w:rPr>
                <w:color w:val="auto"/>
                <w:szCs w:val="21"/>
                <w:highlight w:val="none"/>
              </w:rPr>
            </w:pPr>
            <w:r>
              <w:rPr>
                <w:rFonts w:hint="eastAsia"/>
                <w:color w:val="auto"/>
                <w:szCs w:val="21"/>
                <w:highlight w:val="none"/>
              </w:rPr>
              <w:t>或其</w:t>
            </w:r>
            <w:r>
              <w:rPr>
                <w:color w:val="auto"/>
                <w:szCs w:val="21"/>
                <w:highlight w:val="none"/>
              </w:rPr>
              <w:t>委托代理人</w:t>
            </w:r>
            <w:r>
              <w:rPr>
                <w:rFonts w:hint="eastAsia"/>
                <w:color w:val="auto"/>
                <w:szCs w:val="21"/>
                <w:highlight w:val="none"/>
              </w:rPr>
              <w:t>（签章）</w:t>
            </w:r>
          </w:p>
        </w:tc>
        <w:tc>
          <w:tcPr>
            <w:tcW w:w="2116" w:type="dxa"/>
            <w:tcBorders>
              <w:top w:val="single" w:color="auto" w:sz="2" w:space="0"/>
              <w:left w:val="single" w:color="auto" w:sz="2" w:space="0"/>
              <w:bottom w:val="single" w:color="auto" w:sz="2" w:space="0"/>
            </w:tcBorders>
            <w:noWrap w:val="0"/>
            <w:vAlign w:val="center"/>
          </w:tcPr>
          <w:p w14:paraId="2874A7AA">
            <w:pPr>
              <w:adjustRightInd w:val="0"/>
              <w:snapToGrid w:val="0"/>
              <w:spacing w:line="300" w:lineRule="exact"/>
              <w:jc w:val="center"/>
              <w:rPr>
                <w:color w:val="auto"/>
                <w:szCs w:val="21"/>
                <w:highlight w:val="none"/>
              </w:rPr>
            </w:pPr>
          </w:p>
        </w:tc>
      </w:tr>
      <w:tr w14:paraId="29F0738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vMerge w:val="continue"/>
            <w:tcBorders>
              <w:bottom w:val="single" w:color="auto" w:sz="2" w:space="0"/>
              <w:right w:val="single" w:color="auto" w:sz="2" w:space="0"/>
            </w:tcBorders>
            <w:noWrap w:val="0"/>
            <w:vAlign w:val="center"/>
          </w:tcPr>
          <w:p w14:paraId="6683F2BE">
            <w:pPr>
              <w:adjustRightInd w:val="0"/>
              <w:snapToGrid w:val="0"/>
              <w:spacing w:line="300" w:lineRule="exact"/>
              <w:jc w:val="center"/>
              <w:rPr>
                <w:color w:val="auto"/>
                <w:szCs w:val="21"/>
                <w:highlight w:val="none"/>
              </w:rPr>
            </w:pPr>
          </w:p>
        </w:tc>
        <w:tc>
          <w:tcPr>
            <w:tcW w:w="2412" w:type="dxa"/>
            <w:vMerge w:val="continue"/>
            <w:tcBorders>
              <w:left w:val="single" w:color="auto" w:sz="2" w:space="0"/>
              <w:bottom w:val="single" w:color="auto" w:sz="2" w:space="0"/>
              <w:right w:val="single" w:color="auto" w:sz="2" w:space="0"/>
            </w:tcBorders>
            <w:noWrap w:val="0"/>
            <w:vAlign w:val="center"/>
          </w:tcPr>
          <w:p w14:paraId="14B1EB49">
            <w:pPr>
              <w:adjustRightInd w:val="0"/>
              <w:snapToGrid w:val="0"/>
              <w:spacing w:line="300" w:lineRule="exact"/>
              <w:jc w:val="center"/>
              <w:rPr>
                <w:color w:val="auto"/>
                <w:szCs w:val="21"/>
                <w:highlight w:val="none"/>
              </w:rPr>
            </w:pPr>
          </w:p>
        </w:tc>
        <w:tc>
          <w:tcPr>
            <w:tcW w:w="1979" w:type="dxa"/>
            <w:tcBorders>
              <w:top w:val="single" w:color="auto" w:sz="2" w:space="0"/>
              <w:left w:val="single" w:color="auto" w:sz="2" w:space="0"/>
              <w:bottom w:val="single" w:color="auto" w:sz="2" w:space="0"/>
              <w:right w:val="single" w:color="auto" w:sz="2" w:space="0"/>
            </w:tcBorders>
            <w:noWrap w:val="0"/>
            <w:vAlign w:val="center"/>
          </w:tcPr>
          <w:p w14:paraId="3C2A9A54">
            <w:pPr>
              <w:adjustRightInd w:val="0"/>
              <w:snapToGrid w:val="0"/>
              <w:spacing w:line="300" w:lineRule="exact"/>
              <w:jc w:val="center"/>
              <w:rPr>
                <w:rFonts w:hint="eastAsia" w:eastAsia="宋体"/>
                <w:color w:val="auto"/>
                <w:szCs w:val="21"/>
                <w:highlight w:val="none"/>
                <w:lang w:eastAsia="zh-CN"/>
              </w:rPr>
            </w:pPr>
            <w:r>
              <w:rPr>
                <w:rFonts w:hint="eastAsia"/>
                <w:color w:val="auto"/>
                <w:szCs w:val="21"/>
                <w:highlight w:val="none"/>
                <w:lang w:eastAsia="zh-CN"/>
              </w:rPr>
              <w:t>拥有者性别</w:t>
            </w:r>
          </w:p>
        </w:tc>
        <w:tc>
          <w:tcPr>
            <w:tcW w:w="2116" w:type="dxa"/>
            <w:tcBorders>
              <w:top w:val="single" w:color="auto" w:sz="2" w:space="0"/>
              <w:left w:val="single" w:color="auto" w:sz="2" w:space="0"/>
              <w:bottom w:val="single" w:color="auto" w:sz="2" w:space="0"/>
            </w:tcBorders>
            <w:noWrap w:val="0"/>
            <w:vAlign w:val="center"/>
          </w:tcPr>
          <w:p w14:paraId="415FD469">
            <w:pPr>
              <w:adjustRightInd w:val="0"/>
              <w:snapToGrid w:val="0"/>
              <w:spacing w:line="300" w:lineRule="exact"/>
              <w:jc w:val="center"/>
              <w:rPr>
                <w:color w:val="auto"/>
                <w:spacing w:val="20"/>
                <w:szCs w:val="21"/>
                <w:highlight w:val="none"/>
              </w:rPr>
            </w:pPr>
          </w:p>
        </w:tc>
      </w:tr>
      <w:tr w14:paraId="61619A8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noWrap w:val="0"/>
            <w:vAlign w:val="center"/>
          </w:tcPr>
          <w:p w14:paraId="7FA41064">
            <w:pPr>
              <w:adjustRightInd w:val="0"/>
              <w:snapToGrid w:val="0"/>
              <w:spacing w:line="300" w:lineRule="exact"/>
              <w:jc w:val="center"/>
              <w:rPr>
                <w:rFonts w:hint="eastAsia" w:eastAsia="宋体"/>
                <w:color w:val="auto"/>
                <w:szCs w:val="21"/>
                <w:highlight w:val="none"/>
                <w:lang w:eastAsia="zh-CN"/>
              </w:rPr>
            </w:pPr>
            <w:r>
              <w:rPr>
                <w:rFonts w:hint="eastAsia"/>
                <w:color w:val="auto"/>
                <w:szCs w:val="21"/>
                <w:highlight w:val="none"/>
                <w:lang w:eastAsia="zh-CN"/>
              </w:rPr>
              <w:t>住</w:t>
            </w:r>
            <w:r>
              <w:rPr>
                <w:rFonts w:hint="eastAsia"/>
                <w:color w:val="auto"/>
                <w:szCs w:val="21"/>
                <w:highlight w:val="none"/>
                <w:lang w:val="en-US" w:eastAsia="zh-CN"/>
              </w:rPr>
              <w:t xml:space="preserve">  </w:t>
            </w:r>
            <w:r>
              <w:rPr>
                <w:rFonts w:hint="eastAsia"/>
                <w:color w:val="auto"/>
                <w:szCs w:val="21"/>
                <w:highlight w:val="none"/>
                <w:lang w:eastAsia="zh-CN"/>
              </w:rPr>
              <w:t>所</w:t>
            </w:r>
          </w:p>
        </w:tc>
        <w:tc>
          <w:tcPr>
            <w:tcW w:w="2412" w:type="dxa"/>
            <w:tcBorders>
              <w:top w:val="single" w:color="auto" w:sz="2" w:space="0"/>
              <w:left w:val="single" w:color="auto" w:sz="2" w:space="0"/>
              <w:bottom w:val="single" w:color="auto" w:sz="2" w:space="0"/>
              <w:right w:val="single" w:color="auto" w:sz="2" w:space="0"/>
            </w:tcBorders>
            <w:noWrap w:val="0"/>
            <w:vAlign w:val="center"/>
          </w:tcPr>
          <w:p w14:paraId="5CBF7C22">
            <w:pPr>
              <w:adjustRightInd w:val="0"/>
              <w:snapToGrid w:val="0"/>
              <w:spacing w:line="300" w:lineRule="exact"/>
              <w:jc w:val="center"/>
              <w:rPr>
                <w:color w:val="auto"/>
                <w:szCs w:val="21"/>
                <w:highlight w:val="none"/>
              </w:rPr>
            </w:pPr>
          </w:p>
        </w:tc>
        <w:tc>
          <w:tcPr>
            <w:tcW w:w="1979" w:type="dxa"/>
            <w:tcBorders>
              <w:top w:val="single" w:color="auto" w:sz="2" w:space="0"/>
              <w:left w:val="single" w:color="auto" w:sz="2" w:space="0"/>
              <w:bottom w:val="single" w:color="auto" w:sz="2" w:space="0"/>
              <w:right w:val="single" w:color="auto" w:sz="2" w:space="0"/>
            </w:tcBorders>
            <w:noWrap w:val="0"/>
            <w:vAlign w:val="center"/>
          </w:tcPr>
          <w:p w14:paraId="597A873E">
            <w:pPr>
              <w:adjustRightInd w:val="0"/>
              <w:snapToGrid w:val="0"/>
              <w:spacing w:line="300" w:lineRule="exact"/>
              <w:jc w:val="center"/>
              <w:rPr>
                <w:rFonts w:hint="eastAsia" w:eastAsia="宋体"/>
                <w:color w:val="auto"/>
                <w:szCs w:val="21"/>
                <w:highlight w:val="none"/>
                <w:lang w:eastAsia="zh-CN"/>
              </w:rPr>
            </w:pPr>
            <w:r>
              <w:rPr>
                <w:rFonts w:hint="eastAsia"/>
                <w:color w:val="auto"/>
                <w:szCs w:val="21"/>
                <w:highlight w:val="none"/>
                <w:lang w:eastAsia="zh-CN"/>
              </w:rPr>
              <w:t>住</w:t>
            </w:r>
            <w:r>
              <w:rPr>
                <w:rFonts w:hint="eastAsia"/>
                <w:color w:val="auto"/>
                <w:szCs w:val="21"/>
                <w:highlight w:val="none"/>
                <w:lang w:val="en-US" w:eastAsia="zh-CN"/>
              </w:rPr>
              <w:t xml:space="preserve">  </w:t>
            </w:r>
            <w:r>
              <w:rPr>
                <w:rFonts w:hint="eastAsia"/>
                <w:color w:val="auto"/>
                <w:szCs w:val="21"/>
                <w:highlight w:val="none"/>
                <w:lang w:eastAsia="zh-CN"/>
              </w:rPr>
              <w:t>所</w:t>
            </w:r>
          </w:p>
        </w:tc>
        <w:tc>
          <w:tcPr>
            <w:tcW w:w="2116" w:type="dxa"/>
            <w:tcBorders>
              <w:top w:val="single" w:color="auto" w:sz="2" w:space="0"/>
              <w:left w:val="single" w:color="auto" w:sz="2" w:space="0"/>
              <w:bottom w:val="single" w:color="auto" w:sz="2" w:space="0"/>
            </w:tcBorders>
            <w:noWrap w:val="0"/>
            <w:vAlign w:val="center"/>
          </w:tcPr>
          <w:p w14:paraId="71E529EC">
            <w:pPr>
              <w:adjustRightInd w:val="0"/>
              <w:snapToGrid w:val="0"/>
              <w:spacing w:line="300" w:lineRule="exact"/>
              <w:jc w:val="center"/>
              <w:rPr>
                <w:color w:val="auto"/>
                <w:spacing w:val="20"/>
                <w:szCs w:val="21"/>
                <w:highlight w:val="none"/>
              </w:rPr>
            </w:pPr>
          </w:p>
        </w:tc>
      </w:tr>
      <w:tr w14:paraId="38C7D86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noWrap w:val="0"/>
            <w:vAlign w:val="center"/>
          </w:tcPr>
          <w:p w14:paraId="51BEC236">
            <w:pPr>
              <w:adjustRightInd w:val="0"/>
              <w:snapToGrid w:val="0"/>
              <w:spacing w:line="300" w:lineRule="exact"/>
              <w:jc w:val="center"/>
              <w:rPr>
                <w:color w:val="auto"/>
                <w:szCs w:val="21"/>
                <w:highlight w:val="none"/>
              </w:rPr>
            </w:pPr>
            <w:r>
              <w:rPr>
                <w:color w:val="auto"/>
                <w:szCs w:val="21"/>
                <w:highlight w:val="none"/>
              </w:rPr>
              <w:t>联 系 人</w:t>
            </w:r>
          </w:p>
        </w:tc>
        <w:tc>
          <w:tcPr>
            <w:tcW w:w="2412" w:type="dxa"/>
            <w:tcBorders>
              <w:top w:val="single" w:color="auto" w:sz="2" w:space="0"/>
              <w:left w:val="single" w:color="auto" w:sz="2" w:space="0"/>
              <w:bottom w:val="single" w:color="auto" w:sz="2" w:space="0"/>
              <w:right w:val="single" w:color="auto" w:sz="2" w:space="0"/>
            </w:tcBorders>
            <w:noWrap w:val="0"/>
            <w:vAlign w:val="center"/>
          </w:tcPr>
          <w:p w14:paraId="158F393F">
            <w:pPr>
              <w:adjustRightInd w:val="0"/>
              <w:snapToGrid w:val="0"/>
              <w:spacing w:line="300" w:lineRule="exact"/>
              <w:jc w:val="center"/>
              <w:rPr>
                <w:color w:val="auto"/>
                <w:szCs w:val="21"/>
                <w:highlight w:val="none"/>
              </w:rPr>
            </w:pPr>
          </w:p>
        </w:tc>
        <w:tc>
          <w:tcPr>
            <w:tcW w:w="1979" w:type="dxa"/>
            <w:tcBorders>
              <w:top w:val="single" w:color="auto" w:sz="2" w:space="0"/>
              <w:left w:val="single" w:color="auto" w:sz="2" w:space="0"/>
              <w:bottom w:val="single" w:color="auto" w:sz="2" w:space="0"/>
              <w:right w:val="single" w:color="auto" w:sz="2" w:space="0"/>
            </w:tcBorders>
            <w:noWrap w:val="0"/>
            <w:vAlign w:val="center"/>
          </w:tcPr>
          <w:p w14:paraId="2124E347">
            <w:pPr>
              <w:adjustRightInd w:val="0"/>
              <w:snapToGrid w:val="0"/>
              <w:spacing w:line="300" w:lineRule="exact"/>
              <w:jc w:val="center"/>
              <w:rPr>
                <w:color w:val="auto"/>
                <w:szCs w:val="21"/>
                <w:highlight w:val="none"/>
              </w:rPr>
            </w:pPr>
            <w:r>
              <w:rPr>
                <w:color w:val="auto"/>
                <w:szCs w:val="21"/>
                <w:highlight w:val="none"/>
              </w:rPr>
              <w:t>联 系 人</w:t>
            </w:r>
          </w:p>
        </w:tc>
        <w:tc>
          <w:tcPr>
            <w:tcW w:w="2116" w:type="dxa"/>
            <w:tcBorders>
              <w:top w:val="single" w:color="auto" w:sz="2" w:space="0"/>
              <w:left w:val="single" w:color="auto" w:sz="2" w:space="0"/>
              <w:bottom w:val="single" w:color="auto" w:sz="2" w:space="0"/>
            </w:tcBorders>
            <w:noWrap w:val="0"/>
            <w:vAlign w:val="center"/>
          </w:tcPr>
          <w:p w14:paraId="0E5E18CC">
            <w:pPr>
              <w:adjustRightInd w:val="0"/>
              <w:snapToGrid w:val="0"/>
              <w:spacing w:line="300" w:lineRule="exact"/>
              <w:jc w:val="center"/>
              <w:rPr>
                <w:color w:val="auto"/>
                <w:spacing w:val="20"/>
                <w:szCs w:val="21"/>
                <w:highlight w:val="none"/>
              </w:rPr>
            </w:pPr>
          </w:p>
        </w:tc>
      </w:tr>
      <w:tr w14:paraId="5597D1C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noWrap w:val="0"/>
            <w:vAlign w:val="center"/>
          </w:tcPr>
          <w:p w14:paraId="3CD9EA7A">
            <w:pPr>
              <w:adjustRightInd w:val="0"/>
              <w:snapToGrid w:val="0"/>
              <w:spacing w:line="300" w:lineRule="exact"/>
              <w:jc w:val="center"/>
              <w:rPr>
                <w:color w:val="auto"/>
                <w:szCs w:val="21"/>
                <w:highlight w:val="none"/>
              </w:rPr>
            </w:pPr>
            <w:r>
              <w:rPr>
                <w:color w:val="auto"/>
                <w:szCs w:val="21"/>
                <w:highlight w:val="none"/>
              </w:rPr>
              <w:t>联系电话</w:t>
            </w:r>
          </w:p>
        </w:tc>
        <w:tc>
          <w:tcPr>
            <w:tcW w:w="2412" w:type="dxa"/>
            <w:tcBorders>
              <w:top w:val="single" w:color="auto" w:sz="2" w:space="0"/>
              <w:left w:val="single" w:color="auto" w:sz="2" w:space="0"/>
              <w:bottom w:val="single" w:color="auto" w:sz="2" w:space="0"/>
              <w:right w:val="single" w:color="auto" w:sz="2" w:space="0"/>
            </w:tcBorders>
            <w:noWrap w:val="0"/>
            <w:vAlign w:val="center"/>
          </w:tcPr>
          <w:p w14:paraId="50F93821">
            <w:pPr>
              <w:adjustRightInd w:val="0"/>
              <w:snapToGrid w:val="0"/>
              <w:spacing w:line="300" w:lineRule="exact"/>
              <w:jc w:val="center"/>
              <w:rPr>
                <w:color w:val="auto"/>
                <w:szCs w:val="21"/>
                <w:highlight w:val="none"/>
              </w:rPr>
            </w:pPr>
          </w:p>
        </w:tc>
        <w:tc>
          <w:tcPr>
            <w:tcW w:w="1979" w:type="dxa"/>
            <w:tcBorders>
              <w:top w:val="single" w:color="auto" w:sz="2" w:space="0"/>
              <w:left w:val="single" w:color="auto" w:sz="2" w:space="0"/>
              <w:bottom w:val="single" w:color="auto" w:sz="2" w:space="0"/>
              <w:right w:val="single" w:color="auto" w:sz="2" w:space="0"/>
            </w:tcBorders>
            <w:noWrap w:val="0"/>
            <w:vAlign w:val="center"/>
          </w:tcPr>
          <w:p w14:paraId="698A6B41">
            <w:pPr>
              <w:adjustRightInd w:val="0"/>
              <w:snapToGrid w:val="0"/>
              <w:spacing w:line="300" w:lineRule="exact"/>
              <w:jc w:val="center"/>
              <w:rPr>
                <w:color w:val="auto"/>
                <w:szCs w:val="21"/>
                <w:highlight w:val="none"/>
              </w:rPr>
            </w:pPr>
            <w:r>
              <w:rPr>
                <w:color w:val="auto"/>
                <w:szCs w:val="21"/>
                <w:highlight w:val="none"/>
              </w:rPr>
              <w:t>联系电话</w:t>
            </w:r>
          </w:p>
        </w:tc>
        <w:tc>
          <w:tcPr>
            <w:tcW w:w="2116" w:type="dxa"/>
            <w:tcBorders>
              <w:top w:val="single" w:color="auto" w:sz="2" w:space="0"/>
              <w:left w:val="single" w:color="auto" w:sz="2" w:space="0"/>
              <w:bottom w:val="single" w:color="auto" w:sz="2" w:space="0"/>
            </w:tcBorders>
            <w:noWrap w:val="0"/>
            <w:vAlign w:val="center"/>
          </w:tcPr>
          <w:p w14:paraId="2DE1F1EA">
            <w:pPr>
              <w:adjustRightInd w:val="0"/>
              <w:snapToGrid w:val="0"/>
              <w:spacing w:line="300" w:lineRule="exact"/>
              <w:jc w:val="center"/>
              <w:rPr>
                <w:color w:val="auto"/>
                <w:spacing w:val="20"/>
                <w:szCs w:val="21"/>
                <w:highlight w:val="none"/>
              </w:rPr>
            </w:pPr>
          </w:p>
        </w:tc>
      </w:tr>
      <w:tr w14:paraId="753E763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noWrap w:val="0"/>
            <w:vAlign w:val="center"/>
          </w:tcPr>
          <w:p w14:paraId="4C81BE36">
            <w:pPr>
              <w:adjustRightInd w:val="0"/>
              <w:snapToGrid w:val="0"/>
              <w:spacing w:line="300" w:lineRule="exact"/>
              <w:jc w:val="center"/>
              <w:rPr>
                <w:rFonts w:hint="eastAsia" w:eastAsia="宋体"/>
                <w:color w:val="auto"/>
                <w:szCs w:val="21"/>
                <w:highlight w:val="none"/>
                <w:lang w:eastAsia="zh-CN"/>
              </w:rPr>
            </w:pPr>
            <w:r>
              <w:rPr>
                <w:rFonts w:hint="eastAsia"/>
                <w:color w:val="auto"/>
                <w:szCs w:val="21"/>
                <w:highlight w:val="none"/>
                <w:lang w:eastAsia="zh-CN"/>
              </w:rPr>
              <w:t>通信地址</w:t>
            </w:r>
          </w:p>
        </w:tc>
        <w:tc>
          <w:tcPr>
            <w:tcW w:w="2412" w:type="dxa"/>
            <w:tcBorders>
              <w:top w:val="single" w:color="auto" w:sz="2" w:space="0"/>
              <w:left w:val="single" w:color="auto" w:sz="2" w:space="0"/>
              <w:bottom w:val="single" w:color="auto" w:sz="2" w:space="0"/>
              <w:right w:val="single" w:color="auto" w:sz="2" w:space="0"/>
            </w:tcBorders>
            <w:noWrap w:val="0"/>
            <w:vAlign w:val="center"/>
          </w:tcPr>
          <w:p w14:paraId="5AD18610">
            <w:pPr>
              <w:adjustRightInd w:val="0"/>
              <w:snapToGrid w:val="0"/>
              <w:spacing w:line="300" w:lineRule="exact"/>
              <w:jc w:val="center"/>
              <w:rPr>
                <w:color w:val="auto"/>
                <w:szCs w:val="21"/>
                <w:highlight w:val="none"/>
              </w:rPr>
            </w:pPr>
          </w:p>
        </w:tc>
        <w:tc>
          <w:tcPr>
            <w:tcW w:w="1979" w:type="dxa"/>
            <w:tcBorders>
              <w:top w:val="single" w:color="auto" w:sz="2" w:space="0"/>
              <w:left w:val="single" w:color="auto" w:sz="2" w:space="0"/>
              <w:bottom w:val="single" w:color="auto" w:sz="2" w:space="0"/>
              <w:right w:val="single" w:color="auto" w:sz="2" w:space="0"/>
            </w:tcBorders>
            <w:noWrap w:val="0"/>
            <w:vAlign w:val="center"/>
          </w:tcPr>
          <w:p w14:paraId="32DDB27B">
            <w:pPr>
              <w:adjustRightInd w:val="0"/>
              <w:snapToGrid w:val="0"/>
              <w:spacing w:line="300" w:lineRule="exact"/>
              <w:jc w:val="center"/>
              <w:rPr>
                <w:color w:val="auto"/>
                <w:szCs w:val="21"/>
                <w:highlight w:val="none"/>
              </w:rPr>
            </w:pPr>
            <w:r>
              <w:rPr>
                <w:rFonts w:hint="eastAsia"/>
                <w:color w:val="auto"/>
                <w:szCs w:val="21"/>
                <w:highlight w:val="none"/>
                <w:lang w:eastAsia="zh-CN"/>
              </w:rPr>
              <w:t>通信地址</w:t>
            </w:r>
          </w:p>
        </w:tc>
        <w:tc>
          <w:tcPr>
            <w:tcW w:w="2116" w:type="dxa"/>
            <w:tcBorders>
              <w:top w:val="single" w:color="auto" w:sz="2" w:space="0"/>
              <w:left w:val="single" w:color="auto" w:sz="2" w:space="0"/>
              <w:bottom w:val="single" w:color="auto" w:sz="2" w:space="0"/>
            </w:tcBorders>
            <w:noWrap w:val="0"/>
            <w:vAlign w:val="center"/>
          </w:tcPr>
          <w:p w14:paraId="19DF9ADD">
            <w:pPr>
              <w:adjustRightInd w:val="0"/>
              <w:snapToGrid w:val="0"/>
              <w:spacing w:line="300" w:lineRule="exact"/>
              <w:jc w:val="center"/>
              <w:rPr>
                <w:color w:val="auto"/>
                <w:spacing w:val="20"/>
                <w:szCs w:val="21"/>
                <w:highlight w:val="none"/>
              </w:rPr>
            </w:pPr>
          </w:p>
        </w:tc>
      </w:tr>
      <w:tr w14:paraId="1299F8F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noWrap w:val="0"/>
            <w:vAlign w:val="center"/>
          </w:tcPr>
          <w:p w14:paraId="62DF791E">
            <w:pPr>
              <w:adjustRightInd w:val="0"/>
              <w:snapToGrid w:val="0"/>
              <w:spacing w:line="300" w:lineRule="exact"/>
              <w:jc w:val="center"/>
              <w:rPr>
                <w:color w:val="auto"/>
                <w:szCs w:val="21"/>
                <w:highlight w:val="none"/>
              </w:rPr>
            </w:pPr>
            <w:r>
              <w:rPr>
                <w:color w:val="auto"/>
                <w:szCs w:val="21"/>
                <w:highlight w:val="none"/>
              </w:rPr>
              <w:t>邮政编码</w:t>
            </w:r>
          </w:p>
        </w:tc>
        <w:tc>
          <w:tcPr>
            <w:tcW w:w="2412" w:type="dxa"/>
            <w:tcBorders>
              <w:top w:val="single" w:color="auto" w:sz="2" w:space="0"/>
              <w:left w:val="single" w:color="auto" w:sz="2" w:space="0"/>
              <w:bottom w:val="single" w:color="auto" w:sz="2" w:space="0"/>
              <w:right w:val="single" w:color="auto" w:sz="2" w:space="0"/>
            </w:tcBorders>
            <w:noWrap w:val="0"/>
            <w:vAlign w:val="center"/>
          </w:tcPr>
          <w:p w14:paraId="5484DF41">
            <w:pPr>
              <w:adjustRightInd w:val="0"/>
              <w:snapToGrid w:val="0"/>
              <w:spacing w:line="300" w:lineRule="exact"/>
              <w:jc w:val="center"/>
              <w:rPr>
                <w:color w:val="auto"/>
                <w:szCs w:val="21"/>
                <w:highlight w:val="none"/>
              </w:rPr>
            </w:pPr>
          </w:p>
        </w:tc>
        <w:tc>
          <w:tcPr>
            <w:tcW w:w="1979" w:type="dxa"/>
            <w:tcBorders>
              <w:top w:val="single" w:color="auto" w:sz="2" w:space="0"/>
              <w:left w:val="single" w:color="auto" w:sz="2" w:space="0"/>
              <w:bottom w:val="single" w:color="auto" w:sz="2" w:space="0"/>
              <w:right w:val="single" w:color="auto" w:sz="2" w:space="0"/>
            </w:tcBorders>
            <w:noWrap w:val="0"/>
            <w:vAlign w:val="center"/>
          </w:tcPr>
          <w:p w14:paraId="146D10F1">
            <w:pPr>
              <w:adjustRightInd w:val="0"/>
              <w:snapToGrid w:val="0"/>
              <w:spacing w:line="300" w:lineRule="exact"/>
              <w:jc w:val="center"/>
              <w:rPr>
                <w:color w:val="auto"/>
                <w:szCs w:val="21"/>
                <w:highlight w:val="none"/>
              </w:rPr>
            </w:pPr>
            <w:r>
              <w:rPr>
                <w:color w:val="auto"/>
                <w:szCs w:val="21"/>
                <w:highlight w:val="none"/>
              </w:rPr>
              <w:t>邮政编码</w:t>
            </w:r>
          </w:p>
        </w:tc>
        <w:tc>
          <w:tcPr>
            <w:tcW w:w="2116" w:type="dxa"/>
            <w:tcBorders>
              <w:top w:val="single" w:color="auto" w:sz="2" w:space="0"/>
              <w:left w:val="single" w:color="auto" w:sz="2" w:space="0"/>
              <w:bottom w:val="single" w:color="auto" w:sz="2" w:space="0"/>
            </w:tcBorders>
            <w:noWrap w:val="0"/>
            <w:vAlign w:val="center"/>
          </w:tcPr>
          <w:p w14:paraId="3B1E274F">
            <w:pPr>
              <w:adjustRightInd w:val="0"/>
              <w:snapToGrid w:val="0"/>
              <w:spacing w:line="300" w:lineRule="exact"/>
              <w:jc w:val="center"/>
              <w:rPr>
                <w:color w:val="auto"/>
                <w:spacing w:val="20"/>
                <w:szCs w:val="21"/>
                <w:highlight w:val="none"/>
              </w:rPr>
            </w:pPr>
          </w:p>
        </w:tc>
      </w:tr>
      <w:tr w14:paraId="657C754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noWrap w:val="0"/>
            <w:vAlign w:val="center"/>
          </w:tcPr>
          <w:p w14:paraId="3F7FCBCA">
            <w:pPr>
              <w:adjustRightInd w:val="0"/>
              <w:snapToGrid w:val="0"/>
              <w:spacing w:line="300" w:lineRule="exact"/>
              <w:jc w:val="center"/>
              <w:rPr>
                <w:color w:val="auto"/>
                <w:szCs w:val="21"/>
                <w:highlight w:val="none"/>
              </w:rPr>
            </w:pPr>
            <w:r>
              <w:rPr>
                <w:rFonts w:hint="eastAsia"/>
                <w:color w:val="auto"/>
                <w:szCs w:val="21"/>
                <w:highlight w:val="none"/>
              </w:rPr>
              <w:t>电子邮箱</w:t>
            </w:r>
          </w:p>
        </w:tc>
        <w:tc>
          <w:tcPr>
            <w:tcW w:w="2412" w:type="dxa"/>
            <w:tcBorders>
              <w:top w:val="single" w:color="auto" w:sz="2" w:space="0"/>
              <w:left w:val="single" w:color="auto" w:sz="2" w:space="0"/>
              <w:bottom w:val="single" w:color="auto" w:sz="2" w:space="0"/>
              <w:right w:val="single" w:color="auto" w:sz="2" w:space="0"/>
            </w:tcBorders>
            <w:noWrap w:val="0"/>
            <w:vAlign w:val="center"/>
          </w:tcPr>
          <w:p w14:paraId="3619FD12">
            <w:pPr>
              <w:adjustRightInd w:val="0"/>
              <w:snapToGrid w:val="0"/>
              <w:spacing w:line="300" w:lineRule="exact"/>
              <w:jc w:val="center"/>
              <w:rPr>
                <w:color w:val="auto"/>
                <w:szCs w:val="21"/>
                <w:highlight w:val="none"/>
              </w:rPr>
            </w:pPr>
          </w:p>
        </w:tc>
        <w:tc>
          <w:tcPr>
            <w:tcW w:w="1979" w:type="dxa"/>
            <w:tcBorders>
              <w:top w:val="single" w:color="auto" w:sz="2" w:space="0"/>
              <w:left w:val="single" w:color="auto" w:sz="2" w:space="0"/>
              <w:bottom w:val="single" w:color="auto" w:sz="2" w:space="0"/>
              <w:right w:val="single" w:color="auto" w:sz="2" w:space="0"/>
            </w:tcBorders>
            <w:noWrap w:val="0"/>
            <w:vAlign w:val="center"/>
          </w:tcPr>
          <w:p w14:paraId="43C444A3">
            <w:pPr>
              <w:adjustRightInd w:val="0"/>
              <w:snapToGrid w:val="0"/>
              <w:spacing w:line="300" w:lineRule="exact"/>
              <w:jc w:val="center"/>
              <w:rPr>
                <w:color w:val="auto"/>
                <w:szCs w:val="21"/>
                <w:highlight w:val="none"/>
              </w:rPr>
            </w:pPr>
            <w:r>
              <w:rPr>
                <w:rFonts w:hint="eastAsia"/>
                <w:color w:val="auto"/>
                <w:szCs w:val="21"/>
                <w:highlight w:val="none"/>
              </w:rPr>
              <w:t>电子邮箱</w:t>
            </w:r>
          </w:p>
        </w:tc>
        <w:tc>
          <w:tcPr>
            <w:tcW w:w="2116" w:type="dxa"/>
            <w:tcBorders>
              <w:top w:val="single" w:color="auto" w:sz="2" w:space="0"/>
              <w:left w:val="single" w:color="auto" w:sz="2" w:space="0"/>
              <w:bottom w:val="single" w:color="auto" w:sz="2" w:space="0"/>
            </w:tcBorders>
            <w:noWrap w:val="0"/>
            <w:vAlign w:val="center"/>
          </w:tcPr>
          <w:p w14:paraId="35386D91">
            <w:pPr>
              <w:adjustRightInd w:val="0"/>
              <w:snapToGrid w:val="0"/>
              <w:spacing w:line="300" w:lineRule="exact"/>
              <w:jc w:val="center"/>
              <w:rPr>
                <w:color w:val="auto"/>
                <w:spacing w:val="20"/>
                <w:szCs w:val="21"/>
                <w:highlight w:val="none"/>
              </w:rPr>
            </w:pPr>
          </w:p>
        </w:tc>
      </w:tr>
      <w:tr w14:paraId="4735955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noWrap w:val="0"/>
            <w:vAlign w:val="center"/>
          </w:tcPr>
          <w:p w14:paraId="296A478D">
            <w:pPr>
              <w:adjustRightInd w:val="0"/>
              <w:snapToGrid w:val="0"/>
              <w:spacing w:line="300" w:lineRule="exact"/>
              <w:jc w:val="center"/>
              <w:rPr>
                <w:color w:val="auto"/>
                <w:szCs w:val="21"/>
                <w:highlight w:val="none"/>
              </w:rPr>
            </w:pPr>
            <w:r>
              <w:rPr>
                <w:rFonts w:hint="eastAsia"/>
                <w:color w:val="auto"/>
                <w:szCs w:val="21"/>
                <w:highlight w:val="none"/>
              </w:rPr>
              <w:t>统一社会信用代码</w:t>
            </w:r>
          </w:p>
        </w:tc>
        <w:tc>
          <w:tcPr>
            <w:tcW w:w="2412" w:type="dxa"/>
            <w:tcBorders>
              <w:top w:val="single" w:color="auto" w:sz="2" w:space="0"/>
              <w:left w:val="single" w:color="auto" w:sz="2" w:space="0"/>
              <w:bottom w:val="single" w:color="auto" w:sz="2" w:space="0"/>
              <w:right w:val="single" w:color="auto" w:sz="2" w:space="0"/>
            </w:tcBorders>
            <w:noWrap w:val="0"/>
            <w:vAlign w:val="center"/>
          </w:tcPr>
          <w:p w14:paraId="5BD30086">
            <w:pPr>
              <w:adjustRightInd w:val="0"/>
              <w:snapToGrid w:val="0"/>
              <w:spacing w:line="300" w:lineRule="exact"/>
              <w:jc w:val="center"/>
              <w:rPr>
                <w:color w:val="auto"/>
                <w:szCs w:val="21"/>
                <w:highlight w:val="none"/>
              </w:rPr>
            </w:pPr>
          </w:p>
        </w:tc>
        <w:tc>
          <w:tcPr>
            <w:tcW w:w="1979" w:type="dxa"/>
            <w:tcBorders>
              <w:top w:val="single" w:color="auto" w:sz="2" w:space="0"/>
              <w:left w:val="single" w:color="auto" w:sz="2" w:space="0"/>
              <w:bottom w:val="single" w:color="auto" w:sz="2" w:space="0"/>
              <w:right w:val="single" w:color="auto" w:sz="2" w:space="0"/>
            </w:tcBorders>
            <w:noWrap w:val="0"/>
            <w:vAlign w:val="center"/>
          </w:tcPr>
          <w:p w14:paraId="1BAF4172">
            <w:pPr>
              <w:adjustRightInd w:val="0"/>
              <w:snapToGrid w:val="0"/>
              <w:spacing w:line="300" w:lineRule="exact"/>
              <w:jc w:val="center"/>
              <w:rPr>
                <w:color w:val="auto"/>
                <w:szCs w:val="21"/>
                <w:highlight w:val="none"/>
              </w:rPr>
            </w:pPr>
            <w:r>
              <w:rPr>
                <w:rFonts w:hint="eastAsia"/>
                <w:color w:val="auto"/>
                <w:szCs w:val="21"/>
                <w:highlight w:val="none"/>
              </w:rPr>
              <w:t>统一社会信用代码</w:t>
            </w:r>
          </w:p>
        </w:tc>
        <w:tc>
          <w:tcPr>
            <w:tcW w:w="2116" w:type="dxa"/>
            <w:tcBorders>
              <w:top w:val="single" w:color="auto" w:sz="2" w:space="0"/>
              <w:left w:val="single" w:color="auto" w:sz="2" w:space="0"/>
              <w:bottom w:val="single" w:color="auto" w:sz="2" w:space="0"/>
            </w:tcBorders>
            <w:noWrap w:val="0"/>
            <w:vAlign w:val="center"/>
          </w:tcPr>
          <w:p w14:paraId="5116C8E6">
            <w:pPr>
              <w:adjustRightInd w:val="0"/>
              <w:snapToGrid w:val="0"/>
              <w:spacing w:line="300" w:lineRule="exact"/>
              <w:jc w:val="center"/>
              <w:rPr>
                <w:color w:val="auto"/>
                <w:spacing w:val="20"/>
                <w:szCs w:val="21"/>
                <w:highlight w:val="none"/>
              </w:rPr>
            </w:pPr>
          </w:p>
        </w:tc>
      </w:tr>
      <w:tr w14:paraId="11D9296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noWrap w:val="0"/>
            <w:vAlign w:val="center"/>
          </w:tcPr>
          <w:p w14:paraId="316D7392">
            <w:pPr>
              <w:adjustRightInd w:val="0"/>
              <w:snapToGrid w:val="0"/>
              <w:spacing w:line="300" w:lineRule="exact"/>
              <w:jc w:val="center"/>
              <w:rPr>
                <w:color w:val="auto"/>
                <w:szCs w:val="21"/>
                <w:highlight w:val="none"/>
              </w:rPr>
            </w:pPr>
          </w:p>
        </w:tc>
        <w:tc>
          <w:tcPr>
            <w:tcW w:w="2412" w:type="dxa"/>
            <w:tcBorders>
              <w:top w:val="single" w:color="auto" w:sz="2" w:space="0"/>
              <w:left w:val="single" w:color="auto" w:sz="2" w:space="0"/>
              <w:bottom w:val="single" w:color="auto" w:sz="2" w:space="0"/>
              <w:right w:val="single" w:color="auto" w:sz="2" w:space="0"/>
            </w:tcBorders>
            <w:noWrap w:val="0"/>
            <w:vAlign w:val="center"/>
          </w:tcPr>
          <w:p w14:paraId="74415E99">
            <w:pPr>
              <w:adjustRightInd w:val="0"/>
              <w:snapToGrid w:val="0"/>
              <w:spacing w:line="300" w:lineRule="exact"/>
              <w:jc w:val="center"/>
              <w:rPr>
                <w:color w:val="auto"/>
                <w:szCs w:val="21"/>
                <w:highlight w:val="none"/>
              </w:rPr>
            </w:pPr>
          </w:p>
        </w:tc>
        <w:tc>
          <w:tcPr>
            <w:tcW w:w="1979" w:type="dxa"/>
            <w:tcBorders>
              <w:top w:val="single" w:color="auto" w:sz="2" w:space="0"/>
              <w:left w:val="single" w:color="auto" w:sz="2" w:space="0"/>
              <w:bottom w:val="single" w:color="auto" w:sz="2" w:space="0"/>
              <w:right w:val="single" w:color="auto" w:sz="2" w:space="0"/>
            </w:tcBorders>
            <w:noWrap w:val="0"/>
            <w:vAlign w:val="center"/>
          </w:tcPr>
          <w:p w14:paraId="0097DDCE">
            <w:pPr>
              <w:adjustRightInd w:val="0"/>
              <w:snapToGrid w:val="0"/>
              <w:spacing w:line="300" w:lineRule="exact"/>
              <w:jc w:val="center"/>
              <w:rPr>
                <w:color w:val="auto"/>
                <w:szCs w:val="21"/>
                <w:highlight w:val="none"/>
              </w:rPr>
            </w:pPr>
            <w:r>
              <w:rPr>
                <w:color w:val="auto"/>
                <w:szCs w:val="21"/>
                <w:highlight w:val="none"/>
              </w:rPr>
              <w:t>开户名称</w:t>
            </w:r>
          </w:p>
        </w:tc>
        <w:tc>
          <w:tcPr>
            <w:tcW w:w="2116" w:type="dxa"/>
            <w:tcBorders>
              <w:top w:val="single" w:color="auto" w:sz="2" w:space="0"/>
              <w:left w:val="single" w:color="auto" w:sz="2" w:space="0"/>
              <w:bottom w:val="single" w:color="auto" w:sz="2" w:space="0"/>
            </w:tcBorders>
            <w:noWrap w:val="0"/>
            <w:vAlign w:val="center"/>
          </w:tcPr>
          <w:p w14:paraId="6EDEA59E">
            <w:pPr>
              <w:adjustRightInd w:val="0"/>
              <w:snapToGrid w:val="0"/>
              <w:spacing w:line="300" w:lineRule="exact"/>
              <w:jc w:val="center"/>
              <w:rPr>
                <w:color w:val="auto"/>
                <w:spacing w:val="20"/>
                <w:szCs w:val="21"/>
                <w:highlight w:val="none"/>
              </w:rPr>
            </w:pPr>
          </w:p>
        </w:tc>
      </w:tr>
      <w:tr w14:paraId="57D8FDE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noWrap w:val="0"/>
            <w:vAlign w:val="center"/>
          </w:tcPr>
          <w:p w14:paraId="5AA25420">
            <w:pPr>
              <w:adjustRightInd w:val="0"/>
              <w:snapToGrid w:val="0"/>
              <w:spacing w:line="300" w:lineRule="exact"/>
              <w:jc w:val="center"/>
              <w:rPr>
                <w:color w:val="auto"/>
                <w:szCs w:val="21"/>
                <w:highlight w:val="none"/>
              </w:rPr>
            </w:pPr>
          </w:p>
        </w:tc>
        <w:tc>
          <w:tcPr>
            <w:tcW w:w="2412" w:type="dxa"/>
            <w:tcBorders>
              <w:top w:val="single" w:color="auto" w:sz="2" w:space="0"/>
              <w:left w:val="single" w:color="auto" w:sz="2" w:space="0"/>
              <w:bottom w:val="single" w:color="auto" w:sz="2" w:space="0"/>
              <w:right w:val="single" w:color="auto" w:sz="2" w:space="0"/>
            </w:tcBorders>
            <w:noWrap w:val="0"/>
            <w:vAlign w:val="center"/>
          </w:tcPr>
          <w:p w14:paraId="52D2103C">
            <w:pPr>
              <w:adjustRightInd w:val="0"/>
              <w:snapToGrid w:val="0"/>
              <w:spacing w:line="300" w:lineRule="exact"/>
              <w:jc w:val="center"/>
              <w:rPr>
                <w:color w:val="auto"/>
                <w:szCs w:val="21"/>
                <w:highlight w:val="none"/>
              </w:rPr>
            </w:pPr>
          </w:p>
        </w:tc>
        <w:tc>
          <w:tcPr>
            <w:tcW w:w="1979" w:type="dxa"/>
            <w:tcBorders>
              <w:top w:val="single" w:color="auto" w:sz="2" w:space="0"/>
              <w:left w:val="single" w:color="auto" w:sz="2" w:space="0"/>
              <w:bottom w:val="single" w:color="auto" w:sz="2" w:space="0"/>
              <w:right w:val="single" w:color="auto" w:sz="2" w:space="0"/>
            </w:tcBorders>
            <w:noWrap w:val="0"/>
            <w:vAlign w:val="center"/>
          </w:tcPr>
          <w:p w14:paraId="152B642A">
            <w:pPr>
              <w:adjustRightInd w:val="0"/>
              <w:snapToGrid w:val="0"/>
              <w:spacing w:line="300" w:lineRule="exact"/>
              <w:jc w:val="center"/>
              <w:rPr>
                <w:color w:val="auto"/>
                <w:szCs w:val="21"/>
                <w:highlight w:val="none"/>
              </w:rPr>
            </w:pPr>
            <w:r>
              <w:rPr>
                <w:color w:val="auto"/>
                <w:szCs w:val="21"/>
                <w:highlight w:val="none"/>
              </w:rPr>
              <w:t>开户银行</w:t>
            </w:r>
          </w:p>
        </w:tc>
        <w:tc>
          <w:tcPr>
            <w:tcW w:w="2116" w:type="dxa"/>
            <w:tcBorders>
              <w:top w:val="single" w:color="auto" w:sz="2" w:space="0"/>
              <w:left w:val="single" w:color="auto" w:sz="2" w:space="0"/>
              <w:bottom w:val="single" w:color="auto" w:sz="2" w:space="0"/>
            </w:tcBorders>
            <w:noWrap w:val="0"/>
            <w:vAlign w:val="center"/>
          </w:tcPr>
          <w:p w14:paraId="2E4F6665">
            <w:pPr>
              <w:adjustRightInd w:val="0"/>
              <w:snapToGrid w:val="0"/>
              <w:spacing w:line="300" w:lineRule="exact"/>
              <w:jc w:val="center"/>
              <w:rPr>
                <w:color w:val="auto"/>
                <w:spacing w:val="20"/>
                <w:szCs w:val="21"/>
                <w:highlight w:val="none"/>
              </w:rPr>
            </w:pPr>
          </w:p>
        </w:tc>
      </w:tr>
      <w:tr w14:paraId="0D54414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noWrap w:val="0"/>
            <w:vAlign w:val="center"/>
          </w:tcPr>
          <w:p w14:paraId="6A2F414F">
            <w:pPr>
              <w:adjustRightInd w:val="0"/>
              <w:snapToGrid w:val="0"/>
              <w:spacing w:line="300" w:lineRule="exact"/>
              <w:jc w:val="center"/>
              <w:rPr>
                <w:color w:val="auto"/>
                <w:szCs w:val="21"/>
                <w:highlight w:val="none"/>
              </w:rPr>
            </w:pPr>
          </w:p>
        </w:tc>
        <w:tc>
          <w:tcPr>
            <w:tcW w:w="2412" w:type="dxa"/>
            <w:tcBorders>
              <w:top w:val="single" w:color="auto" w:sz="2" w:space="0"/>
              <w:left w:val="single" w:color="auto" w:sz="2" w:space="0"/>
              <w:bottom w:val="single" w:color="auto" w:sz="2" w:space="0"/>
              <w:right w:val="single" w:color="auto" w:sz="2" w:space="0"/>
            </w:tcBorders>
            <w:noWrap w:val="0"/>
            <w:vAlign w:val="center"/>
          </w:tcPr>
          <w:p w14:paraId="0B5B3DC6">
            <w:pPr>
              <w:adjustRightInd w:val="0"/>
              <w:snapToGrid w:val="0"/>
              <w:spacing w:line="300" w:lineRule="exact"/>
              <w:jc w:val="center"/>
              <w:rPr>
                <w:color w:val="auto"/>
                <w:szCs w:val="21"/>
                <w:highlight w:val="none"/>
              </w:rPr>
            </w:pPr>
          </w:p>
        </w:tc>
        <w:tc>
          <w:tcPr>
            <w:tcW w:w="1979" w:type="dxa"/>
            <w:tcBorders>
              <w:top w:val="single" w:color="auto" w:sz="2" w:space="0"/>
              <w:left w:val="single" w:color="auto" w:sz="2" w:space="0"/>
              <w:bottom w:val="single" w:color="auto" w:sz="2" w:space="0"/>
              <w:right w:val="single" w:color="auto" w:sz="2" w:space="0"/>
            </w:tcBorders>
            <w:noWrap w:val="0"/>
            <w:vAlign w:val="center"/>
          </w:tcPr>
          <w:p w14:paraId="04E67FBD">
            <w:pPr>
              <w:adjustRightInd w:val="0"/>
              <w:snapToGrid w:val="0"/>
              <w:spacing w:line="300" w:lineRule="exact"/>
              <w:jc w:val="center"/>
              <w:rPr>
                <w:color w:val="auto"/>
                <w:szCs w:val="21"/>
                <w:highlight w:val="none"/>
              </w:rPr>
            </w:pPr>
            <w:r>
              <w:rPr>
                <w:color w:val="auto"/>
                <w:szCs w:val="21"/>
                <w:highlight w:val="none"/>
              </w:rPr>
              <w:t>银行账号</w:t>
            </w:r>
          </w:p>
        </w:tc>
        <w:tc>
          <w:tcPr>
            <w:tcW w:w="2116" w:type="dxa"/>
            <w:tcBorders>
              <w:top w:val="single" w:color="auto" w:sz="2" w:space="0"/>
              <w:left w:val="single" w:color="auto" w:sz="2" w:space="0"/>
              <w:bottom w:val="single" w:color="auto" w:sz="2" w:space="0"/>
            </w:tcBorders>
            <w:noWrap w:val="0"/>
            <w:vAlign w:val="center"/>
          </w:tcPr>
          <w:p w14:paraId="061B0BDE">
            <w:pPr>
              <w:adjustRightInd w:val="0"/>
              <w:snapToGrid w:val="0"/>
              <w:spacing w:line="300" w:lineRule="exact"/>
              <w:jc w:val="center"/>
              <w:rPr>
                <w:color w:val="auto"/>
                <w:spacing w:val="20"/>
                <w:szCs w:val="21"/>
                <w:highlight w:val="none"/>
              </w:rPr>
            </w:pPr>
          </w:p>
        </w:tc>
      </w:tr>
      <w:tr w14:paraId="5E3A5D5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8398" w:type="dxa"/>
            <w:gridSpan w:val="4"/>
            <w:tcBorders>
              <w:top w:val="single" w:color="auto" w:sz="2" w:space="0"/>
            </w:tcBorders>
            <w:noWrap w:val="0"/>
            <w:vAlign w:val="center"/>
          </w:tcPr>
          <w:p w14:paraId="69944D32">
            <w:pPr>
              <w:pStyle w:val="8"/>
              <w:tabs>
                <w:tab w:val="left" w:pos="0"/>
              </w:tabs>
              <w:adjustRightInd w:val="0"/>
              <w:snapToGrid w:val="0"/>
              <w:spacing w:before="156" w:beforeLines="50" w:after="0" w:line="360" w:lineRule="auto"/>
              <w:ind w:left="0" w:leftChars="0"/>
              <w:jc w:val="left"/>
              <w:rPr>
                <w:color w:val="auto"/>
                <w:spacing w:val="20"/>
                <w:szCs w:val="21"/>
                <w:highlight w:val="none"/>
              </w:rPr>
            </w:pPr>
            <w:r>
              <w:rPr>
                <w:rFonts w:hint="eastAsia" w:ascii="宋体" w:hAnsi="宋体"/>
                <w:color w:val="auto"/>
                <w:szCs w:val="21"/>
                <w:highlight w:val="none"/>
              </w:rPr>
              <w:t>注：涉及联合体或其他合同主体的信息应按上表格式加列。</w:t>
            </w:r>
          </w:p>
        </w:tc>
      </w:tr>
    </w:tbl>
    <w:p w14:paraId="0943C43F">
      <w:pPr>
        <w:pStyle w:val="3"/>
        <w:adjustRightInd w:val="0"/>
        <w:snapToGrid w:val="0"/>
        <w:spacing w:before="156" w:beforeLines="50"/>
        <w:jc w:val="center"/>
        <w:rPr>
          <w:rFonts w:ascii="黑体" w:hAnsi="黑体" w:eastAsia="黑体"/>
          <w:color w:val="auto"/>
          <w:sz w:val="28"/>
          <w:szCs w:val="28"/>
          <w:highlight w:val="none"/>
        </w:rPr>
      </w:pPr>
      <w:r>
        <w:rPr>
          <w:rFonts w:ascii="宋体" w:hAnsi="宋体"/>
          <w:color w:val="auto"/>
          <w:sz w:val="21"/>
          <w:szCs w:val="21"/>
          <w:highlight w:val="none"/>
          <w:u w:val="single"/>
        </w:rPr>
        <w:br w:type="page"/>
      </w:r>
      <w:bookmarkStart w:id="39" w:name="_Toc27624"/>
      <w:r>
        <w:rPr>
          <w:rFonts w:hint="eastAsia" w:ascii="黑体" w:hAnsi="黑体" w:eastAsia="黑体"/>
          <w:b w:val="0"/>
          <w:bCs w:val="0"/>
          <w:color w:val="auto"/>
          <w:sz w:val="28"/>
          <w:szCs w:val="28"/>
          <w:highlight w:val="none"/>
        </w:rPr>
        <w:t>第二节 政府采购合同通用条款</w:t>
      </w:r>
      <w:bookmarkEnd w:id="39"/>
    </w:p>
    <w:p w14:paraId="1A2A78D8">
      <w:pPr>
        <w:tabs>
          <w:tab w:val="left" w:pos="8820"/>
          <w:tab w:val="left" w:pos="9345"/>
          <w:tab w:val="left" w:pos="9765"/>
        </w:tabs>
        <w:adjustRightInd w:val="0"/>
        <w:snapToGrid w:val="0"/>
        <w:spacing w:before="0" w:line="400" w:lineRule="exact"/>
        <w:jc w:val="left"/>
        <w:rPr>
          <w:rFonts w:ascii="宋体" w:hAnsi="宋体"/>
          <w:b/>
          <w:bCs/>
          <w:color w:val="auto"/>
          <w:sz w:val="24"/>
          <w:highlight w:val="none"/>
        </w:rPr>
      </w:pPr>
      <w:r>
        <w:rPr>
          <w:rFonts w:hint="eastAsia" w:ascii="宋体" w:hAnsi="宋体"/>
          <w:b/>
          <w:color w:val="auto"/>
          <w:sz w:val="24"/>
          <w:highlight w:val="none"/>
        </w:rPr>
        <w:t>1.</w:t>
      </w:r>
      <w:r>
        <w:rPr>
          <w:rFonts w:hint="eastAsia" w:ascii="宋体" w:hAnsi="宋体"/>
          <w:b/>
          <w:color w:val="auto"/>
          <w:sz w:val="24"/>
          <w:highlight w:val="none"/>
          <w:lang w:val="en-US" w:eastAsia="zh-CN"/>
        </w:rPr>
        <w:t xml:space="preserve"> </w:t>
      </w:r>
      <w:r>
        <w:rPr>
          <w:rFonts w:hint="eastAsia" w:ascii="宋体" w:hAnsi="宋体"/>
          <w:b/>
          <w:bCs/>
          <w:color w:val="auto"/>
          <w:sz w:val="24"/>
          <w:highlight w:val="none"/>
        </w:rPr>
        <w:t>定义</w:t>
      </w:r>
    </w:p>
    <w:p w14:paraId="3C3BFF1F">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1.1合同当事人</w:t>
      </w:r>
    </w:p>
    <w:p w14:paraId="69AA13D3">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（1）采购人（以下称甲方）是指使用财政性资金，通过政府采购方式向供应商购买货物</w:t>
      </w:r>
      <w:r>
        <w:rPr>
          <w:rFonts w:hint="eastAsia" w:ascii="宋体" w:hAnsi="宋体"/>
          <w:color w:val="auto"/>
          <w:szCs w:val="21"/>
          <w:highlight w:val="none"/>
          <w:lang w:val="en-US" w:eastAsia="zh-CN"/>
        </w:rPr>
        <w:t>及其相关服务的</w:t>
      </w:r>
      <w:r>
        <w:rPr>
          <w:rFonts w:hint="eastAsia" w:ascii="宋体" w:hAnsi="宋体"/>
          <w:color w:val="auto"/>
          <w:szCs w:val="21"/>
          <w:highlight w:val="none"/>
        </w:rPr>
        <w:t>国家机关、事业单位、团体组织。</w:t>
      </w:r>
    </w:p>
    <w:p w14:paraId="7A9F07C5">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（2）供应商（以下称</w:t>
      </w:r>
      <w:r>
        <w:rPr>
          <w:rFonts w:hint="eastAsia" w:ascii="宋体" w:hAnsi="宋体"/>
          <w:color w:val="auto"/>
          <w:szCs w:val="21"/>
          <w:highlight w:val="none"/>
          <w:lang w:eastAsia="zh-CN"/>
        </w:rPr>
        <w:t>乙</w:t>
      </w:r>
      <w:r>
        <w:rPr>
          <w:rFonts w:hint="eastAsia" w:ascii="宋体" w:hAnsi="宋体"/>
          <w:color w:val="auto"/>
          <w:szCs w:val="21"/>
          <w:highlight w:val="none"/>
        </w:rPr>
        <w:t>方）是指参加政府采购活动并且中标（成交），向采购人提供</w:t>
      </w:r>
      <w:r>
        <w:rPr>
          <w:rFonts w:hint="eastAsia" w:ascii="宋体" w:hAnsi="宋体"/>
          <w:color w:val="auto"/>
          <w:szCs w:val="21"/>
          <w:highlight w:val="none"/>
          <w:lang w:val="en-US" w:eastAsia="zh-CN"/>
        </w:rPr>
        <w:t>合同约定的货物及其相关服务的法人、非法人组织或者自然人</w:t>
      </w:r>
      <w:r>
        <w:rPr>
          <w:rFonts w:hint="eastAsia" w:ascii="宋体" w:hAnsi="宋体"/>
          <w:color w:val="auto"/>
          <w:szCs w:val="21"/>
          <w:highlight w:val="none"/>
        </w:rPr>
        <w:t>。</w:t>
      </w:r>
    </w:p>
    <w:p w14:paraId="42C956B2">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（3）其他合同主体是指除采购人和供应商以外，</w:t>
      </w:r>
      <w:r>
        <w:rPr>
          <w:rFonts w:hint="eastAsia" w:ascii="宋体" w:hAnsi="宋体" w:eastAsia="宋体" w:cs="宋体"/>
          <w:bCs/>
          <w:color w:val="auto"/>
          <w:szCs w:val="21"/>
          <w:highlight w:val="none"/>
        </w:rPr>
        <w:t>依法参与合同缔结或履行，享有权利、承担义务的合同当事人</w:t>
      </w:r>
      <w:r>
        <w:rPr>
          <w:rFonts w:hint="eastAsia" w:ascii="宋体" w:hAnsi="宋体"/>
          <w:color w:val="auto"/>
          <w:szCs w:val="21"/>
          <w:highlight w:val="none"/>
        </w:rPr>
        <w:t>。</w:t>
      </w:r>
    </w:p>
    <w:p w14:paraId="4CE64514">
      <w:pPr>
        <w:tabs>
          <w:tab w:val="left" w:pos="570"/>
          <w:tab w:val="left" w:pos="9240"/>
          <w:tab w:val="left" w:pos="9555"/>
        </w:tabs>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1.2本合同下列术语应解释为：</w:t>
      </w:r>
    </w:p>
    <w:p w14:paraId="50F7C347">
      <w:pPr>
        <w:adjustRightInd w:val="0"/>
        <w:snapToGrid w:val="0"/>
        <w:spacing w:before="0" w:beforeLines="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（1）“合同”系指</w:t>
      </w:r>
      <w:r>
        <w:rPr>
          <w:rFonts w:hint="eastAsia" w:ascii="宋体" w:hAnsi="宋体" w:eastAsia="宋体" w:cs="宋体"/>
          <w:bCs/>
          <w:color w:val="auto"/>
          <w:szCs w:val="21"/>
          <w:highlight w:val="none"/>
        </w:rPr>
        <w:t>合同当事人意思表示达成一致的任何协议，包括签署的</w:t>
      </w:r>
      <w:r>
        <w:rPr>
          <w:rFonts w:hint="eastAsia" w:ascii="宋体" w:hAnsi="宋体"/>
          <w:color w:val="auto"/>
          <w:szCs w:val="21"/>
          <w:highlight w:val="none"/>
          <w:lang w:eastAsia="zh-CN"/>
        </w:rPr>
        <w:t>政府采购</w:t>
      </w:r>
      <w:r>
        <w:rPr>
          <w:rFonts w:hint="eastAsia" w:ascii="宋体" w:hAnsi="宋体"/>
          <w:color w:val="auto"/>
          <w:szCs w:val="21"/>
          <w:highlight w:val="none"/>
        </w:rPr>
        <w:t>合同协议书及其变更、补充</w:t>
      </w:r>
      <w:r>
        <w:rPr>
          <w:rFonts w:hint="eastAsia" w:ascii="宋体" w:hAnsi="宋体"/>
          <w:color w:val="auto"/>
          <w:szCs w:val="21"/>
          <w:highlight w:val="none"/>
          <w:lang w:eastAsia="zh-CN"/>
        </w:rPr>
        <w:t>协议，</w:t>
      </w:r>
      <w:r>
        <w:rPr>
          <w:rFonts w:hint="eastAsia" w:ascii="宋体" w:hAnsi="宋体"/>
          <w:color w:val="auto"/>
          <w:szCs w:val="21"/>
          <w:highlight w:val="none"/>
        </w:rPr>
        <w:t>政府采购合同专用条款</w:t>
      </w:r>
      <w:r>
        <w:rPr>
          <w:rFonts w:hint="eastAsia" w:ascii="宋体" w:hAnsi="宋体"/>
          <w:color w:val="auto"/>
          <w:szCs w:val="21"/>
          <w:highlight w:val="none"/>
          <w:lang w:eastAsia="zh-CN"/>
        </w:rPr>
        <w:t>，</w:t>
      </w:r>
      <w:r>
        <w:rPr>
          <w:rFonts w:hint="eastAsia" w:ascii="宋体" w:hAnsi="宋体"/>
          <w:color w:val="auto"/>
          <w:szCs w:val="21"/>
          <w:highlight w:val="none"/>
        </w:rPr>
        <w:t>政府采购合同通用条款</w:t>
      </w:r>
      <w:r>
        <w:rPr>
          <w:rFonts w:hint="eastAsia" w:ascii="宋体" w:hAnsi="宋体"/>
          <w:color w:val="auto"/>
          <w:szCs w:val="21"/>
          <w:highlight w:val="none"/>
          <w:lang w:eastAsia="zh-CN"/>
        </w:rPr>
        <w:t>，</w:t>
      </w:r>
      <w:r>
        <w:rPr>
          <w:rFonts w:hint="eastAsia" w:ascii="宋体" w:hAnsi="宋体"/>
          <w:color w:val="auto"/>
          <w:szCs w:val="21"/>
          <w:highlight w:val="none"/>
        </w:rPr>
        <w:t>中标</w:t>
      </w:r>
      <w:r>
        <w:rPr>
          <w:rFonts w:hint="eastAsia" w:ascii="宋体" w:hAnsi="宋体"/>
          <w:color w:val="auto"/>
          <w:szCs w:val="21"/>
          <w:highlight w:val="none"/>
          <w:lang w:eastAsia="zh-CN"/>
        </w:rPr>
        <w:t>（成交）</w:t>
      </w:r>
      <w:r>
        <w:rPr>
          <w:rFonts w:hint="eastAsia" w:ascii="宋体" w:hAnsi="宋体"/>
          <w:color w:val="auto"/>
          <w:szCs w:val="21"/>
          <w:highlight w:val="none"/>
        </w:rPr>
        <w:t>通知书</w:t>
      </w:r>
      <w:r>
        <w:rPr>
          <w:rFonts w:hint="eastAsia" w:ascii="宋体" w:hAnsi="宋体"/>
          <w:color w:val="auto"/>
          <w:szCs w:val="21"/>
          <w:highlight w:val="none"/>
          <w:lang w:eastAsia="zh-CN"/>
        </w:rPr>
        <w:t>，</w:t>
      </w:r>
      <w:r>
        <w:rPr>
          <w:rFonts w:hint="eastAsia" w:ascii="宋体" w:hAnsi="宋体"/>
          <w:color w:val="auto"/>
          <w:szCs w:val="21"/>
          <w:highlight w:val="none"/>
        </w:rPr>
        <w:t>投标（响应）文件</w:t>
      </w:r>
      <w:r>
        <w:rPr>
          <w:rFonts w:hint="eastAsia" w:ascii="宋体" w:hAnsi="宋体"/>
          <w:color w:val="auto"/>
          <w:szCs w:val="21"/>
          <w:highlight w:val="none"/>
          <w:lang w:eastAsia="zh-CN"/>
        </w:rPr>
        <w:t>，</w:t>
      </w:r>
      <w:r>
        <w:rPr>
          <w:rFonts w:hint="eastAsia" w:ascii="宋体" w:hAnsi="宋体"/>
          <w:color w:val="auto"/>
          <w:szCs w:val="21"/>
          <w:highlight w:val="none"/>
        </w:rPr>
        <w:t>采购文件</w:t>
      </w:r>
      <w:r>
        <w:rPr>
          <w:rFonts w:hint="eastAsia" w:ascii="宋体" w:hAnsi="宋体"/>
          <w:color w:val="auto"/>
          <w:szCs w:val="21"/>
          <w:highlight w:val="none"/>
          <w:lang w:eastAsia="zh-CN"/>
        </w:rPr>
        <w:t>，</w:t>
      </w:r>
      <w:r>
        <w:rPr>
          <w:rFonts w:hint="eastAsia" w:ascii="宋体" w:hAnsi="宋体"/>
          <w:color w:val="auto"/>
          <w:szCs w:val="21"/>
          <w:highlight w:val="none"/>
        </w:rPr>
        <w:t>有关技术文件</w:t>
      </w:r>
      <w:r>
        <w:rPr>
          <w:rFonts w:hint="eastAsia" w:ascii="宋体" w:hAnsi="宋体"/>
          <w:color w:val="auto"/>
          <w:szCs w:val="21"/>
          <w:highlight w:val="none"/>
          <w:lang w:eastAsia="zh-CN"/>
        </w:rPr>
        <w:t>和</w:t>
      </w:r>
      <w:r>
        <w:rPr>
          <w:rFonts w:hint="eastAsia" w:ascii="宋体" w:hAnsi="宋体"/>
          <w:color w:val="auto"/>
          <w:szCs w:val="21"/>
          <w:highlight w:val="none"/>
        </w:rPr>
        <w:t>图纸</w:t>
      </w:r>
      <w:r>
        <w:rPr>
          <w:rFonts w:hint="eastAsia" w:ascii="宋体" w:hAnsi="宋体"/>
          <w:color w:val="auto"/>
          <w:szCs w:val="21"/>
          <w:highlight w:val="none"/>
          <w:lang w:eastAsia="zh-CN"/>
        </w:rPr>
        <w:t>，以及</w:t>
      </w:r>
      <w:r>
        <w:rPr>
          <w:rFonts w:hint="eastAsia" w:ascii="宋体" w:hAnsi="宋体" w:eastAsia="宋体" w:cs="宋体"/>
          <w:bCs w:val="0"/>
          <w:color w:val="auto"/>
          <w:kern w:val="2"/>
          <w:sz w:val="21"/>
          <w:szCs w:val="21"/>
          <w:highlight w:val="none"/>
          <w:lang w:eastAsia="zh-CN"/>
        </w:rPr>
        <w:t>国家法律、行政法规和规章制度规定或合同约定的作为合同组成部分的其他文件</w:t>
      </w:r>
      <w:r>
        <w:rPr>
          <w:rFonts w:hint="eastAsia" w:ascii="宋体" w:hAnsi="宋体"/>
          <w:color w:val="auto"/>
          <w:szCs w:val="21"/>
          <w:highlight w:val="none"/>
        </w:rPr>
        <w:t>。</w:t>
      </w:r>
    </w:p>
    <w:p w14:paraId="526B9FDF">
      <w:pPr>
        <w:tabs>
          <w:tab w:val="left" w:pos="570"/>
          <w:tab w:val="left" w:pos="9240"/>
          <w:tab w:val="left" w:pos="9555"/>
        </w:tabs>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）“合同价</w:t>
      </w:r>
      <w:r>
        <w:rPr>
          <w:rFonts w:hint="eastAsia" w:ascii="宋体" w:hAnsi="宋体"/>
          <w:color w:val="auto"/>
          <w:szCs w:val="21"/>
          <w:highlight w:val="none"/>
          <w:lang w:val="en-US" w:eastAsia="zh-CN"/>
        </w:rPr>
        <w:t>款</w:t>
      </w:r>
      <w:r>
        <w:rPr>
          <w:rFonts w:hint="eastAsia" w:ascii="宋体" w:hAnsi="宋体"/>
          <w:color w:val="auto"/>
          <w:szCs w:val="21"/>
          <w:highlight w:val="none"/>
        </w:rPr>
        <w:t>”系指根据本合同规定乙方在全面履行合同义务后甲方应支付给乙方的价款。</w:t>
      </w:r>
    </w:p>
    <w:p w14:paraId="309D8FDA">
      <w:pPr>
        <w:tabs>
          <w:tab w:val="left" w:pos="570"/>
          <w:tab w:val="left" w:pos="9240"/>
          <w:tab w:val="left" w:pos="9555"/>
        </w:tabs>
        <w:adjustRightInd w:val="0"/>
        <w:snapToGrid w:val="0"/>
        <w:spacing w:before="0" w:line="400" w:lineRule="exact"/>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）“货物”系指乙方根据本合同规定须向甲方提供的各种形态和种类的物品，包括原材料、设备、产品（包括软件）及相关的其备品备件、工具、手册及</w:t>
      </w:r>
      <w:r>
        <w:rPr>
          <w:rFonts w:hint="default" w:ascii="宋体" w:hAnsi="宋体"/>
          <w:color w:val="auto"/>
          <w:szCs w:val="21"/>
          <w:highlight w:val="none"/>
          <w:lang w:val="en"/>
        </w:rPr>
        <w:t>其他</w:t>
      </w:r>
      <w:r>
        <w:rPr>
          <w:rFonts w:hint="eastAsia" w:ascii="宋体" w:hAnsi="宋体"/>
          <w:color w:val="auto"/>
          <w:szCs w:val="21"/>
          <w:highlight w:val="none"/>
        </w:rPr>
        <w:t>技术资料和材料</w:t>
      </w:r>
      <w:r>
        <w:rPr>
          <w:rFonts w:hint="eastAsia" w:ascii="宋体" w:hAnsi="宋体"/>
          <w:color w:val="auto"/>
          <w:szCs w:val="21"/>
          <w:highlight w:val="none"/>
          <w:lang w:eastAsia="zh-CN"/>
        </w:rPr>
        <w:t>等</w:t>
      </w:r>
      <w:r>
        <w:rPr>
          <w:rFonts w:hint="eastAsia" w:ascii="宋体" w:hAnsi="宋体"/>
          <w:color w:val="auto"/>
          <w:szCs w:val="21"/>
          <w:highlight w:val="none"/>
        </w:rPr>
        <w:t>。</w:t>
      </w:r>
    </w:p>
    <w:p w14:paraId="0F7E0F4B">
      <w:pPr>
        <w:adjustRightInd w:val="0"/>
        <w:snapToGrid w:val="0"/>
        <w:spacing w:before="0" w:line="400" w:lineRule="exact"/>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w:t>
      </w:r>
      <w:r>
        <w:rPr>
          <w:rFonts w:hint="eastAsia" w:ascii="宋体" w:hAnsi="宋体"/>
          <w:color w:val="auto"/>
          <w:szCs w:val="21"/>
          <w:highlight w:val="none"/>
          <w:lang w:val="en-US" w:eastAsia="zh-CN"/>
        </w:rPr>
        <w:t>相关</w:t>
      </w:r>
      <w:r>
        <w:rPr>
          <w:rFonts w:hint="eastAsia" w:ascii="宋体" w:hAnsi="宋体"/>
          <w:color w:val="auto"/>
          <w:szCs w:val="21"/>
          <w:highlight w:val="none"/>
        </w:rPr>
        <w:t>服务”系指根据合同规定，乙方应提供的</w:t>
      </w:r>
      <w:r>
        <w:rPr>
          <w:rFonts w:hint="eastAsia" w:ascii="宋体" w:hAnsi="宋体"/>
          <w:color w:val="auto"/>
          <w:szCs w:val="21"/>
          <w:highlight w:val="none"/>
          <w:lang w:val="en-US" w:eastAsia="zh-CN"/>
        </w:rPr>
        <w:t>与货物有关的</w:t>
      </w:r>
      <w:r>
        <w:rPr>
          <w:rFonts w:hint="eastAsia" w:ascii="宋体" w:hAnsi="宋体"/>
          <w:color w:val="auto"/>
          <w:szCs w:val="21"/>
          <w:highlight w:val="none"/>
        </w:rPr>
        <w:t>技术、管理和</w:t>
      </w:r>
      <w:r>
        <w:rPr>
          <w:rFonts w:hint="default" w:ascii="宋体" w:hAnsi="宋体"/>
          <w:color w:val="auto"/>
          <w:szCs w:val="21"/>
          <w:highlight w:val="none"/>
          <w:lang w:val="en"/>
        </w:rPr>
        <w:t>其他</w:t>
      </w:r>
      <w:r>
        <w:rPr>
          <w:rFonts w:hint="eastAsia" w:ascii="宋体" w:hAnsi="宋体"/>
          <w:color w:val="auto"/>
          <w:szCs w:val="21"/>
          <w:highlight w:val="none"/>
        </w:rPr>
        <w:t>服务，包括但不限于：管理和质量保证、运输、保险、检验、现场准备、安装、集成、调试、培训、维修、</w:t>
      </w:r>
      <w:r>
        <w:rPr>
          <w:rFonts w:hint="eastAsia" w:ascii="宋体" w:hAnsi="宋体"/>
          <w:color w:val="auto"/>
          <w:szCs w:val="21"/>
          <w:highlight w:val="none"/>
          <w:lang w:eastAsia="zh-CN"/>
        </w:rPr>
        <w:t>废弃处置、</w:t>
      </w:r>
      <w:r>
        <w:rPr>
          <w:rFonts w:hint="eastAsia" w:ascii="宋体" w:hAnsi="宋体"/>
          <w:color w:val="auto"/>
          <w:szCs w:val="21"/>
          <w:highlight w:val="none"/>
        </w:rPr>
        <w:t>技术支持等以及合同中规定乙方应承担的</w:t>
      </w:r>
      <w:r>
        <w:rPr>
          <w:rFonts w:hint="default" w:ascii="宋体" w:hAnsi="宋体"/>
          <w:color w:val="auto"/>
          <w:szCs w:val="21"/>
          <w:highlight w:val="none"/>
          <w:lang w:val="en"/>
        </w:rPr>
        <w:t>其他</w:t>
      </w:r>
      <w:r>
        <w:rPr>
          <w:rFonts w:hint="eastAsia" w:ascii="宋体" w:hAnsi="宋体"/>
          <w:color w:val="auto"/>
          <w:szCs w:val="21"/>
          <w:highlight w:val="none"/>
        </w:rPr>
        <w:t>义务。</w:t>
      </w:r>
    </w:p>
    <w:p w14:paraId="62EF277D">
      <w:pPr>
        <w:adjustRightInd w:val="0"/>
        <w:snapToGrid w:val="0"/>
        <w:spacing w:before="0" w:line="400" w:lineRule="exact"/>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w:t>
      </w:r>
      <w:r>
        <w:rPr>
          <w:rFonts w:hint="eastAsia" w:ascii="宋体" w:hAnsi="宋体"/>
          <w:color w:val="auto"/>
          <w:szCs w:val="21"/>
          <w:highlight w:val="none"/>
          <w:lang w:val="en-US" w:eastAsia="zh-CN"/>
        </w:rPr>
        <w:t>5</w:t>
      </w:r>
      <w:r>
        <w:rPr>
          <w:rFonts w:hint="eastAsia" w:ascii="宋体" w:hAnsi="宋体"/>
          <w:color w:val="auto"/>
          <w:szCs w:val="21"/>
          <w:highlight w:val="none"/>
        </w:rPr>
        <w:t>）“分包”系指中标</w:t>
      </w:r>
      <w:r>
        <w:rPr>
          <w:rFonts w:hint="eastAsia" w:ascii="宋体" w:hAnsi="宋体"/>
          <w:color w:val="auto"/>
          <w:szCs w:val="21"/>
          <w:highlight w:val="none"/>
          <w:lang w:eastAsia="zh-CN"/>
        </w:rPr>
        <w:t>（</w:t>
      </w:r>
      <w:r>
        <w:rPr>
          <w:rFonts w:hint="eastAsia" w:ascii="宋体" w:hAnsi="宋体"/>
          <w:color w:val="auto"/>
          <w:szCs w:val="21"/>
          <w:highlight w:val="none"/>
        </w:rPr>
        <w:t>成交</w:t>
      </w:r>
      <w:r>
        <w:rPr>
          <w:rFonts w:hint="eastAsia" w:ascii="宋体" w:hAnsi="宋体"/>
          <w:color w:val="auto"/>
          <w:szCs w:val="21"/>
          <w:highlight w:val="none"/>
          <w:lang w:eastAsia="zh-CN"/>
        </w:rPr>
        <w:t>）</w:t>
      </w:r>
      <w:r>
        <w:rPr>
          <w:rFonts w:hint="eastAsia" w:ascii="宋体" w:hAnsi="宋体"/>
          <w:color w:val="auto"/>
          <w:szCs w:val="21"/>
          <w:highlight w:val="none"/>
        </w:rPr>
        <w:t>供应商按采购文件、投标（响应）文件的规定，根据分包意向协议，将中标</w:t>
      </w:r>
      <w:r>
        <w:rPr>
          <w:rFonts w:hint="eastAsia" w:ascii="宋体" w:hAnsi="宋体"/>
          <w:color w:val="auto"/>
          <w:szCs w:val="21"/>
          <w:highlight w:val="none"/>
          <w:lang w:eastAsia="zh-CN"/>
        </w:rPr>
        <w:t>（</w:t>
      </w:r>
      <w:r>
        <w:rPr>
          <w:rFonts w:hint="eastAsia" w:ascii="宋体" w:hAnsi="宋体"/>
          <w:color w:val="auto"/>
          <w:szCs w:val="21"/>
          <w:highlight w:val="none"/>
        </w:rPr>
        <w:t>成交</w:t>
      </w:r>
      <w:r>
        <w:rPr>
          <w:rFonts w:hint="eastAsia" w:ascii="宋体" w:hAnsi="宋体"/>
          <w:color w:val="auto"/>
          <w:szCs w:val="21"/>
          <w:highlight w:val="none"/>
          <w:lang w:eastAsia="zh-CN"/>
        </w:rPr>
        <w:t>）</w:t>
      </w:r>
      <w:r>
        <w:rPr>
          <w:rFonts w:hint="eastAsia" w:ascii="宋体" w:hAnsi="宋体"/>
          <w:color w:val="auto"/>
          <w:szCs w:val="21"/>
          <w:highlight w:val="none"/>
        </w:rPr>
        <w:t>项目中的部分履约内容，分给具有相应资质条件的供应商履行合同的行为。</w:t>
      </w:r>
    </w:p>
    <w:p w14:paraId="2D7B4EBA">
      <w:pPr>
        <w:tabs>
          <w:tab w:val="left" w:pos="570"/>
          <w:tab w:val="left" w:pos="9240"/>
          <w:tab w:val="left" w:pos="9555"/>
        </w:tabs>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6</w:t>
      </w:r>
      <w:r>
        <w:rPr>
          <w:rFonts w:hint="eastAsia" w:ascii="宋体" w:hAnsi="宋体"/>
          <w:color w:val="auto"/>
          <w:szCs w:val="21"/>
          <w:highlight w:val="none"/>
        </w:rPr>
        <w:t>）</w:t>
      </w:r>
      <w:r>
        <w:rPr>
          <w:rFonts w:hint="eastAsia" w:ascii="宋体" w:hAnsi="宋体"/>
          <w:color w:val="auto"/>
          <w:szCs w:val="21"/>
          <w:highlight w:val="none"/>
        </w:rPr>
        <w:t>“联合体”系指</w:t>
      </w:r>
      <w:r>
        <w:rPr>
          <w:rFonts w:hint="eastAsia" w:ascii="宋体" w:hAnsi="宋体"/>
          <w:color w:val="auto"/>
          <w:szCs w:val="21"/>
          <w:highlight w:val="none"/>
          <w:lang w:eastAsia="zh-CN"/>
        </w:rPr>
        <w:t>由</w:t>
      </w:r>
      <w:r>
        <w:rPr>
          <w:rFonts w:hint="eastAsia" w:ascii="宋体" w:hAnsi="宋体"/>
          <w:color w:val="auto"/>
          <w:szCs w:val="21"/>
          <w:highlight w:val="none"/>
        </w:rPr>
        <w:t>两个以上的自然人、法人或者</w:t>
      </w:r>
      <w:r>
        <w:rPr>
          <w:rFonts w:hint="eastAsia" w:ascii="宋体" w:hAnsi="宋体"/>
          <w:color w:val="auto"/>
          <w:szCs w:val="21"/>
          <w:highlight w:val="none"/>
          <w:lang w:val="en-US" w:eastAsia="zh-CN"/>
        </w:rPr>
        <w:t>非法人</w:t>
      </w:r>
      <w:r>
        <w:rPr>
          <w:rFonts w:hint="eastAsia" w:ascii="宋体" w:hAnsi="宋体"/>
          <w:color w:val="auto"/>
          <w:szCs w:val="21"/>
          <w:highlight w:val="none"/>
        </w:rPr>
        <w:t>组织组成，</w:t>
      </w:r>
      <w:r>
        <w:rPr>
          <w:rFonts w:hint="eastAsia" w:ascii="宋体" w:hAnsi="宋体"/>
          <w:color w:val="auto"/>
          <w:szCs w:val="21"/>
          <w:highlight w:val="none"/>
          <w:lang w:eastAsia="zh-CN"/>
        </w:rPr>
        <w:t>以一个供应商的身份共同参加政府采购的主体</w:t>
      </w:r>
      <w:r>
        <w:rPr>
          <w:rFonts w:hint="eastAsia" w:ascii="宋体" w:hAnsi="宋体"/>
          <w:color w:val="auto"/>
          <w:szCs w:val="21"/>
          <w:highlight w:val="none"/>
          <w:lang w:eastAsia="zh-CN"/>
        </w:rPr>
        <w:t>。</w:t>
      </w:r>
      <w:r>
        <w:rPr>
          <w:rFonts w:hint="eastAsia" w:ascii="宋体" w:hAnsi="宋体"/>
          <w:color w:val="auto"/>
          <w:szCs w:val="21"/>
          <w:highlight w:val="none"/>
        </w:rPr>
        <w:t>联合体各方应在签订合同协议书前向甲方提交联合协议，且明确牵头人及各成员单位的工作分工、权利、义务、责任，联合体各方应共同与甲方签订合同，就合同约定的事项对</w:t>
      </w:r>
      <w:r>
        <w:rPr>
          <w:rFonts w:hint="eastAsia" w:ascii="宋体" w:hAnsi="宋体"/>
          <w:color w:val="auto"/>
          <w:szCs w:val="21"/>
          <w:highlight w:val="none"/>
          <w:lang w:eastAsia="zh-CN"/>
        </w:rPr>
        <w:t>甲方</w:t>
      </w:r>
      <w:r>
        <w:rPr>
          <w:rFonts w:hint="eastAsia" w:ascii="宋体" w:hAnsi="宋体"/>
          <w:color w:val="auto"/>
          <w:szCs w:val="21"/>
          <w:highlight w:val="none"/>
        </w:rPr>
        <w:t>承担连带责任。联合体具体要求见【</w:t>
      </w:r>
      <w:r>
        <w:rPr>
          <w:rFonts w:hint="eastAsia" w:ascii="宋体" w:hAnsi="宋体"/>
          <w:b/>
          <w:bCs/>
          <w:color w:val="auto"/>
          <w:szCs w:val="21"/>
          <w:highlight w:val="none"/>
        </w:rPr>
        <w:t>政府采购合同专用条款</w:t>
      </w:r>
      <w:r>
        <w:rPr>
          <w:rFonts w:hint="eastAsia" w:ascii="宋体" w:hAnsi="宋体"/>
          <w:color w:val="auto"/>
          <w:szCs w:val="21"/>
          <w:highlight w:val="none"/>
        </w:rPr>
        <w:t>】。</w:t>
      </w:r>
    </w:p>
    <w:p w14:paraId="39EEF0A3">
      <w:pPr>
        <w:tabs>
          <w:tab w:val="left" w:pos="570"/>
          <w:tab w:val="left" w:pos="9240"/>
          <w:tab w:val="left" w:pos="9555"/>
        </w:tabs>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7</w:t>
      </w:r>
      <w:r>
        <w:rPr>
          <w:rFonts w:hint="eastAsia" w:ascii="宋体" w:hAnsi="宋体"/>
          <w:color w:val="auto"/>
          <w:szCs w:val="21"/>
          <w:highlight w:val="none"/>
        </w:rPr>
        <w:t>）其他术语解释，见【</w:t>
      </w:r>
      <w:r>
        <w:rPr>
          <w:rFonts w:hint="eastAsia" w:ascii="宋体" w:hAnsi="宋体"/>
          <w:b/>
          <w:bCs/>
          <w:color w:val="auto"/>
          <w:szCs w:val="21"/>
          <w:highlight w:val="none"/>
        </w:rPr>
        <w:t>政府采购合同专用条款</w:t>
      </w:r>
      <w:r>
        <w:rPr>
          <w:rFonts w:hint="eastAsia" w:ascii="宋体" w:hAnsi="宋体"/>
          <w:color w:val="auto"/>
          <w:szCs w:val="21"/>
          <w:highlight w:val="none"/>
        </w:rPr>
        <w:t>】。</w:t>
      </w:r>
    </w:p>
    <w:p w14:paraId="63596A99">
      <w:pPr>
        <w:numPr>
          <w:ilvl w:val="0"/>
          <w:numId w:val="14"/>
        </w:num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color w:val="auto"/>
          <w:sz w:val="24"/>
          <w:highlight w:val="none"/>
        </w:rPr>
        <w:t>合同标的及金额</w:t>
      </w:r>
    </w:p>
    <w:p w14:paraId="7FE16525">
      <w:pPr>
        <w:autoSpaceDE w:val="0"/>
        <w:autoSpaceDN w:val="0"/>
        <w:adjustRightInd w:val="0"/>
        <w:snapToGrid w:val="0"/>
        <w:spacing w:before="0" w:line="400" w:lineRule="exact"/>
        <w:ind w:firstLine="420" w:firstLineChars="200"/>
        <w:jc w:val="left"/>
        <w:rPr>
          <w:rFonts w:ascii="宋体" w:hAnsi="宋体"/>
          <w:b/>
          <w:bCs/>
          <w:i/>
          <w:iCs/>
          <w:color w:val="auto"/>
          <w:szCs w:val="21"/>
          <w:highlight w:val="none"/>
        </w:rPr>
      </w:pPr>
      <w:r>
        <w:rPr>
          <w:rFonts w:hint="eastAsia" w:ascii="宋体" w:hAnsi="宋体"/>
          <w:color w:val="auto"/>
          <w:szCs w:val="21"/>
          <w:highlight w:val="none"/>
          <w:lang w:eastAsia="zh-CN"/>
        </w:rPr>
        <w:t>2</w:t>
      </w:r>
      <w:r>
        <w:rPr>
          <w:rFonts w:hint="eastAsia" w:ascii="宋体" w:hAnsi="宋体"/>
          <w:color w:val="auto"/>
          <w:szCs w:val="21"/>
          <w:highlight w:val="none"/>
        </w:rPr>
        <w:t>.1 合同标的及金额应与中标（成交）结果一致。乙方为履行本合同而发生的所有费用均应包含在合同</w:t>
      </w:r>
      <w:r>
        <w:rPr>
          <w:rFonts w:hint="eastAsia" w:ascii="宋体" w:hAnsi="宋体"/>
          <w:color w:val="auto"/>
          <w:szCs w:val="21"/>
          <w:highlight w:val="none"/>
          <w:lang w:eastAsia="zh-CN"/>
        </w:rPr>
        <w:t>价款</w:t>
      </w:r>
      <w:r>
        <w:rPr>
          <w:rFonts w:hint="eastAsia" w:ascii="宋体" w:hAnsi="宋体"/>
          <w:color w:val="auto"/>
          <w:szCs w:val="21"/>
          <w:highlight w:val="none"/>
        </w:rPr>
        <w:t>中，甲方不再另行支付</w:t>
      </w:r>
      <w:r>
        <w:rPr>
          <w:rFonts w:hint="default" w:ascii="宋体" w:hAnsi="宋体"/>
          <w:color w:val="auto"/>
          <w:szCs w:val="21"/>
          <w:highlight w:val="none"/>
          <w:lang w:val="en"/>
        </w:rPr>
        <w:t>其他</w:t>
      </w:r>
      <w:r>
        <w:rPr>
          <w:rFonts w:hint="eastAsia" w:ascii="宋体" w:hAnsi="宋体"/>
          <w:color w:val="auto"/>
          <w:szCs w:val="21"/>
          <w:highlight w:val="none"/>
        </w:rPr>
        <w:t>任何费用。</w:t>
      </w:r>
    </w:p>
    <w:p w14:paraId="222B0A4C">
      <w:pPr>
        <w:adjustRightInd w:val="0"/>
        <w:snapToGrid w:val="0"/>
        <w:spacing w:before="0" w:line="400" w:lineRule="exact"/>
        <w:jc w:val="left"/>
        <w:rPr>
          <w:rFonts w:ascii="宋体" w:hAnsi="宋体"/>
          <w:b/>
          <w:color w:val="auto"/>
          <w:sz w:val="24"/>
          <w:highlight w:val="none"/>
        </w:rPr>
      </w:pPr>
      <w:r>
        <w:rPr>
          <w:rFonts w:hint="eastAsia" w:ascii="宋体" w:hAnsi="宋体"/>
          <w:b/>
          <w:color w:val="auto"/>
          <w:sz w:val="24"/>
          <w:highlight w:val="none"/>
          <w:lang w:eastAsia="zh-CN"/>
        </w:rPr>
        <w:t>3</w:t>
      </w:r>
      <w:r>
        <w:rPr>
          <w:rFonts w:hint="eastAsia" w:ascii="宋体" w:hAnsi="宋体"/>
          <w:b/>
          <w:color w:val="auto"/>
          <w:sz w:val="24"/>
          <w:highlight w:val="none"/>
          <w:lang w:val="en-US" w:eastAsia="zh-CN"/>
        </w:rPr>
        <w:t xml:space="preserve">. </w:t>
      </w:r>
      <w:r>
        <w:rPr>
          <w:rFonts w:hint="eastAsia" w:ascii="宋体" w:hAnsi="宋体"/>
          <w:b/>
          <w:color w:val="auto"/>
          <w:sz w:val="24"/>
          <w:highlight w:val="none"/>
        </w:rPr>
        <w:t>履行合同的时间、地点和方式</w:t>
      </w:r>
    </w:p>
    <w:p w14:paraId="378D10E6">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3</w:t>
      </w:r>
      <w:r>
        <w:rPr>
          <w:rFonts w:hint="eastAsia" w:ascii="宋体" w:hAnsi="宋体"/>
          <w:color w:val="auto"/>
          <w:szCs w:val="21"/>
          <w:highlight w:val="none"/>
        </w:rPr>
        <w:t xml:space="preserve">.1 </w:t>
      </w:r>
      <w:r>
        <w:rPr>
          <w:rFonts w:hint="eastAsia" w:ascii="宋体" w:hAnsi="宋体" w:eastAsia="宋体" w:cs="宋体"/>
          <w:color w:val="auto"/>
          <w:szCs w:val="21"/>
          <w:highlight w:val="none"/>
        </w:rPr>
        <w:t>乙方应当在约定的时间、地点</w:t>
      </w:r>
      <w:r>
        <w:rPr>
          <w:rFonts w:hint="eastAsia" w:ascii="宋体" w:hAnsi="宋体" w:cs="宋体"/>
          <w:color w:val="auto"/>
          <w:szCs w:val="21"/>
          <w:highlight w:val="none"/>
          <w:lang w:eastAsia="zh-CN"/>
        </w:rPr>
        <w:t>，按照约定</w:t>
      </w:r>
      <w:r>
        <w:rPr>
          <w:rFonts w:hint="eastAsia" w:ascii="宋体" w:hAnsi="宋体" w:eastAsia="宋体" w:cs="宋体"/>
          <w:color w:val="auto"/>
          <w:szCs w:val="21"/>
          <w:highlight w:val="none"/>
        </w:rPr>
        <w:t>方式履行合同。</w:t>
      </w:r>
    </w:p>
    <w:p w14:paraId="2FDC34C1">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lang w:eastAsia="zh-CN"/>
        </w:rPr>
        <w:t>4</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甲方的权利和义务</w:t>
      </w:r>
    </w:p>
    <w:p w14:paraId="7325C7C5">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4</w:t>
      </w:r>
      <w:r>
        <w:rPr>
          <w:rFonts w:hint="eastAsia" w:ascii="宋体" w:hAnsi="宋体"/>
          <w:color w:val="auto"/>
          <w:szCs w:val="21"/>
          <w:highlight w:val="none"/>
        </w:rPr>
        <w:t>.1</w:t>
      </w:r>
      <w:r>
        <w:rPr>
          <w:rFonts w:ascii="宋体" w:hAnsi="宋体"/>
          <w:color w:val="auto"/>
          <w:szCs w:val="21"/>
          <w:highlight w:val="none"/>
        </w:rPr>
        <w:t xml:space="preserve"> 签署合同后，甲方</w:t>
      </w:r>
      <w:r>
        <w:rPr>
          <w:rFonts w:hint="eastAsia" w:ascii="宋体" w:hAnsi="宋体"/>
          <w:color w:val="auto"/>
          <w:szCs w:val="21"/>
          <w:highlight w:val="none"/>
          <w:lang w:eastAsia="zh-CN"/>
        </w:rPr>
        <w:t>应</w:t>
      </w:r>
      <w:r>
        <w:rPr>
          <w:rFonts w:ascii="宋体" w:hAnsi="宋体"/>
          <w:color w:val="auto"/>
          <w:szCs w:val="21"/>
          <w:highlight w:val="none"/>
        </w:rPr>
        <w:t>确定</w:t>
      </w:r>
      <w:r>
        <w:rPr>
          <w:rFonts w:hint="eastAsia" w:ascii="宋体" w:hAnsi="宋体"/>
          <w:color w:val="auto"/>
          <w:szCs w:val="21"/>
          <w:highlight w:val="none"/>
          <w:lang w:val="en-US" w:eastAsia="zh-CN"/>
        </w:rPr>
        <w:t>项目负责人（或项目联系人）</w:t>
      </w:r>
      <w:r>
        <w:rPr>
          <w:rFonts w:ascii="宋体" w:hAnsi="宋体"/>
          <w:color w:val="auto"/>
          <w:szCs w:val="21"/>
          <w:highlight w:val="none"/>
        </w:rPr>
        <w:t>，负责与本合同有关的事务。</w:t>
      </w:r>
      <w:r>
        <w:rPr>
          <w:rFonts w:hint="eastAsia" w:ascii="宋体" w:hAnsi="宋体"/>
          <w:color w:val="auto"/>
          <w:szCs w:val="21"/>
          <w:highlight w:val="none"/>
        </w:rPr>
        <w:t>甲方有权对乙方的履约行为进行检查，并</w:t>
      </w:r>
      <w:r>
        <w:rPr>
          <w:rFonts w:ascii="宋体" w:hAnsi="宋体"/>
          <w:color w:val="auto"/>
          <w:szCs w:val="21"/>
          <w:highlight w:val="none"/>
        </w:rPr>
        <w:t>及时确认乙方提交的事项</w:t>
      </w:r>
      <w:r>
        <w:rPr>
          <w:rFonts w:hint="eastAsia" w:ascii="宋体" w:hAnsi="宋体"/>
          <w:color w:val="auto"/>
          <w:szCs w:val="21"/>
          <w:highlight w:val="none"/>
        </w:rPr>
        <w:t>。甲方应当</w:t>
      </w:r>
      <w:r>
        <w:rPr>
          <w:rFonts w:ascii="宋体" w:hAnsi="宋体"/>
          <w:color w:val="auto"/>
          <w:szCs w:val="21"/>
          <w:highlight w:val="none"/>
        </w:rPr>
        <w:t>配合乙方完成</w:t>
      </w:r>
      <w:r>
        <w:rPr>
          <w:rFonts w:hint="eastAsia" w:ascii="宋体" w:hAnsi="宋体"/>
          <w:color w:val="auto"/>
          <w:szCs w:val="21"/>
          <w:highlight w:val="none"/>
        </w:rPr>
        <w:t>相关项目</w:t>
      </w:r>
      <w:r>
        <w:rPr>
          <w:rFonts w:ascii="宋体" w:hAnsi="宋体"/>
          <w:color w:val="auto"/>
          <w:szCs w:val="21"/>
          <w:highlight w:val="none"/>
        </w:rPr>
        <w:t>实施工作。</w:t>
      </w:r>
    </w:p>
    <w:p w14:paraId="5F49A259">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4</w:t>
      </w:r>
      <w:r>
        <w:rPr>
          <w:rFonts w:hint="eastAsia" w:ascii="宋体" w:hAnsi="宋体"/>
          <w:color w:val="auto"/>
          <w:szCs w:val="21"/>
          <w:highlight w:val="none"/>
        </w:rPr>
        <w:t xml:space="preserve">.2 </w:t>
      </w:r>
      <w:r>
        <w:rPr>
          <w:rFonts w:ascii="宋体" w:hAnsi="宋体"/>
          <w:color w:val="auto"/>
          <w:szCs w:val="21"/>
          <w:highlight w:val="none"/>
        </w:rPr>
        <w:t>甲方有权要求乙方按时提交各阶段有关</w:t>
      </w:r>
      <w:r>
        <w:rPr>
          <w:rFonts w:hint="eastAsia" w:ascii="宋体" w:hAnsi="宋体"/>
          <w:color w:val="auto"/>
          <w:szCs w:val="21"/>
          <w:highlight w:val="none"/>
        </w:rPr>
        <w:t>安排计划</w:t>
      </w:r>
      <w:r>
        <w:rPr>
          <w:rFonts w:ascii="宋体" w:hAnsi="宋体"/>
          <w:color w:val="auto"/>
          <w:szCs w:val="21"/>
          <w:highlight w:val="none"/>
        </w:rPr>
        <w:t>，并有权</w:t>
      </w:r>
      <w:r>
        <w:rPr>
          <w:rFonts w:hint="eastAsia" w:ascii="宋体" w:hAnsi="宋体"/>
          <w:color w:val="auto"/>
          <w:szCs w:val="21"/>
          <w:highlight w:val="none"/>
        </w:rPr>
        <w:t>定期核对乙方提供货物数量、规格、质量等内容。甲方</w:t>
      </w:r>
      <w:r>
        <w:rPr>
          <w:rFonts w:ascii="宋体" w:hAnsi="宋体"/>
          <w:color w:val="auto"/>
          <w:szCs w:val="21"/>
          <w:highlight w:val="none"/>
        </w:rPr>
        <w:t>有权督促乙方工作并要求乙方</w:t>
      </w:r>
      <w:r>
        <w:rPr>
          <w:rFonts w:hint="eastAsia" w:ascii="宋体" w:hAnsi="宋体"/>
          <w:color w:val="auto"/>
          <w:szCs w:val="21"/>
          <w:highlight w:val="none"/>
        </w:rPr>
        <w:t>更</w:t>
      </w:r>
      <w:r>
        <w:rPr>
          <w:rFonts w:ascii="宋体" w:hAnsi="宋体"/>
          <w:color w:val="auto"/>
          <w:szCs w:val="21"/>
          <w:highlight w:val="none"/>
        </w:rPr>
        <w:t>换不符合要求的</w:t>
      </w:r>
      <w:r>
        <w:rPr>
          <w:rFonts w:hint="eastAsia" w:ascii="宋体" w:hAnsi="宋体"/>
          <w:color w:val="auto"/>
          <w:szCs w:val="21"/>
          <w:highlight w:val="none"/>
        </w:rPr>
        <w:t>货物</w:t>
      </w:r>
      <w:r>
        <w:rPr>
          <w:rFonts w:ascii="宋体" w:hAnsi="宋体"/>
          <w:color w:val="auto"/>
          <w:szCs w:val="21"/>
          <w:highlight w:val="none"/>
        </w:rPr>
        <w:t>。</w:t>
      </w:r>
    </w:p>
    <w:p w14:paraId="2D09C7BF">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lang w:eastAsia="zh-CN"/>
        </w:rPr>
        <w:t>4</w:t>
      </w: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 xml:space="preserve"> </w:t>
      </w:r>
      <w:r>
        <w:rPr>
          <w:rFonts w:ascii="宋体" w:hAnsi="宋体"/>
          <w:color w:val="auto"/>
          <w:szCs w:val="21"/>
          <w:highlight w:val="none"/>
        </w:rPr>
        <w:t>甲方</w:t>
      </w:r>
      <w:r>
        <w:rPr>
          <w:rFonts w:hint="eastAsia" w:ascii="宋体" w:hAnsi="宋体"/>
          <w:color w:val="auto"/>
          <w:szCs w:val="21"/>
          <w:highlight w:val="none"/>
        </w:rPr>
        <w:t>有权要求乙方对缺陷部分予以修复，并按合同约定享有货物保修及其他合同约定的权利。</w:t>
      </w:r>
    </w:p>
    <w:p w14:paraId="18212D09">
      <w:pPr>
        <w:snapToGrid w:val="0"/>
        <w:spacing w:line="400" w:lineRule="exact"/>
        <w:ind w:firstLine="420" w:firstLineChars="200"/>
        <w:rPr>
          <w:rFonts w:hint="eastAsia" w:eastAsia="华文楷体"/>
          <w:color w:val="auto"/>
          <w:highlight w:val="none"/>
          <w:lang w:val="en-US" w:eastAsia="zh-CN"/>
        </w:rPr>
      </w:pPr>
      <w:r>
        <w:rPr>
          <w:rFonts w:hint="default" w:ascii="宋体" w:hAnsi="宋体"/>
          <w:color w:val="auto"/>
          <w:szCs w:val="21"/>
          <w:highlight w:val="none"/>
          <w:lang w:val="en-US" w:eastAsia="zh-CN"/>
        </w:rPr>
        <w:t>4.4 甲方应当按照合同约定及时对交付的货物进行验收</w:t>
      </w:r>
      <w:r>
        <w:rPr>
          <w:rFonts w:hint="eastAsia" w:ascii="宋体" w:hAnsi="宋体"/>
          <w:color w:val="auto"/>
          <w:szCs w:val="21"/>
          <w:highlight w:val="none"/>
          <w:lang w:val="en-US" w:eastAsia="zh-CN"/>
        </w:rPr>
        <w:t>，</w:t>
      </w:r>
      <w:r>
        <w:rPr>
          <w:rFonts w:hint="eastAsia" w:ascii="宋体" w:hAnsi="宋体" w:cs="宋体"/>
          <w:b w:val="0"/>
          <w:bCs w:val="0"/>
          <w:color w:val="auto"/>
          <w:szCs w:val="21"/>
          <w:highlight w:val="none"/>
          <w:lang w:eastAsia="zh-CN"/>
        </w:rPr>
        <w:t>未</w:t>
      </w:r>
      <w:r>
        <w:rPr>
          <w:rFonts w:hint="eastAsia" w:ascii="宋体" w:hAnsi="宋体"/>
          <w:color w:val="auto"/>
          <w:szCs w:val="21"/>
          <w:highlight w:val="none"/>
          <w:lang w:val="en-US" w:eastAsia="zh-CN"/>
        </w:rPr>
        <w:t>在</w:t>
      </w:r>
      <w:r>
        <w:rPr>
          <w:rFonts w:hint="eastAsia" w:ascii="宋体" w:hAnsi="宋体" w:eastAsia="宋体" w:cs="宋体"/>
          <w:b/>
          <w:bCs/>
          <w:color w:val="auto"/>
          <w:szCs w:val="21"/>
          <w:highlight w:val="none"/>
        </w:rPr>
        <w:t>【政府采购合同专用条款】</w:t>
      </w:r>
      <w:r>
        <w:rPr>
          <w:rFonts w:hint="eastAsia" w:ascii="宋体" w:hAnsi="宋体" w:cs="宋体"/>
          <w:b w:val="0"/>
          <w:bCs w:val="0"/>
          <w:color w:val="auto"/>
          <w:szCs w:val="21"/>
          <w:highlight w:val="none"/>
          <w:lang w:eastAsia="zh-CN"/>
        </w:rPr>
        <w:t>约定的期限内对乙方履约提出任何异议或者向乙方作出任何说明的，</w:t>
      </w:r>
      <w:r>
        <w:rPr>
          <w:rFonts w:hint="eastAsia" w:ascii="宋体" w:hAnsi="宋体"/>
          <w:color w:val="auto"/>
          <w:szCs w:val="21"/>
          <w:highlight w:val="none"/>
          <w:lang w:val="en-US" w:eastAsia="zh-CN"/>
        </w:rPr>
        <w:t>视为验收通过。</w:t>
      </w:r>
    </w:p>
    <w:p w14:paraId="0E445908">
      <w:pPr>
        <w:autoSpaceDE w:val="0"/>
        <w:autoSpaceDN w:val="0"/>
        <w:adjustRightInd w:val="0"/>
        <w:snapToGrid w:val="0"/>
        <w:spacing w:line="400" w:lineRule="exact"/>
        <w:ind w:firstLine="420" w:firstLineChars="200"/>
        <w:jc w:val="left"/>
        <w:rPr>
          <w:rFonts w:hint="eastAsia" w:ascii="宋体" w:hAnsi="宋体"/>
          <w:color w:val="auto"/>
          <w:szCs w:val="21"/>
          <w:highlight w:val="none"/>
        </w:rPr>
      </w:pPr>
      <w:r>
        <w:rPr>
          <w:rFonts w:hint="default" w:ascii="宋体" w:hAnsi="宋体"/>
          <w:color w:val="auto"/>
          <w:szCs w:val="21"/>
          <w:highlight w:val="none"/>
          <w:lang w:eastAsia="zh-CN"/>
        </w:rPr>
        <w:t>4</w:t>
      </w:r>
      <w:r>
        <w:rPr>
          <w:rFonts w:hint="eastAsia" w:ascii="宋体" w:hAnsi="宋体"/>
          <w:color w:val="auto"/>
          <w:szCs w:val="21"/>
          <w:highlight w:val="none"/>
        </w:rPr>
        <w:t>.</w:t>
      </w:r>
      <w:r>
        <w:rPr>
          <w:rFonts w:hint="default" w:ascii="宋体" w:hAnsi="宋体"/>
          <w:color w:val="auto"/>
          <w:szCs w:val="21"/>
          <w:highlight w:val="none"/>
          <w:lang w:val="en-US" w:eastAsia="zh-CN"/>
        </w:rPr>
        <w:t>5</w:t>
      </w:r>
      <w:r>
        <w:rPr>
          <w:rFonts w:ascii="宋体" w:hAnsi="宋体"/>
          <w:color w:val="auto"/>
          <w:szCs w:val="21"/>
          <w:highlight w:val="none"/>
        </w:rPr>
        <w:t xml:space="preserve"> </w:t>
      </w:r>
      <w:r>
        <w:rPr>
          <w:rFonts w:hint="eastAsia" w:ascii="宋体" w:hAnsi="宋体"/>
          <w:color w:val="auto"/>
          <w:szCs w:val="21"/>
          <w:highlight w:val="none"/>
        </w:rPr>
        <w:t>甲方应当根据合同约定</w:t>
      </w:r>
      <w:r>
        <w:rPr>
          <w:rFonts w:hint="eastAsia" w:ascii="宋体" w:hAnsi="宋体"/>
          <w:color w:val="auto"/>
          <w:szCs w:val="21"/>
          <w:highlight w:val="none"/>
          <w:lang w:eastAsia="zh-CN"/>
        </w:rPr>
        <w:t>及</w:t>
      </w:r>
      <w:r>
        <w:rPr>
          <w:rFonts w:hint="eastAsia" w:ascii="宋体" w:hAnsi="宋体"/>
          <w:color w:val="auto"/>
          <w:szCs w:val="21"/>
          <w:highlight w:val="none"/>
        </w:rPr>
        <w:t>时向乙方支付</w:t>
      </w:r>
      <w:r>
        <w:rPr>
          <w:rFonts w:hint="eastAsia" w:ascii="宋体" w:hAnsi="宋体"/>
          <w:color w:val="auto"/>
          <w:szCs w:val="21"/>
          <w:highlight w:val="none"/>
          <w:lang w:eastAsia="zh-CN"/>
        </w:rPr>
        <w:t>合同价款</w:t>
      </w:r>
      <w:r>
        <w:rPr>
          <w:rFonts w:hint="default" w:ascii="宋体" w:hAnsi="宋体"/>
          <w:color w:val="auto"/>
          <w:szCs w:val="21"/>
          <w:highlight w:val="none"/>
          <w:lang w:eastAsia="zh-CN"/>
        </w:rPr>
        <w:t>，不得以内部人员变更、履行内部付款流程等为由，拒绝或迟延支付。</w:t>
      </w:r>
    </w:p>
    <w:p w14:paraId="6E8EE01C">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4</w:t>
      </w:r>
      <w:r>
        <w:rPr>
          <w:rFonts w:hint="eastAsia" w:ascii="宋体" w:hAnsi="宋体"/>
          <w:color w:val="auto"/>
          <w:szCs w:val="21"/>
          <w:highlight w:val="none"/>
        </w:rPr>
        <w:t>.</w:t>
      </w:r>
      <w:r>
        <w:rPr>
          <w:rFonts w:hint="eastAsia" w:ascii="宋体" w:hAnsi="宋体"/>
          <w:color w:val="auto"/>
          <w:szCs w:val="21"/>
          <w:highlight w:val="none"/>
          <w:lang w:val="en-US" w:eastAsia="zh-CN"/>
        </w:rPr>
        <w:t>6</w:t>
      </w:r>
      <w:r>
        <w:rPr>
          <w:rFonts w:ascii="宋体" w:hAnsi="宋体"/>
          <w:color w:val="auto"/>
          <w:szCs w:val="21"/>
          <w:highlight w:val="none"/>
        </w:rPr>
        <w:t xml:space="preserve"> </w:t>
      </w:r>
      <w:r>
        <w:rPr>
          <w:rFonts w:hint="eastAsia" w:ascii="宋体" w:hAnsi="宋体"/>
          <w:color w:val="auto"/>
          <w:szCs w:val="21"/>
          <w:highlight w:val="none"/>
        </w:rPr>
        <w:t>国家法律法规规定</w:t>
      </w:r>
      <w:r>
        <w:rPr>
          <w:rFonts w:hint="eastAsia" w:ascii="宋体" w:hAnsi="宋体"/>
          <w:color w:val="auto"/>
          <w:szCs w:val="21"/>
          <w:highlight w:val="none"/>
          <w:lang w:eastAsia="zh-CN"/>
        </w:rPr>
        <w:t>及</w:t>
      </w:r>
      <w:r>
        <w:rPr>
          <w:rFonts w:hint="eastAsia" w:ascii="宋体" w:hAnsi="宋体" w:eastAsia="宋体" w:cs="宋体"/>
          <w:b/>
          <w:bCs/>
          <w:color w:val="auto"/>
          <w:szCs w:val="21"/>
          <w:highlight w:val="none"/>
        </w:rPr>
        <w:t>【政府采购合同专用条款】</w:t>
      </w:r>
      <w:r>
        <w:rPr>
          <w:rFonts w:hint="eastAsia" w:ascii="宋体" w:hAnsi="宋体"/>
          <w:color w:val="auto"/>
          <w:szCs w:val="21"/>
          <w:highlight w:val="none"/>
          <w:lang w:eastAsia="zh-CN"/>
        </w:rPr>
        <w:t>约定应</w:t>
      </w:r>
      <w:r>
        <w:rPr>
          <w:rFonts w:hint="eastAsia" w:ascii="宋体" w:hAnsi="宋体"/>
          <w:color w:val="auto"/>
          <w:szCs w:val="21"/>
          <w:highlight w:val="none"/>
        </w:rPr>
        <w:t>由甲方承担的其他义务和责任。</w:t>
      </w:r>
    </w:p>
    <w:p w14:paraId="26A9F9B5">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lang w:eastAsia="zh-CN"/>
        </w:rPr>
        <w:t>5</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乙方的权利和义务</w:t>
      </w:r>
    </w:p>
    <w:p w14:paraId="4390BC18">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5</w:t>
      </w:r>
      <w:r>
        <w:rPr>
          <w:rFonts w:hint="eastAsia" w:ascii="宋体" w:hAnsi="宋体"/>
          <w:color w:val="auto"/>
          <w:szCs w:val="21"/>
          <w:highlight w:val="none"/>
        </w:rPr>
        <w:t xml:space="preserve">.1 </w:t>
      </w:r>
      <w:r>
        <w:rPr>
          <w:rFonts w:ascii="宋体" w:hAnsi="宋体"/>
          <w:color w:val="auto"/>
          <w:szCs w:val="21"/>
          <w:highlight w:val="none"/>
        </w:rPr>
        <w:t>签署合同后，乙方</w:t>
      </w:r>
      <w:r>
        <w:rPr>
          <w:rFonts w:hint="eastAsia" w:ascii="宋体" w:hAnsi="宋体"/>
          <w:color w:val="auto"/>
          <w:szCs w:val="21"/>
          <w:highlight w:val="none"/>
          <w:lang w:eastAsia="zh-CN"/>
        </w:rPr>
        <w:t>应</w:t>
      </w:r>
      <w:r>
        <w:rPr>
          <w:rFonts w:ascii="宋体" w:hAnsi="宋体"/>
          <w:color w:val="auto"/>
          <w:szCs w:val="21"/>
          <w:highlight w:val="none"/>
        </w:rPr>
        <w:t>确定</w:t>
      </w:r>
      <w:r>
        <w:rPr>
          <w:rFonts w:hint="eastAsia" w:ascii="宋体" w:hAnsi="宋体"/>
          <w:color w:val="auto"/>
          <w:szCs w:val="21"/>
          <w:highlight w:val="none"/>
          <w:lang w:val="en-US" w:eastAsia="zh-CN"/>
        </w:rPr>
        <w:t>项目负责人（或项目联系人）</w:t>
      </w:r>
      <w:r>
        <w:rPr>
          <w:rFonts w:ascii="宋体" w:hAnsi="宋体"/>
          <w:color w:val="auto"/>
          <w:szCs w:val="21"/>
          <w:highlight w:val="none"/>
        </w:rPr>
        <w:t>，负责与本合同有关的事务。</w:t>
      </w:r>
    </w:p>
    <w:p w14:paraId="5B75A80A">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5</w:t>
      </w:r>
      <w:r>
        <w:rPr>
          <w:rFonts w:hint="eastAsia" w:ascii="宋体" w:hAnsi="宋体"/>
          <w:color w:val="auto"/>
          <w:szCs w:val="21"/>
          <w:highlight w:val="none"/>
        </w:rPr>
        <w:t>.</w:t>
      </w:r>
      <w:r>
        <w:rPr>
          <w:rFonts w:ascii="宋体" w:hAnsi="宋体"/>
          <w:color w:val="auto"/>
          <w:szCs w:val="21"/>
          <w:highlight w:val="none"/>
        </w:rPr>
        <w:t>2 乙方应按照合同要求</w:t>
      </w:r>
      <w:r>
        <w:rPr>
          <w:rFonts w:hint="eastAsia" w:ascii="宋体" w:hAnsi="宋体"/>
          <w:color w:val="auto"/>
          <w:szCs w:val="21"/>
          <w:highlight w:val="none"/>
        </w:rPr>
        <w:t>履约</w:t>
      </w:r>
      <w:r>
        <w:rPr>
          <w:rFonts w:ascii="宋体" w:hAnsi="宋体"/>
          <w:color w:val="auto"/>
          <w:szCs w:val="21"/>
          <w:highlight w:val="none"/>
        </w:rPr>
        <w:t>，充分合理安排，确保</w:t>
      </w:r>
      <w:r>
        <w:rPr>
          <w:rFonts w:hint="eastAsia" w:ascii="宋体" w:hAnsi="宋体"/>
          <w:color w:val="auto"/>
          <w:szCs w:val="21"/>
          <w:highlight w:val="none"/>
        </w:rPr>
        <w:t>提供的货物</w:t>
      </w:r>
      <w:r>
        <w:rPr>
          <w:rFonts w:hint="eastAsia" w:ascii="宋体" w:hAnsi="宋体"/>
          <w:color w:val="auto"/>
          <w:szCs w:val="21"/>
          <w:highlight w:val="none"/>
          <w:lang w:eastAsia="zh-CN"/>
        </w:rPr>
        <w:t>及相关</w:t>
      </w:r>
      <w:r>
        <w:rPr>
          <w:rFonts w:hint="eastAsia" w:ascii="宋体" w:hAnsi="宋体"/>
          <w:color w:val="auto"/>
          <w:szCs w:val="21"/>
          <w:highlight w:val="none"/>
        </w:rPr>
        <w:t>服务符合合同</w:t>
      </w:r>
      <w:r>
        <w:rPr>
          <w:rFonts w:hint="eastAsia" w:ascii="宋体" w:hAnsi="宋体"/>
          <w:color w:val="auto"/>
          <w:szCs w:val="21"/>
          <w:highlight w:val="none"/>
          <w:lang w:eastAsia="zh-CN"/>
        </w:rPr>
        <w:t>有关</w:t>
      </w:r>
      <w:r>
        <w:rPr>
          <w:rFonts w:ascii="宋体" w:hAnsi="宋体"/>
          <w:color w:val="auto"/>
          <w:szCs w:val="21"/>
          <w:highlight w:val="none"/>
        </w:rPr>
        <w:t>要求</w:t>
      </w:r>
      <w:r>
        <w:rPr>
          <w:rFonts w:hint="eastAsia" w:ascii="宋体" w:hAnsi="宋体"/>
          <w:color w:val="auto"/>
          <w:szCs w:val="21"/>
          <w:highlight w:val="none"/>
        </w:rPr>
        <w:t>。接受项目行业管理部门及政府有关部门的指导，配合甲方的履约检查</w:t>
      </w:r>
      <w:r>
        <w:rPr>
          <w:rFonts w:hint="eastAsia" w:ascii="宋体" w:hAnsi="宋体"/>
          <w:color w:val="auto"/>
          <w:szCs w:val="21"/>
          <w:highlight w:val="none"/>
          <w:lang w:eastAsia="zh-CN"/>
        </w:rPr>
        <w:t>及验收</w:t>
      </w:r>
      <w:r>
        <w:rPr>
          <w:rFonts w:hint="eastAsia" w:ascii="宋体" w:hAnsi="宋体"/>
          <w:color w:val="auto"/>
          <w:szCs w:val="21"/>
          <w:highlight w:val="none"/>
        </w:rPr>
        <w:t>，并</w:t>
      </w:r>
      <w:r>
        <w:rPr>
          <w:rFonts w:ascii="宋体" w:hAnsi="宋体"/>
          <w:color w:val="auto"/>
          <w:szCs w:val="21"/>
          <w:highlight w:val="none"/>
        </w:rPr>
        <w:t>负责项目实施过程中的所有协调工作。</w:t>
      </w:r>
    </w:p>
    <w:p w14:paraId="4E1346CB">
      <w:pPr>
        <w:pStyle w:val="7"/>
        <w:spacing w:after="0" w:line="400" w:lineRule="exact"/>
        <w:ind w:firstLine="369" w:firstLineChars="176"/>
        <w:rPr>
          <w:rFonts w:ascii="宋体" w:hAnsi="宋体" w:cs="宋体"/>
          <w:color w:val="auto"/>
          <w:szCs w:val="21"/>
          <w:highlight w:val="none"/>
        </w:rPr>
      </w:pPr>
      <w:r>
        <w:rPr>
          <w:rFonts w:hint="eastAsia" w:ascii="宋体" w:hAnsi="宋体"/>
          <w:color w:val="auto"/>
          <w:szCs w:val="21"/>
          <w:highlight w:val="none"/>
          <w:lang w:eastAsia="zh-CN"/>
        </w:rPr>
        <w:t>5</w:t>
      </w: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乙方有权</w:t>
      </w:r>
      <w:r>
        <w:rPr>
          <w:rFonts w:hint="eastAsia" w:ascii="宋体" w:hAnsi="宋体" w:cs="宋体"/>
          <w:color w:val="auto"/>
          <w:szCs w:val="21"/>
          <w:highlight w:val="none"/>
        </w:rPr>
        <w:t>根据合同约定向甲方收取</w:t>
      </w:r>
      <w:r>
        <w:rPr>
          <w:rFonts w:hint="eastAsia" w:ascii="宋体" w:hAnsi="宋体" w:cs="宋体"/>
          <w:color w:val="auto"/>
          <w:szCs w:val="21"/>
          <w:highlight w:val="none"/>
          <w:lang w:eastAsia="zh-CN"/>
        </w:rPr>
        <w:t>合同价款</w:t>
      </w:r>
      <w:r>
        <w:rPr>
          <w:rFonts w:hint="eastAsia" w:ascii="宋体" w:hAnsi="宋体" w:cs="宋体"/>
          <w:color w:val="auto"/>
          <w:szCs w:val="21"/>
          <w:highlight w:val="none"/>
        </w:rPr>
        <w:t>。</w:t>
      </w:r>
    </w:p>
    <w:p w14:paraId="54D51E9A">
      <w:pPr>
        <w:pStyle w:val="7"/>
        <w:spacing w:after="0" w:line="400" w:lineRule="exact"/>
        <w:ind w:firstLine="369" w:firstLineChars="176"/>
        <w:rPr>
          <w:rFonts w:ascii="宋体" w:hAnsi="宋体" w:cs="宋体"/>
          <w:color w:val="auto"/>
          <w:szCs w:val="21"/>
          <w:highlight w:val="none"/>
        </w:rPr>
      </w:pPr>
      <w:r>
        <w:rPr>
          <w:rFonts w:hint="eastAsia" w:ascii="宋体" w:hAnsi="宋体"/>
          <w:color w:val="auto"/>
          <w:szCs w:val="21"/>
          <w:highlight w:val="none"/>
          <w:lang w:eastAsia="zh-CN"/>
        </w:rPr>
        <w:t>5</w:t>
      </w:r>
      <w:r>
        <w:rPr>
          <w:rFonts w:hint="eastAsia" w:ascii="宋体" w:hAnsi="宋体"/>
          <w:color w:val="auto"/>
          <w:szCs w:val="21"/>
          <w:highlight w:val="none"/>
        </w:rPr>
        <w:t>.</w:t>
      </w:r>
      <w:r>
        <w:rPr>
          <w:rFonts w:ascii="宋体" w:hAnsi="宋体"/>
          <w:color w:val="auto"/>
          <w:szCs w:val="21"/>
          <w:highlight w:val="none"/>
        </w:rPr>
        <w:t>4</w:t>
      </w:r>
      <w:r>
        <w:rPr>
          <w:rFonts w:hint="eastAsia" w:ascii="宋体" w:hAnsi="宋体" w:cs="宋体"/>
          <w:color w:val="auto"/>
          <w:szCs w:val="21"/>
          <w:highlight w:val="none"/>
        </w:rPr>
        <w:t>国家法律法规规定</w:t>
      </w:r>
      <w:r>
        <w:rPr>
          <w:rFonts w:hint="eastAsia" w:ascii="宋体" w:hAnsi="宋体"/>
          <w:color w:val="auto"/>
          <w:szCs w:val="21"/>
          <w:highlight w:val="none"/>
          <w:lang w:eastAsia="zh-CN"/>
        </w:rPr>
        <w:t>及</w:t>
      </w:r>
      <w:r>
        <w:rPr>
          <w:rFonts w:hint="eastAsia" w:ascii="宋体" w:hAnsi="宋体" w:eastAsia="宋体" w:cs="宋体"/>
          <w:b/>
          <w:bCs/>
          <w:color w:val="auto"/>
          <w:szCs w:val="21"/>
          <w:highlight w:val="none"/>
        </w:rPr>
        <w:t>【政府采购合同专用条款】</w:t>
      </w:r>
      <w:r>
        <w:rPr>
          <w:rFonts w:hint="eastAsia" w:ascii="宋体" w:hAnsi="宋体" w:cs="宋体"/>
          <w:b w:val="0"/>
          <w:bCs w:val="0"/>
          <w:color w:val="auto"/>
          <w:szCs w:val="21"/>
          <w:highlight w:val="none"/>
          <w:lang w:eastAsia="zh-CN"/>
        </w:rPr>
        <w:t>约定应</w:t>
      </w:r>
      <w:r>
        <w:rPr>
          <w:rFonts w:hint="eastAsia" w:ascii="宋体" w:hAnsi="宋体" w:cs="宋体"/>
          <w:color w:val="auto"/>
          <w:szCs w:val="21"/>
          <w:highlight w:val="none"/>
        </w:rPr>
        <w:t>由乙方承担的其他义务和责任。</w:t>
      </w:r>
    </w:p>
    <w:p w14:paraId="4433382F">
      <w:pPr>
        <w:numPr>
          <w:ilvl w:val="0"/>
          <w:numId w:val="15"/>
        </w:numPr>
        <w:autoSpaceDE w:val="0"/>
        <w:autoSpaceDN w:val="0"/>
        <w:adjustRightInd w:val="0"/>
        <w:snapToGrid w:val="0"/>
        <w:spacing w:before="0" w:line="400" w:lineRule="exact"/>
        <w:jc w:val="left"/>
        <w:rPr>
          <w:rFonts w:hint="eastAsia" w:ascii="宋体" w:hAnsi="宋体"/>
          <w:b/>
          <w:bCs/>
          <w:color w:val="auto"/>
          <w:sz w:val="24"/>
          <w:highlight w:val="none"/>
        </w:rPr>
      </w:pPr>
      <w:r>
        <w:rPr>
          <w:rFonts w:hint="eastAsia" w:ascii="宋体" w:hAnsi="宋体"/>
          <w:b/>
          <w:bCs/>
          <w:color w:val="auto"/>
          <w:sz w:val="24"/>
          <w:highlight w:val="none"/>
        </w:rPr>
        <w:t>合同履</w:t>
      </w:r>
      <w:r>
        <w:rPr>
          <w:rFonts w:hint="eastAsia" w:ascii="宋体" w:hAnsi="宋体"/>
          <w:b/>
          <w:bCs/>
          <w:color w:val="auto"/>
          <w:sz w:val="24"/>
          <w:highlight w:val="none"/>
          <w:lang w:val="en-US" w:eastAsia="zh-CN"/>
        </w:rPr>
        <w:t>行</w:t>
      </w:r>
    </w:p>
    <w:p w14:paraId="0E658A9C">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6</w:t>
      </w:r>
      <w:r>
        <w:rPr>
          <w:rFonts w:hint="eastAsia" w:ascii="宋体" w:hAnsi="宋体"/>
          <w:color w:val="auto"/>
          <w:szCs w:val="21"/>
          <w:highlight w:val="none"/>
        </w:rPr>
        <w:t>.1 甲乙双方应当按照</w:t>
      </w:r>
      <w:r>
        <w:rPr>
          <w:rFonts w:hint="eastAsia" w:ascii="宋体" w:hAnsi="宋体" w:eastAsia="宋体" w:cs="宋体"/>
          <w:b/>
          <w:bCs/>
          <w:color w:val="auto"/>
          <w:szCs w:val="21"/>
          <w:highlight w:val="none"/>
        </w:rPr>
        <w:t>【政府采购合同专用条款】</w:t>
      </w:r>
      <w:r>
        <w:rPr>
          <w:rFonts w:hint="eastAsia" w:ascii="宋体" w:hAnsi="宋体"/>
          <w:color w:val="auto"/>
          <w:szCs w:val="21"/>
          <w:highlight w:val="none"/>
        </w:rPr>
        <w:t>约定顺序履行合同义务；如果没有先后顺序的，应当同时履行。</w:t>
      </w:r>
    </w:p>
    <w:p w14:paraId="5960AB5E">
      <w:pPr>
        <w:autoSpaceDE w:val="0"/>
        <w:autoSpaceDN w:val="0"/>
        <w:adjustRightInd w:val="0"/>
        <w:snapToGrid w:val="0"/>
        <w:spacing w:before="0" w:line="400" w:lineRule="exact"/>
        <w:ind w:firstLine="420" w:firstLineChars="200"/>
        <w:jc w:val="left"/>
        <w:rPr>
          <w:color w:val="auto"/>
          <w:highlight w:val="none"/>
        </w:rPr>
      </w:pPr>
      <w:r>
        <w:rPr>
          <w:rFonts w:hint="eastAsia" w:ascii="宋体" w:hAnsi="宋体"/>
          <w:color w:val="auto"/>
          <w:szCs w:val="21"/>
          <w:highlight w:val="none"/>
          <w:lang w:eastAsia="zh-CN"/>
        </w:rPr>
        <w:t>6</w:t>
      </w:r>
      <w:r>
        <w:rPr>
          <w:rFonts w:hint="eastAsia" w:ascii="宋体" w:hAnsi="宋体"/>
          <w:color w:val="auto"/>
          <w:szCs w:val="21"/>
          <w:highlight w:val="none"/>
        </w:rPr>
        <w:t>.2 甲乙双方按照合同约定顺序履行合同义务时，应当先履行一方未履行的，后履行一方有权拒绝其履行请求。先履行一方履行不符合约定的，后履行一方有权拒绝其相应的履行请求。</w:t>
      </w:r>
    </w:p>
    <w:p w14:paraId="5D03E4C2">
      <w:pPr>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lang w:eastAsia="zh-CN"/>
        </w:rPr>
        <w:t>7</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货物包装、运输</w:t>
      </w:r>
      <w:r>
        <w:rPr>
          <w:rFonts w:hint="eastAsia" w:ascii="宋体" w:hAnsi="宋体"/>
          <w:b/>
          <w:bCs/>
          <w:color w:val="auto"/>
          <w:sz w:val="24"/>
          <w:highlight w:val="none"/>
          <w:lang w:eastAsia="zh-CN"/>
        </w:rPr>
        <w:t>、</w:t>
      </w:r>
      <w:r>
        <w:rPr>
          <w:rFonts w:hint="eastAsia" w:ascii="宋体" w:hAnsi="宋体"/>
          <w:b/>
          <w:bCs/>
          <w:color w:val="auto"/>
          <w:sz w:val="24"/>
          <w:highlight w:val="none"/>
        </w:rPr>
        <w:t>保险</w:t>
      </w:r>
      <w:r>
        <w:rPr>
          <w:rFonts w:hint="eastAsia" w:ascii="宋体" w:hAnsi="宋体"/>
          <w:b/>
          <w:bCs/>
          <w:color w:val="auto"/>
          <w:sz w:val="24"/>
          <w:highlight w:val="none"/>
          <w:lang w:eastAsia="zh-CN"/>
        </w:rPr>
        <w:t>和交付</w:t>
      </w:r>
      <w:r>
        <w:rPr>
          <w:rFonts w:hint="eastAsia" w:ascii="宋体" w:hAnsi="宋体"/>
          <w:b/>
          <w:bCs/>
          <w:color w:val="auto"/>
          <w:sz w:val="24"/>
          <w:highlight w:val="none"/>
        </w:rPr>
        <w:t>要求</w:t>
      </w:r>
    </w:p>
    <w:p w14:paraId="4E4D875B">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7</w:t>
      </w:r>
      <w:r>
        <w:rPr>
          <w:rFonts w:hint="eastAsia" w:ascii="宋体" w:hAnsi="宋体"/>
          <w:color w:val="auto"/>
          <w:szCs w:val="21"/>
          <w:highlight w:val="none"/>
        </w:rPr>
        <w:t>.1 本合同</w:t>
      </w:r>
      <w:r>
        <w:rPr>
          <w:rFonts w:hint="eastAsia" w:ascii="宋体" w:hAnsi="宋体"/>
          <w:bCs/>
          <w:color w:val="auto"/>
          <w:szCs w:val="21"/>
          <w:highlight w:val="none"/>
        </w:rPr>
        <w:t>涉及商品包装</w:t>
      </w:r>
      <w:r>
        <w:rPr>
          <w:rFonts w:hint="eastAsia" w:ascii="宋体" w:hAnsi="宋体"/>
          <w:bCs/>
          <w:color w:val="auto"/>
          <w:szCs w:val="21"/>
          <w:highlight w:val="none"/>
          <w:lang w:eastAsia="zh-CN"/>
        </w:rPr>
        <w:t>、</w:t>
      </w:r>
      <w:r>
        <w:rPr>
          <w:rFonts w:hint="eastAsia" w:ascii="宋体" w:hAnsi="宋体"/>
          <w:bCs/>
          <w:color w:val="auto"/>
          <w:szCs w:val="21"/>
          <w:highlight w:val="none"/>
        </w:rPr>
        <w:t>快递包装的，</w:t>
      </w:r>
      <w:r>
        <w:rPr>
          <w:rFonts w:hint="eastAsia" w:ascii="宋体" w:hAnsi="宋体"/>
          <w:color w:val="auto"/>
          <w:szCs w:val="21"/>
          <w:highlight w:val="none"/>
        </w:rPr>
        <w:t>除</w:t>
      </w:r>
      <w:r>
        <w:rPr>
          <w:rFonts w:hint="eastAsia" w:ascii="宋体" w:hAnsi="宋体"/>
          <w:b/>
          <w:color w:val="auto"/>
          <w:szCs w:val="21"/>
          <w:highlight w:val="none"/>
        </w:rPr>
        <w:t>【政府采购合同专用条款】</w:t>
      </w:r>
      <w:r>
        <w:rPr>
          <w:rFonts w:hint="eastAsia" w:ascii="宋体" w:hAnsi="宋体"/>
          <w:bCs/>
          <w:color w:val="auto"/>
          <w:szCs w:val="21"/>
          <w:highlight w:val="none"/>
        </w:rPr>
        <w:t>另有</w:t>
      </w:r>
      <w:r>
        <w:rPr>
          <w:rFonts w:hint="eastAsia" w:ascii="宋体" w:hAnsi="宋体"/>
          <w:bCs/>
          <w:color w:val="auto"/>
          <w:szCs w:val="21"/>
          <w:highlight w:val="none"/>
          <w:lang w:eastAsia="zh-CN"/>
        </w:rPr>
        <w:t>约</w:t>
      </w:r>
      <w:r>
        <w:rPr>
          <w:rFonts w:hint="eastAsia" w:ascii="宋体" w:hAnsi="宋体"/>
          <w:bCs/>
          <w:color w:val="auto"/>
          <w:szCs w:val="21"/>
          <w:highlight w:val="none"/>
        </w:rPr>
        <w:t>定</w:t>
      </w:r>
      <w:r>
        <w:rPr>
          <w:rFonts w:hint="eastAsia" w:ascii="宋体" w:hAnsi="宋体"/>
          <w:bCs/>
          <w:color w:val="auto"/>
          <w:szCs w:val="21"/>
          <w:highlight w:val="none"/>
          <w:lang w:eastAsia="zh-CN"/>
        </w:rPr>
        <w:t>外</w:t>
      </w:r>
      <w:r>
        <w:rPr>
          <w:rFonts w:hint="eastAsia" w:ascii="宋体" w:hAnsi="宋体"/>
          <w:bCs/>
          <w:color w:val="auto"/>
          <w:szCs w:val="21"/>
          <w:highlight w:val="none"/>
        </w:rPr>
        <w:t>，</w:t>
      </w:r>
      <w:r>
        <w:rPr>
          <w:rFonts w:hint="eastAsia" w:ascii="宋体" w:hAnsi="宋体"/>
          <w:color w:val="auto"/>
          <w:szCs w:val="21"/>
          <w:highlight w:val="none"/>
        </w:rPr>
        <w:t>包装应适应远距离运输、防潮、防震、防锈和防野蛮装卸等要求，确保货物安全无损地运抵</w:t>
      </w:r>
      <w:r>
        <w:rPr>
          <w:rFonts w:hint="eastAsia" w:ascii="宋体" w:hAnsi="宋体"/>
          <w:b/>
          <w:color w:val="auto"/>
          <w:szCs w:val="21"/>
          <w:highlight w:val="none"/>
        </w:rPr>
        <w:t>【政府采购合同专用条款】</w:t>
      </w:r>
      <w:r>
        <w:rPr>
          <w:rFonts w:hint="eastAsia" w:ascii="宋体" w:hAnsi="宋体"/>
          <w:b w:val="0"/>
          <w:bCs/>
          <w:color w:val="auto"/>
          <w:szCs w:val="21"/>
          <w:highlight w:val="none"/>
          <w:lang w:eastAsia="zh-CN"/>
        </w:rPr>
        <w:t>约定的</w:t>
      </w:r>
      <w:r>
        <w:rPr>
          <w:rFonts w:hint="eastAsia" w:ascii="宋体" w:hAnsi="宋体"/>
          <w:color w:val="auto"/>
          <w:szCs w:val="21"/>
          <w:highlight w:val="none"/>
        </w:rPr>
        <w:t>指定现场。</w:t>
      </w:r>
    </w:p>
    <w:p w14:paraId="366B8B14">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7</w:t>
      </w:r>
      <w:r>
        <w:rPr>
          <w:rFonts w:hint="eastAsia" w:ascii="宋体" w:hAnsi="宋体"/>
          <w:color w:val="auto"/>
          <w:szCs w:val="21"/>
          <w:highlight w:val="none"/>
        </w:rPr>
        <w:t>.2 除</w:t>
      </w:r>
      <w:r>
        <w:rPr>
          <w:rFonts w:hint="eastAsia" w:ascii="宋体" w:hAnsi="宋体"/>
          <w:b/>
          <w:color w:val="auto"/>
          <w:szCs w:val="21"/>
          <w:highlight w:val="none"/>
        </w:rPr>
        <w:t>【政府采购合同专用条款】</w:t>
      </w:r>
      <w:r>
        <w:rPr>
          <w:rFonts w:hint="eastAsia" w:ascii="宋体" w:hAnsi="宋体"/>
          <w:bCs/>
          <w:color w:val="auto"/>
          <w:szCs w:val="21"/>
          <w:highlight w:val="none"/>
        </w:rPr>
        <w:t>另有</w:t>
      </w:r>
      <w:r>
        <w:rPr>
          <w:rFonts w:hint="eastAsia" w:ascii="宋体" w:hAnsi="宋体"/>
          <w:bCs/>
          <w:color w:val="auto"/>
          <w:szCs w:val="21"/>
          <w:highlight w:val="none"/>
          <w:lang w:eastAsia="zh-CN"/>
        </w:rPr>
        <w:t>约</w:t>
      </w:r>
      <w:r>
        <w:rPr>
          <w:rFonts w:hint="eastAsia" w:ascii="宋体" w:hAnsi="宋体"/>
          <w:bCs/>
          <w:color w:val="auto"/>
          <w:szCs w:val="21"/>
          <w:highlight w:val="none"/>
        </w:rPr>
        <w:t>定</w:t>
      </w:r>
      <w:r>
        <w:rPr>
          <w:rFonts w:hint="eastAsia" w:ascii="宋体" w:hAnsi="宋体"/>
          <w:bCs/>
          <w:color w:val="auto"/>
          <w:szCs w:val="21"/>
          <w:highlight w:val="none"/>
          <w:lang w:eastAsia="zh-CN"/>
        </w:rPr>
        <w:t>外</w:t>
      </w:r>
      <w:r>
        <w:rPr>
          <w:rFonts w:hint="eastAsia" w:ascii="宋体" w:hAnsi="宋体"/>
          <w:bCs/>
          <w:color w:val="auto"/>
          <w:szCs w:val="21"/>
          <w:highlight w:val="none"/>
        </w:rPr>
        <w:t>，</w:t>
      </w:r>
      <w:r>
        <w:rPr>
          <w:rFonts w:hint="eastAsia" w:ascii="宋体" w:hAnsi="宋体"/>
          <w:color w:val="auto"/>
          <w:szCs w:val="21"/>
          <w:highlight w:val="none"/>
        </w:rPr>
        <w:t>乙方负责办理将货物运抵本合同规定的交货地点</w:t>
      </w:r>
      <w:r>
        <w:rPr>
          <w:rFonts w:hint="eastAsia" w:ascii="宋体" w:hAnsi="宋体"/>
          <w:color w:val="auto"/>
          <w:szCs w:val="21"/>
          <w:highlight w:val="none"/>
          <w:lang w:eastAsia="zh-CN"/>
        </w:rPr>
        <w:t>，并装卸、交付至甲方</w:t>
      </w:r>
      <w:r>
        <w:rPr>
          <w:rFonts w:hint="eastAsia" w:ascii="宋体" w:hAnsi="宋体"/>
          <w:color w:val="auto"/>
          <w:szCs w:val="21"/>
          <w:highlight w:val="none"/>
        </w:rPr>
        <w:t>的一切运输事项，相关费用应</w:t>
      </w:r>
      <w:r>
        <w:rPr>
          <w:rFonts w:hint="eastAsia" w:ascii="宋体" w:hAnsi="宋体"/>
          <w:color w:val="auto"/>
          <w:szCs w:val="21"/>
          <w:highlight w:val="none"/>
          <w:lang w:eastAsia="zh-CN"/>
        </w:rPr>
        <w:t>包含</w:t>
      </w:r>
      <w:r>
        <w:rPr>
          <w:rFonts w:hint="eastAsia" w:ascii="宋体" w:hAnsi="宋体"/>
          <w:color w:val="auto"/>
          <w:szCs w:val="21"/>
          <w:highlight w:val="none"/>
        </w:rPr>
        <w:t>在合同</w:t>
      </w:r>
      <w:r>
        <w:rPr>
          <w:rFonts w:hint="eastAsia" w:ascii="宋体" w:hAnsi="宋体"/>
          <w:color w:val="auto"/>
          <w:szCs w:val="21"/>
          <w:highlight w:val="none"/>
          <w:lang w:eastAsia="zh-CN"/>
        </w:rPr>
        <w:t>价款</w:t>
      </w:r>
      <w:r>
        <w:rPr>
          <w:rFonts w:hint="eastAsia" w:ascii="宋体" w:hAnsi="宋体"/>
          <w:color w:val="auto"/>
          <w:szCs w:val="21"/>
          <w:highlight w:val="none"/>
        </w:rPr>
        <w:t>中。</w:t>
      </w:r>
    </w:p>
    <w:p w14:paraId="638A6BB7">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7</w:t>
      </w:r>
      <w:r>
        <w:rPr>
          <w:rFonts w:hint="eastAsia" w:ascii="宋体" w:hAnsi="宋体"/>
          <w:color w:val="auto"/>
          <w:szCs w:val="21"/>
          <w:highlight w:val="none"/>
        </w:rPr>
        <w:t>.3 货物保险要求按</w:t>
      </w:r>
      <w:r>
        <w:rPr>
          <w:rFonts w:hint="eastAsia" w:ascii="宋体" w:hAnsi="宋体"/>
          <w:b/>
          <w:color w:val="auto"/>
          <w:szCs w:val="21"/>
          <w:highlight w:val="none"/>
        </w:rPr>
        <w:t>【政府采购合同专用条款】</w:t>
      </w:r>
      <w:r>
        <w:rPr>
          <w:rFonts w:hint="eastAsia" w:ascii="宋体" w:hAnsi="宋体"/>
          <w:bCs/>
          <w:color w:val="auto"/>
          <w:szCs w:val="21"/>
          <w:highlight w:val="none"/>
        </w:rPr>
        <w:t>规定执行</w:t>
      </w:r>
      <w:r>
        <w:rPr>
          <w:rFonts w:hint="eastAsia" w:ascii="宋体" w:hAnsi="宋体"/>
          <w:color w:val="auto"/>
          <w:szCs w:val="21"/>
          <w:highlight w:val="none"/>
        </w:rPr>
        <w:t>。</w:t>
      </w:r>
    </w:p>
    <w:p w14:paraId="3B3BC086">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lang w:eastAsia="zh-CN"/>
        </w:rPr>
        <w:t>7</w:t>
      </w:r>
      <w:r>
        <w:rPr>
          <w:rFonts w:hint="eastAsia" w:ascii="宋体" w:hAnsi="宋体"/>
          <w:color w:val="auto"/>
          <w:szCs w:val="21"/>
          <w:highlight w:val="none"/>
        </w:rPr>
        <w:t xml:space="preserve">.4 </w:t>
      </w:r>
      <w:r>
        <w:rPr>
          <w:rFonts w:hint="eastAsia" w:ascii="宋体" w:hAnsi="宋体"/>
          <w:color w:val="auto"/>
          <w:szCs w:val="21"/>
          <w:highlight w:val="none"/>
          <w:lang w:val="en-US" w:eastAsia="zh-CN"/>
        </w:rPr>
        <w:t>除采购活动</w:t>
      </w:r>
      <w:r>
        <w:rPr>
          <w:rFonts w:hint="eastAsia" w:ascii="宋体" w:hAnsi="宋体"/>
          <w:color w:val="auto"/>
          <w:szCs w:val="21"/>
          <w:highlight w:val="none"/>
        </w:rPr>
        <w:t>对商品包装</w:t>
      </w:r>
      <w:r>
        <w:rPr>
          <w:rFonts w:hint="eastAsia" w:ascii="宋体" w:hAnsi="宋体"/>
          <w:color w:val="auto"/>
          <w:szCs w:val="21"/>
          <w:highlight w:val="none"/>
          <w:lang w:eastAsia="zh-CN"/>
        </w:rPr>
        <w:t>、</w:t>
      </w:r>
      <w:r>
        <w:rPr>
          <w:rFonts w:hint="eastAsia" w:ascii="宋体" w:hAnsi="宋体"/>
          <w:color w:val="auto"/>
          <w:szCs w:val="21"/>
          <w:highlight w:val="none"/>
        </w:rPr>
        <w:t>快递包装</w:t>
      </w:r>
      <w:r>
        <w:rPr>
          <w:rFonts w:hint="eastAsia" w:ascii="宋体" w:hAnsi="宋体"/>
          <w:color w:val="auto"/>
          <w:szCs w:val="21"/>
          <w:highlight w:val="none"/>
          <w:lang w:val="en-US" w:eastAsia="zh-CN"/>
        </w:rPr>
        <w:t>达成具体约定外</w:t>
      </w:r>
      <w:r>
        <w:rPr>
          <w:rFonts w:hint="eastAsia" w:ascii="宋体" w:hAnsi="宋体"/>
          <w:color w:val="auto"/>
          <w:szCs w:val="21"/>
          <w:highlight w:val="none"/>
        </w:rPr>
        <w:t>，乙方提供产品及相关快递服务</w:t>
      </w:r>
      <w:r>
        <w:rPr>
          <w:rFonts w:hint="eastAsia" w:ascii="宋体" w:hAnsi="宋体"/>
          <w:color w:val="auto"/>
          <w:szCs w:val="21"/>
          <w:highlight w:val="none"/>
          <w:lang w:val="en-US" w:eastAsia="zh-CN"/>
        </w:rPr>
        <w:t>涉及到</w:t>
      </w:r>
      <w:r>
        <w:rPr>
          <w:rFonts w:hint="eastAsia" w:ascii="宋体" w:hAnsi="宋体"/>
          <w:color w:val="auto"/>
          <w:szCs w:val="21"/>
          <w:highlight w:val="none"/>
        </w:rPr>
        <w:t>具体包装要求</w:t>
      </w:r>
      <w:r>
        <w:rPr>
          <w:rFonts w:hint="eastAsia" w:ascii="宋体" w:hAnsi="宋体"/>
          <w:color w:val="auto"/>
          <w:szCs w:val="21"/>
          <w:highlight w:val="none"/>
          <w:lang w:val="en-US" w:eastAsia="zh-CN"/>
        </w:rPr>
        <w:t>的，</w:t>
      </w:r>
      <w:r>
        <w:rPr>
          <w:rFonts w:hint="eastAsia" w:ascii="宋体" w:hAnsi="宋体"/>
          <w:color w:val="auto"/>
          <w:szCs w:val="21"/>
          <w:highlight w:val="none"/>
        </w:rPr>
        <w:t>应</w:t>
      </w:r>
      <w:r>
        <w:rPr>
          <w:rFonts w:hint="eastAsia" w:ascii="宋体" w:hAnsi="宋体"/>
          <w:color w:val="auto"/>
          <w:szCs w:val="21"/>
          <w:highlight w:val="none"/>
          <w:lang w:val="en-US" w:eastAsia="zh-CN"/>
        </w:rPr>
        <w:t>不低于</w:t>
      </w:r>
      <w:r>
        <w:rPr>
          <w:rFonts w:hint="eastAsia" w:ascii="宋体" w:hAnsi="宋体"/>
          <w:color w:val="auto"/>
          <w:szCs w:val="21"/>
          <w:highlight w:val="none"/>
        </w:rPr>
        <w:t>《商品包装政府采购需求标准（试行）</w:t>
      </w:r>
      <w:r>
        <w:rPr>
          <w:rFonts w:hint="eastAsia" w:ascii="宋体" w:hAnsi="宋体"/>
          <w:color w:val="auto"/>
          <w:szCs w:val="21"/>
          <w:highlight w:val="none"/>
          <w:lang w:eastAsia="zh-CN"/>
        </w:rPr>
        <w:t>》《</w:t>
      </w:r>
      <w:r>
        <w:rPr>
          <w:rFonts w:hint="eastAsia" w:ascii="宋体" w:hAnsi="宋体"/>
          <w:color w:val="auto"/>
          <w:szCs w:val="21"/>
          <w:highlight w:val="none"/>
        </w:rPr>
        <w:t>快递包装政府采购需求标准（试行）》</w:t>
      </w:r>
      <w:r>
        <w:rPr>
          <w:rFonts w:hint="eastAsia" w:ascii="宋体" w:hAnsi="宋体"/>
          <w:color w:val="auto"/>
          <w:szCs w:val="21"/>
          <w:highlight w:val="none"/>
          <w:lang w:val="en-US" w:eastAsia="zh-CN"/>
        </w:rPr>
        <w:t>标准</w:t>
      </w:r>
      <w:r>
        <w:rPr>
          <w:rFonts w:hint="eastAsia" w:ascii="宋体" w:hAnsi="宋体"/>
          <w:color w:val="auto"/>
          <w:szCs w:val="21"/>
          <w:highlight w:val="none"/>
        </w:rPr>
        <w:t>，并作为履约验收的内容，必要时甲方可以要求乙方在履约验收环节出具检测报告。</w:t>
      </w:r>
    </w:p>
    <w:p w14:paraId="716DDDD4">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lang w:val="en-US" w:eastAsia="zh-CN"/>
        </w:rPr>
        <w:t xml:space="preserve">7.5 </w:t>
      </w:r>
      <w:r>
        <w:rPr>
          <w:rFonts w:hint="eastAsia" w:ascii="宋体" w:hAnsi="宋体" w:eastAsia="宋体" w:cs="宋体"/>
          <w:color w:val="auto"/>
          <w:szCs w:val="21"/>
          <w:highlight w:val="none"/>
        </w:rPr>
        <w:t>乙方在运输到达之前</w:t>
      </w:r>
      <w:r>
        <w:rPr>
          <w:rFonts w:hint="eastAsia" w:ascii="宋体" w:hAnsi="宋体" w:cs="宋体"/>
          <w:color w:val="auto"/>
          <w:szCs w:val="21"/>
          <w:highlight w:val="none"/>
          <w:lang w:eastAsia="zh-CN"/>
        </w:rPr>
        <w:t>应</w:t>
      </w:r>
      <w:r>
        <w:rPr>
          <w:rFonts w:hint="eastAsia" w:ascii="宋体" w:hAnsi="宋体" w:eastAsia="宋体" w:cs="宋体"/>
          <w:color w:val="auto"/>
          <w:szCs w:val="21"/>
          <w:highlight w:val="none"/>
        </w:rPr>
        <w:t>提前通知</w:t>
      </w:r>
      <w:r>
        <w:rPr>
          <w:rFonts w:hint="eastAsia" w:ascii="宋体" w:hAnsi="宋体" w:cs="宋体"/>
          <w:color w:val="auto"/>
          <w:szCs w:val="21"/>
          <w:highlight w:val="none"/>
          <w:lang w:eastAsia="zh-CN"/>
        </w:rPr>
        <w:t>甲方</w:t>
      </w:r>
      <w:r>
        <w:rPr>
          <w:rFonts w:hint="eastAsia" w:ascii="宋体" w:hAnsi="宋体" w:eastAsia="宋体" w:cs="宋体"/>
          <w:color w:val="auto"/>
          <w:szCs w:val="21"/>
          <w:highlight w:val="none"/>
        </w:rPr>
        <w:t>，并提示货物运输装卸的注意事项</w:t>
      </w:r>
      <w:r>
        <w:rPr>
          <w:rFonts w:hint="eastAsia" w:ascii="宋体" w:hAnsi="宋体" w:cs="宋体"/>
          <w:color w:val="auto"/>
          <w:szCs w:val="21"/>
          <w:highlight w:val="none"/>
          <w:lang w:eastAsia="zh-CN"/>
        </w:rPr>
        <w:t>，甲方配合乙方做好货物的接收工作。</w:t>
      </w:r>
    </w:p>
    <w:p w14:paraId="456E771B">
      <w:pPr>
        <w:pStyle w:val="29"/>
        <w:rPr>
          <w:rFonts w:hint="default" w:eastAsia="华文楷体"/>
          <w:color w:val="auto"/>
          <w:sz w:val="21"/>
          <w:highlight w:val="none"/>
          <w:lang w:val="en-US" w:eastAsia="zh-CN"/>
        </w:rPr>
      </w:pPr>
      <w:r>
        <w:rPr>
          <w:rFonts w:hint="eastAsia" w:ascii="宋体" w:hAnsi="宋体" w:eastAsia="宋体" w:cs="Times New Roman"/>
          <w:color w:val="auto"/>
          <w:kern w:val="2"/>
          <w:sz w:val="21"/>
          <w:szCs w:val="21"/>
          <w:highlight w:val="none"/>
          <w:lang w:val="en-US" w:eastAsia="zh-CN"/>
        </w:rPr>
        <w:t xml:space="preserve">7.6 </w:t>
      </w:r>
      <w:r>
        <w:rPr>
          <w:rFonts w:hint="eastAsia" w:ascii="宋体" w:hAnsi="宋体" w:eastAsia="宋体" w:cs="Times New Roman"/>
          <w:color w:val="auto"/>
          <w:kern w:val="2"/>
          <w:sz w:val="21"/>
          <w:szCs w:val="21"/>
          <w:highlight w:val="none"/>
        </w:rPr>
        <w:t>如因包装</w:t>
      </w:r>
      <w:r>
        <w:rPr>
          <w:rFonts w:hint="eastAsia" w:ascii="宋体" w:hAnsi="宋体" w:eastAsia="宋体" w:cs="Times New Roman"/>
          <w:color w:val="auto"/>
          <w:kern w:val="2"/>
          <w:sz w:val="21"/>
          <w:szCs w:val="21"/>
          <w:highlight w:val="none"/>
          <w:lang w:eastAsia="zh-CN"/>
        </w:rPr>
        <w:t>、运输</w:t>
      </w:r>
      <w:r>
        <w:rPr>
          <w:rFonts w:hint="eastAsia" w:ascii="宋体" w:hAnsi="宋体" w:eastAsia="宋体" w:cs="Times New Roman"/>
          <w:color w:val="auto"/>
          <w:kern w:val="2"/>
          <w:sz w:val="21"/>
          <w:szCs w:val="21"/>
          <w:highlight w:val="none"/>
        </w:rPr>
        <w:t>问题导致货物</w:t>
      </w:r>
      <w:r>
        <w:rPr>
          <w:rFonts w:hint="eastAsia" w:ascii="宋体" w:hAnsi="宋体" w:eastAsia="宋体" w:cs="Times New Roman"/>
          <w:color w:val="auto"/>
          <w:kern w:val="2"/>
          <w:sz w:val="21"/>
          <w:szCs w:val="21"/>
          <w:highlight w:val="none"/>
          <w:lang w:eastAsia="zh-CN"/>
        </w:rPr>
        <w:t>损毁、丢失</w:t>
      </w:r>
      <w:r>
        <w:rPr>
          <w:rFonts w:hint="eastAsia" w:ascii="宋体" w:hAnsi="宋体" w:eastAsia="宋体" w:cs="Times New Roman"/>
          <w:color w:val="auto"/>
          <w:kern w:val="2"/>
          <w:sz w:val="21"/>
          <w:szCs w:val="21"/>
          <w:highlight w:val="none"/>
        </w:rPr>
        <w:t>或者品质下降，</w:t>
      </w:r>
      <w:r>
        <w:rPr>
          <w:rFonts w:hint="eastAsia" w:ascii="宋体" w:hAnsi="宋体" w:eastAsia="宋体" w:cs="Times New Roman"/>
          <w:color w:val="auto"/>
          <w:kern w:val="2"/>
          <w:sz w:val="21"/>
          <w:szCs w:val="21"/>
          <w:highlight w:val="none"/>
          <w:lang w:eastAsia="zh-CN"/>
        </w:rPr>
        <w:t>甲方</w:t>
      </w:r>
      <w:r>
        <w:rPr>
          <w:rFonts w:hint="eastAsia" w:ascii="宋体" w:hAnsi="宋体" w:eastAsia="宋体" w:cs="Times New Roman"/>
          <w:color w:val="auto"/>
          <w:kern w:val="2"/>
          <w:sz w:val="21"/>
          <w:szCs w:val="21"/>
          <w:highlight w:val="none"/>
        </w:rPr>
        <w:t>有权要求降价、换货、拒收部分或整批货物，由此</w:t>
      </w:r>
      <w:r>
        <w:rPr>
          <w:rFonts w:hint="eastAsia" w:ascii="宋体" w:hAnsi="宋体" w:eastAsia="宋体" w:cs="Times New Roman"/>
          <w:color w:val="auto"/>
          <w:kern w:val="2"/>
          <w:sz w:val="21"/>
          <w:szCs w:val="21"/>
          <w:highlight w:val="none"/>
          <w:lang w:eastAsia="zh-CN"/>
        </w:rPr>
        <w:t>产生</w:t>
      </w:r>
      <w:r>
        <w:rPr>
          <w:rFonts w:hint="eastAsia" w:ascii="宋体" w:hAnsi="宋体" w:eastAsia="宋体" w:cs="Times New Roman"/>
          <w:color w:val="auto"/>
          <w:kern w:val="2"/>
          <w:sz w:val="21"/>
          <w:szCs w:val="21"/>
          <w:highlight w:val="none"/>
        </w:rPr>
        <w:t>的费用和损失，均由</w:t>
      </w:r>
      <w:r>
        <w:rPr>
          <w:rFonts w:hint="eastAsia" w:ascii="宋体" w:hAnsi="宋体" w:eastAsia="宋体" w:cs="Times New Roman"/>
          <w:color w:val="auto"/>
          <w:kern w:val="2"/>
          <w:sz w:val="21"/>
          <w:szCs w:val="21"/>
          <w:highlight w:val="none"/>
          <w:lang w:eastAsia="zh-CN"/>
        </w:rPr>
        <w:t>乙方</w:t>
      </w:r>
      <w:r>
        <w:rPr>
          <w:rFonts w:hint="eastAsia" w:ascii="宋体" w:hAnsi="宋体" w:eastAsia="宋体" w:cs="Times New Roman"/>
          <w:color w:val="auto"/>
          <w:kern w:val="2"/>
          <w:sz w:val="21"/>
          <w:szCs w:val="21"/>
          <w:highlight w:val="none"/>
        </w:rPr>
        <w:t>承担。</w:t>
      </w:r>
    </w:p>
    <w:p w14:paraId="68B332BF">
      <w:pPr>
        <w:adjustRightInd w:val="0"/>
        <w:snapToGrid w:val="0"/>
        <w:spacing w:before="0" w:line="400" w:lineRule="exact"/>
        <w:jc w:val="left"/>
        <w:rPr>
          <w:rFonts w:ascii="宋体" w:hAnsi="宋体"/>
          <w:b/>
          <w:color w:val="auto"/>
          <w:sz w:val="24"/>
          <w:highlight w:val="none"/>
        </w:rPr>
      </w:pPr>
      <w:r>
        <w:rPr>
          <w:rFonts w:hint="eastAsia" w:ascii="宋体" w:hAnsi="宋体"/>
          <w:b/>
          <w:color w:val="auto"/>
          <w:sz w:val="24"/>
          <w:highlight w:val="none"/>
          <w:lang w:eastAsia="zh-CN"/>
        </w:rPr>
        <w:t>8</w:t>
      </w:r>
      <w:r>
        <w:rPr>
          <w:rFonts w:hint="eastAsia" w:ascii="宋体" w:hAnsi="宋体"/>
          <w:b/>
          <w:color w:val="auto"/>
          <w:sz w:val="24"/>
          <w:highlight w:val="none"/>
          <w:lang w:val="en-US" w:eastAsia="zh-CN"/>
        </w:rPr>
        <w:t xml:space="preserve">. </w:t>
      </w:r>
      <w:r>
        <w:rPr>
          <w:rFonts w:hint="eastAsia" w:ascii="宋体" w:hAnsi="宋体"/>
          <w:b/>
          <w:color w:val="auto"/>
          <w:sz w:val="24"/>
          <w:highlight w:val="none"/>
        </w:rPr>
        <w:t>质量标准和保证</w:t>
      </w:r>
    </w:p>
    <w:p w14:paraId="2C735971">
      <w:pPr>
        <w:pStyle w:val="9"/>
        <w:adjustRightInd w:val="0"/>
        <w:snapToGrid w:val="0"/>
        <w:spacing w:before="0" w:line="400" w:lineRule="exact"/>
        <w:ind w:firstLine="420" w:firstLineChars="200"/>
        <w:jc w:val="left"/>
        <w:rPr>
          <w:rFonts w:hAnsi="宋体"/>
          <w:b/>
          <w:color w:val="auto"/>
          <w:highlight w:val="none"/>
        </w:rPr>
      </w:pPr>
      <w:r>
        <w:rPr>
          <w:rFonts w:hint="eastAsia" w:hAnsi="宋体"/>
          <w:color w:val="auto"/>
          <w:highlight w:val="none"/>
          <w:lang w:eastAsia="zh-CN"/>
        </w:rPr>
        <w:t>8</w:t>
      </w:r>
      <w:r>
        <w:rPr>
          <w:rFonts w:hint="eastAsia" w:hAnsi="宋体"/>
          <w:color w:val="auto"/>
          <w:highlight w:val="none"/>
        </w:rPr>
        <w:t>.1 质量标准</w:t>
      </w:r>
    </w:p>
    <w:p w14:paraId="7C142B85">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（1）本合同下</w:t>
      </w:r>
      <w:r>
        <w:rPr>
          <w:rFonts w:hint="eastAsia" w:ascii="宋体" w:hAnsi="宋体"/>
          <w:color w:val="auto"/>
          <w:szCs w:val="21"/>
          <w:highlight w:val="none"/>
          <w:lang w:eastAsia="zh-CN"/>
        </w:rPr>
        <w:t>提供</w:t>
      </w:r>
      <w:r>
        <w:rPr>
          <w:rFonts w:hint="eastAsia" w:ascii="宋体" w:hAnsi="宋体"/>
          <w:color w:val="auto"/>
          <w:szCs w:val="21"/>
          <w:highlight w:val="none"/>
        </w:rPr>
        <w:t>的货物应符合</w:t>
      </w:r>
      <w:r>
        <w:rPr>
          <w:rFonts w:hint="eastAsia" w:ascii="宋体" w:hAnsi="宋体"/>
          <w:color w:val="auto"/>
          <w:szCs w:val="21"/>
          <w:highlight w:val="none"/>
          <w:lang w:eastAsia="zh-CN"/>
        </w:rPr>
        <w:t>合同</w:t>
      </w:r>
      <w:r>
        <w:rPr>
          <w:rFonts w:hint="eastAsia" w:ascii="宋体" w:hAnsi="宋体" w:cs="宋体"/>
          <w:color w:val="auto"/>
          <w:szCs w:val="21"/>
          <w:highlight w:val="none"/>
          <w:lang w:eastAsia="zh-CN"/>
        </w:rPr>
        <w:t>约</w:t>
      </w:r>
      <w:r>
        <w:rPr>
          <w:rFonts w:hint="eastAsia" w:ascii="宋体" w:hAnsi="宋体" w:eastAsia="宋体" w:cs="宋体"/>
          <w:color w:val="auto"/>
          <w:szCs w:val="21"/>
          <w:highlight w:val="none"/>
        </w:rPr>
        <w:t>定的品牌、规格型号、技术性能、配置、质量、数量等要求。</w:t>
      </w:r>
      <w:r>
        <w:rPr>
          <w:rFonts w:hint="eastAsia" w:ascii="宋体" w:hAnsi="宋体"/>
          <w:color w:val="auto"/>
          <w:szCs w:val="21"/>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color w:val="auto"/>
          <w:szCs w:val="21"/>
          <w:highlight w:val="none"/>
          <w:lang w:eastAsia="zh-CN"/>
        </w:rPr>
        <w:t>。</w:t>
      </w:r>
    </w:p>
    <w:p w14:paraId="00D9AE2F">
      <w:pPr>
        <w:pStyle w:val="9"/>
        <w:adjustRightInd w:val="0"/>
        <w:snapToGrid w:val="0"/>
        <w:spacing w:before="0" w:line="400" w:lineRule="exact"/>
        <w:ind w:firstLine="420" w:firstLineChars="200"/>
        <w:jc w:val="left"/>
        <w:rPr>
          <w:rFonts w:hAnsi="宋体"/>
          <w:color w:val="auto"/>
          <w:highlight w:val="none"/>
        </w:rPr>
      </w:pPr>
      <w:r>
        <w:rPr>
          <w:rFonts w:hint="eastAsia" w:hAnsi="宋体"/>
          <w:color w:val="auto"/>
          <w:highlight w:val="none"/>
        </w:rPr>
        <w:t>（2）采用中华人民共和国法定计量单位。</w:t>
      </w:r>
    </w:p>
    <w:p w14:paraId="6E04B7C6">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（3）乙方所</w:t>
      </w:r>
      <w:r>
        <w:rPr>
          <w:rFonts w:hint="eastAsia" w:ascii="宋体" w:hAnsi="宋体"/>
          <w:color w:val="auto"/>
          <w:szCs w:val="21"/>
          <w:highlight w:val="none"/>
          <w:lang w:eastAsia="zh-CN"/>
        </w:rPr>
        <w:t>提供</w:t>
      </w:r>
      <w:r>
        <w:rPr>
          <w:rFonts w:hint="eastAsia" w:ascii="宋体" w:hAnsi="宋体"/>
          <w:color w:val="auto"/>
          <w:szCs w:val="21"/>
          <w:highlight w:val="none"/>
        </w:rPr>
        <w:t>的货物应符合国家有关安全、环保、卫生</w:t>
      </w:r>
      <w:r>
        <w:rPr>
          <w:rFonts w:hint="eastAsia" w:ascii="宋体" w:hAnsi="宋体"/>
          <w:color w:val="auto"/>
          <w:szCs w:val="21"/>
          <w:highlight w:val="none"/>
          <w:lang w:eastAsia="zh-CN"/>
        </w:rPr>
        <w:t>的</w:t>
      </w:r>
      <w:r>
        <w:rPr>
          <w:rFonts w:hint="eastAsia" w:ascii="宋体" w:hAnsi="宋体"/>
          <w:color w:val="auto"/>
          <w:szCs w:val="21"/>
          <w:highlight w:val="none"/>
        </w:rPr>
        <w:t>规定。</w:t>
      </w:r>
    </w:p>
    <w:p w14:paraId="13C81043">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（4）乙方应向甲方提交所</w:t>
      </w:r>
      <w:r>
        <w:rPr>
          <w:rFonts w:hint="eastAsia" w:ascii="宋体" w:hAnsi="宋体"/>
          <w:color w:val="auto"/>
          <w:szCs w:val="21"/>
          <w:highlight w:val="none"/>
          <w:lang w:eastAsia="zh-CN"/>
        </w:rPr>
        <w:t>提供</w:t>
      </w:r>
      <w:r>
        <w:rPr>
          <w:rFonts w:hint="eastAsia" w:ascii="宋体" w:hAnsi="宋体"/>
          <w:color w:val="auto"/>
          <w:szCs w:val="21"/>
          <w:highlight w:val="none"/>
        </w:rPr>
        <w:t>货物的技术文件，包括相应的中文技术文件，如：产品目录、图纸、操作手册、使用说明、维护手册或服务指南</w:t>
      </w:r>
      <w:r>
        <w:rPr>
          <w:rFonts w:hint="eastAsia" w:ascii="宋体" w:hAnsi="宋体"/>
          <w:color w:val="auto"/>
          <w:szCs w:val="21"/>
          <w:highlight w:val="none"/>
          <w:lang w:eastAsia="zh-CN"/>
        </w:rPr>
        <w:t>等</w:t>
      </w:r>
      <w:r>
        <w:rPr>
          <w:rFonts w:hint="eastAsia" w:ascii="宋体" w:hAnsi="宋体"/>
          <w:color w:val="auto"/>
          <w:szCs w:val="21"/>
          <w:highlight w:val="none"/>
        </w:rPr>
        <w:t>。</w:t>
      </w:r>
      <w:r>
        <w:rPr>
          <w:rFonts w:hint="eastAsia" w:ascii="宋体" w:hAnsi="宋体"/>
          <w:color w:val="auto"/>
          <w:szCs w:val="21"/>
          <w:highlight w:val="none"/>
          <w:lang w:eastAsia="zh-CN"/>
        </w:rPr>
        <w:t>上述</w:t>
      </w:r>
      <w:r>
        <w:rPr>
          <w:rFonts w:hint="eastAsia" w:ascii="宋体" w:hAnsi="宋体"/>
          <w:color w:val="auto"/>
          <w:szCs w:val="21"/>
          <w:highlight w:val="none"/>
        </w:rPr>
        <w:t>文件应包装好随货物一同发运。</w:t>
      </w:r>
    </w:p>
    <w:p w14:paraId="6A6C37B4">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8</w:t>
      </w:r>
      <w:r>
        <w:rPr>
          <w:rFonts w:hint="eastAsia" w:ascii="宋体" w:hAnsi="宋体"/>
          <w:color w:val="auto"/>
          <w:szCs w:val="21"/>
          <w:highlight w:val="none"/>
        </w:rPr>
        <w:t>.2 保证</w:t>
      </w:r>
    </w:p>
    <w:p w14:paraId="6A3CA267">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（1）乙方应保证</w:t>
      </w:r>
      <w:r>
        <w:rPr>
          <w:rFonts w:hint="eastAsia" w:ascii="宋体" w:hAnsi="宋体"/>
          <w:color w:val="auto"/>
          <w:szCs w:val="21"/>
          <w:highlight w:val="none"/>
          <w:lang w:eastAsia="zh-CN"/>
        </w:rPr>
        <w:t>提供的货物</w:t>
      </w:r>
      <w:r>
        <w:rPr>
          <w:rFonts w:hint="eastAsia" w:ascii="宋体" w:hAnsi="宋体"/>
          <w:color w:val="auto"/>
          <w:szCs w:val="21"/>
          <w:highlight w:val="none"/>
        </w:rPr>
        <w:t>完全符合合同规定的质量、规格和性能要求。乙方应保证货物在正确安装、正常使用和保养条件下，</w:t>
      </w:r>
      <w:r>
        <w:rPr>
          <w:rFonts w:hint="eastAsia" w:ascii="宋体" w:hAnsi="宋体" w:eastAsia="宋体" w:cs="宋体"/>
          <w:color w:val="auto"/>
          <w:szCs w:val="21"/>
          <w:highlight w:val="none"/>
        </w:rPr>
        <w:t>在其使用寿命期内具</w:t>
      </w:r>
      <w:r>
        <w:rPr>
          <w:rFonts w:hint="eastAsia" w:ascii="宋体" w:hAnsi="宋体" w:cs="宋体"/>
          <w:color w:val="auto"/>
          <w:szCs w:val="21"/>
          <w:highlight w:val="none"/>
          <w:lang w:eastAsia="zh-CN"/>
        </w:rPr>
        <w:t>备合同约定</w:t>
      </w:r>
      <w:r>
        <w:rPr>
          <w:rFonts w:hint="eastAsia" w:ascii="宋体" w:hAnsi="宋体" w:eastAsia="宋体" w:cs="宋体"/>
          <w:color w:val="auto"/>
          <w:szCs w:val="21"/>
          <w:highlight w:val="none"/>
        </w:rPr>
        <w:t>的性能</w:t>
      </w:r>
      <w:r>
        <w:rPr>
          <w:rFonts w:hint="eastAsia" w:ascii="宋体" w:hAnsi="宋体"/>
          <w:color w:val="auto"/>
          <w:szCs w:val="21"/>
          <w:highlight w:val="none"/>
        </w:rPr>
        <w:t>。</w:t>
      </w:r>
      <w:r>
        <w:rPr>
          <w:rFonts w:hint="eastAsia" w:ascii="宋体" w:hAnsi="宋体"/>
          <w:color w:val="auto"/>
          <w:szCs w:val="21"/>
          <w:highlight w:val="none"/>
          <w:lang w:eastAsia="zh-CN"/>
        </w:rPr>
        <w:t>存在</w:t>
      </w:r>
      <w:r>
        <w:rPr>
          <w:rFonts w:hint="eastAsia" w:ascii="宋体" w:hAnsi="宋体"/>
          <w:color w:val="auto"/>
          <w:szCs w:val="21"/>
          <w:highlight w:val="none"/>
        </w:rPr>
        <w:t>质量保证期的，货物最终交付验收</w:t>
      </w:r>
      <w:r>
        <w:rPr>
          <w:rFonts w:hint="eastAsia" w:ascii="宋体" w:hAnsi="宋体"/>
          <w:color w:val="auto"/>
          <w:szCs w:val="21"/>
          <w:highlight w:val="none"/>
          <w:lang w:eastAsia="zh-CN"/>
        </w:rPr>
        <w:t>合格</w:t>
      </w:r>
      <w:r>
        <w:rPr>
          <w:rFonts w:hint="eastAsia" w:ascii="宋体" w:hAnsi="宋体"/>
          <w:color w:val="auto"/>
          <w:szCs w:val="21"/>
          <w:highlight w:val="none"/>
        </w:rPr>
        <w:t>后</w:t>
      </w:r>
      <w:r>
        <w:rPr>
          <w:rFonts w:hint="eastAsia" w:ascii="宋体" w:hAnsi="宋体"/>
          <w:color w:val="auto"/>
          <w:szCs w:val="21"/>
          <w:highlight w:val="none"/>
          <w:lang w:eastAsia="zh-CN"/>
        </w:rPr>
        <w:t>在</w:t>
      </w:r>
      <w:r>
        <w:rPr>
          <w:rFonts w:hint="eastAsia" w:ascii="宋体" w:hAnsi="宋体"/>
          <w:b/>
          <w:color w:val="auto"/>
          <w:szCs w:val="21"/>
          <w:highlight w:val="none"/>
        </w:rPr>
        <w:t>【政府采购合同专用条款】</w:t>
      </w:r>
      <w:r>
        <w:rPr>
          <w:rFonts w:hint="eastAsia" w:ascii="宋体" w:hAnsi="宋体"/>
          <w:color w:val="auto"/>
          <w:szCs w:val="21"/>
          <w:highlight w:val="none"/>
        </w:rPr>
        <w:t>规定或乙方</w:t>
      </w:r>
      <w:r>
        <w:rPr>
          <w:rFonts w:hint="eastAsia" w:ascii="宋体" w:hAnsi="宋体"/>
          <w:color w:val="auto"/>
          <w:szCs w:val="21"/>
          <w:highlight w:val="none"/>
          <w:lang w:eastAsia="zh-CN"/>
        </w:rPr>
        <w:t>书面</w:t>
      </w:r>
      <w:r>
        <w:rPr>
          <w:rFonts w:hint="eastAsia" w:ascii="宋体" w:hAnsi="宋体"/>
          <w:color w:val="auto"/>
          <w:szCs w:val="21"/>
          <w:highlight w:val="none"/>
        </w:rPr>
        <w:t>承诺（两者以较长的为准）的质量保证期内，本保证保持有效。</w:t>
      </w:r>
    </w:p>
    <w:p w14:paraId="1F0625C2">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（2）在质量保证期内所发现的缺陷，甲方应尽快以书面形式通知乙方。</w:t>
      </w:r>
    </w:p>
    <w:p w14:paraId="48840B07">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（3）乙方收到通知后</w:t>
      </w:r>
      <w:r>
        <w:rPr>
          <w:rFonts w:hint="eastAsia" w:ascii="宋体" w:hAnsi="宋体"/>
          <w:color w:val="auto"/>
          <w:szCs w:val="21"/>
          <w:highlight w:val="none"/>
          <w:lang w:eastAsia="zh-CN"/>
        </w:rPr>
        <w:t>，</w:t>
      </w:r>
      <w:r>
        <w:rPr>
          <w:rFonts w:hint="eastAsia" w:ascii="宋体" w:hAnsi="宋体"/>
          <w:color w:val="auto"/>
          <w:szCs w:val="21"/>
          <w:highlight w:val="none"/>
        </w:rPr>
        <w:t>应在</w:t>
      </w:r>
      <w:r>
        <w:rPr>
          <w:rFonts w:hint="eastAsia" w:ascii="宋体" w:hAnsi="宋体"/>
          <w:b/>
          <w:color w:val="auto"/>
          <w:szCs w:val="21"/>
          <w:highlight w:val="none"/>
        </w:rPr>
        <w:t>【政府采购合同专用条款】</w:t>
      </w:r>
      <w:r>
        <w:rPr>
          <w:rFonts w:hint="eastAsia" w:ascii="宋体" w:hAnsi="宋体"/>
          <w:color w:val="auto"/>
          <w:szCs w:val="21"/>
          <w:highlight w:val="none"/>
        </w:rPr>
        <w:t>规定的响应时间内以合理的速度免费维修或更换有缺陷的货物或部件。</w:t>
      </w:r>
    </w:p>
    <w:p w14:paraId="3FA88448">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（4）在质量保证期内，如果货物的质量或规格与合同不符，或证实货物是有缺陷的，包括潜在的缺陷或使用不符合要求的材料等，甲方可以根据本合同第1</w:t>
      </w:r>
      <w:r>
        <w:rPr>
          <w:rFonts w:hint="eastAsia" w:ascii="宋体" w:hAnsi="宋体"/>
          <w:color w:val="auto"/>
          <w:szCs w:val="21"/>
          <w:highlight w:val="none"/>
          <w:lang w:val="en-US" w:eastAsia="zh-CN"/>
        </w:rPr>
        <w:t>5</w:t>
      </w:r>
      <w:r>
        <w:rPr>
          <w:rFonts w:hint="eastAsia" w:ascii="宋体" w:hAnsi="宋体"/>
          <w:color w:val="auto"/>
          <w:szCs w:val="21"/>
          <w:highlight w:val="none"/>
        </w:rPr>
        <w:t>.1条规定以书面形式</w:t>
      </w:r>
      <w:r>
        <w:rPr>
          <w:rFonts w:hint="eastAsia" w:ascii="宋体" w:hAnsi="宋体"/>
          <w:color w:val="auto"/>
          <w:szCs w:val="21"/>
          <w:highlight w:val="none"/>
          <w:lang w:eastAsia="zh-CN"/>
        </w:rPr>
        <w:t>追究</w:t>
      </w:r>
      <w:r>
        <w:rPr>
          <w:rFonts w:hint="eastAsia" w:ascii="宋体" w:hAnsi="宋体"/>
          <w:color w:val="auto"/>
          <w:szCs w:val="21"/>
          <w:highlight w:val="none"/>
        </w:rPr>
        <w:t>乙方</w:t>
      </w:r>
      <w:r>
        <w:rPr>
          <w:rFonts w:hint="eastAsia" w:ascii="宋体" w:hAnsi="宋体"/>
          <w:color w:val="auto"/>
          <w:szCs w:val="21"/>
          <w:highlight w:val="none"/>
          <w:lang w:eastAsia="zh-CN"/>
        </w:rPr>
        <w:t>的违约责任</w:t>
      </w:r>
      <w:r>
        <w:rPr>
          <w:rFonts w:hint="eastAsia" w:ascii="宋体" w:hAnsi="宋体"/>
          <w:color w:val="auto"/>
          <w:szCs w:val="21"/>
          <w:highlight w:val="none"/>
        </w:rPr>
        <w:t>。</w:t>
      </w:r>
    </w:p>
    <w:p w14:paraId="7BCFA62D">
      <w:pPr>
        <w:adjustRightInd w:val="0"/>
        <w:snapToGrid w:val="0"/>
        <w:spacing w:before="0" w:line="400" w:lineRule="exact"/>
        <w:ind w:firstLine="420" w:firstLineChars="200"/>
        <w:jc w:val="left"/>
        <w:rPr>
          <w:color w:val="auto"/>
          <w:highlight w:val="none"/>
        </w:rPr>
      </w:pPr>
      <w:r>
        <w:rPr>
          <w:rFonts w:hint="eastAsia" w:ascii="宋体" w:hAnsi="宋体"/>
          <w:color w:val="auto"/>
          <w:szCs w:val="21"/>
          <w:highlight w:val="none"/>
        </w:rPr>
        <w:t>（5）乙方在约定的时间内未能弥补缺陷，甲方可采取必要的补救措施，但其风险和费用将由乙方承担，甲方根据合同</w:t>
      </w:r>
      <w:r>
        <w:rPr>
          <w:rFonts w:hint="eastAsia" w:ascii="宋体" w:hAnsi="宋体"/>
          <w:color w:val="auto"/>
          <w:szCs w:val="21"/>
          <w:highlight w:val="none"/>
          <w:lang w:eastAsia="zh-CN"/>
        </w:rPr>
        <w:t>约定</w:t>
      </w:r>
      <w:r>
        <w:rPr>
          <w:rFonts w:hint="eastAsia" w:ascii="宋体" w:hAnsi="宋体"/>
          <w:color w:val="auto"/>
          <w:szCs w:val="21"/>
          <w:highlight w:val="none"/>
        </w:rPr>
        <w:t>对乙方行使的其他权利不受影响。</w:t>
      </w:r>
    </w:p>
    <w:p w14:paraId="640213C4">
      <w:pPr>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lang w:eastAsia="zh-CN"/>
        </w:rPr>
        <w:t>9</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权利瑕疵担保</w:t>
      </w:r>
    </w:p>
    <w:p w14:paraId="1DDF9BC1">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9</w:t>
      </w:r>
      <w:r>
        <w:rPr>
          <w:rFonts w:hint="eastAsia" w:ascii="宋体" w:hAnsi="宋体"/>
          <w:color w:val="auto"/>
          <w:szCs w:val="21"/>
          <w:highlight w:val="none"/>
        </w:rPr>
        <w:t>.1 乙方保证对其出售的货物享有合法的权利。</w:t>
      </w:r>
    </w:p>
    <w:p w14:paraId="786F6CCA">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9</w:t>
      </w:r>
      <w:r>
        <w:rPr>
          <w:rFonts w:hint="eastAsia" w:ascii="宋体" w:hAnsi="宋体"/>
          <w:color w:val="auto"/>
          <w:szCs w:val="21"/>
          <w:highlight w:val="none"/>
        </w:rPr>
        <w:t xml:space="preserve">.2 </w:t>
      </w:r>
      <w:r>
        <w:rPr>
          <w:rFonts w:hint="eastAsia" w:ascii="宋体" w:hAnsi="宋体" w:eastAsia="宋体" w:cs="宋体"/>
          <w:color w:val="auto"/>
          <w:szCs w:val="15"/>
          <w:highlight w:val="none"/>
        </w:rPr>
        <w:t>乙方保证在交付的货物上不存在抵押权等担保物权。</w:t>
      </w:r>
    </w:p>
    <w:p w14:paraId="2BB598DD">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9</w:t>
      </w:r>
      <w:r>
        <w:rPr>
          <w:rFonts w:hint="eastAsia" w:ascii="宋体" w:hAnsi="宋体"/>
          <w:color w:val="auto"/>
          <w:szCs w:val="21"/>
          <w:highlight w:val="none"/>
        </w:rPr>
        <w:t>.3 如甲方使用</w:t>
      </w:r>
      <w:r>
        <w:rPr>
          <w:rFonts w:hint="eastAsia" w:ascii="宋体" w:hAnsi="宋体"/>
          <w:color w:val="auto"/>
          <w:szCs w:val="21"/>
          <w:highlight w:val="none"/>
          <w:lang w:val="en-US" w:eastAsia="zh-CN"/>
        </w:rPr>
        <w:t>上述</w:t>
      </w:r>
      <w:r>
        <w:rPr>
          <w:rFonts w:hint="eastAsia" w:ascii="宋体" w:hAnsi="宋体"/>
          <w:color w:val="auto"/>
          <w:szCs w:val="21"/>
          <w:highlight w:val="none"/>
        </w:rPr>
        <w:t>货物构成</w:t>
      </w:r>
      <w:r>
        <w:rPr>
          <w:rFonts w:hint="eastAsia" w:ascii="宋体" w:hAnsi="宋体"/>
          <w:color w:val="auto"/>
          <w:szCs w:val="21"/>
          <w:highlight w:val="none"/>
          <w:lang w:val="en-US" w:eastAsia="zh-CN"/>
        </w:rPr>
        <w:t>对第三人</w:t>
      </w:r>
      <w:r>
        <w:rPr>
          <w:rFonts w:hint="eastAsia" w:ascii="宋体" w:hAnsi="宋体"/>
          <w:color w:val="auto"/>
          <w:szCs w:val="21"/>
          <w:highlight w:val="none"/>
        </w:rPr>
        <w:t>侵权的，则由乙方承担全部责任。</w:t>
      </w:r>
    </w:p>
    <w:p w14:paraId="54E3E289">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0</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知识产权保护</w:t>
      </w:r>
    </w:p>
    <w:p w14:paraId="6AD9C4BB">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0</w:t>
      </w:r>
      <w:r>
        <w:rPr>
          <w:rFonts w:hint="eastAsia" w:ascii="宋体" w:hAnsi="宋体"/>
          <w:color w:val="auto"/>
          <w:szCs w:val="21"/>
          <w:highlight w:val="none"/>
        </w:rPr>
        <w:t>.1 乙方对其所销售的货物应当享有知识产权或经权利人合法授权，保证没有侵犯任何第三人的知识产权等权利。</w:t>
      </w:r>
      <w:bookmarkStart w:id="40" w:name="_Hlk163047038"/>
      <w:r>
        <w:rPr>
          <w:rFonts w:hint="eastAsia" w:ascii="宋体" w:hAnsi="宋体" w:eastAsia="宋体" w:cs="宋体"/>
          <w:color w:val="auto"/>
          <w:szCs w:val="15"/>
          <w:highlight w:val="none"/>
        </w:rPr>
        <w:t>因违反前述约定对第三人构成侵权的，应当由乙方向第三人承担法律责任；甲方依法向第三人赔偿后，有权向乙方追偿。甲方有其他损失的，乙方应当赔偿</w:t>
      </w:r>
      <w:bookmarkEnd w:id="40"/>
      <w:r>
        <w:rPr>
          <w:rFonts w:hint="eastAsia" w:ascii="宋体" w:hAnsi="宋体"/>
          <w:color w:val="auto"/>
          <w:szCs w:val="21"/>
          <w:highlight w:val="none"/>
        </w:rPr>
        <w:t>。</w:t>
      </w:r>
    </w:p>
    <w:p w14:paraId="35B05780">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1</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保密义务</w:t>
      </w:r>
    </w:p>
    <w:p w14:paraId="3304B076">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15"/>
          <w:highlight w:val="none"/>
        </w:rPr>
      </w:pPr>
      <w:r>
        <w:rPr>
          <w:rFonts w:hint="eastAsia" w:ascii="宋体" w:hAnsi="宋体" w:cs="宋体"/>
          <w:color w:val="auto"/>
          <w:szCs w:val="15"/>
          <w:highlight w:val="none"/>
          <w:lang w:val="en-US" w:eastAsia="zh-CN"/>
        </w:rPr>
        <w:t xml:space="preserve">11.1 </w:t>
      </w:r>
      <w:r>
        <w:rPr>
          <w:rFonts w:hint="eastAsia" w:ascii="宋体" w:hAnsi="宋体" w:eastAsia="宋体" w:cs="宋体"/>
          <w:color w:val="auto"/>
          <w:szCs w:val="15"/>
          <w:highlight w:val="none"/>
        </w:rPr>
        <w:t>甲、乙双方</w:t>
      </w:r>
      <w:r>
        <w:rPr>
          <w:rFonts w:hint="eastAsia" w:ascii="宋体" w:hAnsi="宋体" w:cs="宋体"/>
          <w:color w:val="auto"/>
          <w:szCs w:val="15"/>
          <w:highlight w:val="none"/>
          <w:lang w:eastAsia="zh-CN"/>
        </w:rPr>
        <w:t>对</w:t>
      </w:r>
      <w:r>
        <w:rPr>
          <w:rFonts w:hint="eastAsia" w:ascii="宋体" w:hAnsi="宋体" w:eastAsia="宋体" w:cs="宋体"/>
          <w:color w:val="auto"/>
          <w:szCs w:val="15"/>
          <w:highlight w:val="none"/>
        </w:rPr>
        <w:t>采购和合同履行过程中所获悉的</w:t>
      </w:r>
      <w:r>
        <w:rPr>
          <w:rFonts w:hint="eastAsia" w:ascii="宋体" w:hAnsi="宋体" w:cs="宋体"/>
          <w:color w:val="auto"/>
          <w:szCs w:val="15"/>
          <w:highlight w:val="none"/>
          <w:lang w:eastAsia="zh-CN"/>
        </w:rPr>
        <w:t>国家秘密、工作秘密、</w:t>
      </w:r>
      <w:r>
        <w:rPr>
          <w:rFonts w:hint="eastAsia" w:ascii="宋体" w:hAnsi="宋体" w:eastAsia="宋体" w:cs="宋体"/>
          <w:color w:val="auto"/>
          <w:szCs w:val="15"/>
          <w:highlight w:val="none"/>
        </w:rPr>
        <w:t>商业秘密或者其他应当保密的信息，均有保密义务</w:t>
      </w:r>
      <w:r>
        <w:rPr>
          <w:rFonts w:hint="eastAsia" w:ascii="宋体" w:hAnsi="宋体" w:cs="宋体"/>
          <w:color w:val="auto"/>
          <w:szCs w:val="15"/>
          <w:highlight w:val="none"/>
          <w:lang w:eastAsia="zh-CN"/>
        </w:rPr>
        <w:t>且不受合同有效期所限，直至该信息成为公开信息</w:t>
      </w:r>
      <w:r>
        <w:rPr>
          <w:rFonts w:hint="eastAsia" w:ascii="宋体" w:hAnsi="宋体" w:eastAsia="宋体" w:cs="宋体"/>
          <w:color w:val="auto"/>
          <w:szCs w:val="15"/>
          <w:highlight w:val="none"/>
        </w:rPr>
        <w:t>。泄露、不正当地使用</w:t>
      </w:r>
      <w:r>
        <w:rPr>
          <w:rFonts w:hint="eastAsia" w:ascii="宋体" w:hAnsi="宋体" w:cs="宋体"/>
          <w:color w:val="auto"/>
          <w:szCs w:val="15"/>
          <w:highlight w:val="none"/>
          <w:lang w:eastAsia="zh-CN"/>
        </w:rPr>
        <w:t>国家秘密、工作秘密、</w:t>
      </w:r>
      <w:r>
        <w:rPr>
          <w:rFonts w:hint="eastAsia" w:ascii="宋体" w:hAnsi="宋体" w:eastAsia="宋体" w:cs="宋体"/>
          <w:color w:val="auto"/>
          <w:szCs w:val="15"/>
          <w:highlight w:val="none"/>
        </w:rPr>
        <w:t>商业秘密或者</w:t>
      </w:r>
      <w:r>
        <w:rPr>
          <w:rFonts w:hint="eastAsia" w:ascii="宋体" w:hAnsi="宋体" w:cs="宋体"/>
          <w:color w:val="auto"/>
          <w:szCs w:val="15"/>
          <w:highlight w:val="none"/>
          <w:lang w:eastAsia="zh-CN"/>
        </w:rPr>
        <w:t>其他应当保密的</w:t>
      </w:r>
      <w:r>
        <w:rPr>
          <w:rFonts w:hint="eastAsia" w:ascii="宋体" w:hAnsi="宋体" w:eastAsia="宋体" w:cs="宋体"/>
          <w:color w:val="auto"/>
          <w:szCs w:val="15"/>
          <w:highlight w:val="none"/>
        </w:rPr>
        <w:t>信息，应当承担</w:t>
      </w:r>
      <w:r>
        <w:rPr>
          <w:rFonts w:hint="eastAsia" w:ascii="宋体" w:hAnsi="宋体" w:cs="宋体"/>
          <w:color w:val="auto"/>
          <w:szCs w:val="15"/>
          <w:highlight w:val="none"/>
          <w:lang w:eastAsia="zh-CN"/>
        </w:rPr>
        <w:t>相应</w:t>
      </w:r>
      <w:r>
        <w:rPr>
          <w:rFonts w:hint="eastAsia" w:ascii="宋体" w:hAnsi="宋体" w:eastAsia="宋体" w:cs="宋体"/>
          <w:color w:val="auto"/>
          <w:szCs w:val="15"/>
          <w:highlight w:val="none"/>
        </w:rPr>
        <w:t>责任。其他应当保密的信息由双方在</w:t>
      </w:r>
      <w:r>
        <w:rPr>
          <w:rFonts w:hint="eastAsia" w:ascii="宋体" w:hAnsi="宋体" w:eastAsia="宋体" w:cs="宋体"/>
          <w:b/>
          <w:bCs/>
          <w:color w:val="auto"/>
          <w:szCs w:val="15"/>
          <w:highlight w:val="none"/>
        </w:rPr>
        <w:t>【政府采购合同专用条款】</w:t>
      </w:r>
      <w:r>
        <w:rPr>
          <w:rFonts w:hint="eastAsia" w:ascii="宋体" w:hAnsi="宋体" w:eastAsia="宋体" w:cs="宋体"/>
          <w:color w:val="auto"/>
          <w:szCs w:val="15"/>
          <w:highlight w:val="none"/>
        </w:rPr>
        <w:t>中约定。</w:t>
      </w:r>
    </w:p>
    <w:p w14:paraId="6E824C3B">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2</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合同价款支付</w:t>
      </w:r>
    </w:p>
    <w:p w14:paraId="2ED19EF3">
      <w:pPr>
        <w:autoSpaceDE/>
        <w:autoSpaceDN/>
        <w:adjustRightInd w:val="0"/>
        <w:snapToGrid w:val="0"/>
        <w:spacing w:before="0" w:line="400" w:lineRule="exact"/>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1</w:t>
      </w:r>
      <w:r>
        <w:rPr>
          <w:rFonts w:hint="eastAsia" w:ascii="宋体" w:hAnsi="宋体"/>
          <w:color w:val="auto"/>
          <w:szCs w:val="21"/>
          <w:highlight w:val="none"/>
          <w:lang w:eastAsia="zh-CN"/>
        </w:rPr>
        <w:t>2</w:t>
      </w:r>
      <w:r>
        <w:rPr>
          <w:rFonts w:hint="eastAsia" w:ascii="宋体" w:hAnsi="宋体"/>
          <w:color w:val="auto"/>
          <w:szCs w:val="21"/>
          <w:highlight w:val="none"/>
        </w:rPr>
        <w:t xml:space="preserve">.1 </w:t>
      </w:r>
      <w:r>
        <w:rPr>
          <w:rFonts w:hint="eastAsia" w:ascii="宋体" w:hAnsi="宋体"/>
          <w:color w:val="auto"/>
          <w:szCs w:val="21"/>
          <w:highlight w:val="none"/>
          <w:lang w:eastAsia="zh-CN"/>
        </w:rPr>
        <w:t>合同价款支付</w:t>
      </w:r>
      <w:r>
        <w:rPr>
          <w:rFonts w:hint="eastAsia" w:ascii="宋体" w:hAnsi="宋体"/>
          <w:color w:val="auto"/>
          <w:szCs w:val="21"/>
          <w:highlight w:val="none"/>
        </w:rPr>
        <w:t>按照国库集中支付</w:t>
      </w:r>
      <w:r>
        <w:rPr>
          <w:rFonts w:hint="eastAsia" w:ascii="宋体" w:hAnsi="宋体"/>
          <w:color w:val="auto"/>
          <w:szCs w:val="21"/>
          <w:highlight w:val="none"/>
          <w:lang w:eastAsia="zh-CN"/>
        </w:rPr>
        <w:t>制度及财政管理相关</w:t>
      </w:r>
      <w:r>
        <w:rPr>
          <w:rFonts w:hint="eastAsia" w:ascii="宋体" w:hAnsi="宋体"/>
          <w:color w:val="auto"/>
          <w:szCs w:val="21"/>
          <w:highlight w:val="none"/>
        </w:rPr>
        <w:t>规定执行。</w:t>
      </w:r>
    </w:p>
    <w:p w14:paraId="69438365">
      <w:pPr>
        <w:pStyle w:val="3"/>
        <w:spacing w:line="400" w:lineRule="exact"/>
        <w:ind w:firstLine="420" w:firstLineChars="200"/>
        <w:rPr>
          <w:rFonts w:hint="eastAsia" w:eastAsia="宋体"/>
          <w:color w:val="auto"/>
          <w:highlight w:val="none"/>
          <w:lang w:eastAsia="zh-CN"/>
        </w:rPr>
      </w:pPr>
      <w:r>
        <w:rPr>
          <w:rFonts w:hint="eastAsia" w:ascii="宋体" w:hAnsi="宋体" w:cs="Times New Roman"/>
          <w:b w:val="0"/>
          <w:bCs w:val="0"/>
          <w:color w:val="auto"/>
          <w:sz w:val="21"/>
          <w:szCs w:val="21"/>
          <w:highlight w:val="none"/>
          <w:lang w:val="en-US" w:eastAsia="zh-CN"/>
        </w:rPr>
        <w:t xml:space="preserve">12.2 </w:t>
      </w:r>
      <w:r>
        <w:rPr>
          <w:rFonts w:hint="eastAsia" w:ascii="宋体" w:hAnsi="宋体" w:eastAsia="宋体" w:cs="Times New Roman"/>
          <w:b w:val="0"/>
          <w:bCs w:val="0"/>
          <w:color w:val="auto"/>
          <w:kern w:val="2"/>
          <w:sz w:val="21"/>
          <w:szCs w:val="21"/>
          <w:highlight w:val="none"/>
        </w:rPr>
        <w:t>对于满足合同约定支付条件的，</w:t>
      </w:r>
      <w:r>
        <w:rPr>
          <w:rFonts w:hint="eastAsia" w:ascii="宋体" w:hAnsi="宋体" w:eastAsia="宋体" w:cs="Times New Roman"/>
          <w:b w:val="0"/>
          <w:bCs w:val="0"/>
          <w:color w:val="auto"/>
          <w:kern w:val="2"/>
          <w:sz w:val="21"/>
          <w:szCs w:val="21"/>
          <w:highlight w:val="none"/>
          <w:lang w:val="en-US" w:eastAsia="zh-CN"/>
        </w:rPr>
        <w:t>甲方</w:t>
      </w:r>
      <w:r>
        <w:rPr>
          <w:rFonts w:hint="eastAsia" w:ascii="宋体" w:hAnsi="宋体" w:eastAsia="宋体" w:cs="Times New Roman"/>
          <w:b w:val="0"/>
          <w:bCs w:val="0"/>
          <w:i w:val="0"/>
          <w:iCs w:val="0"/>
          <w:caps w:val="0"/>
          <w:color w:val="auto"/>
          <w:spacing w:val="0"/>
          <w:sz w:val="21"/>
          <w:szCs w:val="21"/>
          <w:highlight w:val="none"/>
          <w:shd w:val="clear" w:color="auto" w:fill="auto"/>
          <w:vertAlign w:val="baseline"/>
        </w:rPr>
        <w:t>原则上应当自收到发票后10个工作日内</w:t>
      </w:r>
      <w:r>
        <w:rPr>
          <w:rFonts w:hint="eastAsia" w:ascii="宋体" w:hAnsi="宋体" w:eastAsia="宋体" w:cs="Times New Roman"/>
          <w:b w:val="0"/>
          <w:bCs w:val="0"/>
          <w:color w:val="auto"/>
          <w:kern w:val="2"/>
          <w:sz w:val="21"/>
          <w:szCs w:val="21"/>
          <w:highlight w:val="none"/>
        </w:rPr>
        <w:t>将资金支付到合同约定的</w:t>
      </w:r>
      <w:r>
        <w:rPr>
          <w:rFonts w:hint="eastAsia" w:ascii="宋体" w:hAnsi="宋体" w:cs="Times New Roman"/>
          <w:b w:val="0"/>
          <w:bCs w:val="0"/>
          <w:color w:val="auto"/>
          <w:kern w:val="2"/>
          <w:sz w:val="21"/>
          <w:szCs w:val="21"/>
          <w:highlight w:val="none"/>
          <w:lang w:eastAsia="zh-CN"/>
        </w:rPr>
        <w:t>乙方</w:t>
      </w:r>
      <w:r>
        <w:rPr>
          <w:rFonts w:hint="eastAsia" w:ascii="宋体" w:hAnsi="宋体" w:eastAsia="宋体" w:cs="Times New Roman"/>
          <w:b w:val="0"/>
          <w:bCs w:val="0"/>
          <w:color w:val="auto"/>
          <w:kern w:val="2"/>
          <w:sz w:val="21"/>
          <w:szCs w:val="21"/>
          <w:highlight w:val="none"/>
        </w:rPr>
        <w:t>账户，不得以机构变动、人员更替、政策调整等为由迟延付款，不得将采购文件和合同中未规定的义务作为向</w:t>
      </w:r>
      <w:r>
        <w:rPr>
          <w:rFonts w:hint="eastAsia" w:ascii="宋体" w:hAnsi="宋体" w:eastAsia="宋体" w:cs="Times New Roman"/>
          <w:b w:val="0"/>
          <w:bCs w:val="0"/>
          <w:color w:val="auto"/>
          <w:kern w:val="2"/>
          <w:sz w:val="21"/>
          <w:szCs w:val="21"/>
          <w:highlight w:val="none"/>
          <w:lang w:val="en-US" w:eastAsia="zh-CN"/>
        </w:rPr>
        <w:t>乙方</w:t>
      </w:r>
      <w:r>
        <w:rPr>
          <w:rFonts w:hint="eastAsia" w:ascii="宋体" w:hAnsi="宋体" w:eastAsia="宋体" w:cs="Times New Roman"/>
          <w:b w:val="0"/>
          <w:bCs w:val="0"/>
          <w:color w:val="auto"/>
          <w:kern w:val="2"/>
          <w:sz w:val="21"/>
          <w:szCs w:val="21"/>
          <w:highlight w:val="none"/>
        </w:rPr>
        <w:t>付款的条件。具体合同价款支付时间在【</w:t>
      </w:r>
      <w:r>
        <w:rPr>
          <w:rFonts w:hint="eastAsia" w:ascii="宋体" w:hAnsi="宋体" w:eastAsia="宋体" w:cs="Times New Roman"/>
          <w:b/>
          <w:bCs/>
          <w:color w:val="auto"/>
          <w:kern w:val="2"/>
          <w:sz w:val="21"/>
          <w:szCs w:val="21"/>
          <w:highlight w:val="none"/>
        </w:rPr>
        <w:t>政府采购合同专用条款</w:t>
      </w:r>
      <w:r>
        <w:rPr>
          <w:rFonts w:hint="eastAsia" w:ascii="宋体" w:hAnsi="宋体" w:eastAsia="宋体" w:cs="Times New Roman"/>
          <w:b w:val="0"/>
          <w:bCs w:val="0"/>
          <w:color w:val="auto"/>
          <w:kern w:val="2"/>
          <w:sz w:val="21"/>
          <w:szCs w:val="21"/>
          <w:highlight w:val="none"/>
        </w:rPr>
        <w:t>】中</w:t>
      </w:r>
      <w:r>
        <w:rPr>
          <w:rFonts w:hint="eastAsia" w:ascii="宋体" w:hAnsi="宋体" w:cs="Times New Roman"/>
          <w:b w:val="0"/>
          <w:bCs w:val="0"/>
          <w:color w:val="auto"/>
          <w:kern w:val="2"/>
          <w:sz w:val="21"/>
          <w:szCs w:val="21"/>
          <w:highlight w:val="none"/>
          <w:lang w:eastAsia="zh-CN"/>
        </w:rPr>
        <w:t>约</w:t>
      </w:r>
      <w:r>
        <w:rPr>
          <w:rFonts w:hint="eastAsia" w:ascii="宋体" w:hAnsi="宋体" w:eastAsia="宋体" w:cs="Times New Roman"/>
          <w:b w:val="0"/>
          <w:bCs w:val="0"/>
          <w:color w:val="auto"/>
          <w:kern w:val="2"/>
          <w:sz w:val="21"/>
          <w:szCs w:val="21"/>
          <w:highlight w:val="none"/>
        </w:rPr>
        <w:t>定。</w:t>
      </w:r>
    </w:p>
    <w:p w14:paraId="188B1BA3">
      <w:pPr>
        <w:pStyle w:val="7"/>
        <w:spacing w:after="0" w:line="400" w:lineRule="exact"/>
        <w:rPr>
          <w:rFonts w:ascii="宋体" w:hAnsi="宋体"/>
          <w:b/>
          <w:bCs/>
          <w:color w:val="auto"/>
          <w:sz w:val="24"/>
          <w:szCs w:val="24"/>
          <w:highlight w:val="none"/>
        </w:rPr>
      </w:pPr>
      <w:r>
        <w:rPr>
          <w:rFonts w:hint="eastAsia" w:ascii="宋体" w:hAnsi="宋体"/>
          <w:b/>
          <w:bCs/>
          <w:color w:val="auto"/>
          <w:sz w:val="24"/>
          <w:szCs w:val="24"/>
          <w:highlight w:val="none"/>
        </w:rPr>
        <w:t>1</w:t>
      </w:r>
      <w:r>
        <w:rPr>
          <w:rFonts w:hint="eastAsia" w:ascii="宋体" w:hAnsi="宋体"/>
          <w:b/>
          <w:bCs/>
          <w:color w:val="auto"/>
          <w:sz w:val="24"/>
          <w:szCs w:val="24"/>
          <w:highlight w:val="none"/>
          <w:lang w:eastAsia="zh-CN"/>
        </w:rPr>
        <w:t>3</w:t>
      </w:r>
      <w:r>
        <w:rPr>
          <w:rFonts w:hint="eastAsia" w:ascii="宋体" w:hAnsi="宋体"/>
          <w:b/>
          <w:bCs/>
          <w:color w:val="auto"/>
          <w:sz w:val="24"/>
          <w:szCs w:val="24"/>
          <w:highlight w:val="none"/>
        </w:rPr>
        <w:t>.</w:t>
      </w:r>
      <w:r>
        <w:rPr>
          <w:rFonts w:hint="eastAsia" w:ascii="宋体" w:hAnsi="宋体"/>
          <w:b/>
          <w:bCs/>
          <w:color w:val="auto"/>
          <w:sz w:val="24"/>
          <w:szCs w:val="24"/>
          <w:highlight w:val="none"/>
          <w:lang w:val="en-US" w:eastAsia="zh-CN"/>
        </w:rPr>
        <w:t xml:space="preserve"> </w:t>
      </w:r>
      <w:r>
        <w:rPr>
          <w:rFonts w:hint="eastAsia" w:ascii="宋体" w:hAnsi="宋体"/>
          <w:b/>
          <w:bCs/>
          <w:color w:val="auto"/>
          <w:sz w:val="24"/>
          <w:szCs w:val="24"/>
          <w:highlight w:val="none"/>
        </w:rPr>
        <w:t>履约保证金</w:t>
      </w:r>
    </w:p>
    <w:p w14:paraId="08B9D2A4">
      <w:pPr>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3</w:t>
      </w:r>
      <w:r>
        <w:rPr>
          <w:rFonts w:hint="eastAsia" w:ascii="宋体" w:hAnsi="宋体"/>
          <w:color w:val="auto"/>
          <w:szCs w:val="21"/>
          <w:highlight w:val="none"/>
        </w:rPr>
        <w:t xml:space="preserve">.1 </w:t>
      </w:r>
      <w:r>
        <w:rPr>
          <w:rFonts w:hint="eastAsia" w:ascii="宋体" w:hAnsi="宋体" w:eastAsia="宋体" w:cs="宋体"/>
          <w:color w:val="auto"/>
          <w:szCs w:val="15"/>
          <w:highlight w:val="none"/>
        </w:rPr>
        <w:t>乙方应当以支票、汇票、本票或者金融机构、担保机构出具的保函等非现金形式提交。</w:t>
      </w:r>
    </w:p>
    <w:p w14:paraId="09704761">
      <w:pPr>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3</w:t>
      </w:r>
      <w:r>
        <w:rPr>
          <w:rFonts w:hint="eastAsia" w:ascii="宋体" w:hAnsi="宋体"/>
          <w:color w:val="auto"/>
          <w:szCs w:val="21"/>
          <w:highlight w:val="none"/>
        </w:rPr>
        <w:t>.2 如果乙方</w:t>
      </w:r>
      <w:r>
        <w:rPr>
          <w:rFonts w:hint="eastAsia" w:ascii="宋体" w:hAnsi="宋体"/>
          <w:color w:val="auto"/>
          <w:szCs w:val="21"/>
          <w:highlight w:val="none"/>
          <w:lang w:eastAsia="zh-CN"/>
        </w:rPr>
        <w:t>出现</w:t>
      </w:r>
      <w:r>
        <w:rPr>
          <w:rFonts w:hint="eastAsia" w:ascii="宋体" w:hAnsi="宋体" w:eastAsia="宋体" w:cs="宋体"/>
          <w:b/>
          <w:bCs/>
          <w:color w:val="auto"/>
          <w:szCs w:val="15"/>
          <w:highlight w:val="none"/>
        </w:rPr>
        <w:t>【政府采购合同专用条款】</w:t>
      </w:r>
      <w:r>
        <w:rPr>
          <w:rFonts w:hint="eastAsia" w:ascii="宋体" w:hAnsi="宋体" w:cs="宋体"/>
          <w:b w:val="0"/>
          <w:bCs w:val="0"/>
          <w:color w:val="auto"/>
          <w:szCs w:val="15"/>
          <w:highlight w:val="none"/>
          <w:lang w:eastAsia="zh-CN"/>
        </w:rPr>
        <w:t>约定</w:t>
      </w:r>
      <w:r>
        <w:rPr>
          <w:rFonts w:hint="eastAsia" w:ascii="宋体" w:hAnsi="宋体" w:cs="宋体"/>
          <w:b w:val="0"/>
          <w:bCs w:val="0"/>
          <w:color w:val="auto"/>
          <w:szCs w:val="15"/>
          <w:highlight w:val="none"/>
          <w:lang w:eastAsia="zh-CN"/>
        </w:rPr>
        <w:t>情形的</w:t>
      </w:r>
      <w:r>
        <w:rPr>
          <w:rFonts w:hint="eastAsia" w:ascii="宋体" w:hAnsi="宋体"/>
          <w:color w:val="auto"/>
          <w:szCs w:val="21"/>
          <w:highlight w:val="none"/>
        </w:rPr>
        <w:t>，履约保证金不予退还；如果乙方未能按合同约定全面履行义务，甲方有权从履约保证金中取得补偿或赔偿，</w:t>
      </w:r>
      <w:r>
        <w:rPr>
          <w:rFonts w:hint="eastAsia" w:ascii="宋体" w:hAnsi="宋体"/>
          <w:color w:val="auto"/>
          <w:szCs w:val="21"/>
          <w:highlight w:val="none"/>
          <w:lang w:eastAsia="zh-CN"/>
        </w:rPr>
        <w:t>且</w:t>
      </w:r>
      <w:r>
        <w:rPr>
          <w:rFonts w:hint="eastAsia" w:ascii="宋体" w:hAnsi="宋体"/>
          <w:color w:val="auto"/>
          <w:szCs w:val="21"/>
          <w:highlight w:val="none"/>
        </w:rPr>
        <w:t>不影响甲方要求乙方承担合同约定的超过履约保证金的违约责任的权利。</w:t>
      </w:r>
    </w:p>
    <w:p w14:paraId="7D978810">
      <w:pPr>
        <w:spacing w:line="400" w:lineRule="exact"/>
        <w:ind w:firstLine="420"/>
        <w:rPr>
          <w:color w:val="auto"/>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3</w:t>
      </w:r>
      <w:r>
        <w:rPr>
          <w:rFonts w:hint="eastAsia" w:ascii="宋体" w:hAnsi="宋体"/>
          <w:color w:val="auto"/>
          <w:szCs w:val="21"/>
          <w:highlight w:val="none"/>
        </w:rPr>
        <w:t>.3 甲方在项目通过验收后按照</w:t>
      </w:r>
      <w:r>
        <w:rPr>
          <w:rFonts w:hint="eastAsia" w:ascii="宋体" w:hAnsi="宋体"/>
          <w:b/>
          <w:color w:val="auto"/>
          <w:szCs w:val="21"/>
          <w:highlight w:val="none"/>
        </w:rPr>
        <w:t>【政府采购合同专用条款】</w:t>
      </w:r>
      <w:r>
        <w:rPr>
          <w:rFonts w:hint="eastAsia" w:ascii="宋体" w:hAnsi="宋体"/>
          <w:color w:val="auto"/>
          <w:szCs w:val="21"/>
          <w:highlight w:val="none"/>
        </w:rPr>
        <w:t>规定的时间内将履约保证金退还乙方；逾期退还的，乙方可要求甲方支付违约金，违约金按照</w:t>
      </w:r>
      <w:r>
        <w:rPr>
          <w:rFonts w:hint="eastAsia" w:ascii="宋体" w:hAnsi="宋体"/>
          <w:b/>
          <w:color w:val="auto"/>
          <w:szCs w:val="21"/>
          <w:highlight w:val="none"/>
        </w:rPr>
        <w:t>【政府采购合同专用条款】</w:t>
      </w:r>
      <w:r>
        <w:rPr>
          <w:rFonts w:hint="eastAsia" w:ascii="宋体" w:hAnsi="宋体"/>
          <w:color w:val="auto"/>
          <w:szCs w:val="21"/>
          <w:highlight w:val="none"/>
        </w:rPr>
        <w:t>规定支付。</w:t>
      </w:r>
    </w:p>
    <w:p w14:paraId="584C85CA">
      <w:pPr>
        <w:autoSpaceDE w:val="0"/>
        <w:autoSpaceDN w:val="0"/>
        <w:adjustRightInd w:val="0"/>
        <w:snapToGrid w:val="0"/>
        <w:spacing w:before="0" w:line="400" w:lineRule="exact"/>
        <w:jc w:val="left"/>
        <w:rPr>
          <w:rFonts w:ascii="宋体" w:hAnsi="宋体"/>
          <w:b/>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4</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b/>
          <w:color w:val="auto"/>
          <w:sz w:val="24"/>
          <w:highlight w:val="none"/>
        </w:rPr>
        <w:t>售后</w:t>
      </w:r>
      <w:r>
        <w:rPr>
          <w:rFonts w:hint="eastAsia" w:ascii="宋体" w:hAnsi="宋体"/>
          <w:b/>
          <w:color w:val="auto"/>
          <w:sz w:val="24"/>
          <w:highlight w:val="none"/>
        </w:rPr>
        <w:t>服务</w:t>
      </w:r>
    </w:p>
    <w:p w14:paraId="4048E037">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4</w:t>
      </w:r>
      <w:r>
        <w:rPr>
          <w:rFonts w:hint="eastAsia" w:ascii="宋体" w:hAnsi="宋体"/>
          <w:color w:val="auto"/>
          <w:szCs w:val="21"/>
          <w:highlight w:val="none"/>
        </w:rPr>
        <w:t>.1 除项目不涉及或采购活动中明确约定无须承担外，乙方还应提供下列服务：</w:t>
      </w:r>
    </w:p>
    <w:p w14:paraId="7D6D8473">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（1）货物的现场移动、安装、调试、启动监督及技术支持；</w:t>
      </w:r>
    </w:p>
    <w:p w14:paraId="465FC6FE">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（2）提供货物组装和维修所需的专用工具和辅助材料；</w:t>
      </w:r>
    </w:p>
    <w:p w14:paraId="3CE1009D">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（3）在</w:t>
      </w:r>
      <w:r>
        <w:rPr>
          <w:rFonts w:hint="eastAsia" w:ascii="宋体" w:hAnsi="宋体" w:eastAsia="宋体" w:cs="宋体"/>
          <w:b/>
          <w:bCs/>
          <w:color w:val="auto"/>
          <w:szCs w:val="15"/>
          <w:highlight w:val="none"/>
        </w:rPr>
        <w:t>【政府采购合同专用条款】</w:t>
      </w:r>
      <w:r>
        <w:rPr>
          <w:rFonts w:hint="eastAsia" w:ascii="宋体" w:hAnsi="宋体"/>
          <w:color w:val="auto"/>
          <w:szCs w:val="21"/>
          <w:highlight w:val="none"/>
          <w:lang w:eastAsia="zh-CN"/>
        </w:rPr>
        <w:t>约定</w:t>
      </w:r>
      <w:r>
        <w:rPr>
          <w:rFonts w:hint="eastAsia" w:ascii="宋体" w:hAnsi="宋体"/>
          <w:color w:val="auto"/>
          <w:szCs w:val="21"/>
          <w:highlight w:val="none"/>
        </w:rPr>
        <w:t>的期限内对所有的货物实施运行监督、维修，但前提条件是该服务并不能免除乙方在质量保证期内所承担的义务；</w:t>
      </w:r>
    </w:p>
    <w:p w14:paraId="0CC3E8A2">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（4）在制造商</w:t>
      </w:r>
      <w:r>
        <w:rPr>
          <w:rFonts w:hint="eastAsia" w:ascii="宋体" w:hAnsi="宋体"/>
          <w:color w:val="auto"/>
          <w:szCs w:val="21"/>
          <w:highlight w:val="none"/>
          <w:lang w:eastAsia="zh-CN"/>
        </w:rPr>
        <w:t>所在地</w:t>
      </w:r>
      <w:r>
        <w:rPr>
          <w:rFonts w:hint="eastAsia" w:ascii="宋体" w:hAnsi="宋体"/>
          <w:color w:val="auto"/>
          <w:szCs w:val="21"/>
          <w:highlight w:val="none"/>
        </w:rPr>
        <w:t>或</w:t>
      </w:r>
      <w:r>
        <w:rPr>
          <w:rFonts w:hint="eastAsia" w:ascii="宋体" w:hAnsi="宋体"/>
          <w:color w:val="auto"/>
          <w:szCs w:val="21"/>
          <w:highlight w:val="none"/>
          <w:lang w:eastAsia="zh-CN"/>
        </w:rPr>
        <w:t>指定</w:t>
      </w:r>
      <w:r>
        <w:rPr>
          <w:rFonts w:hint="eastAsia" w:ascii="宋体" w:hAnsi="宋体"/>
          <w:color w:val="auto"/>
          <w:szCs w:val="21"/>
          <w:highlight w:val="none"/>
        </w:rPr>
        <w:t>现场就货物的安装、启动、运营、维护</w:t>
      </w:r>
      <w:r>
        <w:rPr>
          <w:rFonts w:hint="eastAsia" w:ascii="宋体" w:hAnsi="宋体"/>
          <w:color w:val="auto"/>
          <w:szCs w:val="21"/>
          <w:highlight w:val="none"/>
          <w:lang w:eastAsia="zh-CN"/>
        </w:rPr>
        <w:t>、废弃处置等</w:t>
      </w:r>
      <w:r>
        <w:rPr>
          <w:rFonts w:hint="eastAsia" w:ascii="宋体" w:hAnsi="宋体"/>
          <w:color w:val="auto"/>
          <w:szCs w:val="21"/>
          <w:highlight w:val="none"/>
        </w:rPr>
        <w:t>对甲方操作人员进行培训</w:t>
      </w:r>
      <w:r>
        <w:rPr>
          <w:rFonts w:hint="eastAsia" w:ascii="宋体" w:hAnsi="宋体" w:cs="宋体"/>
          <w:color w:val="auto"/>
          <w:szCs w:val="15"/>
          <w:highlight w:val="none"/>
          <w:lang w:eastAsia="zh-CN"/>
        </w:rPr>
        <w:t>；</w:t>
      </w:r>
    </w:p>
    <w:p w14:paraId="103D1290">
      <w:pPr>
        <w:pStyle w:val="2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（5）依照法律、行政法规的规定或者按照</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szCs w:val="21"/>
          <w:highlight w:val="none"/>
        </w:rPr>
        <w:t>约定，货物在有效使用年限届满后应予回收的，乙方负有自行或者委托第三人对货物予以回收的义务；</w:t>
      </w:r>
    </w:p>
    <w:p w14:paraId="6CA4B164">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6</w:t>
      </w:r>
      <w:r>
        <w:rPr>
          <w:rFonts w:hint="eastAsia" w:ascii="宋体" w:hAnsi="宋体"/>
          <w:color w:val="auto"/>
          <w:szCs w:val="21"/>
          <w:highlight w:val="none"/>
        </w:rPr>
        <w:t>）</w:t>
      </w:r>
      <w:r>
        <w:rPr>
          <w:rFonts w:hint="eastAsia" w:ascii="宋体" w:hAnsi="宋体"/>
          <w:b/>
          <w:color w:val="auto"/>
          <w:szCs w:val="21"/>
          <w:highlight w:val="none"/>
        </w:rPr>
        <w:t>【政府采购合同专用条款】</w:t>
      </w:r>
      <w:r>
        <w:rPr>
          <w:rFonts w:hint="eastAsia" w:ascii="宋体" w:hAnsi="宋体"/>
          <w:color w:val="auto"/>
          <w:szCs w:val="21"/>
          <w:highlight w:val="none"/>
        </w:rPr>
        <w:t>规定由乙方提供的其他服务。</w:t>
      </w:r>
    </w:p>
    <w:p w14:paraId="070A9DA4">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4</w:t>
      </w:r>
      <w:r>
        <w:rPr>
          <w:rFonts w:hint="eastAsia" w:ascii="宋体" w:hAnsi="宋体"/>
          <w:color w:val="auto"/>
          <w:szCs w:val="21"/>
          <w:highlight w:val="none"/>
        </w:rPr>
        <w:t>.2 乙方提供的</w:t>
      </w:r>
      <w:r>
        <w:rPr>
          <w:rFonts w:hint="eastAsia" w:ascii="宋体" w:hAnsi="宋体"/>
          <w:color w:val="auto"/>
          <w:szCs w:val="21"/>
          <w:highlight w:val="none"/>
          <w:lang w:eastAsia="zh-CN"/>
        </w:rPr>
        <w:t>售后</w:t>
      </w:r>
      <w:r>
        <w:rPr>
          <w:rFonts w:hint="eastAsia" w:ascii="宋体" w:hAnsi="宋体"/>
          <w:color w:val="auto"/>
          <w:szCs w:val="21"/>
          <w:highlight w:val="none"/>
        </w:rPr>
        <w:t>服务的费用</w:t>
      </w:r>
      <w:r>
        <w:rPr>
          <w:rFonts w:hint="eastAsia" w:ascii="宋体" w:hAnsi="宋体"/>
          <w:color w:val="auto"/>
          <w:szCs w:val="21"/>
          <w:highlight w:val="none"/>
          <w:lang w:val="en-US" w:eastAsia="zh-CN"/>
        </w:rPr>
        <w:t>已</w:t>
      </w:r>
      <w:r>
        <w:rPr>
          <w:rFonts w:hint="eastAsia" w:ascii="宋体" w:hAnsi="宋体"/>
          <w:color w:val="auto"/>
          <w:szCs w:val="21"/>
          <w:highlight w:val="none"/>
        </w:rPr>
        <w:t>包含在合同价款中，甲方不再另行支付。</w:t>
      </w:r>
    </w:p>
    <w:p w14:paraId="111E217E">
      <w:pPr>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5</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违约责任</w:t>
      </w:r>
    </w:p>
    <w:p w14:paraId="43DB0358">
      <w:pPr>
        <w:adjustRightInd w:val="0"/>
        <w:snapToGrid w:val="0"/>
        <w:spacing w:before="0" w:line="400" w:lineRule="exact"/>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lang w:eastAsia="zh-CN"/>
        </w:rPr>
        <w:t>5</w:t>
      </w:r>
      <w:r>
        <w:rPr>
          <w:rFonts w:hint="eastAsia" w:ascii="宋体" w:hAnsi="宋体"/>
          <w:bCs/>
          <w:color w:val="auto"/>
          <w:szCs w:val="21"/>
          <w:highlight w:val="none"/>
        </w:rPr>
        <w:t>.1质量瑕疵的</w:t>
      </w:r>
      <w:r>
        <w:rPr>
          <w:rFonts w:hint="eastAsia" w:ascii="宋体" w:hAnsi="宋体"/>
          <w:bCs/>
          <w:color w:val="auto"/>
          <w:szCs w:val="21"/>
          <w:highlight w:val="none"/>
          <w:lang w:eastAsia="zh-CN"/>
        </w:rPr>
        <w:t>违约责任</w:t>
      </w:r>
    </w:p>
    <w:p w14:paraId="7A5245D3">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乙方</w:t>
      </w:r>
      <w:r>
        <w:rPr>
          <w:rFonts w:hint="eastAsia" w:ascii="宋体" w:hAnsi="宋体"/>
          <w:color w:val="auto"/>
          <w:szCs w:val="21"/>
          <w:highlight w:val="none"/>
          <w:lang w:eastAsia="zh-CN"/>
        </w:rPr>
        <w:t>提供</w:t>
      </w:r>
      <w:r>
        <w:rPr>
          <w:rFonts w:hint="eastAsia" w:ascii="宋体" w:hAnsi="宋体"/>
          <w:color w:val="auto"/>
          <w:szCs w:val="21"/>
          <w:highlight w:val="none"/>
        </w:rPr>
        <w:t>的产品不符合</w:t>
      </w:r>
      <w:r>
        <w:rPr>
          <w:rFonts w:hint="eastAsia" w:ascii="宋体" w:hAnsi="宋体"/>
          <w:color w:val="auto"/>
          <w:szCs w:val="21"/>
          <w:highlight w:val="none"/>
          <w:lang w:eastAsia="zh-CN"/>
        </w:rPr>
        <w:t>合同约定的</w:t>
      </w:r>
      <w:r>
        <w:rPr>
          <w:rFonts w:hint="eastAsia" w:ascii="宋体" w:hAnsi="宋体"/>
          <w:color w:val="auto"/>
          <w:szCs w:val="21"/>
          <w:highlight w:val="none"/>
        </w:rPr>
        <w:t>质量标准或存在产品质量缺陷，</w:t>
      </w:r>
      <w:r>
        <w:rPr>
          <w:rFonts w:hint="eastAsia" w:ascii="宋体" w:hAnsi="宋体"/>
          <w:color w:val="auto"/>
          <w:szCs w:val="21"/>
          <w:highlight w:val="none"/>
          <w:lang w:eastAsia="zh-CN"/>
        </w:rPr>
        <w:t>甲方有权要求乙方根据</w:t>
      </w:r>
      <w:r>
        <w:rPr>
          <w:rFonts w:hint="eastAsia" w:ascii="宋体" w:hAnsi="宋体"/>
          <w:b/>
          <w:color w:val="auto"/>
          <w:szCs w:val="21"/>
          <w:highlight w:val="none"/>
        </w:rPr>
        <w:t>【政府采购合同专用条款】</w:t>
      </w:r>
      <w:r>
        <w:rPr>
          <w:rFonts w:hint="eastAsia" w:ascii="宋体" w:hAnsi="宋体"/>
          <w:b w:val="0"/>
          <w:bCs/>
          <w:color w:val="auto"/>
          <w:szCs w:val="21"/>
          <w:highlight w:val="none"/>
          <w:lang w:eastAsia="zh-CN"/>
        </w:rPr>
        <w:t>要求</w:t>
      </w:r>
      <w:r>
        <w:rPr>
          <w:rFonts w:hint="eastAsia" w:ascii="宋体" w:hAnsi="宋体"/>
          <w:color w:val="auto"/>
          <w:szCs w:val="21"/>
          <w:highlight w:val="none"/>
          <w:lang w:eastAsia="zh-CN"/>
        </w:rPr>
        <w:t>及时修理、重作、更换，并承担由此给甲</w:t>
      </w:r>
      <w:r>
        <w:rPr>
          <w:rFonts w:hint="eastAsia" w:ascii="宋体" w:hAnsi="宋体"/>
          <w:color w:val="auto"/>
          <w:szCs w:val="21"/>
          <w:highlight w:val="none"/>
        </w:rPr>
        <w:t>方</w:t>
      </w:r>
      <w:r>
        <w:rPr>
          <w:rFonts w:hint="eastAsia" w:ascii="宋体" w:hAnsi="宋体"/>
          <w:color w:val="auto"/>
          <w:szCs w:val="21"/>
          <w:highlight w:val="none"/>
          <w:lang w:eastAsia="zh-CN"/>
        </w:rPr>
        <w:t>造成的损失</w:t>
      </w:r>
      <w:r>
        <w:rPr>
          <w:rFonts w:hint="eastAsia" w:ascii="宋体" w:hAnsi="宋体"/>
          <w:color w:val="auto"/>
          <w:szCs w:val="21"/>
          <w:highlight w:val="none"/>
        </w:rPr>
        <w:t>。</w:t>
      </w:r>
    </w:p>
    <w:p w14:paraId="786AC4BE">
      <w:pPr>
        <w:autoSpaceDE w:val="0"/>
        <w:autoSpaceDN w:val="0"/>
        <w:adjustRightInd w:val="0"/>
        <w:snapToGrid w:val="0"/>
        <w:spacing w:before="0" w:line="400" w:lineRule="exact"/>
        <w:ind w:firstLine="420" w:firstLineChars="200"/>
        <w:jc w:val="left"/>
        <w:rPr>
          <w:rFonts w:ascii="宋体" w:hAnsi="宋体"/>
          <w:bCs/>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lang w:eastAsia="zh-CN"/>
        </w:rPr>
        <w:t>5</w:t>
      </w:r>
      <w:r>
        <w:rPr>
          <w:rFonts w:hint="eastAsia" w:ascii="宋体" w:hAnsi="宋体"/>
          <w:bCs/>
          <w:color w:val="auto"/>
          <w:szCs w:val="21"/>
          <w:highlight w:val="none"/>
        </w:rPr>
        <w:t>.2 迟延交货的违约责任</w:t>
      </w:r>
    </w:p>
    <w:p w14:paraId="6051C937">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（1）乙方应按照本合同规定的时间、地点交货和提供</w:t>
      </w:r>
      <w:r>
        <w:rPr>
          <w:rFonts w:hint="eastAsia" w:ascii="宋体" w:hAnsi="宋体"/>
          <w:color w:val="auto"/>
          <w:szCs w:val="21"/>
          <w:highlight w:val="none"/>
          <w:lang w:eastAsia="zh-CN"/>
        </w:rPr>
        <w:t>相关</w:t>
      </w:r>
      <w:r>
        <w:rPr>
          <w:rFonts w:hint="eastAsia" w:ascii="宋体" w:hAnsi="宋体"/>
          <w:color w:val="auto"/>
          <w:szCs w:val="21"/>
          <w:highlight w:val="none"/>
        </w:rPr>
        <w:t>服务。在履行合同过程中，如果乙方遇到可能</w:t>
      </w:r>
      <w:r>
        <w:rPr>
          <w:rFonts w:hint="eastAsia" w:ascii="宋体" w:hAnsi="宋体"/>
          <w:color w:val="auto"/>
          <w:szCs w:val="21"/>
          <w:highlight w:val="none"/>
          <w:lang w:eastAsia="zh-CN"/>
        </w:rPr>
        <w:t>影响</w:t>
      </w:r>
      <w:r>
        <w:rPr>
          <w:rFonts w:hint="eastAsia" w:ascii="宋体" w:hAnsi="宋体"/>
          <w:color w:val="auto"/>
          <w:szCs w:val="21"/>
          <w:highlight w:val="none"/>
        </w:rPr>
        <w:t>按时交货和提供服务的情形时，应及时以书面形式将迟延的事实、可能迟延的期限和理由通知甲方。甲方在收到乙方通知后，应尽快对情况进行评价，并确定是否同意延</w:t>
      </w:r>
      <w:r>
        <w:rPr>
          <w:rFonts w:hint="eastAsia" w:ascii="宋体" w:hAnsi="宋体"/>
          <w:color w:val="auto"/>
          <w:szCs w:val="21"/>
          <w:highlight w:val="none"/>
          <w:lang w:eastAsia="zh-CN"/>
        </w:rPr>
        <w:t>长</w:t>
      </w:r>
      <w:r>
        <w:rPr>
          <w:rFonts w:hint="eastAsia" w:ascii="宋体" w:hAnsi="宋体"/>
          <w:color w:val="auto"/>
          <w:szCs w:val="21"/>
          <w:highlight w:val="none"/>
        </w:rPr>
        <w:t>交货时间或延期提供服务。</w:t>
      </w:r>
    </w:p>
    <w:p w14:paraId="10436D62">
      <w:pPr>
        <w:autoSpaceDE w:val="0"/>
        <w:autoSpaceDN w:val="0"/>
        <w:adjustRightInd w:val="0"/>
        <w:snapToGrid w:val="0"/>
        <w:spacing w:before="0" w:line="400" w:lineRule="exact"/>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（2）如果乙方没有按照合同规定的时间交货和提供</w:t>
      </w:r>
      <w:r>
        <w:rPr>
          <w:rFonts w:hint="eastAsia" w:ascii="宋体" w:hAnsi="宋体"/>
          <w:color w:val="auto"/>
          <w:szCs w:val="21"/>
          <w:highlight w:val="none"/>
          <w:lang w:eastAsia="zh-CN"/>
        </w:rPr>
        <w:t>相关</w:t>
      </w:r>
      <w:r>
        <w:rPr>
          <w:rFonts w:hint="eastAsia" w:ascii="宋体" w:hAnsi="宋体"/>
          <w:color w:val="auto"/>
          <w:szCs w:val="21"/>
          <w:highlight w:val="none"/>
        </w:rPr>
        <w:t>服务，甲方有权从货款中扣除误期赔偿费而不影响合同项下的其他补救方法，赔偿费按</w:t>
      </w:r>
      <w:r>
        <w:rPr>
          <w:rFonts w:hint="eastAsia" w:ascii="宋体" w:hAnsi="宋体"/>
          <w:b/>
          <w:color w:val="auto"/>
          <w:szCs w:val="21"/>
          <w:highlight w:val="none"/>
        </w:rPr>
        <w:t>【政府采购合同专用条款】</w:t>
      </w:r>
      <w:r>
        <w:rPr>
          <w:rFonts w:hint="eastAsia" w:ascii="宋体" w:hAnsi="宋体"/>
          <w:color w:val="auto"/>
          <w:szCs w:val="21"/>
          <w:highlight w:val="none"/>
        </w:rPr>
        <w:t>规定执行。如果涉及公共利益，且赔偿金额无法弥补公共利益损失，</w:t>
      </w:r>
      <w:r>
        <w:rPr>
          <w:rFonts w:hint="eastAsia" w:ascii="宋体" w:hAnsi="宋体"/>
          <w:color w:val="auto"/>
          <w:szCs w:val="21"/>
          <w:highlight w:val="none"/>
          <w:lang w:eastAsia="zh-CN"/>
        </w:rPr>
        <w:t>甲方</w:t>
      </w:r>
      <w:r>
        <w:rPr>
          <w:rFonts w:hint="eastAsia" w:ascii="宋体" w:hAnsi="宋体"/>
          <w:color w:val="auto"/>
          <w:szCs w:val="21"/>
          <w:highlight w:val="none"/>
        </w:rPr>
        <w:t>可要求继续履行或者</w:t>
      </w:r>
      <w:r>
        <w:rPr>
          <w:rFonts w:hint="eastAsia" w:ascii="宋体" w:hAnsi="宋体"/>
          <w:color w:val="auto"/>
          <w:szCs w:val="21"/>
          <w:highlight w:val="none"/>
          <w:lang w:eastAsia="zh-CN"/>
        </w:rPr>
        <w:t>采取其他补救措施</w:t>
      </w:r>
      <w:r>
        <w:rPr>
          <w:rFonts w:hint="eastAsia" w:ascii="宋体" w:hAnsi="宋体"/>
          <w:color w:val="auto"/>
          <w:szCs w:val="21"/>
          <w:highlight w:val="none"/>
        </w:rPr>
        <w:t>。</w:t>
      </w:r>
    </w:p>
    <w:p w14:paraId="23F2F3AF">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5</w:t>
      </w:r>
      <w:r>
        <w:rPr>
          <w:rFonts w:hint="eastAsia" w:ascii="宋体" w:hAnsi="宋体"/>
          <w:color w:val="auto"/>
          <w:szCs w:val="21"/>
          <w:highlight w:val="none"/>
        </w:rPr>
        <w:t>.3 迟延支付的违约责任</w:t>
      </w:r>
    </w:p>
    <w:p w14:paraId="17199BB8">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甲方存在迟延支付乙方合同款项的，应当承担</w:t>
      </w:r>
      <w:r>
        <w:rPr>
          <w:rFonts w:hint="eastAsia" w:ascii="宋体" w:hAnsi="宋体"/>
          <w:b/>
          <w:bCs/>
          <w:color w:val="auto"/>
          <w:szCs w:val="21"/>
          <w:highlight w:val="none"/>
        </w:rPr>
        <w:t>【政府采购合同专用条款】</w:t>
      </w:r>
      <w:r>
        <w:rPr>
          <w:rFonts w:hint="eastAsia" w:ascii="宋体" w:hAnsi="宋体"/>
          <w:color w:val="auto"/>
          <w:szCs w:val="21"/>
          <w:highlight w:val="none"/>
        </w:rPr>
        <w:t>规定的逾期付款利息。</w:t>
      </w:r>
    </w:p>
    <w:p w14:paraId="01C1E1EE">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lang w:eastAsia="zh-CN"/>
        </w:rPr>
        <w:t>5</w:t>
      </w:r>
      <w:r>
        <w:rPr>
          <w:rFonts w:hint="eastAsia" w:ascii="宋体" w:hAnsi="宋体"/>
          <w:bCs/>
          <w:color w:val="auto"/>
          <w:szCs w:val="21"/>
          <w:highlight w:val="none"/>
        </w:rPr>
        <w:t>.4其他违约责任根据项目实际需要按</w:t>
      </w:r>
      <w:r>
        <w:rPr>
          <w:rFonts w:hint="eastAsia" w:ascii="宋体" w:hAnsi="宋体"/>
          <w:b/>
          <w:bCs/>
          <w:color w:val="auto"/>
          <w:szCs w:val="21"/>
          <w:highlight w:val="none"/>
        </w:rPr>
        <w:t>【政府采购合同专用条款】</w:t>
      </w:r>
      <w:r>
        <w:rPr>
          <w:rFonts w:hint="eastAsia" w:ascii="宋体" w:hAnsi="宋体"/>
          <w:color w:val="auto"/>
          <w:szCs w:val="21"/>
          <w:highlight w:val="none"/>
        </w:rPr>
        <w:t>规定执行。</w:t>
      </w:r>
    </w:p>
    <w:p w14:paraId="6D12D955">
      <w:pPr>
        <w:numPr>
          <w:ilvl w:val="0"/>
          <w:numId w:val="16"/>
        </w:numPr>
        <w:autoSpaceDE w:val="0"/>
        <w:autoSpaceDN w:val="0"/>
        <w:adjustRightInd w:val="0"/>
        <w:snapToGrid w:val="0"/>
        <w:spacing w:before="0" w:line="400" w:lineRule="exact"/>
        <w:jc w:val="left"/>
        <w:rPr>
          <w:rFonts w:ascii="宋体" w:hAnsi="宋体"/>
          <w:b/>
          <w:color w:val="auto"/>
          <w:sz w:val="24"/>
          <w:highlight w:val="none"/>
        </w:rPr>
      </w:pPr>
      <w:r>
        <w:rPr>
          <w:rFonts w:hint="eastAsia" w:ascii="宋体" w:hAnsi="宋体"/>
          <w:b/>
          <w:color w:val="auto"/>
          <w:sz w:val="24"/>
          <w:highlight w:val="none"/>
        </w:rPr>
        <w:t>合同变更</w:t>
      </w:r>
      <w:r>
        <w:rPr>
          <w:rFonts w:hint="eastAsia" w:ascii="宋体" w:hAnsi="宋体"/>
          <w:b/>
          <w:color w:val="auto"/>
          <w:sz w:val="24"/>
          <w:highlight w:val="none"/>
          <w:lang w:eastAsia="zh-CN"/>
        </w:rPr>
        <w:t>、中止与终止</w:t>
      </w:r>
    </w:p>
    <w:p w14:paraId="210D104E">
      <w:pPr>
        <w:autoSpaceDE/>
        <w:autoSpaceDN/>
        <w:adjustRightInd w:val="0"/>
        <w:snapToGrid w:val="0"/>
        <w:spacing w:before="0" w:line="400" w:lineRule="exact"/>
        <w:ind w:firstLine="0" w:firstLineChars="0"/>
        <w:jc w:val="left"/>
        <w:rPr>
          <w:rFonts w:hint="eastAsia" w:ascii="宋体" w:hAnsi="宋体"/>
          <w:color w:val="auto"/>
          <w:szCs w:val="21"/>
          <w:highlight w:val="none"/>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.1合同的</w:t>
      </w:r>
      <w:r>
        <w:rPr>
          <w:rFonts w:hint="eastAsia" w:ascii="宋体" w:hAnsi="宋体"/>
          <w:color w:val="auto"/>
          <w:szCs w:val="21"/>
          <w:highlight w:val="none"/>
          <w:lang w:eastAsia="zh-CN"/>
        </w:rPr>
        <w:t>变更</w:t>
      </w:r>
    </w:p>
    <w:p w14:paraId="61B341B4">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政府采购合同履行中，</w:t>
      </w:r>
      <w:r>
        <w:rPr>
          <w:rFonts w:hint="eastAsia" w:ascii="宋体" w:hAnsi="宋体"/>
          <w:color w:val="auto"/>
          <w:szCs w:val="21"/>
          <w:highlight w:val="none"/>
        </w:rPr>
        <w:t>在不改变合同其他条款的前提下，甲方可以在合同价款10%的范围内追加与合同标的相同的货物，并就此与乙方协商</w:t>
      </w:r>
      <w:r>
        <w:rPr>
          <w:rFonts w:hint="eastAsia" w:ascii="宋体" w:hAnsi="宋体"/>
          <w:color w:val="auto"/>
          <w:szCs w:val="21"/>
          <w:highlight w:val="none"/>
          <w:lang w:eastAsia="zh-CN"/>
        </w:rPr>
        <w:t>一致后</w:t>
      </w:r>
      <w:r>
        <w:rPr>
          <w:rFonts w:hint="eastAsia" w:ascii="宋体" w:hAnsi="宋体"/>
          <w:color w:val="auto"/>
          <w:szCs w:val="21"/>
          <w:highlight w:val="none"/>
        </w:rPr>
        <w:t>签订补充协议。</w:t>
      </w:r>
    </w:p>
    <w:p w14:paraId="21D65FAF">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合同的中止</w:t>
      </w:r>
    </w:p>
    <w:p w14:paraId="6AD19BCC">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（1）合同履行过程中因供应商就采购文件、采购过程或结果提起投诉的，甲方认为有必要的，</w:t>
      </w:r>
      <w:r>
        <w:rPr>
          <w:rFonts w:hint="eastAsia" w:ascii="宋体" w:hAnsi="宋体"/>
          <w:color w:val="auto"/>
          <w:szCs w:val="21"/>
          <w:highlight w:val="none"/>
          <w:lang w:eastAsia="zh-CN"/>
        </w:rPr>
        <w:t>可以</w:t>
      </w:r>
      <w:r>
        <w:rPr>
          <w:rFonts w:hint="eastAsia" w:ascii="宋体" w:hAnsi="宋体"/>
          <w:color w:val="auto"/>
          <w:szCs w:val="21"/>
          <w:highlight w:val="none"/>
        </w:rPr>
        <w:t>中止合同的履行。</w:t>
      </w:r>
    </w:p>
    <w:p w14:paraId="62097A2E">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合同履行过程中，</w:t>
      </w:r>
      <w:r>
        <w:rPr>
          <w:rFonts w:hint="eastAsia" w:ascii="宋体" w:hAnsi="宋体"/>
          <w:color w:val="auto"/>
          <w:szCs w:val="21"/>
          <w:highlight w:val="none"/>
        </w:rPr>
        <w:t>如果乙方出现以下情形之一的：1．经营状况严重恶化；2．转移财产、抽逃资金，以逃避债务；3．丧失商业信誉；4．有丧失或者可能丧失履约能力的其他情形</w:t>
      </w:r>
      <w:r>
        <w:rPr>
          <w:rFonts w:hint="eastAsia" w:ascii="宋体" w:hAnsi="宋体"/>
          <w:color w:val="auto"/>
          <w:szCs w:val="21"/>
          <w:highlight w:val="none"/>
          <w:lang w:eastAsia="zh-CN"/>
        </w:rPr>
        <w:t>，乙方有义务及时告知甲方</w:t>
      </w:r>
      <w:r>
        <w:rPr>
          <w:rFonts w:hint="eastAsia" w:ascii="宋体" w:hAnsi="宋体"/>
          <w:color w:val="auto"/>
          <w:szCs w:val="21"/>
          <w:highlight w:val="none"/>
        </w:rPr>
        <w:t>。甲方</w:t>
      </w:r>
      <w:r>
        <w:rPr>
          <w:rFonts w:hint="eastAsia" w:ascii="宋体" w:hAnsi="宋体"/>
          <w:color w:val="auto"/>
          <w:szCs w:val="21"/>
          <w:highlight w:val="none"/>
          <w:lang w:eastAsia="zh-CN"/>
        </w:rPr>
        <w:t>有权</w:t>
      </w:r>
      <w:r>
        <w:rPr>
          <w:rFonts w:hint="eastAsia" w:ascii="宋体" w:hAnsi="宋体"/>
          <w:color w:val="auto"/>
          <w:szCs w:val="21"/>
          <w:highlight w:val="none"/>
        </w:rPr>
        <w:t>以书面形式通知乙方中止合同</w:t>
      </w:r>
      <w:r>
        <w:rPr>
          <w:rFonts w:hint="eastAsia" w:ascii="宋体" w:hAnsi="宋体"/>
          <w:color w:val="auto"/>
          <w:szCs w:val="21"/>
          <w:highlight w:val="none"/>
          <w:lang w:eastAsia="zh-CN"/>
        </w:rPr>
        <w:t>并要求乙方在合理期限内消除相关情形或者提供适当担保。</w:t>
      </w:r>
      <w:r>
        <w:rPr>
          <w:rFonts w:hint="eastAsia" w:ascii="宋体" w:hAnsi="宋体"/>
          <w:color w:val="auto"/>
          <w:szCs w:val="21"/>
          <w:highlight w:val="none"/>
        </w:rPr>
        <w:t>乙方提供适当担保的，</w:t>
      </w:r>
      <w:r>
        <w:rPr>
          <w:rFonts w:hint="eastAsia" w:ascii="宋体" w:hAnsi="宋体"/>
          <w:color w:val="auto"/>
          <w:szCs w:val="21"/>
          <w:highlight w:val="none"/>
          <w:lang w:eastAsia="zh-CN"/>
        </w:rPr>
        <w:t>合同继续</w:t>
      </w:r>
      <w:r>
        <w:rPr>
          <w:rFonts w:hint="eastAsia" w:ascii="宋体" w:hAnsi="宋体"/>
          <w:color w:val="auto"/>
          <w:szCs w:val="21"/>
          <w:highlight w:val="none"/>
        </w:rPr>
        <w:t>履行</w:t>
      </w:r>
      <w:r>
        <w:rPr>
          <w:rFonts w:hint="eastAsia" w:ascii="宋体" w:hAnsi="宋体"/>
          <w:color w:val="auto"/>
          <w:szCs w:val="21"/>
          <w:highlight w:val="none"/>
          <w:lang w:eastAsia="zh-CN"/>
        </w:rPr>
        <w:t>；乙</w:t>
      </w:r>
      <w:r>
        <w:rPr>
          <w:rFonts w:hint="eastAsia" w:ascii="宋体" w:hAnsi="宋体"/>
          <w:color w:val="auto"/>
          <w:szCs w:val="21"/>
          <w:highlight w:val="none"/>
        </w:rPr>
        <w:t>方在合理期限内未恢复履约能力且未提供适当担保的，视为拒绝</w:t>
      </w:r>
      <w:r>
        <w:rPr>
          <w:rFonts w:hint="eastAsia" w:ascii="宋体" w:hAnsi="宋体"/>
          <w:color w:val="auto"/>
          <w:szCs w:val="21"/>
          <w:highlight w:val="none"/>
          <w:lang w:eastAsia="zh-CN"/>
        </w:rPr>
        <w:t>继续</w:t>
      </w:r>
      <w:r>
        <w:rPr>
          <w:rFonts w:hint="eastAsia" w:ascii="宋体" w:hAnsi="宋体"/>
          <w:color w:val="auto"/>
          <w:szCs w:val="21"/>
          <w:highlight w:val="none"/>
        </w:rPr>
        <w:t>履约，甲方</w:t>
      </w:r>
      <w:r>
        <w:rPr>
          <w:rFonts w:hint="eastAsia" w:ascii="宋体" w:hAnsi="宋体"/>
          <w:color w:val="auto"/>
          <w:szCs w:val="21"/>
          <w:highlight w:val="none"/>
          <w:lang w:eastAsia="zh-CN"/>
        </w:rPr>
        <w:t>有权</w:t>
      </w:r>
      <w:r>
        <w:rPr>
          <w:rFonts w:hint="eastAsia" w:ascii="宋体" w:hAnsi="宋体"/>
          <w:color w:val="auto"/>
          <w:szCs w:val="21"/>
          <w:highlight w:val="none"/>
        </w:rPr>
        <w:t>解除合同并要求乙方承担</w:t>
      </w:r>
      <w:r>
        <w:rPr>
          <w:rFonts w:hint="eastAsia" w:ascii="宋体" w:hAnsi="宋体"/>
          <w:color w:val="auto"/>
          <w:szCs w:val="21"/>
          <w:highlight w:val="none"/>
          <w:lang w:eastAsia="zh-CN"/>
        </w:rPr>
        <w:t>由此给甲方造成的损失</w:t>
      </w:r>
      <w:r>
        <w:rPr>
          <w:rFonts w:hint="eastAsia" w:ascii="宋体" w:hAnsi="宋体"/>
          <w:color w:val="auto"/>
          <w:szCs w:val="21"/>
          <w:highlight w:val="none"/>
        </w:rPr>
        <w:t>。</w:t>
      </w:r>
    </w:p>
    <w:p w14:paraId="55584F79">
      <w:pPr>
        <w:pStyle w:val="29"/>
        <w:jc w:val="both"/>
        <w:rPr>
          <w:color w:val="auto"/>
          <w:sz w:val="21"/>
          <w:highlight w:val="none"/>
        </w:rPr>
      </w:pPr>
      <w:r>
        <w:rPr>
          <w:rFonts w:hint="eastAsia" w:ascii="宋体" w:hAnsi="宋体" w:eastAsia="宋体" w:cs="宋体"/>
          <w:color w:val="auto"/>
          <w:sz w:val="21"/>
          <w:highlight w:val="none"/>
        </w:rPr>
        <w:t>（3）乙方分立、合并或者变更住所的，应当及时以书面形式告知甲方。乙方没有</w:t>
      </w:r>
      <w:r>
        <w:rPr>
          <w:rFonts w:hint="eastAsia" w:ascii="宋体" w:hAnsi="宋体" w:eastAsia="宋体" w:cs="宋体"/>
          <w:color w:val="auto"/>
          <w:sz w:val="21"/>
          <w:highlight w:val="none"/>
          <w:lang w:eastAsia="zh-CN"/>
        </w:rPr>
        <w:t>及时告知</w:t>
      </w:r>
      <w:r>
        <w:rPr>
          <w:rFonts w:hint="eastAsia" w:ascii="宋体" w:hAnsi="宋体" w:eastAsia="宋体" w:cs="宋体"/>
          <w:color w:val="auto"/>
          <w:sz w:val="21"/>
          <w:highlight w:val="none"/>
        </w:rPr>
        <w:t>甲方，致使</w:t>
      </w:r>
      <w:r>
        <w:rPr>
          <w:rFonts w:hint="eastAsia" w:ascii="宋体" w:hAnsi="宋体" w:eastAsia="宋体" w:cs="宋体"/>
          <w:color w:val="auto"/>
          <w:sz w:val="21"/>
          <w:highlight w:val="none"/>
          <w:lang w:eastAsia="zh-CN"/>
        </w:rPr>
        <w:t>合同</w:t>
      </w:r>
      <w:r>
        <w:rPr>
          <w:rFonts w:hint="eastAsia" w:ascii="宋体" w:hAnsi="宋体" w:eastAsia="宋体" w:cs="宋体"/>
          <w:color w:val="auto"/>
          <w:sz w:val="21"/>
          <w:highlight w:val="none"/>
        </w:rPr>
        <w:t>履行发生困难的，甲方可以中止合同履行并要求乙方承担由此给甲方造成的损失。</w:t>
      </w:r>
    </w:p>
    <w:p w14:paraId="58BDE4F0">
      <w:pPr>
        <w:snapToGrid w:val="0"/>
        <w:spacing w:line="400" w:lineRule="exact"/>
        <w:ind w:firstLine="420" w:firstLineChars="200"/>
        <w:jc w:val="left"/>
        <w:rPr>
          <w:color w:val="auto"/>
          <w:sz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）甲方不得以行政区划调整、政府换届、机构或者职能调整以及相关责任人更替为由中止合同。</w:t>
      </w:r>
    </w:p>
    <w:p w14:paraId="0C899D5D">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合同的终止</w:t>
      </w:r>
    </w:p>
    <w:p w14:paraId="2C6C81D8">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（1）合同因有效期限届满而终止；</w:t>
      </w:r>
    </w:p>
    <w:p w14:paraId="6C0ED819">
      <w:pPr>
        <w:snapToGrid w:val="0"/>
        <w:spacing w:line="400" w:lineRule="exact"/>
        <w:ind w:firstLine="420" w:firstLineChars="200"/>
        <w:rPr>
          <w:rFonts w:hint="eastAsia" w:ascii="宋体" w:hAnsi="宋体" w:eastAsia="宋体" w:cs="宋体"/>
          <w:color w:val="auto"/>
          <w:szCs w:val="21"/>
          <w:highlight w:val="none"/>
          <w:lang w:eastAsia="zh-CN"/>
        </w:rPr>
      </w:pPr>
      <w:r>
        <w:rPr>
          <w:rFonts w:hint="eastAsia" w:ascii="宋体" w:hAnsi="宋体"/>
          <w:color w:val="auto"/>
          <w:szCs w:val="21"/>
          <w:highlight w:val="none"/>
        </w:rPr>
        <w:t>（2）乙方未</w:t>
      </w:r>
      <w:r>
        <w:rPr>
          <w:rFonts w:hint="eastAsia" w:ascii="宋体" w:hAnsi="宋体"/>
          <w:color w:val="auto"/>
          <w:szCs w:val="21"/>
          <w:highlight w:val="none"/>
          <w:lang w:eastAsia="zh-CN"/>
        </w:rPr>
        <w:t>按</w:t>
      </w:r>
      <w:r>
        <w:rPr>
          <w:rFonts w:hint="eastAsia" w:ascii="宋体" w:hAnsi="宋体"/>
          <w:color w:val="auto"/>
          <w:szCs w:val="21"/>
          <w:highlight w:val="none"/>
        </w:rPr>
        <w:t>合同约定履行，构成根本性违约的，甲方有权终止合同</w:t>
      </w:r>
      <w:r>
        <w:rPr>
          <w:rFonts w:hint="eastAsia" w:ascii="宋体" w:hAnsi="宋体"/>
          <w:color w:val="auto"/>
          <w:szCs w:val="21"/>
          <w:highlight w:val="none"/>
          <w:lang w:eastAsia="zh-CN"/>
        </w:rPr>
        <w:t>，</w:t>
      </w:r>
      <w:r>
        <w:rPr>
          <w:rFonts w:hint="eastAsia" w:ascii="宋体" w:hAnsi="宋体" w:eastAsia="宋体" w:cs="宋体"/>
          <w:color w:val="auto"/>
          <w:szCs w:val="21"/>
          <w:highlight w:val="none"/>
        </w:rPr>
        <w:t>并追究乙方的违约责</w:t>
      </w:r>
      <w:r>
        <w:rPr>
          <w:rFonts w:hint="eastAsia" w:ascii="宋体" w:hAnsi="宋体" w:cs="宋体"/>
          <w:color w:val="auto"/>
          <w:szCs w:val="21"/>
          <w:highlight w:val="none"/>
          <w:lang w:val="en-US" w:eastAsia="zh-CN"/>
        </w:rPr>
        <w:t>任</w:t>
      </w:r>
      <w:r>
        <w:rPr>
          <w:rFonts w:hint="eastAsia" w:ascii="宋体" w:hAnsi="宋体"/>
          <w:color w:val="auto"/>
          <w:szCs w:val="21"/>
          <w:highlight w:val="none"/>
        </w:rPr>
        <w:t>。</w:t>
      </w:r>
    </w:p>
    <w:p w14:paraId="6408C217">
      <w:pPr>
        <w:pStyle w:val="29"/>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 xml:space="preserve">16.4 </w:t>
      </w:r>
      <w:r>
        <w:rPr>
          <w:rFonts w:hint="eastAsia" w:ascii="宋体" w:hAnsi="宋体" w:eastAsia="宋体" w:cs="Times New Roman"/>
          <w:color w:val="auto"/>
          <w:kern w:val="2"/>
          <w:sz w:val="21"/>
          <w:szCs w:val="21"/>
          <w:highlight w:val="none"/>
          <w:lang w:val="en-US" w:eastAsia="zh-CN"/>
        </w:rPr>
        <w:t>涉及国家利益、社会公共利益的情形</w:t>
      </w:r>
    </w:p>
    <w:p w14:paraId="3AD32EF8">
      <w:pPr>
        <w:pStyle w:val="29"/>
        <w:jc w:val="both"/>
        <w:rPr>
          <w:color w:val="auto"/>
          <w:sz w:val="21"/>
          <w:highlight w:val="none"/>
        </w:rPr>
      </w:pPr>
      <w:r>
        <w:rPr>
          <w:rFonts w:hint="eastAsia" w:ascii="宋体" w:hAnsi="宋体" w:eastAsia="宋体" w:cs="宋体"/>
          <w:color w:val="auto"/>
          <w:sz w:val="21"/>
          <w:highlight w:val="none"/>
        </w:rPr>
        <w:t>政府采购合同继续履行将损害国家利益和社会公共利益的，双方当事人</w:t>
      </w:r>
      <w:r>
        <w:rPr>
          <w:rFonts w:hint="eastAsia" w:ascii="宋体" w:hAnsi="宋体" w:eastAsia="宋体" w:cs="宋体"/>
          <w:color w:val="auto"/>
          <w:sz w:val="21"/>
          <w:highlight w:val="none"/>
          <w:lang w:val="en-US" w:eastAsia="zh-CN"/>
        </w:rPr>
        <w:t>应当变更、</w:t>
      </w:r>
      <w:r>
        <w:rPr>
          <w:rFonts w:hint="eastAsia" w:ascii="宋体" w:hAnsi="宋体" w:eastAsia="宋体" w:cs="宋体"/>
          <w:color w:val="auto"/>
          <w:sz w:val="21"/>
          <w:highlight w:val="none"/>
        </w:rPr>
        <w:t>中止</w:t>
      </w:r>
      <w:r>
        <w:rPr>
          <w:rFonts w:hint="eastAsia" w:ascii="宋体" w:hAnsi="宋体" w:eastAsia="宋体" w:cs="宋体"/>
          <w:color w:val="auto"/>
          <w:sz w:val="21"/>
          <w:highlight w:val="none"/>
          <w:lang w:eastAsia="zh-CN"/>
        </w:rPr>
        <w:t>或者终止</w:t>
      </w:r>
      <w:r>
        <w:rPr>
          <w:rFonts w:hint="eastAsia" w:ascii="宋体" w:hAnsi="宋体" w:eastAsia="宋体" w:cs="宋体"/>
          <w:color w:val="auto"/>
          <w:sz w:val="21"/>
          <w:highlight w:val="none"/>
        </w:rPr>
        <w:t>合同。有过错的一方应当承担赔偿责任，双方都有过错的，各自承担相应的责任。</w:t>
      </w:r>
    </w:p>
    <w:p w14:paraId="09D4A0F6">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val="en-US" w:eastAsia="zh-CN"/>
        </w:rPr>
        <w:t>7</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合同分包</w:t>
      </w:r>
    </w:p>
    <w:p w14:paraId="266048DA">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7</w:t>
      </w:r>
      <w:r>
        <w:rPr>
          <w:rFonts w:hint="eastAsia" w:ascii="宋体" w:hAnsi="宋体"/>
          <w:color w:val="auto"/>
          <w:szCs w:val="21"/>
          <w:highlight w:val="none"/>
        </w:rPr>
        <w:t>.1 乙方不得</w:t>
      </w:r>
      <w:r>
        <w:rPr>
          <w:rFonts w:hint="eastAsia" w:ascii="宋体" w:hAnsi="宋体"/>
          <w:color w:val="auto"/>
          <w:szCs w:val="21"/>
          <w:highlight w:val="none"/>
          <w:lang w:eastAsia="zh-CN"/>
        </w:rPr>
        <w:t>将合同转包给其他供应商。涉及合同分包的，乙方</w:t>
      </w:r>
      <w:r>
        <w:rPr>
          <w:rFonts w:hint="eastAsia" w:ascii="宋体" w:hAnsi="宋体"/>
          <w:color w:val="auto"/>
          <w:szCs w:val="21"/>
          <w:highlight w:val="none"/>
          <w:lang w:val="en-US" w:eastAsia="zh-CN"/>
        </w:rPr>
        <w:t>应</w:t>
      </w:r>
      <w:r>
        <w:rPr>
          <w:rFonts w:hint="eastAsia" w:ascii="宋体" w:hAnsi="宋体"/>
          <w:color w:val="auto"/>
          <w:szCs w:val="21"/>
          <w:highlight w:val="none"/>
          <w:lang w:eastAsia="zh-CN"/>
        </w:rPr>
        <w:t>根据采购文件和投标（响应）文件规定进行</w:t>
      </w:r>
      <w:r>
        <w:rPr>
          <w:rFonts w:hint="eastAsia" w:ascii="宋体" w:hAnsi="宋体"/>
          <w:color w:val="auto"/>
          <w:szCs w:val="21"/>
          <w:highlight w:val="none"/>
        </w:rPr>
        <w:t>合同分包。</w:t>
      </w:r>
    </w:p>
    <w:p w14:paraId="2153E93F">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7</w:t>
      </w:r>
      <w:r>
        <w:rPr>
          <w:rFonts w:hint="eastAsia" w:ascii="宋体" w:hAnsi="宋体"/>
          <w:color w:val="auto"/>
          <w:szCs w:val="21"/>
          <w:highlight w:val="none"/>
        </w:rPr>
        <w:t>.2 乙方执行政府采购政策向中小企业依法分包的</w:t>
      </w:r>
      <w:r>
        <w:rPr>
          <w:rFonts w:hint="eastAsia" w:ascii="宋体" w:hAnsi="宋体"/>
          <w:color w:val="auto"/>
          <w:szCs w:val="21"/>
          <w:highlight w:val="none"/>
          <w:lang w:eastAsia="zh-CN"/>
        </w:rPr>
        <w:t>，</w:t>
      </w:r>
      <w:r>
        <w:rPr>
          <w:rFonts w:hint="eastAsia" w:ascii="宋体" w:hAnsi="宋体"/>
          <w:color w:val="auto"/>
          <w:szCs w:val="21"/>
          <w:highlight w:val="none"/>
        </w:rPr>
        <w:t>乙方应当按采购文件</w:t>
      </w:r>
      <w:r>
        <w:rPr>
          <w:rFonts w:hint="eastAsia" w:ascii="宋体" w:hAnsi="宋体"/>
          <w:color w:val="auto"/>
          <w:szCs w:val="21"/>
          <w:highlight w:val="none"/>
          <w:lang w:eastAsia="zh-CN"/>
        </w:rPr>
        <w:t>和</w:t>
      </w:r>
      <w:r>
        <w:rPr>
          <w:rFonts w:hint="eastAsia" w:ascii="宋体" w:hAnsi="宋体"/>
          <w:color w:val="auto"/>
          <w:szCs w:val="21"/>
          <w:highlight w:val="none"/>
        </w:rPr>
        <w:t>投标（响应）文件签订分包</w:t>
      </w:r>
      <w:r>
        <w:rPr>
          <w:rFonts w:hint="eastAsia" w:ascii="宋体" w:hAnsi="宋体"/>
          <w:color w:val="auto"/>
          <w:szCs w:val="21"/>
          <w:highlight w:val="none"/>
          <w:lang w:eastAsia="zh-CN"/>
        </w:rPr>
        <w:t>意向</w:t>
      </w:r>
      <w:r>
        <w:rPr>
          <w:rFonts w:hint="eastAsia" w:ascii="宋体" w:hAnsi="宋体"/>
          <w:color w:val="auto"/>
          <w:szCs w:val="21"/>
          <w:highlight w:val="none"/>
        </w:rPr>
        <w:t>协议，分包</w:t>
      </w:r>
      <w:r>
        <w:rPr>
          <w:rFonts w:hint="eastAsia" w:ascii="宋体" w:hAnsi="宋体"/>
          <w:color w:val="auto"/>
          <w:szCs w:val="21"/>
          <w:highlight w:val="none"/>
          <w:lang w:eastAsia="zh-CN"/>
        </w:rPr>
        <w:t>意向</w:t>
      </w:r>
      <w:r>
        <w:rPr>
          <w:rFonts w:hint="eastAsia" w:ascii="宋体" w:hAnsi="宋体"/>
          <w:color w:val="auto"/>
          <w:szCs w:val="21"/>
          <w:highlight w:val="none"/>
        </w:rPr>
        <w:t>协议属于本合同组成部分。</w:t>
      </w:r>
    </w:p>
    <w:p w14:paraId="38AB2671">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lang w:eastAsia="zh-CN"/>
        </w:rPr>
        <w:t>1</w:t>
      </w:r>
      <w:r>
        <w:rPr>
          <w:rFonts w:hint="eastAsia" w:ascii="宋体" w:hAnsi="宋体"/>
          <w:b/>
          <w:bCs/>
          <w:color w:val="auto"/>
          <w:sz w:val="24"/>
          <w:highlight w:val="none"/>
          <w:lang w:val="en-US" w:eastAsia="zh-CN"/>
        </w:rPr>
        <w:t>8</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不可抗力</w:t>
      </w:r>
    </w:p>
    <w:p w14:paraId="30B9CC3B">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1</w:t>
      </w:r>
      <w:r>
        <w:rPr>
          <w:rFonts w:hint="eastAsia" w:ascii="宋体" w:hAnsi="宋体"/>
          <w:color w:val="auto"/>
          <w:szCs w:val="21"/>
          <w:highlight w:val="none"/>
          <w:lang w:val="en-US" w:eastAsia="zh-CN"/>
        </w:rPr>
        <w:t>8</w:t>
      </w:r>
      <w:r>
        <w:rPr>
          <w:rFonts w:hint="eastAsia" w:ascii="宋体" w:hAnsi="宋体"/>
          <w:color w:val="auto"/>
          <w:szCs w:val="21"/>
          <w:highlight w:val="none"/>
        </w:rPr>
        <w:t>.1 不可抗力是指合同双方不能预见、不能避免且不能克服的客观情况。</w:t>
      </w:r>
    </w:p>
    <w:p w14:paraId="55B380F8">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1</w:t>
      </w:r>
      <w:r>
        <w:rPr>
          <w:rFonts w:hint="eastAsia" w:ascii="宋体" w:hAnsi="宋体"/>
          <w:color w:val="auto"/>
          <w:szCs w:val="21"/>
          <w:highlight w:val="none"/>
          <w:lang w:val="en-US" w:eastAsia="zh-CN"/>
        </w:rPr>
        <w:t>8</w:t>
      </w:r>
      <w:r>
        <w:rPr>
          <w:rFonts w:hint="eastAsia" w:ascii="宋体" w:hAnsi="宋体"/>
          <w:color w:val="auto"/>
          <w:szCs w:val="21"/>
          <w:highlight w:val="none"/>
        </w:rPr>
        <w:t>.2 任何一方对由于不可抗力造成的部分或全部不能履行合同不承担违约责任。但迟延履行后发生不可抗力的，不能免除责任。</w:t>
      </w:r>
    </w:p>
    <w:p w14:paraId="037988F9">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1</w:t>
      </w:r>
      <w:r>
        <w:rPr>
          <w:rFonts w:hint="eastAsia" w:ascii="宋体" w:hAnsi="宋体"/>
          <w:color w:val="auto"/>
          <w:szCs w:val="21"/>
          <w:highlight w:val="none"/>
          <w:lang w:val="en-US" w:eastAsia="zh-CN"/>
        </w:rPr>
        <w:t>8</w:t>
      </w:r>
      <w:r>
        <w:rPr>
          <w:rFonts w:hint="eastAsia" w:ascii="宋体" w:hAnsi="宋体"/>
          <w:color w:val="auto"/>
          <w:szCs w:val="21"/>
          <w:highlight w:val="none"/>
        </w:rPr>
        <w:t>.3 遇有不可抗力的一方，应及时将事件情况以书面形式</w:t>
      </w:r>
      <w:r>
        <w:rPr>
          <w:rFonts w:hint="eastAsia" w:ascii="宋体" w:hAnsi="宋体"/>
          <w:color w:val="auto"/>
          <w:szCs w:val="21"/>
          <w:highlight w:val="none"/>
          <w:lang w:eastAsia="zh-CN"/>
        </w:rPr>
        <w:t>告</w:t>
      </w:r>
      <w:r>
        <w:rPr>
          <w:rFonts w:hint="eastAsia" w:ascii="宋体" w:hAnsi="宋体"/>
          <w:color w:val="auto"/>
          <w:szCs w:val="21"/>
          <w:highlight w:val="none"/>
        </w:rPr>
        <w:t>知另一方，并在事件发生后及时向另一方提交合同不能履行或部分不能履行或需要延期履行</w:t>
      </w:r>
      <w:r>
        <w:rPr>
          <w:rFonts w:hint="eastAsia" w:ascii="宋体" w:hAnsi="宋体"/>
          <w:color w:val="auto"/>
          <w:szCs w:val="21"/>
          <w:highlight w:val="none"/>
          <w:lang w:eastAsia="zh-CN"/>
        </w:rPr>
        <w:t>的详细</w:t>
      </w:r>
      <w:r>
        <w:rPr>
          <w:rFonts w:hint="eastAsia" w:ascii="宋体" w:hAnsi="宋体"/>
          <w:color w:val="auto"/>
          <w:szCs w:val="21"/>
          <w:highlight w:val="none"/>
        </w:rPr>
        <w:t>报告</w:t>
      </w:r>
      <w:r>
        <w:rPr>
          <w:rFonts w:hint="eastAsia" w:ascii="宋体" w:hAnsi="宋体"/>
          <w:color w:val="auto"/>
          <w:szCs w:val="21"/>
          <w:highlight w:val="none"/>
          <w:lang w:eastAsia="zh-CN"/>
        </w:rPr>
        <w:t>，以</w:t>
      </w:r>
      <w:r>
        <w:rPr>
          <w:rFonts w:hint="eastAsia" w:ascii="宋体" w:hAnsi="宋体"/>
          <w:color w:val="auto"/>
          <w:szCs w:val="21"/>
          <w:highlight w:val="none"/>
          <w:lang w:val="en-US" w:eastAsia="zh-CN"/>
        </w:rPr>
        <w:t>及证明不可抗力发生及其持续时间的证据</w:t>
      </w:r>
      <w:r>
        <w:rPr>
          <w:rFonts w:hint="eastAsia" w:ascii="宋体" w:hAnsi="宋体"/>
          <w:color w:val="auto"/>
          <w:szCs w:val="21"/>
          <w:highlight w:val="none"/>
        </w:rPr>
        <w:t>。</w:t>
      </w:r>
    </w:p>
    <w:p w14:paraId="334F3947">
      <w:pPr>
        <w:autoSpaceDE w:val="0"/>
        <w:autoSpaceDN w:val="0"/>
        <w:adjustRightInd w:val="0"/>
        <w:snapToGrid w:val="0"/>
        <w:spacing w:before="0" w:line="400" w:lineRule="exact"/>
        <w:jc w:val="left"/>
        <w:rPr>
          <w:rFonts w:hint="eastAsia" w:ascii="宋体" w:hAnsi="宋体"/>
          <w:b/>
          <w:bCs/>
          <w:color w:val="auto"/>
          <w:sz w:val="24"/>
          <w:highlight w:val="none"/>
        </w:rPr>
      </w:pPr>
      <w:r>
        <w:rPr>
          <w:rFonts w:hint="eastAsia" w:ascii="宋体" w:hAnsi="宋体"/>
          <w:b/>
          <w:bCs/>
          <w:color w:val="auto"/>
          <w:sz w:val="24"/>
          <w:highlight w:val="none"/>
          <w:lang w:val="en-US" w:eastAsia="zh-CN"/>
        </w:rPr>
        <w:t>19</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解决争议的方法</w:t>
      </w:r>
    </w:p>
    <w:p w14:paraId="183F0469">
      <w:pPr>
        <w:pStyle w:val="29"/>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lang w:val="en-US" w:eastAsia="zh-CN"/>
        </w:rPr>
        <w:t>19</w:t>
      </w:r>
      <w:r>
        <w:rPr>
          <w:rFonts w:hint="eastAsia" w:ascii="宋体" w:hAnsi="宋体" w:eastAsia="宋体" w:cs="宋体"/>
          <w:color w:val="auto"/>
          <w:sz w:val="21"/>
          <w:highlight w:val="none"/>
        </w:rPr>
        <w:t>.1 因本合同及合同有关事项发生的争议，由</w:t>
      </w:r>
      <w:r>
        <w:rPr>
          <w:rFonts w:hint="eastAsia" w:ascii="宋体" w:hAnsi="宋体" w:eastAsia="宋体" w:cs="宋体"/>
          <w:color w:val="auto"/>
          <w:sz w:val="21"/>
          <w:highlight w:val="none"/>
          <w:lang w:eastAsia="zh-CN"/>
        </w:rPr>
        <w:t>甲乙双</w:t>
      </w:r>
      <w:r>
        <w:rPr>
          <w:rFonts w:hint="eastAsia" w:ascii="宋体" w:hAnsi="宋体" w:eastAsia="宋体" w:cs="宋体"/>
          <w:color w:val="auto"/>
          <w:sz w:val="21"/>
          <w:highlight w:val="none"/>
        </w:rPr>
        <w:t>方友好协商解决。协商不成时，可以</w:t>
      </w:r>
      <w:r>
        <w:rPr>
          <w:rFonts w:hint="eastAsia" w:ascii="宋体" w:hAnsi="宋体" w:eastAsia="宋体" w:cs="宋体"/>
          <w:color w:val="auto"/>
          <w:sz w:val="21"/>
          <w:highlight w:val="none"/>
          <w:lang w:eastAsia="zh-CN"/>
        </w:rPr>
        <w:t>向有关组织申请</w:t>
      </w:r>
      <w:r>
        <w:rPr>
          <w:rFonts w:hint="eastAsia" w:ascii="宋体" w:hAnsi="宋体" w:eastAsia="宋体" w:cs="宋体"/>
          <w:color w:val="auto"/>
          <w:sz w:val="21"/>
          <w:highlight w:val="none"/>
        </w:rPr>
        <w:t>调解。合同一方或</w:t>
      </w:r>
      <w:r>
        <w:rPr>
          <w:rFonts w:hint="eastAsia" w:ascii="宋体" w:hAnsi="宋体" w:eastAsia="宋体" w:cs="宋体"/>
          <w:color w:val="auto"/>
          <w:sz w:val="21"/>
          <w:highlight w:val="none"/>
          <w:lang w:eastAsia="zh-CN"/>
        </w:rPr>
        <w:t>双</w:t>
      </w:r>
      <w:r>
        <w:rPr>
          <w:rFonts w:hint="eastAsia" w:ascii="宋体" w:hAnsi="宋体" w:eastAsia="宋体" w:cs="宋体"/>
          <w:color w:val="auto"/>
          <w:sz w:val="21"/>
          <w:highlight w:val="none"/>
        </w:rPr>
        <w:t>方不愿调解或调解不成的，可以通过仲裁或诉讼的方式解决争议。</w:t>
      </w:r>
    </w:p>
    <w:p w14:paraId="053E3AAD">
      <w:pPr>
        <w:pStyle w:val="29"/>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lang w:val="en-US" w:eastAsia="zh-CN"/>
        </w:rPr>
        <w:t>19</w:t>
      </w:r>
      <w:r>
        <w:rPr>
          <w:rFonts w:hint="eastAsia" w:ascii="宋体" w:hAnsi="宋体" w:eastAsia="宋体" w:cs="宋体"/>
          <w:color w:val="auto"/>
          <w:sz w:val="21"/>
          <w:highlight w:val="none"/>
        </w:rPr>
        <w:t>.2 选择仲裁的，应在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highlight w:val="none"/>
        </w:rPr>
        <w:t>中明确仲裁机构及仲裁地；通过诉讼方式解决的，可以在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color w:val="auto"/>
          <w:sz w:val="21"/>
          <w:highlight w:val="none"/>
        </w:rPr>
        <w:t>中进一步约定选择与争议有实际联系的地点的人民法院管辖，但管辖法院的约定不得违反级别管辖和专属管辖的规定。</w:t>
      </w:r>
    </w:p>
    <w:p w14:paraId="3297CE13">
      <w:pPr>
        <w:pStyle w:val="29"/>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lang w:val="en-US" w:eastAsia="zh-CN"/>
        </w:rPr>
        <w:t>19</w:t>
      </w:r>
      <w:r>
        <w:rPr>
          <w:rFonts w:hint="eastAsia" w:ascii="宋体" w:hAnsi="宋体" w:eastAsia="宋体" w:cs="宋体"/>
          <w:color w:val="auto"/>
          <w:sz w:val="21"/>
          <w:highlight w:val="none"/>
        </w:rPr>
        <w:t>.3 如</w:t>
      </w:r>
      <w:r>
        <w:rPr>
          <w:rFonts w:hint="eastAsia" w:ascii="宋体" w:hAnsi="宋体" w:eastAsia="宋体" w:cs="宋体"/>
          <w:color w:val="auto"/>
          <w:sz w:val="21"/>
          <w:highlight w:val="none"/>
          <w:lang w:eastAsia="zh-CN"/>
        </w:rPr>
        <w:t>甲乙双方</w:t>
      </w:r>
      <w:r>
        <w:rPr>
          <w:rFonts w:hint="eastAsia" w:ascii="宋体" w:hAnsi="宋体" w:eastAsia="宋体" w:cs="宋体"/>
          <w:color w:val="auto"/>
          <w:sz w:val="21"/>
          <w:highlight w:val="none"/>
        </w:rPr>
        <w:t>有争议的事项不影响合同其他部分的履行，在争议解决期间，合同其他部分应</w:t>
      </w:r>
      <w:r>
        <w:rPr>
          <w:rFonts w:hint="eastAsia" w:ascii="宋体" w:hAnsi="宋体" w:eastAsia="宋体" w:cs="宋体"/>
          <w:color w:val="auto"/>
          <w:sz w:val="21"/>
          <w:highlight w:val="none"/>
          <w:lang w:eastAsia="zh-CN"/>
        </w:rPr>
        <w:t>当</w:t>
      </w:r>
      <w:r>
        <w:rPr>
          <w:rFonts w:hint="eastAsia" w:ascii="宋体" w:hAnsi="宋体" w:eastAsia="宋体" w:cs="宋体"/>
          <w:color w:val="auto"/>
          <w:sz w:val="21"/>
          <w:highlight w:val="none"/>
        </w:rPr>
        <w:t>继续履行。</w:t>
      </w:r>
    </w:p>
    <w:p w14:paraId="71FE61EC">
      <w:pPr>
        <w:autoSpaceDE w:val="0"/>
        <w:autoSpaceDN w:val="0"/>
        <w:adjustRightInd w:val="0"/>
        <w:snapToGrid w:val="0"/>
        <w:spacing w:before="0" w:line="400" w:lineRule="exact"/>
        <w:jc w:val="left"/>
        <w:rPr>
          <w:rFonts w:ascii="宋体" w:hAnsi="宋体"/>
          <w:color w:val="auto"/>
          <w:sz w:val="24"/>
          <w:highlight w:val="none"/>
        </w:rPr>
      </w:pPr>
      <w:r>
        <w:rPr>
          <w:rFonts w:hint="eastAsia" w:ascii="宋体" w:hAnsi="宋体"/>
          <w:b/>
          <w:color w:val="auto"/>
          <w:sz w:val="24"/>
          <w:highlight w:val="none"/>
          <w:lang w:val="en-US" w:eastAsia="zh-CN"/>
        </w:rPr>
        <w:t>20</w:t>
      </w:r>
      <w:r>
        <w:rPr>
          <w:rFonts w:hint="eastAsia" w:ascii="宋体" w:hAnsi="宋体"/>
          <w:b/>
          <w:color w:val="auto"/>
          <w:sz w:val="24"/>
          <w:highlight w:val="none"/>
        </w:rPr>
        <w:t>.</w:t>
      </w:r>
      <w:r>
        <w:rPr>
          <w:rFonts w:hint="eastAsia" w:ascii="宋体" w:hAnsi="宋体"/>
          <w:b/>
          <w:color w:val="auto"/>
          <w:sz w:val="24"/>
          <w:highlight w:val="none"/>
          <w:lang w:val="en-US" w:eastAsia="zh-CN"/>
        </w:rPr>
        <w:t xml:space="preserve"> </w:t>
      </w:r>
      <w:r>
        <w:rPr>
          <w:rFonts w:hint="eastAsia" w:ascii="宋体" w:hAnsi="宋体"/>
          <w:b/>
          <w:color w:val="auto"/>
          <w:sz w:val="24"/>
          <w:highlight w:val="none"/>
        </w:rPr>
        <w:t>政府采购政策</w:t>
      </w:r>
    </w:p>
    <w:p w14:paraId="784F2820">
      <w:pPr>
        <w:autoSpaceDE w:val="0"/>
        <w:autoSpaceDN w:val="0"/>
        <w:adjustRightInd w:val="0"/>
        <w:snapToGrid w:val="0"/>
        <w:spacing w:before="0" w:line="400" w:lineRule="exact"/>
        <w:ind w:firstLine="420" w:firstLineChars="200"/>
        <w:jc w:val="left"/>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 xml:space="preserve">20.1 </w:t>
      </w:r>
      <w:r>
        <w:rPr>
          <w:rFonts w:hint="eastAsia" w:ascii="宋体" w:hAnsi="宋体" w:eastAsia="宋体" w:cs="宋体"/>
          <w:color w:val="auto"/>
          <w:highlight w:val="none"/>
          <w:lang w:val="en-GB"/>
        </w:rPr>
        <w:t>本合同应当按照规定执行政府采购政策。</w:t>
      </w:r>
    </w:p>
    <w:p w14:paraId="6C8501D1">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lang w:val="en-US" w:eastAsia="zh-CN"/>
        </w:rPr>
        <w:t>0</w:t>
      </w: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 xml:space="preserve"> 本合同依法执行政府采购政策的方式和内容，属于合同履约验收的范围。</w:t>
      </w:r>
      <w:r>
        <w:rPr>
          <w:rFonts w:hint="eastAsia" w:ascii="宋体" w:hAnsi="宋体" w:eastAsia="宋体" w:cs="宋体"/>
          <w:color w:val="auto"/>
          <w:sz w:val="21"/>
          <w:highlight w:val="none"/>
          <w:lang w:eastAsia="zh-CN"/>
        </w:rPr>
        <w:t>甲乙双方</w:t>
      </w:r>
      <w:r>
        <w:rPr>
          <w:rFonts w:hint="eastAsia" w:ascii="宋体" w:hAnsi="宋体" w:eastAsia="宋体" w:cs="宋体"/>
          <w:color w:val="auto"/>
          <w:highlight w:val="none"/>
          <w:lang w:val="en-GB"/>
        </w:rPr>
        <w:t>未按规定要求执行政府采购政策造成损失的</w:t>
      </w:r>
      <w:r>
        <w:rPr>
          <w:rFonts w:hint="eastAsia" w:ascii="宋体" w:hAnsi="宋体"/>
          <w:color w:val="auto"/>
          <w:szCs w:val="21"/>
          <w:highlight w:val="none"/>
        </w:rPr>
        <w:t>，有过错的一方应当承担赔偿责任，双方都有过错的，各自承担相应的责任。</w:t>
      </w:r>
    </w:p>
    <w:p w14:paraId="304B7DCB">
      <w:pPr>
        <w:pStyle w:val="7"/>
        <w:spacing w:after="0" w:line="400" w:lineRule="exact"/>
        <w:ind w:firstLine="420" w:firstLineChars="200"/>
        <w:rPr>
          <w:color w:val="auto"/>
          <w:highlight w:val="none"/>
        </w:rPr>
      </w:pPr>
      <w:r>
        <w:rPr>
          <w:rFonts w:ascii="宋体" w:hAnsi="宋体"/>
          <w:color w:val="auto"/>
          <w:szCs w:val="21"/>
          <w:highlight w:val="none"/>
        </w:rPr>
        <w:t>2</w:t>
      </w:r>
      <w:r>
        <w:rPr>
          <w:rFonts w:hint="eastAsia" w:ascii="宋体" w:hAnsi="宋体"/>
          <w:color w:val="auto"/>
          <w:szCs w:val="21"/>
          <w:highlight w:val="none"/>
          <w:lang w:val="en-US" w:eastAsia="zh-CN"/>
        </w:rPr>
        <w:t>0</w:t>
      </w: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 xml:space="preserve"> 对于</w:t>
      </w:r>
      <w:r>
        <w:rPr>
          <w:rFonts w:hint="eastAsia" w:ascii="宋体" w:hAnsi="宋体"/>
          <w:color w:val="auto"/>
          <w:szCs w:val="21"/>
          <w:highlight w:val="none"/>
          <w:lang w:eastAsia="zh-CN"/>
        </w:rPr>
        <w:t>为落实中小企业支持政策，</w:t>
      </w:r>
      <w:r>
        <w:rPr>
          <w:rFonts w:hint="eastAsia" w:ascii="宋体" w:hAnsi="宋体"/>
          <w:color w:val="auto"/>
          <w:szCs w:val="21"/>
          <w:highlight w:val="none"/>
        </w:rPr>
        <w:t>通过采购项目</w:t>
      </w:r>
      <w:r>
        <w:rPr>
          <w:rFonts w:hint="eastAsia" w:ascii="宋体" w:hAnsi="宋体"/>
          <w:color w:val="auto"/>
          <w:szCs w:val="21"/>
          <w:highlight w:val="none"/>
          <w:lang w:eastAsia="zh-CN"/>
        </w:rPr>
        <w:t>整体</w:t>
      </w:r>
      <w:r>
        <w:rPr>
          <w:rFonts w:hint="eastAsia" w:ascii="宋体" w:hAnsi="宋体"/>
          <w:color w:val="auto"/>
          <w:szCs w:val="21"/>
          <w:highlight w:val="none"/>
        </w:rPr>
        <w:t>预留、</w:t>
      </w:r>
      <w:r>
        <w:rPr>
          <w:rFonts w:hint="eastAsia" w:ascii="宋体" w:hAnsi="宋体"/>
          <w:color w:val="auto"/>
          <w:szCs w:val="21"/>
          <w:highlight w:val="none"/>
          <w:lang w:eastAsia="zh-CN"/>
        </w:rPr>
        <w:t>设置</w:t>
      </w:r>
      <w:r>
        <w:rPr>
          <w:rFonts w:hint="eastAsia" w:ascii="宋体" w:hAnsi="宋体"/>
          <w:color w:val="auto"/>
          <w:szCs w:val="21"/>
          <w:highlight w:val="none"/>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430BFF1F">
      <w:pPr>
        <w:autoSpaceDE w:val="0"/>
        <w:autoSpaceDN w:val="0"/>
        <w:adjustRightInd w:val="0"/>
        <w:snapToGrid w:val="0"/>
        <w:spacing w:before="0" w:line="400" w:lineRule="exact"/>
        <w:jc w:val="left"/>
        <w:rPr>
          <w:rFonts w:hint="eastAsia" w:ascii="宋体" w:hAnsi="宋体"/>
          <w:b/>
          <w:color w:val="auto"/>
          <w:sz w:val="24"/>
          <w:highlight w:val="none"/>
        </w:rPr>
      </w:pPr>
      <w:r>
        <w:rPr>
          <w:rFonts w:hint="eastAsia" w:ascii="宋体" w:hAnsi="宋体"/>
          <w:b/>
          <w:color w:val="auto"/>
          <w:sz w:val="24"/>
          <w:highlight w:val="none"/>
        </w:rPr>
        <w:t>2</w:t>
      </w:r>
      <w:r>
        <w:rPr>
          <w:rFonts w:hint="eastAsia" w:ascii="宋体" w:hAnsi="宋体"/>
          <w:b/>
          <w:color w:val="auto"/>
          <w:sz w:val="24"/>
          <w:highlight w:val="none"/>
          <w:lang w:val="en-US" w:eastAsia="zh-CN"/>
        </w:rPr>
        <w:t>1</w:t>
      </w:r>
      <w:r>
        <w:rPr>
          <w:rFonts w:hint="eastAsia" w:ascii="宋体" w:hAnsi="宋体"/>
          <w:b/>
          <w:color w:val="auto"/>
          <w:sz w:val="24"/>
          <w:highlight w:val="none"/>
        </w:rPr>
        <w:t>.</w:t>
      </w:r>
      <w:r>
        <w:rPr>
          <w:rFonts w:hint="eastAsia" w:ascii="宋体" w:hAnsi="宋体"/>
          <w:b/>
          <w:color w:val="auto"/>
          <w:sz w:val="24"/>
          <w:highlight w:val="none"/>
          <w:lang w:val="en-US" w:eastAsia="zh-CN"/>
        </w:rPr>
        <w:t xml:space="preserve"> </w:t>
      </w:r>
      <w:r>
        <w:rPr>
          <w:rFonts w:hint="eastAsia" w:ascii="宋体" w:hAnsi="宋体"/>
          <w:b/>
          <w:color w:val="auto"/>
          <w:sz w:val="24"/>
          <w:highlight w:val="none"/>
        </w:rPr>
        <w:t>法律适用</w:t>
      </w:r>
    </w:p>
    <w:p w14:paraId="1C1F34BA">
      <w:pPr>
        <w:pStyle w:val="29"/>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2</w:t>
      </w:r>
      <w:r>
        <w:rPr>
          <w:rFonts w:hint="eastAsia" w:ascii="宋体" w:hAnsi="宋体" w:eastAsia="宋体" w:cs="宋体"/>
          <w:color w:val="auto"/>
          <w:sz w:val="21"/>
          <w:highlight w:val="none"/>
          <w:lang w:val="en-US" w:eastAsia="zh-CN"/>
        </w:rPr>
        <w:t>1</w:t>
      </w:r>
      <w:r>
        <w:rPr>
          <w:rFonts w:hint="eastAsia" w:ascii="宋体" w:hAnsi="宋体" w:eastAsia="宋体" w:cs="宋体"/>
          <w:color w:val="auto"/>
          <w:sz w:val="21"/>
          <w:highlight w:val="none"/>
        </w:rPr>
        <w:t>.1 本合同的订立、生效、解释、履行及与本合同有关的争议解决，均适用法律、行政法规。</w:t>
      </w:r>
    </w:p>
    <w:p w14:paraId="4CAE3D9D">
      <w:pPr>
        <w:pStyle w:val="29"/>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2</w:t>
      </w:r>
      <w:r>
        <w:rPr>
          <w:rFonts w:hint="eastAsia" w:ascii="宋体" w:hAnsi="宋体" w:eastAsia="宋体" w:cs="宋体"/>
          <w:color w:val="auto"/>
          <w:sz w:val="21"/>
          <w:highlight w:val="none"/>
          <w:lang w:val="en-US" w:eastAsia="zh-CN"/>
        </w:rPr>
        <w:t>1</w:t>
      </w:r>
      <w:r>
        <w:rPr>
          <w:rFonts w:hint="eastAsia" w:ascii="宋体" w:hAnsi="宋体" w:eastAsia="宋体" w:cs="宋体"/>
          <w:color w:val="auto"/>
          <w:sz w:val="21"/>
          <w:highlight w:val="none"/>
        </w:rPr>
        <w:t>.2 本合同条款与法律、行政法规的强制性规定不一致的，双方当事人应按照法律、行政法规的强制性规定修改本合同的相关条款。</w:t>
      </w:r>
    </w:p>
    <w:p w14:paraId="3F3DB32D">
      <w:pPr>
        <w:numPr>
          <w:ilvl w:val="0"/>
          <w:numId w:val="0"/>
        </w:numPr>
        <w:autoSpaceDE w:val="0"/>
        <w:autoSpaceDN w:val="0"/>
        <w:adjustRightInd w:val="0"/>
        <w:snapToGrid w:val="0"/>
        <w:spacing w:before="0" w:line="400" w:lineRule="exact"/>
        <w:jc w:val="left"/>
        <w:rPr>
          <w:rFonts w:ascii="宋体" w:hAnsi="宋体"/>
          <w:b/>
          <w:color w:val="auto"/>
          <w:sz w:val="24"/>
          <w:highlight w:val="none"/>
        </w:rPr>
      </w:pPr>
      <w:r>
        <w:rPr>
          <w:rFonts w:hint="eastAsia" w:ascii="宋体" w:hAnsi="宋体"/>
          <w:b/>
          <w:color w:val="auto"/>
          <w:sz w:val="24"/>
          <w:highlight w:val="none"/>
          <w:lang w:val="en-US" w:eastAsia="zh-CN"/>
        </w:rPr>
        <w:t xml:space="preserve">22. </w:t>
      </w:r>
      <w:r>
        <w:rPr>
          <w:rFonts w:hint="eastAsia" w:ascii="宋体" w:hAnsi="宋体"/>
          <w:b/>
          <w:color w:val="auto"/>
          <w:sz w:val="24"/>
          <w:highlight w:val="none"/>
        </w:rPr>
        <w:t>通知</w:t>
      </w:r>
    </w:p>
    <w:p w14:paraId="5CB453C0">
      <w:pPr>
        <w:pStyle w:val="29"/>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2</w:t>
      </w:r>
      <w:r>
        <w:rPr>
          <w:rFonts w:hint="eastAsia" w:ascii="宋体" w:hAnsi="宋体" w:eastAsia="宋体" w:cs="宋体"/>
          <w:color w:val="auto"/>
          <w:sz w:val="21"/>
          <w:highlight w:val="none"/>
          <w:lang w:val="en-US" w:eastAsia="zh-CN"/>
        </w:rPr>
        <w:t>2</w:t>
      </w:r>
      <w:r>
        <w:rPr>
          <w:rFonts w:hint="eastAsia" w:ascii="宋体" w:hAnsi="宋体" w:eastAsia="宋体" w:cs="宋体"/>
          <w:color w:val="auto"/>
          <w:sz w:val="21"/>
          <w:highlight w:val="none"/>
        </w:rPr>
        <w:t>.1</w:t>
      </w:r>
      <w:r>
        <w:rPr>
          <w:rFonts w:hint="eastAsia" w:ascii="宋体" w:hAnsi="宋体" w:eastAsia="宋体" w:cs="宋体"/>
          <w:color w:val="auto"/>
          <w:sz w:val="21"/>
          <w:highlight w:val="none"/>
          <w:lang w:val="en-US" w:eastAsia="zh-CN"/>
        </w:rPr>
        <w:t xml:space="preserve"> </w:t>
      </w:r>
      <w:r>
        <w:rPr>
          <w:rFonts w:hint="eastAsia" w:ascii="宋体" w:hAnsi="宋体" w:eastAsia="宋体" w:cs="宋体"/>
          <w:color w:val="auto"/>
          <w:sz w:val="21"/>
          <w:highlight w:val="none"/>
        </w:rPr>
        <w:t>本合同任何一方向对方发出的通知、信件、数据电文等，应当发送至本合同第一部分《政府采购合同协议书》所约定的通讯地址、联系人、联系电话或电子邮箱。</w:t>
      </w:r>
    </w:p>
    <w:p w14:paraId="47355927">
      <w:pPr>
        <w:pStyle w:val="29"/>
        <w:ind w:firstLine="0" w:firstLineChars="0"/>
        <w:jc w:val="both"/>
        <w:rPr>
          <w:color w:val="auto"/>
          <w:sz w:val="21"/>
          <w:highlight w:val="none"/>
        </w:rPr>
      </w:pPr>
      <w:r>
        <w:rPr>
          <w:rFonts w:hint="eastAsia" w:ascii="宋体" w:hAnsi="宋体" w:eastAsia="宋体" w:cs="宋体"/>
          <w:color w:val="auto"/>
          <w:sz w:val="21"/>
          <w:highlight w:val="none"/>
          <w:lang w:val="en-US" w:eastAsia="zh-CN"/>
        </w:rPr>
        <w:t xml:space="preserve">    </w:t>
      </w:r>
      <w:r>
        <w:rPr>
          <w:rFonts w:hint="eastAsia" w:ascii="宋体" w:hAnsi="宋体" w:eastAsia="宋体" w:cs="宋体"/>
          <w:color w:val="auto"/>
          <w:sz w:val="21"/>
          <w:highlight w:val="none"/>
        </w:rPr>
        <w:t>2</w:t>
      </w:r>
      <w:r>
        <w:rPr>
          <w:rFonts w:hint="eastAsia" w:ascii="宋体" w:hAnsi="宋体" w:eastAsia="宋体" w:cs="宋体"/>
          <w:color w:val="auto"/>
          <w:sz w:val="21"/>
          <w:highlight w:val="none"/>
          <w:lang w:val="en-US" w:eastAsia="zh-CN"/>
        </w:rPr>
        <w:t>2</w:t>
      </w:r>
      <w:r>
        <w:rPr>
          <w:rFonts w:hint="eastAsia" w:ascii="宋体" w:hAnsi="宋体" w:eastAsia="宋体" w:cs="宋体"/>
          <w:color w:val="auto"/>
          <w:sz w:val="21"/>
          <w:highlight w:val="none"/>
        </w:rPr>
        <w:t>.2</w:t>
      </w:r>
      <w:r>
        <w:rPr>
          <w:rFonts w:hint="eastAsia" w:ascii="宋体" w:hAnsi="宋体" w:eastAsia="宋体" w:cs="宋体"/>
          <w:color w:val="auto"/>
          <w:sz w:val="21"/>
          <w:highlight w:val="none"/>
          <w:lang w:val="en-US" w:eastAsia="zh-CN"/>
        </w:rPr>
        <w:t xml:space="preserve"> </w:t>
      </w:r>
      <w:r>
        <w:rPr>
          <w:rFonts w:hint="eastAsia" w:ascii="宋体" w:hAnsi="宋体" w:eastAsia="宋体" w:cs="宋体"/>
          <w:color w:val="auto"/>
          <w:sz w:val="21"/>
          <w:highlight w:val="none"/>
        </w:rPr>
        <w:t>一方当事人变更名称、</w:t>
      </w:r>
      <w:r>
        <w:rPr>
          <w:rFonts w:hint="eastAsia" w:ascii="宋体" w:hAnsi="宋体" w:eastAsia="宋体" w:cs="宋体"/>
          <w:color w:val="auto"/>
          <w:sz w:val="21"/>
          <w:highlight w:val="none"/>
          <w:lang w:eastAsia="zh-CN"/>
        </w:rPr>
        <w:t>住所</w:t>
      </w:r>
      <w:r>
        <w:rPr>
          <w:rFonts w:hint="eastAsia" w:ascii="宋体" w:hAnsi="宋体" w:eastAsia="宋体" w:cs="宋体"/>
          <w:color w:val="auto"/>
          <w:sz w:val="21"/>
          <w:highlight w:val="none"/>
        </w:rPr>
        <w:t>、联系人、联系电话或电子邮箱</w:t>
      </w:r>
      <w:r>
        <w:rPr>
          <w:rFonts w:hint="eastAsia" w:ascii="宋体" w:hAnsi="宋体" w:eastAsia="宋体" w:cs="宋体"/>
          <w:color w:val="auto"/>
          <w:sz w:val="21"/>
          <w:highlight w:val="none"/>
          <w:lang w:eastAsia="zh-CN"/>
        </w:rPr>
        <w:t>等信息</w:t>
      </w:r>
      <w:r>
        <w:rPr>
          <w:rFonts w:hint="eastAsia" w:ascii="宋体" w:hAnsi="宋体" w:eastAsia="宋体" w:cs="宋体"/>
          <w:color w:val="auto"/>
          <w:sz w:val="21"/>
          <w:highlight w:val="none"/>
        </w:rPr>
        <w:t>的，应当在变更后3日内及时书面通知对方，对方实际收到变更通知前的送达仍为有效送达。</w:t>
      </w:r>
    </w:p>
    <w:p w14:paraId="17B0A285">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2</w:t>
      </w: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本合同一方给另一方的通知均应采用书面形式，传真或快递送到本合同中规定的对方的地址和办理签收手续。</w:t>
      </w:r>
    </w:p>
    <w:p w14:paraId="2476066E">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2</w:t>
      </w: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通知以送达之日或通知书中规定的生效之日起生效，两者中以较迟之日为准。</w:t>
      </w:r>
    </w:p>
    <w:p w14:paraId="782E7116">
      <w:pPr>
        <w:numPr>
          <w:ilvl w:val="0"/>
          <w:numId w:val="17"/>
        </w:numPr>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合同未尽事项</w:t>
      </w:r>
    </w:p>
    <w:p w14:paraId="55E66011">
      <w:pPr>
        <w:adjustRightInd w:val="0"/>
        <w:snapToGrid w:val="0"/>
        <w:spacing w:before="0" w:line="400" w:lineRule="exact"/>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2</w:t>
      </w:r>
      <w:r>
        <w:rPr>
          <w:rFonts w:hint="eastAsia" w:ascii="宋体" w:hAnsi="宋体"/>
          <w:bCs/>
          <w:color w:val="auto"/>
          <w:szCs w:val="21"/>
          <w:highlight w:val="none"/>
          <w:lang w:val="en-US" w:eastAsia="zh-CN"/>
        </w:rPr>
        <w:t>3</w:t>
      </w:r>
      <w:r>
        <w:rPr>
          <w:rFonts w:hint="eastAsia" w:ascii="宋体" w:hAnsi="宋体"/>
          <w:bCs/>
          <w:color w:val="auto"/>
          <w:szCs w:val="21"/>
          <w:highlight w:val="none"/>
        </w:rPr>
        <w:t>.1合同未尽事项见</w:t>
      </w:r>
      <w:r>
        <w:rPr>
          <w:rFonts w:hint="eastAsia" w:ascii="宋体" w:hAnsi="宋体"/>
          <w:b/>
          <w:color w:val="auto"/>
          <w:szCs w:val="21"/>
          <w:highlight w:val="none"/>
        </w:rPr>
        <w:t>【政府采购合同专用条款】</w:t>
      </w:r>
      <w:r>
        <w:rPr>
          <w:rFonts w:hint="eastAsia" w:ascii="宋体" w:hAnsi="宋体"/>
          <w:bCs/>
          <w:color w:val="auto"/>
          <w:szCs w:val="21"/>
          <w:highlight w:val="none"/>
        </w:rPr>
        <w:t>。</w:t>
      </w:r>
    </w:p>
    <w:p w14:paraId="1090DE16">
      <w:pPr>
        <w:adjustRightInd w:val="0"/>
        <w:snapToGrid w:val="0"/>
        <w:spacing w:line="400" w:lineRule="exact"/>
        <w:ind w:firstLine="0" w:firstLineChars="0"/>
        <w:jc w:val="left"/>
        <w:rPr>
          <w:rFonts w:ascii="黑体" w:hAnsi="华文中宋" w:eastAsia="黑体"/>
          <w:color w:val="auto"/>
          <w:sz w:val="28"/>
          <w:szCs w:val="28"/>
          <w:highlight w:val="none"/>
        </w:rPr>
      </w:pPr>
      <w:r>
        <w:rPr>
          <w:rFonts w:hint="eastAsia" w:ascii="宋体" w:hAnsi="宋体"/>
          <w:bCs/>
          <w:color w:val="auto"/>
          <w:szCs w:val="21"/>
          <w:highlight w:val="none"/>
          <w:lang w:val="en-US" w:eastAsia="zh-CN"/>
        </w:rPr>
        <w:t xml:space="preserve">    23.2 合同附件与合同正文具有同等的法律效力。</w:t>
      </w:r>
      <w:bookmarkStart w:id="41" w:name="_Toc20313"/>
    </w:p>
    <w:p w14:paraId="3F576293">
      <w:pPr>
        <w:adjustRightInd w:val="0"/>
        <w:snapToGrid w:val="0"/>
        <w:jc w:val="center"/>
        <w:rPr>
          <w:rFonts w:hint="eastAsia" w:ascii="黑体" w:hAnsi="华文中宋" w:eastAsia="黑体"/>
          <w:b w:val="0"/>
          <w:bCs w:val="0"/>
          <w:color w:val="auto"/>
          <w:sz w:val="28"/>
          <w:szCs w:val="28"/>
          <w:highlight w:val="none"/>
        </w:rPr>
      </w:pPr>
      <w:r>
        <w:rPr>
          <w:rFonts w:hint="eastAsia" w:ascii="黑体" w:hAnsi="华文中宋" w:eastAsia="黑体"/>
          <w:b w:val="0"/>
          <w:bCs w:val="0"/>
          <w:color w:val="auto"/>
          <w:sz w:val="28"/>
          <w:szCs w:val="28"/>
          <w:highlight w:val="none"/>
        </w:rPr>
        <w:br w:type="page"/>
      </w:r>
    </w:p>
    <w:p w14:paraId="3E378522">
      <w:pPr>
        <w:pStyle w:val="3"/>
        <w:adjustRightInd w:val="0"/>
        <w:snapToGrid w:val="0"/>
        <w:jc w:val="center"/>
        <w:rPr>
          <w:rFonts w:ascii="黑体" w:hAnsi="华文中宋" w:eastAsia="黑体"/>
          <w:b w:val="0"/>
          <w:bCs w:val="0"/>
          <w:color w:val="auto"/>
          <w:sz w:val="28"/>
          <w:szCs w:val="28"/>
          <w:highlight w:val="none"/>
        </w:rPr>
      </w:pPr>
      <w:r>
        <w:rPr>
          <w:rFonts w:hint="eastAsia" w:ascii="黑体" w:hAnsi="华文中宋" w:eastAsia="黑体"/>
          <w:b w:val="0"/>
          <w:bCs w:val="0"/>
          <w:color w:val="auto"/>
          <w:sz w:val="28"/>
          <w:szCs w:val="28"/>
          <w:highlight w:val="none"/>
        </w:rPr>
        <w:t>第三节 政府采购合同专用条款</w:t>
      </w:r>
      <w:bookmarkEnd w:id="41"/>
    </w:p>
    <w:tbl>
      <w:tblPr>
        <w:tblStyle w:val="22"/>
        <w:tblW w:w="0" w:type="auto"/>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3273277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45311F49">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533250D7">
            <w:pPr>
              <w:adjustRightInd w:val="0"/>
              <w:snapToGrid w:val="0"/>
              <w:jc w:val="center"/>
              <w:rPr>
                <w:rFonts w:ascii="宋体" w:hAnsi="宋体"/>
                <w:color w:val="auto"/>
                <w:szCs w:val="21"/>
                <w:highlight w:val="none"/>
              </w:rPr>
            </w:pPr>
            <w:r>
              <w:rPr>
                <w:rFonts w:hint="eastAsia" w:ascii="宋体" w:hAnsi="宋体"/>
                <w:color w:val="auto"/>
                <w:szCs w:val="21"/>
                <w:highlight w:val="none"/>
              </w:rPr>
              <w:t>第1.2（</w:t>
            </w:r>
            <w:r>
              <w:rPr>
                <w:rFonts w:hint="eastAsia" w:ascii="宋体" w:hAnsi="宋体"/>
                <w:color w:val="auto"/>
                <w:szCs w:val="21"/>
                <w:highlight w:val="none"/>
                <w:lang w:val="en-US" w:eastAsia="zh-CN"/>
              </w:rPr>
              <w:t>6</w:t>
            </w:r>
            <w:r>
              <w:rPr>
                <w:rFonts w:hint="eastAsia" w:ascii="宋体" w:hAnsi="宋体"/>
                <w:color w:val="auto"/>
                <w:szCs w:val="21"/>
                <w:highlight w:val="none"/>
              </w:rPr>
              <w:t>）项</w:t>
            </w:r>
          </w:p>
        </w:tc>
        <w:tc>
          <w:tcPr>
            <w:tcW w:w="1742" w:type="dxa"/>
            <w:noWrap w:val="0"/>
            <w:vAlign w:val="center"/>
          </w:tcPr>
          <w:p w14:paraId="4DD0954A">
            <w:pPr>
              <w:adjustRightInd w:val="0"/>
              <w:snapToGrid w:val="0"/>
              <w:jc w:val="left"/>
              <w:rPr>
                <w:rFonts w:ascii="宋体" w:hAnsi="宋体"/>
                <w:color w:val="auto"/>
                <w:szCs w:val="21"/>
                <w:highlight w:val="none"/>
              </w:rPr>
            </w:pPr>
            <w:r>
              <w:rPr>
                <w:rFonts w:hint="eastAsia" w:ascii="宋体" w:hAnsi="宋体"/>
                <w:color w:val="auto"/>
                <w:szCs w:val="21"/>
                <w:highlight w:val="none"/>
                <w:lang w:eastAsia="zh-CN"/>
              </w:rPr>
              <w:t>联合体具体要求</w:t>
            </w:r>
          </w:p>
        </w:tc>
        <w:tc>
          <w:tcPr>
            <w:tcW w:w="5170" w:type="dxa"/>
            <w:noWrap w:val="0"/>
            <w:vAlign w:val="center"/>
          </w:tcPr>
          <w:p w14:paraId="5FC45C8F">
            <w:pPr>
              <w:adjustRightInd w:val="0"/>
              <w:snapToGrid w:val="0"/>
              <w:jc w:val="left"/>
              <w:rPr>
                <w:rFonts w:ascii="宋体" w:hAnsi="宋体"/>
                <w:color w:val="auto"/>
                <w:szCs w:val="21"/>
                <w:highlight w:val="none"/>
              </w:rPr>
            </w:pPr>
          </w:p>
        </w:tc>
      </w:tr>
      <w:tr w14:paraId="59E27FB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noWrap w:val="0"/>
            <w:vAlign w:val="center"/>
          </w:tcPr>
          <w:p w14:paraId="3C05C225">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1F5ECA91">
            <w:pPr>
              <w:adjustRightInd w:val="0"/>
              <w:snapToGrid w:val="0"/>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第1.2（</w:t>
            </w:r>
            <w:r>
              <w:rPr>
                <w:rFonts w:hint="eastAsia" w:ascii="宋体" w:hAnsi="宋体"/>
                <w:color w:val="auto"/>
                <w:szCs w:val="21"/>
                <w:highlight w:val="none"/>
                <w:lang w:val="en-US" w:eastAsia="zh-CN"/>
              </w:rPr>
              <w:t>7</w:t>
            </w:r>
            <w:r>
              <w:rPr>
                <w:rFonts w:hint="eastAsia" w:ascii="宋体" w:hAnsi="宋体"/>
                <w:color w:val="auto"/>
                <w:szCs w:val="21"/>
                <w:highlight w:val="none"/>
              </w:rPr>
              <w:t>）项</w:t>
            </w:r>
          </w:p>
        </w:tc>
        <w:tc>
          <w:tcPr>
            <w:tcW w:w="1742" w:type="dxa"/>
            <w:noWrap w:val="0"/>
            <w:vAlign w:val="center"/>
          </w:tcPr>
          <w:p w14:paraId="3E6623E3">
            <w:pPr>
              <w:adjustRightInd w:val="0"/>
              <w:snapToGrid w:val="0"/>
              <w:jc w:val="left"/>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其他术语解释</w:t>
            </w:r>
          </w:p>
        </w:tc>
        <w:tc>
          <w:tcPr>
            <w:tcW w:w="5170" w:type="dxa"/>
            <w:noWrap w:val="0"/>
            <w:vAlign w:val="center"/>
          </w:tcPr>
          <w:p w14:paraId="6AB0216A">
            <w:pPr>
              <w:adjustRightInd w:val="0"/>
              <w:snapToGrid w:val="0"/>
              <w:jc w:val="left"/>
              <w:rPr>
                <w:rFonts w:ascii="宋体" w:hAnsi="宋体" w:eastAsia="宋体" w:cs="Times New Roman"/>
                <w:color w:val="auto"/>
                <w:kern w:val="2"/>
                <w:sz w:val="21"/>
                <w:szCs w:val="21"/>
                <w:highlight w:val="none"/>
                <w:lang w:val="en-US" w:eastAsia="zh-CN" w:bidi="ar-SA"/>
              </w:rPr>
            </w:pPr>
          </w:p>
        </w:tc>
      </w:tr>
      <w:tr w14:paraId="01B7F13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2DC1AB13">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5ADD7CA5">
            <w:pPr>
              <w:adjustRightInd w:val="0"/>
              <w:snapToGrid w:val="0"/>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eastAsia="zh-CN"/>
              </w:rPr>
              <w:t>第</w:t>
            </w:r>
            <w:r>
              <w:rPr>
                <w:rFonts w:hint="eastAsia" w:ascii="宋体" w:hAnsi="宋体"/>
                <w:color w:val="auto"/>
                <w:szCs w:val="21"/>
                <w:highlight w:val="none"/>
                <w:lang w:val="en-US" w:eastAsia="zh-CN"/>
              </w:rPr>
              <w:t>4.4款</w:t>
            </w:r>
          </w:p>
        </w:tc>
        <w:tc>
          <w:tcPr>
            <w:tcW w:w="1742" w:type="dxa"/>
            <w:noWrap w:val="0"/>
            <w:vAlign w:val="center"/>
          </w:tcPr>
          <w:p w14:paraId="5DD4452F">
            <w:pPr>
              <w:adjustRightInd w:val="0"/>
              <w:snapToGrid w:val="0"/>
              <w:jc w:val="left"/>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履约验收中甲方提出异议或作出说明的期限</w:t>
            </w:r>
          </w:p>
        </w:tc>
        <w:tc>
          <w:tcPr>
            <w:tcW w:w="5170" w:type="dxa"/>
            <w:noWrap w:val="0"/>
            <w:vAlign w:val="center"/>
          </w:tcPr>
          <w:p w14:paraId="7AC66A0A">
            <w:pPr>
              <w:adjustRightInd w:val="0"/>
              <w:snapToGrid w:val="0"/>
              <w:jc w:val="left"/>
              <w:rPr>
                <w:rFonts w:ascii="宋体" w:hAnsi="宋体" w:eastAsia="宋体" w:cs="Times New Roman"/>
                <w:color w:val="auto"/>
                <w:kern w:val="2"/>
                <w:sz w:val="21"/>
                <w:szCs w:val="21"/>
                <w:highlight w:val="none"/>
                <w:lang w:val="en-US" w:eastAsia="zh-CN" w:bidi="ar-SA"/>
              </w:rPr>
            </w:pPr>
          </w:p>
        </w:tc>
      </w:tr>
      <w:tr w14:paraId="250BEB9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409A2DF1">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27AB37FE">
            <w:pPr>
              <w:adjustRightInd w:val="0"/>
              <w:snapToGrid w:val="0"/>
              <w:jc w:val="center"/>
              <w:rPr>
                <w:rFonts w:hint="eastAsia" w:ascii="宋体" w:hAnsi="宋体"/>
                <w:color w:val="auto"/>
                <w:szCs w:val="21"/>
                <w:highlight w:val="none"/>
              </w:rPr>
            </w:pPr>
            <w:r>
              <w:rPr>
                <w:rFonts w:hint="eastAsia" w:ascii="宋体" w:hAnsi="宋体"/>
                <w:color w:val="auto"/>
                <w:szCs w:val="21"/>
                <w:highlight w:val="none"/>
                <w:lang w:eastAsia="zh-CN"/>
              </w:rPr>
              <w:t>第</w:t>
            </w:r>
            <w:r>
              <w:rPr>
                <w:rFonts w:hint="eastAsia" w:ascii="宋体" w:hAnsi="宋体"/>
                <w:color w:val="auto"/>
                <w:szCs w:val="21"/>
                <w:highlight w:val="none"/>
                <w:lang w:val="en-US" w:eastAsia="zh-CN"/>
              </w:rPr>
              <w:t>4.6款</w:t>
            </w:r>
          </w:p>
        </w:tc>
        <w:tc>
          <w:tcPr>
            <w:tcW w:w="1742" w:type="dxa"/>
            <w:noWrap w:val="0"/>
            <w:vAlign w:val="center"/>
          </w:tcPr>
          <w:p w14:paraId="30EC7409">
            <w:pPr>
              <w:adjustRightInd w:val="0"/>
              <w:snapToGrid w:val="0"/>
              <w:jc w:val="left"/>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约定甲方承担的其他义务和责任</w:t>
            </w:r>
          </w:p>
        </w:tc>
        <w:tc>
          <w:tcPr>
            <w:tcW w:w="5170" w:type="dxa"/>
            <w:noWrap w:val="0"/>
            <w:vAlign w:val="center"/>
          </w:tcPr>
          <w:p w14:paraId="40F74C64">
            <w:pPr>
              <w:adjustRightInd w:val="0"/>
              <w:snapToGrid w:val="0"/>
              <w:jc w:val="left"/>
              <w:rPr>
                <w:rFonts w:ascii="宋体" w:hAnsi="宋体" w:eastAsia="宋体" w:cs="Times New Roman"/>
                <w:color w:val="auto"/>
                <w:kern w:val="2"/>
                <w:sz w:val="21"/>
                <w:szCs w:val="21"/>
                <w:highlight w:val="none"/>
                <w:lang w:val="en-US" w:eastAsia="zh-CN" w:bidi="ar-SA"/>
              </w:rPr>
            </w:pPr>
          </w:p>
        </w:tc>
      </w:tr>
      <w:tr w14:paraId="1B64A49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4AB12598">
            <w:pPr>
              <w:adjustRightInd w:val="0"/>
              <w:snapToGrid w:val="0"/>
              <w:jc w:val="center"/>
              <w:rPr>
                <w:rFonts w:hint="eastAsia" w:ascii="宋体" w:hAnsi="宋体"/>
                <w:color w:val="auto"/>
                <w:szCs w:val="21"/>
                <w:highlight w:val="none"/>
                <w:lang w:eastAsia="zh-CN"/>
              </w:rPr>
            </w:pPr>
            <w:r>
              <w:rPr>
                <w:rFonts w:hint="eastAsia" w:ascii="宋体" w:hAnsi="宋体"/>
                <w:color w:val="auto"/>
                <w:szCs w:val="21"/>
                <w:highlight w:val="none"/>
                <w:lang w:eastAsia="zh-CN"/>
              </w:rPr>
              <w:t>第二节</w:t>
            </w:r>
          </w:p>
          <w:p w14:paraId="32BEF13A">
            <w:pPr>
              <w:snapToGrid w:val="0"/>
              <w:jc w:val="center"/>
              <w:rPr>
                <w:rFonts w:hint="default"/>
                <w:color w:val="auto"/>
                <w:highlight w:val="none"/>
                <w:lang w:val="en-US" w:eastAsia="zh-CN"/>
              </w:rPr>
            </w:pPr>
            <w:r>
              <w:rPr>
                <w:rFonts w:hint="eastAsia" w:ascii="宋体" w:hAnsi="宋体"/>
                <w:color w:val="auto"/>
                <w:szCs w:val="21"/>
                <w:highlight w:val="none"/>
                <w:lang w:eastAsia="zh-CN"/>
              </w:rPr>
              <w:t>第</w:t>
            </w:r>
            <w:r>
              <w:rPr>
                <w:rFonts w:hint="eastAsia" w:ascii="宋体" w:hAnsi="宋体"/>
                <w:color w:val="auto"/>
                <w:szCs w:val="21"/>
                <w:highlight w:val="none"/>
                <w:lang w:val="en-US" w:eastAsia="zh-CN"/>
              </w:rPr>
              <w:t>5.4款</w:t>
            </w:r>
          </w:p>
        </w:tc>
        <w:tc>
          <w:tcPr>
            <w:tcW w:w="1742" w:type="dxa"/>
            <w:noWrap w:val="0"/>
            <w:vAlign w:val="center"/>
          </w:tcPr>
          <w:p w14:paraId="2C663382">
            <w:pPr>
              <w:adjustRightInd w:val="0"/>
              <w:snapToGrid w:val="0"/>
              <w:jc w:val="left"/>
              <w:rPr>
                <w:rFonts w:hint="eastAsia" w:ascii="宋体" w:hAnsi="宋体"/>
                <w:color w:val="auto"/>
                <w:szCs w:val="21"/>
                <w:highlight w:val="none"/>
                <w:lang w:eastAsia="zh-CN"/>
              </w:rPr>
            </w:pPr>
            <w:r>
              <w:rPr>
                <w:rFonts w:hint="eastAsia" w:ascii="宋体" w:hAnsi="宋体"/>
                <w:color w:val="auto"/>
                <w:szCs w:val="21"/>
                <w:highlight w:val="none"/>
                <w:lang w:eastAsia="zh-CN"/>
              </w:rPr>
              <w:t>约定乙方承担的其他义务和责任</w:t>
            </w:r>
          </w:p>
        </w:tc>
        <w:tc>
          <w:tcPr>
            <w:tcW w:w="5170" w:type="dxa"/>
            <w:noWrap w:val="0"/>
            <w:vAlign w:val="center"/>
          </w:tcPr>
          <w:p w14:paraId="080058FA">
            <w:pPr>
              <w:adjustRightInd w:val="0"/>
              <w:snapToGrid w:val="0"/>
              <w:jc w:val="left"/>
              <w:rPr>
                <w:rFonts w:ascii="宋体" w:hAnsi="宋体" w:eastAsia="宋体" w:cs="Times New Roman"/>
                <w:color w:val="auto"/>
                <w:kern w:val="2"/>
                <w:sz w:val="21"/>
                <w:szCs w:val="21"/>
                <w:highlight w:val="none"/>
                <w:lang w:val="en-US" w:eastAsia="zh-CN" w:bidi="ar-SA"/>
              </w:rPr>
            </w:pPr>
          </w:p>
        </w:tc>
      </w:tr>
      <w:tr w14:paraId="746A02A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01066D37">
            <w:pPr>
              <w:adjustRightInd w:val="0"/>
              <w:snapToGrid w:val="0"/>
              <w:jc w:val="center"/>
              <w:rPr>
                <w:rFonts w:hint="eastAsia" w:ascii="宋体" w:hAnsi="宋体"/>
                <w:color w:val="auto"/>
                <w:szCs w:val="21"/>
                <w:highlight w:val="none"/>
                <w:lang w:eastAsia="zh-CN"/>
              </w:rPr>
            </w:pPr>
            <w:r>
              <w:rPr>
                <w:rFonts w:hint="eastAsia" w:ascii="宋体" w:hAnsi="宋体"/>
                <w:color w:val="auto"/>
                <w:szCs w:val="21"/>
                <w:highlight w:val="none"/>
                <w:lang w:eastAsia="zh-CN"/>
              </w:rPr>
              <w:t>第二节</w:t>
            </w:r>
          </w:p>
          <w:p w14:paraId="3DDD0A75">
            <w:pPr>
              <w:snapToGrid w:val="0"/>
              <w:jc w:val="center"/>
              <w:rPr>
                <w:rFonts w:hint="eastAsia" w:ascii="宋体" w:hAnsi="宋体"/>
                <w:color w:val="auto"/>
                <w:szCs w:val="21"/>
                <w:highlight w:val="none"/>
                <w:lang w:eastAsia="zh-CN"/>
              </w:rPr>
            </w:pPr>
            <w:r>
              <w:rPr>
                <w:rFonts w:hint="eastAsia" w:ascii="宋体" w:hAnsi="宋体"/>
                <w:color w:val="auto"/>
                <w:szCs w:val="21"/>
                <w:highlight w:val="none"/>
                <w:lang w:eastAsia="zh-CN"/>
              </w:rPr>
              <w:t>第</w:t>
            </w:r>
            <w:r>
              <w:rPr>
                <w:rFonts w:hint="eastAsia" w:ascii="宋体" w:hAnsi="宋体"/>
                <w:color w:val="auto"/>
                <w:szCs w:val="21"/>
                <w:highlight w:val="none"/>
                <w:lang w:val="en-US" w:eastAsia="zh-CN"/>
              </w:rPr>
              <w:t>6.1款</w:t>
            </w:r>
          </w:p>
        </w:tc>
        <w:tc>
          <w:tcPr>
            <w:tcW w:w="1742" w:type="dxa"/>
            <w:noWrap w:val="0"/>
            <w:vAlign w:val="center"/>
          </w:tcPr>
          <w:p w14:paraId="0449C2EA">
            <w:pPr>
              <w:adjustRightInd w:val="0"/>
              <w:snapToGrid w:val="0"/>
              <w:jc w:val="left"/>
              <w:rPr>
                <w:rFonts w:hint="eastAsia" w:ascii="宋体" w:hAnsi="宋体"/>
                <w:color w:val="auto"/>
                <w:szCs w:val="21"/>
                <w:highlight w:val="none"/>
                <w:lang w:eastAsia="zh-CN"/>
              </w:rPr>
            </w:pPr>
            <w:r>
              <w:rPr>
                <w:rFonts w:hint="eastAsia" w:ascii="宋体" w:hAnsi="宋体"/>
                <w:color w:val="auto"/>
                <w:szCs w:val="21"/>
                <w:highlight w:val="none"/>
                <w:lang w:eastAsia="zh-CN"/>
              </w:rPr>
              <w:t>履行合同义务的顺序</w:t>
            </w:r>
          </w:p>
        </w:tc>
        <w:tc>
          <w:tcPr>
            <w:tcW w:w="5170" w:type="dxa"/>
            <w:noWrap w:val="0"/>
            <w:vAlign w:val="center"/>
          </w:tcPr>
          <w:p w14:paraId="59768ACA">
            <w:pPr>
              <w:adjustRightInd w:val="0"/>
              <w:snapToGrid w:val="0"/>
              <w:jc w:val="left"/>
              <w:rPr>
                <w:rFonts w:ascii="宋体" w:hAnsi="宋体" w:eastAsia="宋体" w:cs="Times New Roman"/>
                <w:color w:val="auto"/>
                <w:kern w:val="2"/>
                <w:sz w:val="21"/>
                <w:szCs w:val="21"/>
                <w:highlight w:val="none"/>
                <w:lang w:val="en-US" w:eastAsia="zh-CN" w:bidi="ar-SA"/>
              </w:rPr>
            </w:pPr>
          </w:p>
        </w:tc>
      </w:tr>
      <w:tr w14:paraId="2D0AD28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noWrap w:val="0"/>
            <w:vAlign w:val="center"/>
          </w:tcPr>
          <w:p w14:paraId="159C7E32">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4B38A6C6">
            <w:pPr>
              <w:adjustRightInd w:val="0"/>
              <w:snapToGrid w:val="0"/>
              <w:jc w:val="center"/>
              <w:rPr>
                <w:rFonts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7</w:t>
            </w:r>
            <w:r>
              <w:rPr>
                <w:rFonts w:hint="eastAsia" w:ascii="宋体" w:hAnsi="宋体"/>
                <w:color w:val="auto"/>
                <w:szCs w:val="21"/>
                <w:highlight w:val="none"/>
              </w:rPr>
              <w:t>.1</w:t>
            </w:r>
            <w:r>
              <w:rPr>
                <w:rFonts w:hint="eastAsia" w:ascii="宋体" w:hAnsi="宋体"/>
                <w:color w:val="auto"/>
                <w:szCs w:val="21"/>
                <w:highlight w:val="none"/>
                <w:lang w:val="en-US" w:eastAsia="zh-CN"/>
              </w:rPr>
              <w:t>款</w:t>
            </w:r>
          </w:p>
        </w:tc>
        <w:tc>
          <w:tcPr>
            <w:tcW w:w="1742" w:type="dxa"/>
            <w:noWrap w:val="0"/>
            <w:vAlign w:val="center"/>
          </w:tcPr>
          <w:p w14:paraId="10A1B5B2">
            <w:pPr>
              <w:adjustRightInd w:val="0"/>
              <w:snapToGrid w:val="0"/>
              <w:jc w:val="left"/>
              <w:rPr>
                <w:rFonts w:ascii="宋体" w:hAnsi="宋体"/>
                <w:color w:val="auto"/>
                <w:szCs w:val="21"/>
                <w:highlight w:val="none"/>
              </w:rPr>
            </w:pPr>
            <w:r>
              <w:rPr>
                <w:rFonts w:hint="eastAsia" w:ascii="宋体" w:hAnsi="宋体"/>
                <w:color w:val="auto"/>
                <w:szCs w:val="21"/>
                <w:highlight w:val="none"/>
              </w:rPr>
              <w:t>包装</w:t>
            </w:r>
            <w:r>
              <w:rPr>
                <w:rFonts w:hint="eastAsia" w:ascii="宋体" w:hAnsi="宋体"/>
                <w:color w:val="auto"/>
                <w:szCs w:val="21"/>
                <w:highlight w:val="none"/>
                <w:lang w:eastAsia="zh-CN"/>
              </w:rPr>
              <w:t>特殊要求</w:t>
            </w:r>
          </w:p>
        </w:tc>
        <w:tc>
          <w:tcPr>
            <w:tcW w:w="5170" w:type="dxa"/>
            <w:noWrap w:val="0"/>
            <w:vAlign w:val="center"/>
          </w:tcPr>
          <w:p w14:paraId="2F782D06">
            <w:pPr>
              <w:rPr>
                <w:color w:val="auto"/>
                <w:highlight w:val="none"/>
              </w:rPr>
            </w:pPr>
          </w:p>
        </w:tc>
      </w:tr>
      <w:tr w14:paraId="3ED5655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noWrap w:val="0"/>
            <w:vAlign w:val="center"/>
          </w:tcPr>
          <w:p w14:paraId="69FD2915">
            <w:pPr>
              <w:adjustRightInd w:val="0"/>
              <w:snapToGrid w:val="0"/>
              <w:jc w:val="center"/>
              <w:rPr>
                <w:rFonts w:hint="eastAsia" w:ascii="宋体" w:hAnsi="宋体"/>
                <w:color w:val="auto"/>
                <w:szCs w:val="21"/>
                <w:highlight w:val="none"/>
              </w:rPr>
            </w:pPr>
          </w:p>
        </w:tc>
        <w:tc>
          <w:tcPr>
            <w:tcW w:w="1742" w:type="dxa"/>
            <w:noWrap w:val="0"/>
            <w:vAlign w:val="center"/>
          </w:tcPr>
          <w:p w14:paraId="3D687F17">
            <w:pPr>
              <w:adjustRightInd w:val="0"/>
              <w:snapToGrid w:val="0"/>
              <w:jc w:val="left"/>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指定现场</w:t>
            </w:r>
          </w:p>
        </w:tc>
        <w:tc>
          <w:tcPr>
            <w:tcW w:w="5170" w:type="dxa"/>
            <w:noWrap w:val="0"/>
            <w:vAlign w:val="center"/>
          </w:tcPr>
          <w:p w14:paraId="07D8FA76">
            <w:pPr>
              <w:rPr>
                <w:rFonts w:hint="eastAsia"/>
                <w:color w:val="auto"/>
                <w:highlight w:val="none"/>
              </w:rPr>
            </w:pPr>
          </w:p>
        </w:tc>
      </w:tr>
      <w:tr w14:paraId="52D8196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noWrap w:val="0"/>
            <w:vAlign w:val="center"/>
          </w:tcPr>
          <w:p w14:paraId="419FCDEF">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0B49E76C">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7</w:t>
            </w:r>
            <w:r>
              <w:rPr>
                <w:rFonts w:hint="eastAsia" w:ascii="宋体" w:hAnsi="宋体"/>
                <w:color w:val="auto"/>
                <w:szCs w:val="21"/>
                <w:highlight w:val="none"/>
              </w:rPr>
              <w:t>.2</w:t>
            </w:r>
            <w:r>
              <w:rPr>
                <w:rFonts w:hint="eastAsia" w:ascii="宋体" w:hAnsi="宋体"/>
                <w:color w:val="auto"/>
                <w:szCs w:val="21"/>
                <w:highlight w:val="none"/>
                <w:lang w:val="en-US" w:eastAsia="zh-CN"/>
              </w:rPr>
              <w:t>款</w:t>
            </w:r>
          </w:p>
        </w:tc>
        <w:tc>
          <w:tcPr>
            <w:tcW w:w="1742" w:type="dxa"/>
            <w:noWrap w:val="0"/>
            <w:vAlign w:val="center"/>
          </w:tcPr>
          <w:p w14:paraId="6B4CC93A">
            <w:pPr>
              <w:adjustRightInd w:val="0"/>
              <w:snapToGrid w:val="0"/>
              <w:jc w:val="left"/>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运输特殊要求</w:t>
            </w:r>
          </w:p>
        </w:tc>
        <w:tc>
          <w:tcPr>
            <w:tcW w:w="5170" w:type="dxa"/>
            <w:noWrap w:val="0"/>
            <w:vAlign w:val="center"/>
          </w:tcPr>
          <w:p w14:paraId="5204ED4D">
            <w:pPr>
              <w:rPr>
                <w:rFonts w:hint="eastAsia"/>
                <w:color w:val="auto"/>
                <w:highlight w:val="none"/>
              </w:rPr>
            </w:pPr>
          </w:p>
        </w:tc>
      </w:tr>
      <w:tr w14:paraId="0C69F5D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noWrap w:val="0"/>
            <w:vAlign w:val="center"/>
          </w:tcPr>
          <w:p w14:paraId="42BCCAE5">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24E1789D">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7</w:t>
            </w:r>
            <w:r>
              <w:rPr>
                <w:rFonts w:hint="eastAsia" w:ascii="宋体" w:hAnsi="宋体"/>
                <w:color w:val="auto"/>
                <w:szCs w:val="21"/>
                <w:highlight w:val="none"/>
              </w:rPr>
              <w:t>.3</w:t>
            </w:r>
            <w:r>
              <w:rPr>
                <w:rFonts w:hint="eastAsia" w:ascii="宋体" w:hAnsi="宋体"/>
                <w:color w:val="auto"/>
                <w:szCs w:val="21"/>
                <w:highlight w:val="none"/>
                <w:lang w:val="en-US" w:eastAsia="zh-CN"/>
              </w:rPr>
              <w:t>款</w:t>
            </w:r>
          </w:p>
        </w:tc>
        <w:tc>
          <w:tcPr>
            <w:tcW w:w="1742" w:type="dxa"/>
            <w:noWrap w:val="0"/>
            <w:vAlign w:val="center"/>
          </w:tcPr>
          <w:p w14:paraId="605897DF">
            <w:pPr>
              <w:adjustRightInd w:val="0"/>
              <w:snapToGrid w:val="0"/>
              <w:jc w:val="left"/>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保险要求</w:t>
            </w:r>
          </w:p>
        </w:tc>
        <w:tc>
          <w:tcPr>
            <w:tcW w:w="5170" w:type="dxa"/>
            <w:noWrap w:val="0"/>
            <w:vAlign w:val="center"/>
          </w:tcPr>
          <w:p w14:paraId="0D91E2F9">
            <w:pPr>
              <w:rPr>
                <w:rFonts w:hint="eastAsia"/>
                <w:color w:val="auto"/>
                <w:highlight w:val="none"/>
              </w:rPr>
            </w:pPr>
          </w:p>
        </w:tc>
      </w:tr>
      <w:tr w14:paraId="4B82CB8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03BDB415">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7411B405">
            <w:pPr>
              <w:adjustRightInd w:val="0"/>
              <w:snapToGrid w:val="0"/>
              <w:jc w:val="center"/>
              <w:rPr>
                <w:rFonts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8</w:t>
            </w:r>
            <w:r>
              <w:rPr>
                <w:rFonts w:hint="eastAsia" w:ascii="宋体" w:hAnsi="宋体"/>
                <w:color w:val="auto"/>
                <w:szCs w:val="21"/>
                <w:highlight w:val="none"/>
              </w:rPr>
              <w:t>.2（1）项</w:t>
            </w:r>
          </w:p>
        </w:tc>
        <w:tc>
          <w:tcPr>
            <w:tcW w:w="1742" w:type="dxa"/>
            <w:noWrap w:val="0"/>
            <w:vAlign w:val="center"/>
          </w:tcPr>
          <w:p w14:paraId="7A5A9B29">
            <w:pPr>
              <w:adjustRightInd w:val="0"/>
              <w:snapToGrid w:val="0"/>
              <w:jc w:val="left"/>
              <w:rPr>
                <w:rFonts w:ascii="宋体" w:hAnsi="宋体"/>
                <w:color w:val="auto"/>
                <w:szCs w:val="21"/>
                <w:highlight w:val="none"/>
              </w:rPr>
            </w:pPr>
            <w:r>
              <w:rPr>
                <w:rFonts w:hint="eastAsia" w:ascii="宋体" w:hAnsi="宋体"/>
                <w:color w:val="auto"/>
                <w:szCs w:val="21"/>
                <w:highlight w:val="none"/>
              </w:rPr>
              <w:t>质量保证期</w:t>
            </w:r>
          </w:p>
        </w:tc>
        <w:tc>
          <w:tcPr>
            <w:tcW w:w="5170" w:type="dxa"/>
            <w:noWrap w:val="0"/>
            <w:vAlign w:val="center"/>
          </w:tcPr>
          <w:p w14:paraId="34CDD302">
            <w:pPr>
              <w:autoSpaceDE w:val="0"/>
              <w:autoSpaceDN w:val="0"/>
              <w:adjustRightInd w:val="0"/>
              <w:snapToGrid w:val="0"/>
              <w:ind w:firstLine="420" w:firstLineChars="200"/>
              <w:jc w:val="left"/>
              <w:rPr>
                <w:rFonts w:ascii="宋体" w:hAnsi="宋体"/>
                <w:color w:val="auto"/>
                <w:szCs w:val="21"/>
                <w:highlight w:val="none"/>
              </w:rPr>
            </w:pPr>
          </w:p>
        </w:tc>
      </w:tr>
      <w:tr w14:paraId="7E3C83A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373FBDE9">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2794101D">
            <w:pPr>
              <w:adjustRightInd w:val="0"/>
              <w:snapToGrid w:val="0"/>
              <w:jc w:val="center"/>
              <w:rPr>
                <w:rFonts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8</w:t>
            </w:r>
            <w:r>
              <w:rPr>
                <w:rFonts w:hint="eastAsia" w:ascii="宋体" w:hAnsi="宋体"/>
                <w:color w:val="auto"/>
                <w:szCs w:val="21"/>
                <w:highlight w:val="none"/>
              </w:rPr>
              <w:t>.2（3）项</w:t>
            </w:r>
          </w:p>
        </w:tc>
        <w:tc>
          <w:tcPr>
            <w:tcW w:w="1742" w:type="dxa"/>
            <w:noWrap w:val="0"/>
            <w:vAlign w:val="center"/>
          </w:tcPr>
          <w:p w14:paraId="43873554">
            <w:pPr>
              <w:adjustRightInd w:val="0"/>
              <w:snapToGrid w:val="0"/>
              <w:jc w:val="left"/>
              <w:rPr>
                <w:rFonts w:hint="eastAsia" w:ascii="宋体" w:hAnsi="宋体"/>
                <w:color w:val="auto"/>
                <w:szCs w:val="21"/>
                <w:highlight w:val="none"/>
                <w:lang w:eastAsia="zh-CN"/>
              </w:rPr>
            </w:pPr>
            <w:r>
              <w:rPr>
                <w:rFonts w:hint="eastAsia" w:ascii="宋体" w:hAnsi="宋体"/>
                <w:color w:val="auto"/>
                <w:szCs w:val="21"/>
                <w:highlight w:val="none"/>
                <w:lang w:eastAsia="zh-CN"/>
              </w:rPr>
              <w:t>货物质量缺陷</w:t>
            </w:r>
          </w:p>
          <w:p w14:paraId="597BC63B">
            <w:pPr>
              <w:adjustRightInd w:val="0"/>
              <w:snapToGrid w:val="0"/>
              <w:jc w:val="left"/>
              <w:rPr>
                <w:rFonts w:ascii="宋体" w:hAnsi="宋体"/>
                <w:color w:val="auto"/>
                <w:szCs w:val="21"/>
                <w:highlight w:val="none"/>
              </w:rPr>
            </w:pPr>
            <w:r>
              <w:rPr>
                <w:rFonts w:hint="eastAsia" w:ascii="宋体" w:hAnsi="宋体"/>
                <w:color w:val="auto"/>
                <w:szCs w:val="21"/>
                <w:highlight w:val="none"/>
              </w:rPr>
              <w:t>响应时间</w:t>
            </w:r>
          </w:p>
        </w:tc>
        <w:tc>
          <w:tcPr>
            <w:tcW w:w="5170" w:type="dxa"/>
            <w:noWrap w:val="0"/>
            <w:vAlign w:val="center"/>
          </w:tcPr>
          <w:p w14:paraId="783E2CB4">
            <w:pPr>
              <w:adjustRightInd w:val="0"/>
              <w:snapToGrid w:val="0"/>
              <w:jc w:val="left"/>
              <w:rPr>
                <w:rFonts w:ascii="宋体" w:hAnsi="宋体"/>
                <w:color w:val="auto"/>
                <w:szCs w:val="21"/>
                <w:highlight w:val="none"/>
              </w:rPr>
            </w:pPr>
          </w:p>
        </w:tc>
      </w:tr>
      <w:tr w14:paraId="77E7430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5206E62B">
            <w:pPr>
              <w:snapToGrid w:val="0"/>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第二节</w:t>
            </w:r>
          </w:p>
          <w:p w14:paraId="4F00A158">
            <w:pPr>
              <w:pStyle w:val="29"/>
              <w:ind w:firstLine="0" w:firstLineChars="0"/>
              <w:jc w:val="center"/>
              <w:rPr>
                <w:rFonts w:hint="default"/>
                <w:color w:val="auto"/>
                <w:highlight w:val="none"/>
                <w:lang w:val="en-US" w:eastAsia="zh-CN"/>
              </w:rPr>
            </w:pPr>
            <w:r>
              <w:rPr>
                <w:rFonts w:hint="eastAsia" w:ascii="宋体" w:hAnsi="宋体" w:eastAsia="宋体" w:cs="宋体"/>
                <w:color w:val="auto"/>
                <w:szCs w:val="21"/>
                <w:highlight w:val="none"/>
                <w:lang w:val="en-US" w:eastAsia="zh-CN"/>
              </w:rPr>
              <w:t>第11.1款</w:t>
            </w:r>
          </w:p>
        </w:tc>
        <w:tc>
          <w:tcPr>
            <w:tcW w:w="1742" w:type="dxa"/>
            <w:noWrap w:val="0"/>
            <w:vAlign w:val="center"/>
          </w:tcPr>
          <w:p w14:paraId="0A03DBCB">
            <w:pPr>
              <w:adjustRightInd w:val="0"/>
              <w:snapToGrid w:val="0"/>
              <w:jc w:val="both"/>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其他应当保密的信息</w:t>
            </w:r>
          </w:p>
        </w:tc>
        <w:tc>
          <w:tcPr>
            <w:tcW w:w="5170" w:type="dxa"/>
            <w:noWrap w:val="0"/>
            <w:vAlign w:val="center"/>
          </w:tcPr>
          <w:p w14:paraId="6EB5A229">
            <w:pPr>
              <w:adjustRightInd w:val="0"/>
              <w:snapToGrid w:val="0"/>
              <w:jc w:val="left"/>
              <w:rPr>
                <w:rFonts w:ascii="宋体" w:hAnsi="宋体"/>
                <w:color w:val="auto"/>
                <w:szCs w:val="21"/>
                <w:highlight w:val="none"/>
              </w:rPr>
            </w:pPr>
          </w:p>
        </w:tc>
      </w:tr>
      <w:tr w14:paraId="16B051C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noWrap w:val="0"/>
            <w:vAlign w:val="center"/>
          </w:tcPr>
          <w:p w14:paraId="25B6774E">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0D65B704">
            <w:pPr>
              <w:adjustRightInd w:val="0"/>
              <w:snapToGrid w:val="0"/>
              <w:jc w:val="center"/>
              <w:rPr>
                <w:rFonts w:ascii="宋体" w:hAnsi="宋体"/>
                <w:color w:val="auto"/>
                <w:szCs w:val="21"/>
                <w:highlight w:val="none"/>
              </w:rPr>
            </w:pPr>
            <w:r>
              <w:rPr>
                <w:rFonts w:hint="eastAsia" w:ascii="宋体" w:hAnsi="宋体"/>
                <w:color w:val="auto"/>
                <w:szCs w:val="21"/>
                <w:highlight w:val="none"/>
              </w:rPr>
              <w:t>第1</w:t>
            </w:r>
            <w:r>
              <w:rPr>
                <w:rFonts w:hint="eastAsia" w:ascii="宋体" w:hAnsi="宋体"/>
                <w:color w:val="auto"/>
                <w:szCs w:val="21"/>
                <w:highlight w:val="none"/>
                <w:lang w:val="en-US" w:eastAsia="zh-CN"/>
              </w:rPr>
              <w:t>2</w:t>
            </w:r>
            <w:r>
              <w:rPr>
                <w:rFonts w:hint="eastAsia" w:ascii="宋体" w:hAnsi="宋体"/>
                <w:color w:val="auto"/>
                <w:szCs w:val="21"/>
                <w:highlight w:val="none"/>
              </w:rPr>
              <w:t>.2款</w:t>
            </w:r>
          </w:p>
        </w:tc>
        <w:tc>
          <w:tcPr>
            <w:tcW w:w="1742" w:type="dxa"/>
            <w:noWrap w:val="0"/>
            <w:vAlign w:val="center"/>
          </w:tcPr>
          <w:p w14:paraId="76CB4E56">
            <w:pPr>
              <w:adjustRightInd w:val="0"/>
              <w:snapToGrid w:val="0"/>
              <w:jc w:val="left"/>
              <w:rPr>
                <w:rFonts w:hint="eastAsia" w:ascii="宋体" w:hAnsi="宋体" w:eastAsia="宋体"/>
                <w:color w:val="auto"/>
                <w:szCs w:val="21"/>
                <w:highlight w:val="none"/>
                <w:lang w:eastAsia="zh-CN"/>
              </w:rPr>
            </w:pPr>
            <w:r>
              <w:rPr>
                <w:rFonts w:hint="eastAsia" w:ascii="宋体" w:hAnsi="宋体"/>
                <w:color w:val="auto"/>
                <w:szCs w:val="21"/>
                <w:highlight w:val="none"/>
              </w:rPr>
              <w:t>合同价款支付</w:t>
            </w:r>
            <w:r>
              <w:rPr>
                <w:rFonts w:hint="eastAsia" w:ascii="宋体" w:hAnsi="宋体"/>
                <w:color w:val="auto"/>
                <w:szCs w:val="21"/>
                <w:highlight w:val="none"/>
                <w:lang w:eastAsia="zh-CN"/>
              </w:rPr>
              <w:t>时间</w:t>
            </w:r>
          </w:p>
        </w:tc>
        <w:tc>
          <w:tcPr>
            <w:tcW w:w="5170" w:type="dxa"/>
            <w:noWrap w:val="0"/>
            <w:vAlign w:val="center"/>
          </w:tcPr>
          <w:p w14:paraId="394F8832">
            <w:pPr>
              <w:adjustRightInd w:val="0"/>
              <w:snapToGrid w:val="0"/>
              <w:jc w:val="left"/>
              <w:rPr>
                <w:rFonts w:ascii="宋体" w:hAnsi="宋体"/>
                <w:color w:val="auto"/>
                <w:szCs w:val="21"/>
                <w:highlight w:val="none"/>
              </w:rPr>
            </w:pPr>
          </w:p>
        </w:tc>
      </w:tr>
      <w:tr w14:paraId="3421688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noWrap w:val="0"/>
            <w:vAlign w:val="center"/>
          </w:tcPr>
          <w:p w14:paraId="5F739D00">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第二节</w:t>
            </w:r>
          </w:p>
          <w:p w14:paraId="4722C607">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13.2</w:t>
            </w:r>
            <w:r>
              <w:rPr>
                <w:rFonts w:hint="eastAsia" w:ascii="宋体" w:hAnsi="宋体"/>
                <w:color w:val="auto"/>
                <w:szCs w:val="21"/>
                <w:highlight w:val="none"/>
              </w:rPr>
              <w:t>款</w:t>
            </w:r>
          </w:p>
        </w:tc>
        <w:tc>
          <w:tcPr>
            <w:tcW w:w="1742" w:type="dxa"/>
            <w:noWrap w:val="0"/>
            <w:vAlign w:val="center"/>
          </w:tcPr>
          <w:p w14:paraId="2E101E02">
            <w:pPr>
              <w:adjustRightInd w:val="0"/>
              <w:snapToGrid w:val="0"/>
              <w:jc w:val="left"/>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履约保证金不予退还的情形</w:t>
            </w:r>
          </w:p>
        </w:tc>
        <w:tc>
          <w:tcPr>
            <w:tcW w:w="5170" w:type="dxa"/>
            <w:noWrap w:val="0"/>
            <w:vAlign w:val="center"/>
          </w:tcPr>
          <w:p w14:paraId="4E88E011">
            <w:pPr>
              <w:adjustRightInd w:val="0"/>
              <w:snapToGrid w:val="0"/>
              <w:jc w:val="left"/>
              <w:rPr>
                <w:rFonts w:ascii="宋体" w:hAnsi="宋体"/>
                <w:color w:val="auto"/>
                <w:szCs w:val="21"/>
                <w:highlight w:val="none"/>
              </w:rPr>
            </w:pPr>
          </w:p>
        </w:tc>
      </w:tr>
      <w:tr w14:paraId="14E38DE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396DA206">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第二节</w:t>
            </w:r>
          </w:p>
          <w:p w14:paraId="50779C31">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13.3</w:t>
            </w:r>
            <w:r>
              <w:rPr>
                <w:rFonts w:hint="eastAsia" w:ascii="宋体" w:hAnsi="宋体"/>
                <w:color w:val="auto"/>
                <w:szCs w:val="21"/>
                <w:highlight w:val="none"/>
              </w:rPr>
              <w:t>款</w:t>
            </w:r>
          </w:p>
        </w:tc>
        <w:tc>
          <w:tcPr>
            <w:tcW w:w="1742" w:type="dxa"/>
            <w:noWrap w:val="0"/>
            <w:vAlign w:val="center"/>
          </w:tcPr>
          <w:p w14:paraId="697C221E">
            <w:pPr>
              <w:adjustRightInd w:val="0"/>
              <w:snapToGrid w:val="0"/>
              <w:jc w:val="left"/>
              <w:rPr>
                <w:rFonts w:ascii="宋体" w:hAnsi="宋体"/>
                <w:color w:val="auto"/>
                <w:szCs w:val="21"/>
                <w:highlight w:val="none"/>
              </w:rPr>
            </w:pPr>
            <w:r>
              <w:rPr>
                <w:rFonts w:hint="eastAsia" w:ascii="宋体" w:hAnsi="宋体"/>
                <w:color w:val="auto"/>
                <w:szCs w:val="21"/>
                <w:highlight w:val="none"/>
              </w:rPr>
              <w:t>履约保证金退还时间及</w:t>
            </w:r>
            <w:r>
              <w:rPr>
                <w:rFonts w:hint="eastAsia" w:ascii="宋体" w:hAnsi="宋体"/>
                <w:color w:val="auto"/>
                <w:szCs w:val="21"/>
                <w:highlight w:val="none"/>
                <w:lang w:eastAsia="zh-CN"/>
              </w:rPr>
              <w:t>逾期退还的</w:t>
            </w:r>
            <w:r>
              <w:rPr>
                <w:rFonts w:hint="eastAsia" w:ascii="宋体" w:hAnsi="宋体"/>
                <w:color w:val="auto"/>
                <w:szCs w:val="21"/>
                <w:highlight w:val="none"/>
              </w:rPr>
              <w:t>违约金</w:t>
            </w:r>
          </w:p>
        </w:tc>
        <w:tc>
          <w:tcPr>
            <w:tcW w:w="5170" w:type="dxa"/>
            <w:noWrap w:val="0"/>
            <w:vAlign w:val="center"/>
          </w:tcPr>
          <w:p w14:paraId="59530400">
            <w:pPr>
              <w:adjustRightInd w:val="0"/>
              <w:snapToGrid w:val="0"/>
              <w:jc w:val="left"/>
              <w:rPr>
                <w:rFonts w:ascii="宋体" w:hAnsi="宋体"/>
                <w:color w:val="auto"/>
                <w:szCs w:val="21"/>
                <w:highlight w:val="none"/>
              </w:rPr>
            </w:pPr>
          </w:p>
        </w:tc>
      </w:tr>
      <w:tr w14:paraId="5A72DA2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noWrap w:val="0"/>
            <w:vAlign w:val="center"/>
          </w:tcPr>
          <w:p w14:paraId="2DE0E4D5">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6F8CDEAC">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第1</w:t>
            </w:r>
            <w:r>
              <w:rPr>
                <w:rFonts w:hint="eastAsia" w:ascii="宋体" w:hAnsi="宋体"/>
                <w:color w:val="auto"/>
                <w:szCs w:val="21"/>
                <w:highlight w:val="none"/>
                <w:lang w:val="en-US" w:eastAsia="zh-CN"/>
              </w:rPr>
              <w:t>4</w:t>
            </w:r>
            <w:r>
              <w:rPr>
                <w:rFonts w:hint="eastAsia" w:ascii="宋体" w:hAnsi="宋体"/>
                <w:color w:val="auto"/>
                <w:szCs w:val="21"/>
                <w:highlight w:val="none"/>
              </w:rPr>
              <w:t>.1（</w:t>
            </w:r>
            <w:r>
              <w:rPr>
                <w:rFonts w:hint="eastAsia" w:ascii="宋体" w:hAnsi="宋体"/>
                <w:color w:val="auto"/>
                <w:szCs w:val="21"/>
                <w:highlight w:val="none"/>
                <w:lang w:val="en-US" w:eastAsia="zh-CN"/>
              </w:rPr>
              <w:t>3</w:t>
            </w:r>
            <w:r>
              <w:rPr>
                <w:rFonts w:hint="eastAsia" w:ascii="宋体" w:hAnsi="宋体"/>
                <w:color w:val="auto"/>
                <w:szCs w:val="21"/>
                <w:highlight w:val="none"/>
              </w:rPr>
              <w:t>）项</w:t>
            </w:r>
          </w:p>
        </w:tc>
        <w:tc>
          <w:tcPr>
            <w:tcW w:w="1742" w:type="dxa"/>
            <w:noWrap w:val="0"/>
            <w:vAlign w:val="center"/>
          </w:tcPr>
          <w:p w14:paraId="06936E05">
            <w:pPr>
              <w:adjustRightInd w:val="0"/>
              <w:snapToGrid w:val="0"/>
              <w:jc w:val="left"/>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运行监督、维修期限</w:t>
            </w:r>
          </w:p>
        </w:tc>
        <w:tc>
          <w:tcPr>
            <w:tcW w:w="5170" w:type="dxa"/>
            <w:noWrap w:val="0"/>
            <w:vAlign w:val="center"/>
          </w:tcPr>
          <w:p w14:paraId="43D87472">
            <w:pPr>
              <w:adjustRightInd w:val="0"/>
              <w:snapToGrid w:val="0"/>
              <w:jc w:val="left"/>
              <w:rPr>
                <w:rFonts w:ascii="宋体" w:hAnsi="宋体"/>
                <w:color w:val="auto"/>
                <w:szCs w:val="21"/>
                <w:highlight w:val="none"/>
              </w:rPr>
            </w:pPr>
          </w:p>
        </w:tc>
      </w:tr>
      <w:tr w14:paraId="5271580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noWrap w:val="0"/>
            <w:vAlign w:val="center"/>
          </w:tcPr>
          <w:p w14:paraId="290C1051">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487B008D">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第1</w:t>
            </w:r>
            <w:r>
              <w:rPr>
                <w:rFonts w:hint="eastAsia" w:ascii="宋体" w:hAnsi="宋体"/>
                <w:color w:val="auto"/>
                <w:szCs w:val="21"/>
                <w:highlight w:val="none"/>
                <w:lang w:val="en-US" w:eastAsia="zh-CN"/>
              </w:rPr>
              <w:t>4</w:t>
            </w:r>
            <w:r>
              <w:rPr>
                <w:rFonts w:hint="eastAsia" w:ascii="宋体" w:hAnsi="宋体"/>
                <w:color w:val="auto"/>
                <w:szCs w:val="21"/>
                <w:highlight w:val="none"/>
              </w:rPr>
              <w:t>.1（</w:t>
            </w:r>
            <w:r>
              <w:rPr>
                <w:rFonts w:hint="eastAsia" w:ascii="宋体" w:hAnsi="宋体"/>
                <w:color w:val="auto"/>
                <w:szCs w:val="21"/>
                <w:highlight w:val="none"/>
                <w:lang w:val="en-US" w:eastAsia="zh-CN"/>
              </w:rPr>
              <w:t>5</w:t>
            </w:r>
            <w:r>
              <w:rPr>
                <w:rFonts w:hint="eastAsia" w:ascii="宋体" w:hAnsi="宋体"/>
                <w:color w:val="auto"/>
                <w:szCs w:val="21"/>
                <w:highlight w:val="none"/>
              </w:rPr>
              <w:t>）项</w:t>
            </w:r>
          </w:p>
        </w:tc>
        <w:tc>
          <w:tcPr>
            <w:tcW w:w="1742" w:type="dxa"/>
            <w:noWrap w:val="0"/>
            <w:vAlign w:val="center"/>
          </w:tcPr>
          <w:p w14:paraId="7B2DE3CC">
            <w:pPr>
              <w:adjustRightInd w:val="0"/>
              <w:snapToGrid w:val="0"/>
              <w:jc w:val="left"/>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货物回收的约定</w:t>
            </w:r>
          </w:p>
        </w:tc>
        <w:tc>
          <w:tcPr>
            <w:tcW w:w="5170" w:type="dxa"/>
            <w:noWrap w:val="0"/>
            <w:vAlign w:val="center"/>
          </w:tcPr>
          <w:p w14:paraId="602F316E">
            <w:pPr>
              <w:adjustRightInd w:val="0"/>
              <w:snapToGrid w:val="0"/>
              <w:jc w:val="left"/>
              <w:rPr>
                <w:rFonts w:ascii="宋体" w:hAnsi="宋体"/>
                <w:color w:val="auto"/>
                <w:szCs w:val="21"/>
                <w:highlight w:val="none"/>
              </w:rPr>
            </w:pPr>
          </w:p>
        </w:tc>
      </w:tr>
      <w:tr w14:paraId="28EFD6B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7E7B8980">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0E691F23">
            <w:pPr>
              <w:adjustRightInd w:val="0"/>
              <w:snapToGrid w:val="0"/>
              <w:jc w:val="center"/>
              <w:rPr>
                <w:rFonts w:ascii="宋体" w:hAnsi="宋体"/>
                <w:color w:val="auto"/>
                <w:szCs w:val="21"/>
                <w:highlight w:val="none"/>
              </w:rPr>
            </w:pPr>
            <w:r>
              <w:rPr>
                <w:rFonts w:hint="eastAsia" w:ascii="宋体" w:hAnsi="宋体"/>
                <w:color w:val="auto"/>
                <w:szCs w:val="21"/>
                <w:highlight w:val="none"/>
              </w:rPr>
              <w:t>第1</w:t>
            </w:r>
            <w:r>
              <w:rPr>
                <w:rFonts w:hint="eastAsia" w:ascii="宋体" w:hAnsi="宋体"/>
                <w:color w:val="auto"/>
                <w:szCs w:val="21"/>
                <w:highlight w:val="none"/>
                <w:lang w:val="en-US" w:eastAsia="zh-CN"/>
              </w:rPr>
              <w:t>4</w:t>
            </w:r>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）项</w:t>
            </w:r>
          </w:p>
        </w:tc>
        <w:tc>
          <w:tcPr>
            <w:tcW w:w="1742" w:type="dxa"/>
            <w:noWrap w:val="0"/>
            <w:vAlign w:val="center"/>
          </w:tcPr>
          <w:p w14:paraId="0E01AD8A">
            <w:pPr>
              <w:adjustRightInd w:val="0"/>
              <w:snapToGrid w:val="0"/>
              <w:jc w:val="left"/>
              <w:rPr>
                <w:rFonts w:ascii="宋体" w:hAnsi="宋体"/>
                <w:color w:val="auto"/>
                <w:szCs w:val="21"/>
                <w:highlight w:val="none"/>
              </w:rPr>
            </w:pPr>
            <w:r>
              <w:rPr>
                <w:rFonts w:hint="eastAsia" w:ascii="宋体" w:hAnsi="宋体"/>
                <w:color w:val="auto"/>
                <w:szCs w:val="21"/>
                <w:highlight w:val="none"/>
              </w:rPr>
              <w:t>乙方提供的其他服务</w:t>
            </w:r>
          </w:p>
        </w:tc>
        <w:tc>
          <w:tcPr>
            <w:tcW w:w="5170" w:type="dxa"/>
            <w:noWrap w:val="0"/>
            <w:vAlign w:val="center"/>
          </w:tcPr>
          <w:p w14:paraId="05B6F282">
            <w:pPr>
              <w:adjustRightInd w:val="0"/>
              <w:snapToGrid w:val="0"/>
              <w:jc w:val="left"/>
              <w:rPr>
                <w:rFonts w:ascii="宋体" w:hAnsi="宋体"/>
                <w:color w:val="auto"/>
                <w:szCs w:val="21"/>
                <w:highlight w:val="none"/>
              </w:rPr>
            </w:pPr>
          </w:p>
        </w:tc>
      </w:tr>
      <w:tr w14:paraId="55EAE76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074E41A3">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7EE01DE3">
            <w:pPr>
              <w:adjustRightInd w:val="0"/>
              <w:snapToGrid w:val="0"/>
              <w:jc w:val="center"/>
              <w:rPr>
                <w:rFonts w:hint="default" w:ascii="宋体" w:hAnsi="宋体" w:eastAsia="宋体"/>
                <w:color w:val="auto"/>
                <w:szCs w:val="21"/>
                <w:highlight w:val="none"/>
                <w:lang w:val="en-US" w:eastAsia="zh-CN"/>
              </w:rPr>
            </w:pPr>
            <w:r>
              <w:rPr>
                <w:rFonts w:hint="eastAsia" w:ascii="宋体" w:hAnsi="宋体"/>
                <w:color w:val="auto"/>
                <w:szCs w:val="21"/>
                <w:highlight w:val="none"/>
              </w:rPr>
              <w:t>第1</w:t>
            </w:r>
            <w:r>
              <w:rPr>
                <w:rFonts w:hint="eastAsia" w:ascii="宋体" w:hAnsi="宋体"/>
                <w:color w:val="auto"/>
                <w:szCs w:val="21"/>
                <w:highlight w:val="none"/>
                <w:lang w:val="en-US" w:eastAsia="zh-CN"/>
              </w:rPr>
              <w:t>5</w:t>
            </w:r>
            <w:r>
              <w:rPr>
                <w:rFonts w:hint="eastAsia" w:ascii="宋体" w:hAnsi="宋体"/>
                <w:color w:val="auto"/>
                <w:szCs w:val="21"/>
                <w:highlight w:val="none"/>
              </w:rPr>
              <w:t>.</w:t>
            </w:r>
            <w:r>
              <w:rPr>
                <w:rFonts w:hint="eastAsia" w:ascii="宋体" w:hAnsi="宋体"/>
                <w:color w:val="auto"/>
                <w:szCs w:val="21"/>
                <w:highlight w:val="none"/>
                <w:lang w:val="en-US" w:eastAsia="zh-CN"/>
              </w:rPr>
              <w:t>1款</w:t>
            </w:r>
          </w:p>
        </w:tc>
        <w:tc>
          <w:tcPr>
            <w:tcW w:w="1742" w:type="dxa"/>
            <w:noWrap w:val="0"/>
            <w:vAlign w:val="center"/>
          </w:tcPr>
          <w:p w14:paraId="09A897A1">
            <w:pPr>
              <w:adjustRightInd w:val="0"/>
              <w:snapToGrid w:val="0"/>
              <w:jc w:val="left"/>
              <w:rPr>
                <w:rFonts w:hint="eastAsia" w:ascii="宋体" w:hAnsi="宋体"/>
                <w:color w:val="auto"/>
                <w:szCs w:val="21"/>
                <w:highlight w:val="none"/>
              </w:rPr>
            </w:pPr>
            <w:r>
              <w:rPr>
                <w:rFonts w:hint="eastAsia" w:ascii="宋体" w:hAnsi="宋体"/>
                <w:color w:val="auto"/>
                <w:szCs w:val="21"/>
                <w:highlight w:val="none"/>
                <w:lang w:eastAsia="zh-CN"/>
              </w:rPr>
              <w:t>修理、重作、更换相关具体规定</w:t>
            </w:r>
          </w:p>
        </w:tc>
        <w:tc>
          <w:tcPr>
            <w:tcW w:w="5170" w:type="dxa"/>
            <w:noWrap w:val="0"/>
            <w:vAlign w:val="center"/>
          </w:tcPr>
          <w:p w14:paraId="692AF590">
            <w:pPr>
              <w:adjustRightInd w:val="0"/>
              <w:snapToGrid w:val="0"/>
              <w:jc w:val="left"/>
              <w:rPr>
                <w:rFonts w:ascii="宋体" w:hAnsi="宋体"/>
                <w:color w:val="auto"/>
                <w:szCs w:val="21"/>
                <w:highlight w:val="none"/>
              </w:rPr>
            </w:pPr>
          </w:p>
        </w:tc>
      </w:tr>
      <w:tr w14:paraId="0D171F5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0A48E788">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26FB398A">
            <w:pPr>
              <w:adjustRightInd w:val="0"/>
              <w:snapToGrid w:val="0"/>
              <w:jc w:val="center"/>
              <w:rPr>
                <w:rFonts w:ascii="宋体" w:hAnsi="宋体"/>
                <w:color w:val="auto"/>
                <w:szCs w:val="21"/>
                <w:highlight w:val="none"/>
              </w:rPr>
            </w:pPr>
            <w:r>
              <w:rPr>
                <w:rFonts w:hint="eastAsia" w:ascii="宋体" w:hAnsi="宋体"/>
                <w:color w:val="auto"/>
                <w:szCs w:val="21"/>
                <w:highlight w:val="none"/>
              </w:rPr>
              <w:t>第1</w:t>
            </w:r>
            <w:r>
              <w:rPr>
                <w:rFonts w:hint="eastAsia" w:ascii="宋体" w:hAnsi="宋体"/>
                <w:color w:val="auto"/>
                <w:szCs w:val="21"/>
                <w:highlight w:val="none"/>
                <w:lang w:val="en-US" w:eastAsia="zh-CN"/>
              </w:rPr>
              <w:t>5</w:t>
            </w:r>
            <w:r>
              <w:rPr>
                <w:rFonts w:hint="eastAsia" w:ascii="宋体" w:hAnsi="宋体"/>
                <w:color w:val="auto"/>
                <w:szCs w:val="21"/>
                <w:highlight w:val="none"/>
              </w:rPr>
              <w:t>.2（2）项</w:t>
            </w:r>
          </w:p>
        </w:tc>
        <w:tc>
          <w:tcPr>
            <w:tcW w:w="1742" w:type="dxa"/>
            <w:noWrap w:val="0"/>
            <w:vAlign w:val="center"/>
          </w:tcPr>
          <w:p w14:paraId="33886735">
            <w:pPr>
              <w:adjustRightInd w:val="0"/>
              <w:snapToGrid w:val="0"/>
              <w:jc w:val="left"/>
              <w:rPr>
                <w:rFonts w:ascii="宋体" w:hAnsi="宋体"/>
                <w:color w:val="auto"/>
                <w:szCs w:val="21"/>
                <w:highlight w:val="none"/>
              </w:rPr>
            </w:pPr>
            <w:r>
              <w:rPr>
                <w:rFonts w:hint="eastAsia" w:ascii="宋体" w:hAnsi="宋体"/>
                <w:color w:val="auto"/>
                <w:szCs w:val="21"/>
                <w:highlight w:val="none"/>
              </w:rPr>
              <w:t>迟延交货赔偿费</w:t>
            </w:r>
          </w:p>
        </w:tc>
        <w:tc>
          <w:tcPr>
            <w:tcW w:w="5170" w:type="dxa"/>
            <w:noWrap w:val="0"/>
            <w:vAlign w:val="center"/>
          </w:tcPr>
          <w:p w14:paraId="26C93163">
            <w:pPr>
              <w:adjustRightInd w:val="0"/>
              <w:snapToGrid w:val="0"/>
              <w:jc w:val="left"/>
              <w:rPr>
                <w:rFonts w:ascii="宋体" w:hAnsi="宋体"/>
                <w:color w:val="auto"/>
                <w:szCs w:val="21"/>
                <w:highlight w:val="none"/>
                <w:u w:val="single"/>
              </w:rPr>
            </w:pPr>
          </w:p>
        </w:tc>
      </w:tr>
      <w:tr w14:paraId="0630726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246C1C4E">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50E89764">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第1</w:t>
            </w:r>
            <w:r>
              <w:rPr>
                <w:rFonts w:hint="eastAsia" w:ascii="宋体" w:hAnsi="宋体"/>
                <w:color w:val="auto"/>
                <w:szCs w:val="21"/>
                <w:highlight w:val="none"/>
                <w:lang w:val="en-US" w:eastAsia="zh-CN"/>
              </w:rPr>
              <w:t>5</w:t>
            </w:r>
            <w:r>
              <w:rPr>
                <w:rFonts w:hint="eastAsia" w:ascii="宋体" w:hAnsi="宋体"/>
                <w:color w:val="auto"/>
                <w:szCs w:val="21"/>
                <w:highlight w:val="none"/>
              </w:rPr>
              <w:t>.</w:t>
            </w:r>
            <w:r>
              <w:rPr>
                <w:rFonts w:hint="eastAsia" w:ascii="宋体" w:hAnsi="宋体"/>
                <w:color w:val="auto"/>
                <w:szCs w:val="21"/>
                <w:highlight w:val="none"/>
                <w:lang w:val="en-US" w:eastAsia="zh-CN"/>
              </w:rPr>
              <w:t>3款</w:t>
            </w:r>
          </w:p>
        </w:tc>
        <w:tc>
          <w:tcPr>
            <w:tcW w:w="1742" w:type="dxa"/>
            <w:noWrap w:val="0"/>
            <w:vAlign w:val="center"/>
          </w:tcPr>
          <w:p w14:paraId="42A93294">
            <w:pPr>
              <w:adjustRightInd w:val="0"/>
              <w:snapToGrid w:val="0"/>
              <w:jc w:val="left"/>
              <w:rPr>
                <w:rFonts w:hint="eastAsia" w:ascii="宋体" w:hAnsi="宋体"/>
                <w:color w:val="auto"/>
                <w:szCs w:val="21"/>
                <w:highlight w:val="none"/>
              </w:rPr>
            </w:pPr>
            <w:r>
              <w:rPr>
                <w:rFonts w:hint="eastAsia" w:ascii="宋体" w:hAnsi="宋体"/>
                <w:color w:val="auto"/>
                <w:szCs w:val="21"/>
                <w:highlight w:val="none"/>
              </w:rPr>
              <w:t>逾期付款利息</w:t>
            </w:r>
          </w:p>
        </w:tc>
        <w:tc>
          <w:tcPr>
            <w:tcW w:w="5170" w:type="dxa"/>
            <w:noWrap w:val="0"/>
            <w:vAlign w:val="center"/>
          </w:tcPr>
          <w:p w14:paraId="12A074C7">
            <w:pPr>
              <w:adjustRightInd w:val="0"/>
              <w:snapToGrid w:val="0"/>
              <w:jc w:val="left"/>
              <w:rPr>
                <w:rFonts w:ascii="宋体" w:hAnsi="宋体"/>
                <w:color w:val="auto"/>
                <w:szCs w:val="21"/>
                <w:highlight w:val="none"/>
                <w:u w:val="single"/>
              </w:rPr>
            </w:pPr>
          </w:p>
        </w:tc>
      </w:tr>
      <w:tr w14:paraId="0DBFFF0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noWrap w:val="0"/>
            <w:vAlign w:val="center"/>
          </w:tcPr>
          <w:p w14:paraId="520D5679">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3227C204">
            <w:pPr>
              <w:adjustRightInd w:val="0"/>
              <w:snapToGrid w:val="0"/>
              <w:jc w:val="center"/>
              <w:rPr>
                <w:rFonts w:ascii="宋体" w:hAnsi="宋体"/>
                <w:color w:val="auto"/>
                <w:szCs w:val="21"/>
                <w:highlight w:val="none"/>
              </w:rPr>
            </w:pPr>
            <w:r>
              <w:rPr>
                <w:rFonts w:hint="eastAsia" w:ascii="宋体" w:hAnsi="宋体"/>
                <w:color w:val="auto"/>
                <w:szCs w:val="21"/>
                <w:highlight w:val="none"/>
              </w:rPr>
              <w:t>第1</w:t>
            </w:r>
            <w:r>
              <w:rPr>
                <w:rFonts w:hint="eastAsia" w:ascii="宋体" w:hAnsi="宋体"/>
                <w:color w:val="auto"/>
                <w:szCs w:val="21"/>
                <w:highlight w:val="none"/>
                <w:lang w:val="en-US" w:eastAsia="zh-CN"/>
              </w:rPr>
              <w:t>5</w:t>
            </w:r>
            <w:r>
              <w:rPr>
                <w:rFonts w:hint="eastAsia" w:ascii="宋体" w:hAnsi="宋体"/>
                <w:color w:val="auto"/>
                <w:szCs w:val="21"/>
                <w:highlight w:val="none"/>
              </w:rPr>
              <w:t>.4</w:t>
            </w:r>
            <w:r>
              <w:rPr>
                <w:rFonts w:hint="eastAsia" w:ascii="宋体" w:hAnsi="宋体"/>
                <w:color w:val="auto"/>
                <w:szCs w:val="21"/>
                <w:highlight w:val="none"/>
                <w:lang w:val="en-US" w:eastAsia="zh-CN"/>
              </w:rPr>
              <w:t>款</w:t>
            </w:r>
          </w:p>
        </w:tc>
        <w:tc>
          <w:tcPr>
            <w:tcW w:w="1742" w:type="dxa"/>
            <w:tcBorders>
              <w:left w:val="single" w:color="auto" w:sz="2" w:space="0"/>
              <w:bottom w:val="single" w:color="auto" w:sz="2" w:space="0"/>
              <w:right w:val="single" w:color="auto" w:sz="2" w:space="0"/>
            </w:tcBorders>
            <w:noWrap w:val="0"/>
            <w:vAlign w:val="center"/>
          </w:tcPr>
          <w:p w14:paraId="0D541CA9">
            <w:pPr>
              <w:adjustRightInd w:val="0"/>
              <w:snapToGrid w:val="0"/>
              <w:jc w:val="left"/>
              <w:rPr>
                <w:rFonts w:ascii="宋体" w:hAnsi="宋体"/>
                <w:color w:val="auto"/>
                <w:szCs w:val="21"/>
                <w:highlight w:val="none"/>
              </w:rPr>
            </w:pPr>
            <w:r>
              <w:rPr>
                <w:rFonts w:hint="eastAsia" w:ascii="宋体" w:hAnsi="宋体"/>
                <w:color w:val="auto"/>
                <w:szCs w:val="21"/>
                <w:highlight w:val="none"/>
              </w:rPr>
              <w:t>其他违约责任</w:t>
            </w:r>
          </w:p>
        </w:tc>
        <w:tc>
          <w:tcPr>
            <w:tcW w:w="5170" w:type="dxa"/>
            <w:tcBorders>
              <w:left w:val="single" w:color="auto" w:sz="2" w:space="0"/>
              <w:bottom w:val="single" w:color="auto" w:sz="2" w:space="0"/>
            </w:tcBorders>
            <w:noWrap w:val="0"/>
            <w:vAlign w:val="center"/>
          </w:tcPr>
          <w:p w14:paraId="10056D11">
            <w:pPr>
              <w:adjustRightInd w:val="0"/>
              <w:snapToGrid w:val="0"/>
              <w:jc w:val="left"/>
              <w:rPr>
                <w:rFonts w:ascii="宋体" w:hAnsi="宋体"/>
                <w:color w:val="auto"/>
                <w:szCs w:val="21"/>
                <w:highlight w:val="none"/>
                <w:u w:val="single"/>
              </w:rPr>
            </w:pPr>
          </w:p>
        </w:tc>
      </w:tr>
      <w:tr w14:paraId="612F1BC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noWrap w:val="0"/>
            <w:vAlign w:val="center"/>
          </w:tcPr>
          <w:p w14:paraId="78051FD2">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35A04032">
            <w:pPr>
              <w:adjustRightInd w:val="0"/>
              <w:snapToGrid w:val="0"/>
              <w:jc w:val="center"/>
              <w:rPr>
                <w:rFonts w:ascii="宋体" w:hAnsi="宋体"/>
                <w:color w:val="auto"/>
                <w:szCs w:val="21"/>
                <w:highlight w:val="none"/>
              </w:rPr>
            </w:pPr>
            <w:r>
              <w:rPr>
                <w:rFonts w:hint="eastAsia" w:ascii="宋体" w:hAnsi="宋体"/>
                <w:color w:val="auto"/>
                <w:szCs w:val="21"/>
                <w:highlight w:val="none"/>
              </w:rPr>
              <w:t>第</w:t>
            </w:r>
            <w:r>
              <w:rPr>
                <w:rFonts w:hint="eastAsia" w:ascii="宋体" w:hAnsi="宋体"/>
                <w:color w:val="auto"/>
                <w:szCs w:val="21"/>
                <w:highlight w:val="none"/>
                <w:lang w:val="en-US" w:eastAsia="zh-CN"/>
              </w:rPr>
              <w:t>19</w:t>
            </w:r>
            <w:r>
              <w:rPr>
                <w:rFonts w:hint="eastAsia" w:ascii="宋体" w:hAnsi="宋体"/>
                <w:color w:val="auto"/>
                <w:szCs w:val="21"/>
                <w:highlight w:val="none"/>
              </w:rPr>
              <w:t>.2</w:t>
            </w:r>
            <w:r>
              <w:rPr>
                <w:rFonts w:hint="eastAsia" w:ascii="宋体" w:hAnsi="宋体"/>
                <w:color w:val="auto"/>
                <w:szCs w:val="21"/>
                <w:highlight w:val="none"/>
                <w:lang w:val="en-US" w:eastAsia="zh-CN"/>
              </w:rPr>
              <w:t>款</w:t>
            </w:r>
          </w:p>
        </w:tc>
        <w:tc>
          <w:tcPr>
            <w:tcW w:w="1742" w:type="dxa"/>
            <w:tcBorders>
              <w:top w:val="single" w:color="auto" w:sz="2" w:space="0"/>
              <w:left w:val="single" w:color="auto" w:sz="2" w:space="0"/>
              <w:right w:val="single" w:color="auto" w:sz="2" w:space="0"/>
            </w:tcBorders>
            <w:noWrap w:val="0"/>
            <w:vAlign w:val="center"/>
          </w:tcPr>
          <w:p w14:paraId="73C373FB">
            <w:pPr>
              <w:adjustRightInd w:val="0"/>
              <w:snapToGrid w:val="0"/>
              <w:jc w:val="left"/>
              <w:rPr>
                <w:rFonts w:ascii="宋体" w:hAnsi="宋体"/>
                <w:color w:val="auto"/>
                <w:szCs w:val="21"/>
                <w:highlight w:val="none"/>
              </w:rPr>
            </w:pPr>
            <w:r>
              <w:rPr>
                <w:rFonts w:hint="eastAsia" w:ascii="宋体" w:hAnsi="宋体"/>
                <w:color w:val="auto"/>
                <w:szCs w:val="21"/>
                <w:highlight w:val="none"/>
                <w:lang w:val="en-US" w:eastAsia="zh-CN"/>
              </w:rPr>
              <w:t>解决争议的方法</w:t>
            </w:r>
          </w:p>
        </w:tc>
        <w:tc>
          <w:tcPr>
            <w:tcW w:w="5170" w:type="dxa"/>
            <w:tcBorders>
              <w:top w:val="single" w:color="auto" w:sz="2" w:space="0"/>
              <w:left w:val="single" w:color="auto" w:sz="2" w:space="0"/>
            </w:tcBorders>
            <w:noWrap w:val="0"/>
            <w:vAlign w:val="center"/>
          </w:tcPr>
          <w:p w14:paraId="4AB3CAF0">
            <w:pPr>
              <w:autoSpaceDE w:val="0"/>
              <w:autoSpaceDN w:val="0"/>
              <w:adjustRightInd w:val="0"/>
              <w:snapToGrid w:val="0"/>
              <w:spacing w:line="400" w:lineRule="exact"/>
              <w:jc w:val="left"/>
              <w:rPr>
                <w:rFonts w:hint="eastAsia" w:ascii="宋体" w:hAnsi="宋体" w:eastAsia="宋体" w:cs="宋体"/>
                <w:b w:val="0"/>
                <w:bCs w:val="0"/>
                <w:iCs/>
                <w:color w:val="auto"/>
                <w:szCs w:val="21"/>
                <w:highlight w:val="none"/>
              </w:rPr>
            </w:pPr>
            <w:r>
              <w:rPr>
                <w:rFonts w:hint="eastAsia" w:ascii="宋体" w:hAnsi="宋体" w:eastAsia="宋体" w:cs="宋体"/>
                <w:b w:val="0"/>
                <w:bCs w:val="0"/>
                <w:iCs/>
                <w:color w:val="auto"/>
                <w:szCs w:val="21"/>
                <w:highlight w:val="none"/>
              </w:rPr>
              <w:t>因本合同及合同有关事项发生的争议，按下列第</w:t>
            </w:r>
            <w:r>
              <w:rPr>
                <w:rFonts w:hint="eastAsia" w:ascii="宋体" w:hAnsi="宋体" w:eastAsia="宋体" w:cs="宋体"/>
                <w:b w:val="0"/>
                <w:bCs w:val="0"/>
                <w:iCs/>
                <w:color w:val="auto"/>
                <w:szCs w:val="21"/>
                <w:highlight w:val="none"/>
                <w:u w:val="single"/>
              </w:rPr>
              <w:t xml:space="preserve">   </w:t>
            </w:r>
            <w:r>
              <w:rPr>
                <w:rFonts w:hint="eastAsia" w:ascii="宋体" w:hAnsi="宋体" w:eastAsia="宋体" w:cs="宋体"/>
                <w:b w:val="0"/>
                <w:bCs w:val="0"/>
                <w:iCs/>
                <w:color w:val="auto"/>
                <w:szCs w:val="21"/>
                <w:highlight w:val="none"/>
              </w:rPr>
              <w:t>种方式解决：</w:t>
            </w:r>
          </w:p>
          <w:p w14:paraId="76F50353">
            <w:pPr>
              <w:autoSpaceDE w:val="0"/>
              <w:autoSpaceDN w:val="0"/>
              <w:adjustRightInd w:val="0"/>
              <w:snapToGrid w:val="0"/>
              <w:spacing w:line="400" w:lineRule="exact"/>
              <w:jc w:val="left"/>
              <w:rPr>
                <w:rFonts w:hint="eastAsia" w:ascii="宋体" w:hAnsi="宋体" w:eastAsia="宋体" w:cs="宋体"/>
                <w:b w:val="0"/>
                <w:bCs w:val="0"/>
                <w:iCs/>
                <w:color w:val="auto"/>
                <w:szCs w:val="21"/>
                <w:highlight w:val="none"/>
              </w:rPr>
            </w:pPr>
            <w:r>
              <w:rPr>
                <w:rFonts w:hint="eastAsia" w:ascii="宋体" w:hAnsi="宋体" w:eastAsia="宋体" w:cs="宋体"/>
                <w:b w:val="0"/>
                <w:bCs w:val="0"/>
                <w:iCs/>
                <w:color w:val="auto"/>
                <w:szCs w:val="21"/>
                <w:highlight w:val="none"/>
              </w:rPr>
              <w:t>（1）向</w:t>
            </w:r>
            <w:r>
              <w:rPr>
                <w:rFonts w:hint="eastAsia" w:ascii="宋体" w:hAnsi="宋体" w:eastAsia="宋体" w:cs="宋体"/>
                <w:b w:val="0"/>
                <w:bCs w:val="0"/>
                <w:iCs/>
                <w:color w:val="auto"/>
                <w:szCs w:val="21"/>
                <w:highlight w:val="none"/>
                <w:u w:val="single"/>
              </w:rPr>
              <w:t xml:space="preserve">                    </w:t>
            </w:r>
            <w:r>
              <w:rPr>
                <w:rFonts w:hint="eastAsia" w:ascii="宋体" w:hAnsi="宋体" w:eastAsia="宋体" w:cs="宋体"/>
                <w:b w:val="0"/>
                <w:bCs w:val="0"/>
                <w:iCs/>
                <w:color w:val="auto"/>
                <w:szCs w:val="21"/>
                <w:highlight w:val="none"/>
              </w:rPr>
              <w:t>仲裁委员会申请仲裁，仲裁地点为</w:t>
            </w:r>
            <w:r>
              <w:rPr>
                <w:rFonts w:hint="eastAsia" w:ascii="宋体" w:hAnsi="宋体" w:eastAsia="宋体" w:cs="宋体"/>
                <w:b w:val="0"/>
                <w:bCs w:val="0"/>
                <w:iCs/>
                <w:color w:val="auto"/>
                <w:szCs w:val="21"/>
                <w:highlight w:val="none"/>
                <w:u w:val="single"/>
              </w:rPr>
              <w:t xml:space="preserve">           </w:t>
            </w:r>
            <w:r>
              <w:rPr>
                <w:rFonts w:hint="eastAsia" w:ascii="宋体" w:hAnsi="宋体" w:eastAsia="宋体" w:cs="宋体"/>
                <w:b w:val="0"/>
                <w:bCs w:val="0"/>
                <w:iCs/>
                <w:color w:val="auto"/>
                <w:szCs w:val="21"/>
                <w:highlight w:val="none"/>
              </w:rPr>
              <w:t>；</w:t>
            </w:r>
          </w:p>
          <w:p w14:paraId="6F42AC02">
            <w:pPr>
              <w:adjustRightInd w:val="0"/>
              <w:snapToGrid w:val="0"/>
              <w:ind w:firstLine="0" w:firstLineChars="0"/>
              <w:jc w:val="left"/>
              <w:rPr>
                <w:rFonts w:ascii="宋体" w:hAnsi="宋体"/>
                <w:color w:val="auto"/>
                <w:szCs w:val="21"/>
                <w:highlight w:val="none"/>
                <w:u w:val="single"/>
              </w:rPr>
            </w:pPr>
            <w:r>
              <w:rPr>
                <w:rFonts w:hint="eastAsia" w:ascii="宋体" w:hAnsi="宋体" w:eastAsia="宋体" w:cs="宋体"/>
                <w:b w:val="0"/>
                <w:bCs w:val="0"/>
                <w:iCs/>
                <w:color w:val="auto"/>
                <w:szCs w:val="21"/>
                <w:highlight w:val="none"/>
              </w:rPr>
              <w:t>（2）向</w:t>
            </w:r>
            <w:r>
              <w:rPr>
                <w:rFonts w:hint="eastAsia" w:ascii="宋体" w:hAnsi="宋体" w:eastAsia="宋体" w:cs="宋体"/>
                <w:b w:val="0"/>
                <w:bCs w:val="0"/>
                <w:iCs/>
                <w:color w:val="auto"/>
                <w:szCs w:val="21"/>
                <w:highlight w:val="none"/>
                <w:u w:val="single"/>
              </w:rPr>
              <w:t xml:space="preserve">                    </w:t>
            </w:r>
            <w:r>
              <w:rPr>
                <w:rFonts w:hint="eastAsia" w:ascii="宋体" w:hAnsi="宋体" w:eastAsia="宋体" w:cs="宋体"/>
                <w:b w:val="0"/>
                <w:bCs w:val="0"/>
                <w:iCs/>
                <w:color w:val="auto"/>
                <w:szCs w:val="21"/>
                <w:highlight w:val="none"/>
              </w:rPr>
              <w:t>人民法院起诉。</w:t>
            </w:r>
          </w:p>
        </w:tc>
      </w:tr>
      <w:tr w14:paraId="34A807A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noWrap w:val="0"/>
            <w:vAlign w:val="center"/>
          </w:tcPr>
          <w:p w14:paraId="4D53B9C5">
            <w:pPr>
              <w:adjustRightInd w:val="0"/>
              <w:snapToGrid w:val="0"/>
              <w:jc w:val="center"/>
              <w:rPr>
                <w:rFonts w:ascii="宋体" w:hAnsi="宋体"/>
                <w:color w:val="auto"/>
                <w:szCs w:val="21"/>
                <w:highlight w:val="none"/>
              </w:rPr>
            </w:pPr>
            <w:r>
              <w:rPr>
                <w:rFonts w:hint="eastAsia" w:ascii="宋体" w:hAnsi="宋体"/>
                <w:color w:val="auto"/>
                <w:szCs w:val="21"/>
                <w:highlight w:val="none"/>
              </w:rPr>
              <w:t>第二节</w:t>
            </w:r>
          </w:p>
          <w:p w14:paraId="647B23D0">
            <w:pPr>
              <w:adjustRightInd w:val="0"/>
              <w:snapToGrid w:val="0"/>
              <w:jc w:val="center"/>
              <w:rPr>
                <w:rFonts w:ascii="宋体" w:hAnsi="宋体"/>
                <w:color w:val="auto"/>
                <w:szCs w:val="21"/>
                <w:highlight w:val="none"/>
              </w:rPr>
            </w:pPr>
            <w:r>
              <w:rPr>
                <w:rFonts w:hint="eastAsia" w:ascii="宋体" w:hAnsi="宋体"/>
                <w:color w:val="auto"/>
                <w:szCs w:val="21"/>
                <w:highlight w:val="none"/>
              </w:rPr>
              <w:t>第2</w:t>
            </w:r>
            <w:r>
              <w:rPr>
                <w:rFonts w:hint="eastAsia" w:ascii="宋体" w:hAnsi="宋体"/>
                <w:color w:val="auto"/>
                <w:szCs w:val="21"/>
                <w:highlight w:val="none"/>
                <w:lang w:val="en-US" w:eastAsia="zh-CN"/>
              </w:rPr>
              <w:t>3.1</w:t>
            </w:r>
            <w:r>
              <w:rPr>
                <w:rFonts w:hint="eastAsia" w:ascii="宋体" w:hAnsi="宋体"/>
                <w:color w:val="auto"/>
                <w:szCs w:val="21"/>
                <w:highlight w:val="none"/>
                <w:lang w:eastAsia="zh-CN"/>
              </w:rPr>
              <w:t>款</w:t>
            </w:r>
          </w:p>
        </w:tc>
        <w:tc>
          <w:tcPr>
            <w:tcW w:w="1742" w:type="dxa"/>
            <w:noWrap w:val="0"/>
            <w:vAlign w:val="center"/>
          </w:tcPr>
          <w:p w14:paraId="2ADE2B18">
            <w:pPr>
              <w:adjustRightInd w:val="0"/>
              <w:snapToGrid w:val="0"/>
              <w:jc w:val="left"/>
              <w:rPr>
                <w:rFonts w:ascii="宋体" w:hAnsi="宋体"/>
                <w:color w:val="auto"/>
                <w:szCs w:val="21"/>
                <w:highlight w:val="none"/>
              </w:rPr>
            </w:pPr>
            <w:r>
              <w:rPr>
                <w:rFonts w:hint="eastAsia" w:ascii="宋体" w:hAnsi="宋体"/>
                <w:bCs/>
                <w:color w:val="auto"/>
                <w:szCs w:val="21"/>
                <w:highlight w:val="none"/>
                <w:lang w:eastAsia="zh-CN"/>
              </w:rPr>
              <w:t>其他专用条款</w:t>
            </w:r>
          </w:p>
        </w:tc>
        <w:tc>
          <w:tcPr>
            <w:tcW w:w="5170" w:type="dxa"/>
            <w:noWrap w:val="0"/>
            <w:vAlign w:val="center"/>
          </w:tcPr>
          <w:p w14:paraId="024B4AFA">
            <w:pPr>
              <w:adjustRightInd w:val="0"/>
              <w:snapToGrid w:val="0"/>
              <w:jc w:val="left"/>
              <w:rPr>
                <w:rFonts w:hint="default" w:ascii="宋体" w:hAnsi="宋体" w:eastAsia="宋体"/>
                <w:color w:val="auto"/>
                <w:szCs w:val="21"/>
                <w:highlight w:val="none"/>
                <w:lang w:val="en-US" w:eastAsia="zh-CN"/>
              </w:rPr>
            </w:pPr>
          </w:p>
        </w:tc>
      </w:tr>
    </w:tbl>
    <w:p w14:paraId="725C2AD1">
      <w:pPr>
        <w:rPr>
          <w:color w:val="auto"/>
          <w:highlight w:val="none"/>
        </w:rPr>
      </w:pPr>
    </w:p>
    <w:p w14:paraId="2BD4D9D3">
      <w:pPr>
        <w:rPr>
          <w:color w:val="auto"/>
          <w:highlight w:val="none"/>
        </w:rPr>
      </w:pPr>
    </w:p>
    <w:p w14:paraId="604A8882">
      <w:pPr>
        <w:widowControl w:val="0"/>
        <w:snapToGrid w:val="0"/>
        <w:spacing w:line="360" w:lineRule="auto"/>
        <w:ind w:firstLine="480" w:firstLineChars="200"/>
        <w:rPr>
          <w:rFonts w:ascii="宋体" w:hAnsi="宋体" w:cs="宋体"/>
          <w:color w:val="auto"/>
          <w:sz w:val="24"/>
          <w:szCs w:val="24"/>
          <w:highlight w:val="none"/>
          <w:u w:val="single"/>
        </w:rPr>
      </w:pPr>
    </w:p>
    <w:p w14:paraId="1D0438EF">
      <w:pPr>
        <w:widowControl w:val="0"/>
        <w:snapToGrid w:val="0"/>
        <w:spacing w:line="540" w:lineRule="exact"/>
        <w:ind w:right="476"/>
        <w:rPr>
          <w:rFonts w:ascii="宋体" w:hAnsi="宋体" w:cs="宋体"/>
          <w:color w:val="auto"/>
          <w:sz w:val="24"/>
          <w:szCs w:val="24"/>
          <w:highlight w:val="none"/>
        </w:rPr>
      </w:pPr>
    </w:p>
    <w:p w14:paraId="2F6AE2F8">
      <w:pPr>
        <w:spacing w:line="240" w:lineRule="auto"/>
        <w:jc w:val="left"/>
        <w:textAlignment w:val="auto"/>
        <w:rPr>
          <w:rFonts w:ascii="宋体" w:hAnsi="宋体" w:cs="宋体"/>
          <w:color w:val="auto"/>
          <w:highlight w:val="none"/>
        </w:rPr>
      </w:pPr>
    </w:p>
    <w:p w14:paraId="52EAB2D9">
      <w:pPr>
        <w:widowControl w:val="0"/>
        <w:snapToGrid w:val="0"/>
        <w:spacing w:line="360" w:lineRule="auto"/>
        <w:rPr>
          <w:rFonts w:ascii="宋体" w:hAnsi="宋体" w:cs="宋体"/>
          <w:color w:val="auto"/>
          <w:sz w:val="24"/>
          <w:szCs w:val="24"/>
          <w:highlight w:val="none"/>
        </w:rPr>
      </w:pPr>
    </w:p>
    <w:p w14:paraId="70221C5E">
      <w:pPr>
        <w:autoSpaceDE w:val="0"/>
        <w:autoSpaceDN w:val="0"/>
        <w:adjustRightInd w:val="0"/>
        <w:spacing w:line="360" w:lineRule="auto"/>
        <w:jc w:val="center"/>
        <w:outlineLvl w:val="0"/>
        <w:rPr>
          <w:rFonts w:ascii="宋体" w:hAnsi="宋体" w:cs="宋体"/>
          <w:b/>
          <w:color w:val="auto"/>
          <w:sz w:val="36"/>
          <w:szCs w:val="36"/>
          <w:highlight w:val="none"/>
          <w:lang w:val="zh-CN"/>
        </w:rPr>
      </w:pPr>
      <w:r>
        <w:rPr>
          <w:rFonts w:hint="eastAsia" w:ascii="宋体" w:hAnsi="宋体" w:cs="宋体"/>
          <w:b/>
          <w:color w:val="auto"/>
          <w:sz w:val="36"/>
          <w:szCs w:val="36"/>
          <w:highlight w:val="none"/>
          <w:lang w:val="zh-CN"/>
        </w:rPr>
        <w:br w:type="page"/>
      </w:r>
    </w:p>
    <w:p w14:paraId="4C8AB832">
      <w:pPr>
        <w:autoSpaceDE w:val="0"/>
        <w:autoSpaceDN w:val="0"/>
        <w:adjustRightInd w:val="0"/>
        <w:spacing w:line="360" w:lineRule="auto"/>
        <w:jc w:val="center"/>
        <w:outlineLvl w:val="0"/>
        <w:rPr>
          <w:rFonts w:ascii="宋体" w:hAnsi="宋体" w:cs="宋体"/>
          <w:b/>
          <w:color w:val="auto"/>
          <w:sz w:val="36"/>
          <w:szCs w:val="36"/>
          <w:highlight w:val="none"/>
          <w:lang w:val="zh-CN"/>
        </w:rPr>
      </w:pPr>
      <w:bookmarkStart w:id="42" w:name="_Toc83372561"/>
      <w:r>
        <w:rPr>
          <w:rFonts w:hint="eastAsia" w:ascii="宋体" w:hAnsi="宋体" w:cs="宋体"/>
          <w:b/>
          <w:color w:val="auto"/>
          <w:sz w:val="36"/>
          <w:szCs w:val="36"/>
          <w:highlight w:val="none"/>
          <w:lang w:val="zh-CN"/>
        </w:rPr>
        <w:t>第六章  《响应文件》格式</w:t>
      </w:r>
      <w:bookmarkEnd w:id="42"/>
    </w:p>
    <w:p w14:paraId="2A4FBC48">
      <w:pPr>
        <w:autoSpaceDE w:val="0"/>
        <w:autoSpaceDN w:val="0"/>
        <w:adjustRightInd w:val="0"/>
        <w:spacing w:line="360" w:lineRule="auto"/>
        <w:jc w:val="center"/>
        <w:outlineLvl w:val="0"/>
        <w:rPr>
          <w:rFonts w:ascii="宋体" w:hAnsi="宋体" w:cs="宋体"/>
          <w:b/>
          <w:color w:val="auto"/>
          <w:sz w:val="36"/>
          <w:szCs w:val="36"/>
          <w:highlight w:val="none"/>
          <w:lang w:val="zh-CN"/>
        </w:rPr>
      </w:pPr>
    </w:p>
    <w:p w14:paraId="17B952F4">
      <w:pPr>
        <w:autoSpaceDE w:val="0"/>
        <w:autoSpaceDN w:val="0"/>
        <w:adjustRightInd w:val="0"/>
        <w:spacing w:line="276" w:lineRule="auto"/>
        <w:ind w:firstLine="514" w:firstLineChars="245"/>
        <w:jc w:val="left"/>
        <w:rPr>
          <w:rFonts w:ascii="宋体" w:hAnsi="宋体" w:cs="宋体"/>
          <w:color w:val="auto"/>
          <w:sz w:val="36"/>
          <w:szCs w:val="36"/>
          <w:highlight w:val="none"/>
          <w:lang w:val="zh-CN"/>
        </w:rPr>
      </w:pPr>
      <w:r>
        <w:rPr>
          <w:rFonts w:hint="eastAsia" w:ascii="宋体" w:hAnsi="宋体" w:cs="宋体"/>
          <w:color w:val="auto"/>
          <w:szCs w:val="21"/>
          <w:highlight w:val="none"/>
          <w:lang w:val="zh-CN"/>
        </w:rPr>
        <w:t>供应商应按“供应商须知--《响应文件》的组成”列示内容编制《响应文件》，本章“《响应文件》格式”仅为对《响应文件》部分内容的格式化规范，并非《响应文件》所应具备的全部内容</w:t>
      </w:r>
      <w:r>
        <w:rPr>
          <w:rFonts w:hint="eastAsia" w:ascii="宋体" w:hAnsi="宋体" w:cs="宋体"/>
          <w:color w:val="auto"/>
          <w:sz w:val="36"/>
          <w:szCs w:val="36"/>
          <w:highlight w:val="none"/>
          <w:lang w:val="zh-CN"/>
        </w:rPr>
        <w:t>。</w:t>
      </w:r>
    </w:p>
    <w:p w14:paraId="68251DF8">
      <w:pPr>
        <w:autoSpaceDE w:val="0"/>
        <w:autoSpaceDN w:val="0"/>
        <w:adjustRightInd w:val="0"/>
        <w:spacing w:line="276" w:lineRule="auto"/>
        <w:ind w:firstLine="882" w:firstLineChars="245"/>
        <w:jc w:val="left"/>
        <w:rPr>
          <w:rFonts w:ascii="宋体" w:hAnsi="宋体" w:cs="宋体"/>
          <w:color w:val="auto"/>
          <w:sz w:val="36"/>
          <w:szCs w:val="36"/>
          <w:highlight w:val="none"/>
          <w:lang w:val="zh-CN"/>
        </w:rPr>
      </w:pPr>
    </w:p>
    <w:p w14:paraId="7945FA22">
      <w:pPr>
        <w:autoSpaceDE w:val="0"/>
        <w:autoSpaceDN w:val="0"/>
        <w:adjustRightInd w:val="0"/>
        <w:spacing w:line="360" w:lineRule="auto"/>
        <w:ind w:right="-817"/>
        <w:rPr>
          <w:rFonts w:ascii="宋体" w:hAnsi="宋体" w:cs="宋体"/>
          <w:color w:val="auto"/>
          <w:sz w:val="24"/>
          <w:highlight w:val="none"/>
          <w:u w:val="single"/>
        </w:rPr>
      </w:pPr>
    </w:p>
    <w:p w14:paraId="05AF7C7A">
      <w:pPr>
        <w:autoSpaceDE w:val="0"/>
        <w:autoSpaceDN w:val="0"/>
        <w:adjustRightInd w:val="0"/>
        <w:spacing w:line="360" w:lineRule="auto"/>
        <w:ind w:firstLine="480" w:firstLineChars="200"/>
        <w:jc w:val="left"/>
        <w:rPr>
          <w:rFonts w:ascii="宋体" w:hAnsi="宋体" w:cs="宋体"/>
          <w:color w:val="auto"/>
          <w:sz w:val="24"/>
          <w:highlight w:val="none"/>
          <w:u w:val="single"/>
        </w:rPr>
      </w:pPr>
    </w:p>
    <w:p w14:paraId="4AC015F1">
      <w:pPr>
        <w:autoSpaceDE w:val="0"/>
        <w:autoSpaceDN w:val="0"/>
        <w:adjustRightInd w:val="0"/>
        <w:spacing w:line="360" w:lineRule="auto"/>
        <w:jc w:val="left"/>
        <w:rPr>
          <w:rFonts w:ascii="宋体" w:hAnsi="宋体" w:cs="宋体"/>
          <w:color w:val="auto"/>
          <w:sz w:val="44"/>
          <w:szCs w:val="44"/>
          <w:highlight w:val="none"/>
          <w:u w:val="single"/>
        </w:rPr>
      </w:pPr>
      <w:r>
        <w:rPr>
          <w:rFonts w:hint="eastAsia" w:ascii="宋体" w:hAnsi="宋体" w:cs="宋体"/>
          <w:color w:val="auto"/>
          <w:sz w:val="44"/>
          <w:szCs w:val="44"/>
          <w:highlight w:val="none"/>
        </w:rPr>
        <w:t>项目名称：</w:t>
      </w:r>
      <w:r>
        <w:rPr>
          <w:rFonts w:hint="eastAsia" w:ascii="宋体" w:hAnsi="宋体" w:cs="宋体"/>
          <w:color w:val="auto"/>
          <w:sz w:val="44"/>
          <w:szCs w:val="44"/>
          <w:highlight w:val="none"/>
          <w:u w:val="single"/>
        </w:rPr>
        <w:t xml:space="preserve">                                </w:t>
      </w:r>
    </w:p>
    <w:p w14:paraId="2E2D0C95">
      <w:pPr>
        <w:autoSpaceDE w:val="0"/>
        <w:autoSpaceDN w:val="0"/>
        <w:adjustRightInd w:val="0"/>
        <w:spacing w:line="360" w:lineRule="auto"/>
        <w:jc w:val="left"/>
        <w:rPr>
          <w:rFonts w:ascii="宋体" w:hAnsi="宋体" w:cs="宋体"/>
          <w:color w:val="auto"/>
          <w:sz w:val="24"/>
          <w:highlight w:val="none"/>
          <w:u w:val="single"/>
        </w:rPr>
      </w:pPr>
      <w:r>
        <w:rPr>
          <w:rFonts w:hint="eastAsia" w:ascii="宋体" w:hAnsi="宋体" w:cs="宋体"/>
          <w:color w:val="auto"/>
          <w:sz w:val="44"/>
          <w:szCs w:val="44"/>
          <w:highlight w:val="none"/>
        </w:rPr>
        <w:t>项目编号：</w:t>
      </w:r>
      <w:r>
        <w:rPr>
          <w:rFonts w:hint="eastAsia" w:ascii="宋体" w:hAnsi="宋体" w:cs="宋体"/>
          <w:color w:val="auto"/>
          <w:sz w:val="44"/>
          <w:szCs w:val="44"/>
          <w:highlight w:val="none"/>
          <w:u w:val="single"/>
        </w:rPr>
        <w:t xml:space="preserve">  </w:t>
      </w:r>
      <w:r>
        <w:rPr>
          <w:rFonts w:hint="eastAsia" w:ascii="宋体" w:hAnsi="宋体" w:cs="宋体"/>
          <w:color w:val="auto"/>
          <w:sz w:val="24"/>
          <w:highlight w:val="none"/>
          <w:u w:val="single"/>
        </w:rPr>
        <w:t xml:space="preserve">                                                      </w:t>
      </w:r>
    </w:p>
    <w:p w14:paraId="1B28FFE4">
      <w:pPr>
        <w:autoSpaceDE w:val="0"/>
        <w:autoSpaceDN w:val="0"/>
        <w:adjustRightInd w:val="0"/>
        <w:spacing w:line="360" w:lineRule="auto"/>
        <w:jc w:val="left"/>
        <w:rPr>
          <w:rFonts w:ascii="宋体" w:hAnsi="宋体" w:cs="宋体"/>
          <w:color w:val="auto"/>
          <w:sz w:val="84"/>
          <w:szCs w:val="84"/>
          <w:highlight w:val="none"/>
        </w:rPr>
      </w:pPr>
    </w:p>
    <w:p w14:paraId="711D8734">
      <w:pPr>
        <w:autoSpaceDE w:val="0"/>
        <w:autoSpaceDN w:val="0"/>
        <w:adjustRightInd w:val="0"/>
        <w:spacing w:line="360" w:lineRule="auto"/>
        <w:jc w:val="center"/>
        <w:rPr>
          <w:rFonts w:ascii="宋体" w:hAnsi="宋体" w:cs="宋体"/>
          <w:b/>
          <w:color w:val="auto"/>
          <w:spacing w:val="60"/>
          <w:sz w:val="84"/>
          <w:szCs w:val="84"/>
          <w:highlight w:val="none"/>
        </w:rPr>
      </w:pPr>
      <w:r>
        <w:rPr>
          <w:rFonts w:hint="eastAsia" w:ascii="宋体" w:hAnsi="宋体" w:cs="宋体"/>
          <w:b/>
          <w:color w:val="auto"/>
          <w:spacing w:val="60"/>
          <w:sz w:val="84"/>
          <w:szCs w:val="84"/>
          <w:highlight w:val="none"/>
        </w:rPr>
        <w:t>响 应 文 件</w:t>
      </w:r>
    </w:p>
    <w:p w14:paraId="18A6C513">
      <w:pPr>
        <w:autoSpaceDE w:val="0"/>
        <w:autoSpaceDN w:val="0"/>
        <w:adjustRightInd w:val="0"/>
        <w:spacing w:line="360" w:lineRule="auto"/>
        <w:jc w:val="center"/>
        <w:rPr>
          <w:rFonts w:ascii="宋体" w:hAnsi="宋体" w:cs="宋体"/>
          <w:color w:val="auto"/>
          <w:sz w:val="24"/>
          <w:highlight w:val="none"/>
        </w:rPr>
      </w:pPr>
    </w:p>
    <w:p w14:paraId="716F10E0">
      <w:pPr>
        <w:autoSpaceDE w:val="0"/>
        <w:autoSpaceDN w:val="0"/>
        <w:adjustRightInd w:val="0"/>
        <w:spacing w:line="360" w:lineRule="auto"/>
        <w:jc w:val="center"/>
        <w:rPr>
          <w:rFonts w:ascii="宋体" w:hAnsi="宋体" w:cs="宋体"/>
          <w:color w:val="auto"/>
          <w:sz w:val="24"/>
          <w:highlight w:val="none"/>
        </w:rPr>
      </w:pPr>
    </w:p>
    <w:p w14:paraId="0E3B74FE">
      <w:pPr>
        <w:autoSpaceDE w:val="0"/>
        <w:autoSpaceDN w:val="0"/>
        <w:adjustRightInd w:val="0"/>
        <w:spacing w:line="360" w:lineRule="auto"/>
        <w:jc w:val="center"/>
        <w:rPr>
          <w:rFonts w:ascii="宋体" w:hAnsi="宋体" w:cs="宋体"/>
          <w:color w:val="auto"/>
          <w:sz w:val="24"/>
          <w:highlight w:val="none"/>
        </w:rPr>
      </w:pPr>
    </w:p>
    <w:p w14:paraId="0A799D1F">
      <w:pPr>
        <w:autoSpaceDE w:val="0"/>
        <w:autoSpaceDN w:val="0"/>
        <w:adjustRightInd w:val="0"/>
        <w:spacing w:line="360" w:lineRule="auto"/>
        <w:jc w:val="center"/>
        <w:rPr>
          <w:rFonts w:ascii="宋体" w:hAnsi="宋体" w:cs="宋体"/>
          <w:color w:val="auto"/>
          <w:sz w:val="24"/>
          <w:highlight w:val="none"/>
        </w:rPr>
      </w:pPr>
    </w:p>
    <w:p w14:paraId="0362C5D4">
      <w:pPr>
        <w:pStyle w:val="58"/>
        <w:spacing w:line="360" w:lineRule="auto"/>
        <w:rPr>
          <w:rFonts w:hAnsi="宋体" w:cs="宋体"/>
          <w:color w:val="auto"/>
          <w:szCs w:val="24"/>
          <w:highlight w:val="none"/>
          <w:u w:val="single"/>
        </w:rPr>
      </w:pPr>
    </w:p>
    <w:p w14:paraId="7D9843B7">
      <w:pPr>
        <w:pStyle w:val="58"/>
        <w:spacing w:line="360" w:lineRule="auto"/>
        <w:jc w:val="both"/>
        <w:rPr>
          <w:rFonts w:hAnsi="宋体" w:cs="宋体"/>
          <w:color w:val="auto"/>
          <w:sz w:val="28"/>
          <w:szCs w:val="28"/>
          <w:highlight w:val="none"/>
          <w:u w:val="single"/>
        </w:rPr>
      </w:pPr>
      <w:r>
        <w:rPr>
          <w:rFonts w:hint="eastAsia" w:hAnsi="宋体" w:cs="宋体"/>
          <w:color w:val="auto"/>
          <w:sz w:val="28"/>
          <w:szCs w:val="28"/>
          <w:highlight w:val="none"/>
        </w:rPr>
        <w:t xml:space="preserve">  供应商（电子签章）：</w:t>
      </w:r>
      <w:r>
        <w:rPr>
          <w:rFonts w:hint="eastAsia" w:hAnsi="宋体" w:cs="宋体"/>
          <w:color w:val="auto"/>
          <w:sz w:val="28"/>
          <w:szCs w:val="28"/>
          <w:highlight w:val="none"/>
          <w:u w:val="single"/>
        </w:rPr>
        <w:t xml:space="preserve">                                    </w:t>
      </w:r>
    </w:p>
    <w:p w14:paraId="3943028E">
      <w:pPr>
        <w:pStyle w:val="58"/>
        <w:spacing w:line="360" w:lineRule="auto"/>
        <w:ind w:firstLine="280" w:firstLineChars="100"/>
        <w:rPr>
          <w:rFonts w:hAnsi="宋体" w:cs="宋体"/>
          <w:color w:val="auto"/>
          <w:sz w:val="28"/>
          <w:szCs w:val="28"/>
          <w:highlight w:val="none"/>
        </w:rPr>
      </w:pPr>
    </w:p>
    <w:p w14:paraId="511C4471">
      <w:pPr>
        <w:pStyle w:val="58"/>
        <w:spacing w:line="360" w:lineRule="auto"/>
        <w:ind w:firstLine="280" w:firstLineChars="100"/>
        <w:rPr>
          <w:rFonts w:hAnsi="宋体" w:cs="宋体"/>
          <w:color w:val="auto"/>
          <w:sz w:val="28"/>
          <w:szCs w:val="28"/>
          <w:highlight w:val="none"/>
          <w:u w:val="single"/>
        </w:rPr>
      </w:pPr>
      <w:r>
        <w:rPr>
          <w:rFonts w:hint="eastAsia" w:hAnsi="宋体" w:cs="宋体"/>
          <w:color w:val="auto"/>
          <w:sz w:val="28"/>
          <w:szCs w:val="28"/>
          <w:highlight w:val="none"/>
        </w:rPr>
        <w:t>法定代表人（电子签名）：</w:t>
      </w:r>
      <w:r>
        <w:rPr>
          <w:rFonts w:hint="eastAsia" w:hAnsi="宋体" w:cs="宋体"/>
          <w:color w:val="auto"/>
          <w:sz w:val="28"/>
          <w:szCs w:val="28"/>
          <w:highlight w:val="none"/>
          <w:u w:val="single"/>
        </w:rPr>
        <w:t xml:space="preserve">                              </w:t>
      </w:r>
    </w:p>
    <w:p w14:paraId="3D0C70C8">
      <w:pPr>
        <w:pStyle w:val="58"/>
        <w:spacing w:line="360" w:lineRule="auto"/>
        <w:jc w:val="center"/>
        <w:rPr>
          <w:rFonts w:hAnsi="宋体" w:cs="宋体"/>
          <w:color w:val="auto"/>
          <w:sz w:val="28"/>
          <w:szCs w:val="28"/>
          <w:highlight w:val="none"/>
        </w:rPr>
      </w:pPr>
    </w:p>
    <w:p w14:paraId="747F005E">
      <w:pPr>
        <w:pStyle w:val="58"/>
        <w:spacing w:line="360" w:lineRule="auto"/>
        <w:jc w:val="center"/>
        <w:rPr>
          <w:rFonts w:hint="default" w:hAnsi="宋体" w:eastAsia="宋体" w:cs="宋体"/>
          <w:color w:val="auto"/>
          <w:sz w:val="28"/>
          <w:szCs w:val="28"/>
          <w:highlight w:val="none"/>
          <w:lang w:val="en-US" w:eastAsia="zh-CN"/>
        </w:rPr>
      </w:pPr>
      <w:r>
        <w:rPr>
          <w:rFonts w:hint="eastAsia" w:hAnsi="宋体" w:cs="宋体"/>
          <w:color w:val="auto"/>
          <w:sz w:val="28"/>
          <w:szCs w:val="28"/>
          <w:highlight w:val="none"/>
          <w:lang w:val="en-US" w:eastAsia="zh-CN"/>
        </w:rPr>
        <w:t>投标日期：  年   月    日</w:t>
      </w:r>
    </w:p>
    <w:p w14:paraId="64D0C428">
      <w:pPr>
        <w:widowControl w:val="0"/>
        <w:tabs>
          <w:tab w:val="left" w:pos="9365"/>
        </w:tabs>
        <w:snapToGrid w:val="0"/>
        <w:spacing w:before="56" w:after="56" w:line="560" w:lineRule="atLeast"/>
        <w:jc w:val="left"/>
        <w:textAlignment w:val="top"/>
        <w:rPr>
          <w:rFonts w:ascii="宋体" w:hAnsi="宋体" w:cs="宋体"/>
          <w:color w:val="auto"/>
          <w:sz w:val="28"/>
          <w:highlight w:val="none"/>
        </w:rPr>
      </w:pPr>
      <w:r>
        <w:rPr>
          <w:rFonts w:hint="eastAsia" w:ascii="宋体" w:hAnsi="宋体" w:cs="宋体"/>
          <w:b/>
          <w:bCs/>
          <w:color w:val="auto"/>
          <w:sz w:val="44"/>
          <w:szCs w:val="44"/>
          <w:highlight w:val="none"/>
          <w:lang w:val="zh-CN"/>
        </w:rPr>
        <w:br w:type="page"/>
      </w:r>
      <w:bookmarkStart w:id="43" w:name="OLE_LINK35"/>
      <w:bookmarkStart w:id="44" w:name="OLE_LINK10"/>
    </w:p>
    <w:p w14:paraId="1A80C19A">
      <w:pPr>
        <w:spacing w:line="351" w:lineRule="atLeast"/>
        <w:ind w:left="419"/>
        <w:jc w:val="center"/>
        <w:rPr>
          <w:rFonts w:ascii="宋体" w:hAnsi="宋体" w:cs="宋体"/>
          <w:b/>
          <w:color w:val="auto"/>
          <w:spacing w:val="60"/>
          <w:sz w:val="36"/>
          <w:szCs w:val="36"/>
          <w:highlight w:val="none"/>
        </w:rPr>
      </w:pPr>
      <w:r>
        <w:rPr>
          <w:rFonts w:hint="eastAsia" w:ascii="宋体" w:hAnsi="宋体" w:cs="宋体"/>
          <w:b/>
          <w:color w:val="auto"/>
          <w:spacing w:val="60"/>
          <w:sz w:val="36"/>
          <w:szCs w:val="36"/>
          <w:highlight w:val="none"/>
        </w:rPr>
        <w:t>一、投标书</w:t>
      </w:r>
      <w:bookmarkEnd w:id="43"/>
    </w:p>
    <w:bookmarkEnd w:id="44"/>
    <w:p w14:paraId="19D82201">
      <w:pPr>
        <w:widowControl w:val="0"/>
        <w:snapToGrid w:val="0"/>
        <w:spacing w:line="560" w:lineRule="exact"/>
        <w:rPr>
          <w:rFonts w:ascii="宋体" w:hAnsi="宋体" w:cs="宋体"/>
          <w:color w:val="auto"/>
          <w:sz w:val="28"/>
          <w:highlight w:val="none"/>
        </w:rPr>
      </w:pPr>
    </w:p>
    <w:p w14:paraId="455D6A65">
      <w:pPr>
        <w:widowControl w:val="0"/>
        <w:snapToGrid w:val="0"/>
        <w:spacing w:line="360" w:lineRule="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致：</w:t>
      </w:r>
      <w:r>
        <w:rPr>
          <w:rFonts w:hint="eastAsia" w:ascii="宋体" w:hAnsi="宋体" w:cs="宋体"/>
          <w:color w:val="auto"/>
          <w:sz w:val="24"/>
          <w:szCs w:val="24"/>
          <w:highlight w:val="none"/>
          <w:lang w:eastAsia="zh-CN"/>
        </w:rPr>
        <w:t>诚安工程管理有限公司</w:t>
      </w:r>
    </w:p>
    <w:p w14:paraId="76CEE94D">
      <w:pPr>
        <w:widowControl w:val="0"/>
        <w:snapToGrid w:val="0"/>
        <w:spacing w:line="360" w:lineRule="auto"/>
        <w:ind w:firstLine="578"/>
        <w:textAlignment w:val="top"/>
        <w:rPr>
          <w:rFonts w:ascii="宋体" w:hAnsi="宋体" w:cs="宋体"/>
          <w:color w:val="auto"/>
          <w:sz w:val="24"/>
          <w:szCs w:val="24"/>
          <w:highlight w:val="none"/>
        </w:rPr>
      </w:pPr>
      <w:r>
        <w:rPr>
          <w:rFonts w:hint="eastAsia" w:ascii="宋体" w:hAnsi="宋体" w:cs="宋体"/>
          <w:color w:val="auto"/>
          <w:sz w:val="24"/>
          <w:szCs w:val="24"/>
          <w:highlight w:val="none"/>
        </w:rPr>
        <w:t>根据贵方竞争性磋商</w:t>
      </w:r>
      <w:r>
        <w:rPr>
          <w:rFonts w:hint="eastAsia" w:ascii="宋体" w:hAnsi="宋体" w:cs="宋体"/>
          <w:color w:val="auto"/>
          <w:sz w:val="24"/>
          <w:szCs w:val="24"/>
          <w:highlight w:val="none"/>
          <w:u w:val="single"/>
        </w:rPr>
        <w:t xml:space="preserve">    </w:t>
      </w:r>
      <w:r>
        <w:rPr>
          <w:rFonts w:hint="eastAsia" w:ascii="宋体" w:hAnsi="宋体" w:cs="宋体"/>
          <w:color w:val="auto"/>
          <w:sz w:val="18"/>
          <w:szCs w:val="18"/>
          <w:highlight w:val="none"/>
          <w:u w:val="single"/>
        </w:rPr>
        <w:t xml:space="preserve">（项目名称）         </w:t>
      </w:r>
      <w:r>
        <w:rPr>
          <w:rFonts w:hint="eastAsia" w:ascii="宋体" w:hAnsi="宋体" w:cs="宋体"/>
          <w:color w:val="auto"/>
          <w:sz w:val="24"/>
          <w:szCs w:val="24"/>
          <w:highlight w:val="none"/>
        </w:rPr>
        <w:t>的《磋商文件》（项目编号：</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），经详细研究，我们决定参加该项目的采购活动并按要求提交《响应文件》。我们郑重声明对我单位提交的所有投标资料的真实准确完整承担完全责任、并对之负法律责任。</w:t>
      </w:r>
    </w:p>
    <w:p w14:paraId="46604DCF">
      <w:pPr>
        <w:adjustRightInd w:val="0"/>
        <w:snapToGrid w:val="0"/>
        <w:spacing w:line="300" w:lineRule="auto"/>
        <w:ind w:firstLine="539"/>
        <w:textAlignment w:val="top"/>
        <w:rPr>
          <w:rFonts w:ascii="宋体" w:hAnsi="宋体" w:cs="宋体"/>
          <w:color w:val="auto"/>
          <w:sz w:val="24"/>
          <w:highlight w:val="none"/>
          <w:lang w:val="zh-CN"/>
        </w:rPr>
      </w:pPr>
      <w:r>
        <w:rPr>
          <w:rFonts w:hint="eastAsia" w:ascii="宋体" w:hAnsi="宋体" w:cs="宋体"/>
          <w:color w:val="auto"/>
          <w:sz w:val="24"/>
          <w:highlight w:val="none"/>
          <w:lang w:val="zh-CN"/>
        </w:rPr>
        <w:t>（1）投标书</w:t>
      </w:r>
    </w:p>
    <w:p w14:paraId="52558899">
      <w:pPr>
        <w:adjustRightInd w:val="0"/>
        <w:snapToGrid w:val="0"/>
        <w:spacing w:line="300" w:lineRule="auto"/>
        <w:ind w:firstLine="539"/>
        <w:textAlignment w:val="top"/>
        <w:rPr>
          <w:rFonts w:ascii="宋体" w:hAnsi="宋体" w:cs="宋体"/>
          <w:color w:val="auto"/>
          <w:sz w:val="24"/>
          <w:highlight w:val="none"/>
          <w:lang w:val="zh-CN"/>
        </w:rPr>
      </w:pPr>
      <w:r>
        <w:rPr>
          <w:rFonts w:hint="eastAsia" w:ascii="宋体" w:hAnsi="宋体" w:cs="宋体"/>
          <w:color w:val="auto"/>
          <w:sz w:val="24"/>
          <w:highlight w:val="none"/>
          <w:lang w:val="zh-CN"/>
        </w:rPr>
        <w:t>（2）开标一览表</w:t>
      </w:r>
    </w:p>
    <w:p w14:paraId="309A70D5">
      <w:pPr>
        <w:adjustRightInd w:val="0"/>
        <w:snapToGrid w:val="0"/>
        <w:spacing w:line="300" w:lineRule="auto"/>
        <w:ind w:firstLine="539"/>
        <w:textAlignment w:val="top"/>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zh-CN"/>
        </w:rPr>
        <w:t>（3）分项报价</w:t>
      </w:r>
      <w:r>
        <w:rPr>
          <w:rFonts w:hint="eastAsia" w:ascii="宋体" w:hAnsi="宋体" w:cs="宋体"/>
          <w:color w:val="auto"/>
          <w:sz w:val="24"/>
          <w:highlight w:val="none"/>
          <w:lang w:val="en-US" w:eastAsia="zh-CN"/>
        </w:rPr>
        <w:t>表</w:t>
      </w:r>
    </w:p>
    <w:p w14:paraId="3B1F6259">
      <w:pPr>
        <w:adjustRightInd w:val="0"/>
        <w:snapToGrid w:val="0"/>
        <w:spacing w:line="300" w:lineRule="auto"/>
        <w:ind w:firstLine="539"/>
        <w:textAlignment w:val="top"/>
        <w:rPr>
          <w:rFonts w:ascii="宋体" w:hAnsi="宋体" w:cs="宋体"/>
          <w:color w:val="auto"/>
          <w:sz w:val="24"/>
          <w:highlight w:val="none"/>
          <w:lang w:val="zh-CN"/>
        </w:rPr>
      </w:pPr>
      <w:r>
        <w:rPr>
          <w:rFonts w:hint="eastAsia" w:ascii="宋体" w:hAnsi="宋体" w:cs="宋体"/>
          <w:color w:val="auto"/>
          <w:sz w:val="24"/>
          <w:highlight w:val="none"/>
          <w:lang w:val="zh-CN"/>
        </w:rPr>
        <w:t>（4）响应产品清单及其技术参数</w:t>
      </w:r>
    </w:p>
    <w:p w14:paraId="26A2D89A">
      <w:pPr>
        <w:adjustRightInd w:val="0"/>
        <w:snapToGrid w:val="0"/>
        <w:spacing w:line="300" w:lineRule="auto"/>
        <w:ind w:firstLine="539"/>
        <w:textAlignment w:val="top"/>
        <w:rPr>
          <w:rFonts w:ascii="宋体" w:hAnsi="宋体" w:cs="宋体"/>
          <w:color w:val="auto"/>
          <w:sz w:val="24"/>
          <w:highlight w:val="none"/>
          <w:lang w:val="zh-CN"/>
        </w:rPr>
      </w:pPr>
      <w:r>
        <w:rPr>
          <w:rFonts w:hint="eastAsia" w:ascii="宋体" w:hAnsi="宋体" w:cs="宋体"/>
          <w:color w:val="auto"/>
          <w:sz w:val="24"/>
          <w:highlight w:val="none"/>
          <w:lang w:val="zh-CN"/>
        </w:rPr>
        <w:t>（5）技术偏差表</w:t>
      </w:r>
    </w:p>
    <w:p w14:paraId="4A6506A9">
      <w:pPr>
        <w:adjustRightInd w:val="0"/>
        <w:snapToGrid w:val="0"/>
        <w:spacing w:line="300" w:lineRule="auto"/>
        <w:ind w:firstLine="539"/>
        <w:textAlignment w:val="top"/>
        <w:rPr>
          <w:rFonts w:ascii="宋体" w:hAnsi="宋体" w:cs="宋体"/>
          <w:color w:val="auto"/>
          <w:sz w:val="24"/>
          <w:highlight w:val="none"/>
          <w:lang w:val="zh-CN"/>
        </w:rPr>
      </w:pPr>
      <w:r>
        <w:rPr>
          <w:rFonts w:hint="eastAsia" w:ascii="宋体" w:hAnsi="宋体" w:cs="宋体"/>
          <w:color w:val="auto"/>
          <w:sz w:val="24"/>
          <w:highlight w:val="none"/>
          <w:lang w:val="zh-CN"/>
        </w:rPr>
        <w:t>（6）其他偏差表</w:t>
      </w:r>
    </w:p>
    <w:p w14:paraId="46CCC648">
      <w:pPr>
        <w:adjustRightInd w:val="0"/>
        <w:snapToGrid w:val="0"/>
        <w:spacing w:line="300" w:lineRule="auto"/>
        <w:ind w:firstLine="539"/>
        <w:textAlignment w:val="top"/>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zh-CN"/>
        </w:rPr>
        <w:t>（7）</w:t>
      </w:r>
      <w:r>
        <w:rPr>
          <w:rFonts w:hint="eastAsia" w:ascii="宋体" w:hAnsi="宋体" w:cs="宋体"/>
          <w:color w:val="auto"/>
          <w:sz w:val="24"/>
          <w:highlight w:val="none"/>
          <w:lang w:val="en-US" w:eastAsia="zh-CN"/>
        </w:rPr>
        <w:t>实施方案及售后服务计划</w:t>
      </w:r>
    </w:p>
    <w:p w14:paraId="7640C768">
      <w:pPr>
        <w:adjustRightInd w:val="0"/>
        <w:snapToGrid w:val="0"/>
        <w:spacing w:line="300" w:lineRule="auto"/>
        <w:ind w:firstLine="539"/>
        <w:textAlignment w:val="top"/>
        <w:rPr>
          <w:rFonts w:ascii="宋体" w:hAnsi="宋体" w:cs="宋体"/>
          <w:color w:val="auto"/>
          <w:sz w:val="24"/>
          <w:highlight w:val="none"/>
          <w:lang w:val="zh-CN"/>
        </w:rPr>
      </w:pPr>
      <w:r>
        <w:rPr>
          <w:rFonts w:hint="eastAsia" w:ascii="宋体" w:hAnsi="宋体" w:cs="宋体"/>
          <w:color w:val="auto"/>
          <w:sz w:val="24"/>
          <w:highlight w:val="none"/>
          <w:lang w:val="zh-CN"/>
        </w:rPr>
        <w:t>（8）关于资格的声明函</w:t>
      </w:r>
    </w:p>
    <w:p w14:paraId="40E8B468">
      <w:pPr>
        <w:adjustRightInd w:val="0"/>
        <w:snapToGrid w:val="0"/>
        <w:spacing w:line="300" w:lineRule="auto"/>
        <w:ind w:firstLine="539"/>
        <w:textAlignment w:val="top"/>
        <w:rPr>
          <w:rFonts w:ascii="宋体" w:hAnsi="宋体" w:cs="宋体"/>
          <w:color w:val="auto"/>
          <w:sz w:val="24"/>
          <w:highlight w:val="none"/>
          <w:lang w:val="zh-CN"/>
        </w:rPr>
      </w:pPr>
      <w:r>
        <w:rPr>
          <w:rFonts w:hint="eastAsia" w:ascii="宋体" w:hAnsi="宋体" w:cs="宋体"/>
          <w:color w:val="auto"/>
          <w:sz w:val="24"/>
          <w:highlight w:val="none"/>
          <w:lang w:val="zh-CN"/>
        </w:rPr>
        <w:t>（9）反商业贿赂承诺书</w:t>
      </w:r>
    </w:p>
    <w:p w14:paraId="204CD679">
      <w:pPr>
        <w:adjustRightInd w:val="0"/>
        <w:snapToGrid w:val="0"/>
        <w:spacing w:line="300" w:lineRule="auto"/>
        <w:ind w:firstLine="539"/>
        <w:textAlignment w:val="top"/>
        <w:rPr>
          <w:rFonts w:ascii="宋体" w:hAnsi="宋体" w:cs="宋体"/>
          <w:color w:val="auto"/>
          <w:sz w:val="24"/>
          <w:highlight w:val="none"/>
          <w:lang w:val="zh-CN"/>
        </w:rPr>
      </w:pPr>
      <w:r>
        <w:rPr>
          <w:rFonts w:hint="eastAsia" w:ascii="宋体" w:hAnsi="宋体" w:cs="宋体"/>
          <w:color w:val="auto"/>
          <w:sz w:val="24"/>
          <w:highlight w:val="none"/>
          <w:lang w:val="zh-CN"/>
        </w:rPr>
        <w:t>（10）履约承诺书</w:t>
      </w:r>
    </w:p>
    <w:p w14:paraId="18AE2C46">
      <w:pPr>
        <w:adjustRightInd w:val="0"/>
        <w:snapToGrid w:val="0"/>
        <w:spacing w:line="300" w:lineRule="auto"/>
        <w:ind w:firstLine="539"/>
        <w:textAlignment w:val="top"/>
        <w:rPr>
          <w:rFonts w:ascii="宋体" w:hAnsi="宋体" w:cs="宋体"/>
          <w:color w:val="auto"/>
          <w:sz w:val="24"/>
          <w:highlight w:val="none"/>
          <w:lang w:val="zh-CN"/>
        </w:rPr>
      </w:pPr>
      <w:r>
        <w:rPr>
          <w:rFonts w:hint="eastAsia" w:ascii="宋体" w:hAnsi="宋体" w:cs="宋体"/>
          <w:color w:val="auto"/>
          <w:sz w:val="24"/>
          <w:highlight w:val="none"/>
          <w:lang w:val="zh-CN"/>
        </w:rPr>
        <w:t>（11）供应商基本情况一览表</w:t>
      </w:r>
    </w:p>
    <w:p w14:paraId="25F892F7">
      <w:pPr>
        <w:adjustRightInd w:val="0"/>
        <w:snapToGrid w:val="0"/>
        <w:spacing w:line="300" w:lineRule="auto"/>
        <w:ind w:firstLine="539"/>
        <w:textAlignment w:val="top"/>
        <w:rPr>
          <w:rFonts w:ascii="宋体" w:hAnsi="宋体" w:cs="宋体"/>
          <w:color w:val="auto"/>
          <w:sz w:val="24"/>
          <w:highlight w:val="none"/>
          <w:lang w:val="zh-CN"/>
        </w:rPr>
      </w:pPr>
      <w:r>
        <w:rPr>
          <w:rFonts w:hint="eastAsia" w:ascii="宋体" w:hAnsi="宋体" w:cs="宋体"/>
          <w:color w:val="auto"/>
          <w:sz w:val="24"/>
          <w:highlight w:val="none"/>
          <w:lang w:val="zh-CN"/>
        </w:rPr>
        <w:t>（12）采购项目及技术服务要求所需的其他材料（按条款需要）</w:t>
      </w:r>
    </w:p>
    <w:p w14:paraId="77E38CB5">
      <w:pPr>
        <w:adjustRightInd w:val="0"/>
        <w:snapToGrid w:val="0"/>
        <w:spacing w:line="300" w:lineRule="auto"/>
        <w:ind w:firstLine="539"/>
        <w:textAlignment w:val="top"/>
        <w:rPr>
          <w:rFonts w:ascii="宋体" w:hAnsi="宋体" w:cs="宋体"/>
          <w:color w:val="auto"/>
          <w:sz w:val="24"/>
          <w:highlight w:val="none"/>
          <w:lang w:val="zh-CN"/>
        </w:rPr>
      </w:pPr>
      <w:r>
        <w:rPr>
          <w:rFonts w:hint="eastAsia" w:ascii="宋体" w:hAnsi="宋体" w:cs="宋体"/>
          <w:color w:val="auto"/>
          <w:sz w:val="24"/>
          <w:highlight w:val="none"/>
          <w:lang w:val="zh-CN"/>
        </w:rPr>
        <w:t>（13）供应商须知所需的其他材料（按条款需要）</w:t>
      </w:r>
    </w:p>
    <w:p w14:paraId="39FDB0AE">
      <w:pPr>
        <w:adjustRightInd w:val="0"/>
        <w:snapToGrid w:val="0"/>
        <w:spacing w:line="300" w:lineRule="auto"/>
        <w:ind w:firstLine="539"/>
        <w:textAlignment w:val="top"/>
        <w:rPr>
          <w:rFonts w:ascii="宋体" w:hAnsi="宋体" w:cs="宋体"/>
          <w:color w:val="auto"/>
          <w:sz w:val="24"/>
          <w:highlight w:val="none"/>
          <w:lang w:val="zh-CN"/>
        </w:rPr>
      </w:pPr>
      <w:r>
        <w:rPr>
          <w:rFonts w:hint="eastAsia" w:ascii="宋体" w:hAnsi="宋体" w:cs="宋体"/>
          <w:color w:val="auto"/>
          <w:sz w:val="24"/>
          <w:highlight w:val="none"/>
          <w:lang w:val="zh-CN"/>
        </w:rPr>
        <w:t>（14）评审办法所需的其他材料（按条款需要）</w:t>
      </w:r>
    </w:p>
    <w:p w14:paraId="74A1C4A5">
      <w:pPr>
        <w:adjustRightInd w:val="0"/>
        <w:snapToGrid w:val="0"/>
        <w:spacing w:line="300" w:lineRule="auto"/>
        <w:ind w:firstLine="539"/>
        <w:textAlignment w:val="top"/>
        <w:rPr>
          <w:rFonts w:ascii="宋体" w:hAnsi="宋体" w:cs="宋体"/>
          <w:color w:val="auto"/>
          <w:sz w:val="24"/>
          <w:highlight w:val="none"/>
          <w:lang w:val="zh-CN"/>
        </w:rPr>
      </w:pPr>
      <w:r>
        <w:rPr>
          <w:rFonts w:hint="eastAsia" w:ascii="宋体" w:hAnsi="宋体" w:cs="宋体"/>
          <w:color w:val="auto"/>
          <w:sz w:val="24"/>
          <w:highlight w:val="none"/>
          <w:lang w:val="zh-CN"/>
        </w:rPr>
        <w:t>（15）供应商认为有必要提交的其它材料</w:t>
      </w:r>
    </w:p>
    <w:p w14:paraId="2454FA13">
      <w:pPr>
        <w:adjustRightInd w:val="0"/>
        <w:snapToGrid w:val="0"/>
        <w:spacing w:line="300" w:lineRule="auto"/>
        <w:ind w:firstLine="539"/>
        <w:textAlignment w:val="top"/>
        <w:rPr>
          <w:rFonts w:ascii="宋体" w:hAnsi="宋体" w:cs="宋体"/>
          <w:color w:val="auto"/>
          <w:sz w:val="24"/>
          <w:highlight w:val="none"/>
          <w:lang w:val="zh-CN"/>
        </w:rPr>
      </w:pPr>
      <w:r>
        <w:rPr>
          <w:rFonts w:hint="eastAsia" w:ascii="宋体" w:hAnsi="宋体" w:cs="宋体"/>
          <w:color w:val="auto"/>
          <w:sz w:val="24"/>
          <w:szCs w:val="24"/>
          <w:highlight w:val="none"/>
        </w:rPr>
        <w:t>.........</w:t>
      </w:r>
    </w:p>
    <w:p w14:paraId="5A080F4F">
      <w:pPr>
        <w:widowControl w:val="0"/>
        <w:snapToGrid w:val="0"/>
        <w:spacing w:before="120" w:beforeLines="50" w:line="300" w:lineRule="auto"/>
        <w:ind w:firstLine="556"/>
        <w:rPr>
          <w:rFonts w:ascii="宋体" w:hAnsi="宋体" w:cs="宋体"/>
          <w:color w:val="auto"/>
          <w:sz w:val="24"/>
          <w:szCs w:val="24"/>
          <w:highlight w:val="none"/>
        </w:rPr>
      </w:pPr>
      <w:r>
        <w:rPr>
          <w:rFonts w:hint="eastAsia" w:ascii="宋体" w:hAnsi="宋体" w:cs="宋体"/>
          <w:color w:val="auto"/>
          <w:sz w:val="24"/>
          <w:szCs w:val="24"/>
          <w:highlight w:val="none"/>
        </w:rPr>
        <w:t>据此函，签字代表宣布同意如下：</w:t>
      </w:r>
    </w:p>
    <w:p w14:paraId="636E5E27">
      <w:pPr>
        <w:widowControl w:val="0"/>
        <w:snapToGrid w:val="0"/>
        <w:spacing w:before="120" w:beforeLines="50" w:line="300" w:lineRule="auto"/>
        <w:ind w:firstLine="556"/>
        <w:rPr>
          <w:rFonts w:ascii="宋体" w:hAnsi="宋体" w:cs="宋体"/>
          <w:color w:val="auto"/>
          <w:sz w:val="24"/>
          <w:szCs w:val="24"/>
          <w:highlight w:val="none"/>
        </w:rPr>
      </w:pPr>
      <w:r>
        <w:rPr>
          <w:rFonts w:hint="eastAsia" w:ascii="宋体" w:hAnsi="宋体" w:cs="宋体"/>
          <w:color w:val="auto"/>
          <w:sz w:val="24"/>
          <w:szCs w:val="24"/>
          <w:highlight w:val="none"/>
        </w:rPr>
        <w:t>1.所附“《响应文件》开标一览表”中规定的应提供和交付的投标总价为：</w:t>
      </w:r>
    </w:p>
    <w:p w14:paraId="7250ECF8">
      <w:pPr>
        <w:widowControl w:val="0"/>
        <w:snapToGrid w:val="0"/>
        <w:spacing w:before="120" w:beforeLines="50" w:line="300" w:lineRule="auto"/>
        <w:ind w:left="550" w:leftChars="262"/>
        <w:rPr>
          <w:rFonts w:ascii="宋体" w:hAnsi="宋体" w:cs="宋体"/>
          <w:color w:val="auto"/>
          <w:sz w:val="24"/>
          <w:szCs w:val="24"/>
          <w:highlight w:val="none"/>
        </w:rPr>
      </w:pPr>
      <w:r>
        <w:rPr>
          <w:rFonts w:hint="eastAsia" w:ascii="宋体" w:hAnsi="宋体" w:cs="宋体"/>
          <w:color w:val="auto"/>
          <w:sz w:val="24"/>
          <w:szCs w:val="24"/>
          <w:highlight w:val="none"/>
        </w:rPr>
        <w:t>人民币</w:t>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rPr>
        <w:t>，即</w:t>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rPr>
        <w:t>（文字表述）；</w:t>
      </w:r>
    </w:p>
    <w:p w14:paraId="5C313ED4">
      <w:pPr>
        <w:widowControl w:val="0"/>
        <w:snapToGrid w:val="0"/>
        <w:spacing w:before="120" w:beforeLines="50" w:line="300" w:lineRule="auto"/>
        <w:ind w:left="550" w:leftChars="262"/>
        <w:rPr>
          <w:rFonts w:ascii="宋体" w:hAnsi="宋体" w:cs="宋体"/>
          <w:color w:val="auto"/>
          <w:sz w:val="24"/>
          <w:szCs w:val="24"/>
          <w:highlight w:val="none"/>
        </w:rPr>
      </w:pPr>
      <w:r>
        <w:rPr>
          <w:rFonts w:hint="eastAsia" w:ascii="宋体" w:hAnsi="宋体" w:cs="宋体"/>
          <w:color w:val="auto"/>
          <w:sz w:val="24"/>
          <w:szCs w:val="24"/>
          <w:highlight w:val="none"/>
          <w:lang w:eastAsia="zh-CN"/>
        </w:rPr>
        <w:t>合同履行期限</w:t>
      </w:r>
      <w:r>
        <w:rPr>
          <w:rFonts w:hint="eastAsia" w:ascii="宋体" w:hAnsi="宋体" w:cs="宋体"/>
          <w:color w:val="auto"/>
          <w:sz w:val="24"/>
          <w:szCs w:val="24"/>
          <w:highlight w:val="none"/>
        </w:rPr>
        <w:t>：</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，交验地点：</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14:paraId="335470D1">
      <w:pPr>
        <w:widowControl w:val="0"/>
        <w:snapToGrid w:val="0"/>
        <w:spacing w:before="120" w:beforeLines="50" w:line="300" w:lineRule="auto"/>
        <w:ind w:firstLine="556"/>
        <w:rPr>
          <w:rFonts w:ascii="宋体" w:hAnsi="宋体" w:cs="宋体"/>
          <w:color w:val="auto"/>
          <w:sz w:val="24"/>
          <w:szCs w:val="24"/>
          <w:highlight w:val="none"/>
        </w:rPr>
      </w:pPr>
      <w:r>
        <w:rPr>
          <w:rFonts w:hint="eastAsia" w:ascii="宋体" w:hAnsi="宋体" w:cs="宋体"/>
          <w:color w:val="auto"/>
          <w:sz w:val="24"/>
          <w:szCs w:val="24"/>
          <w:highlight w:val="none"/>
        </w:rPr>
        <w:t>2.如果我单位的投标书被接受，我单位将履行《磋商文件》中规定的每一项要求，按期、按质、按量履行合同。</w:t>
      </w:r>
    </w:p>
    <w:p w14:paraId="2B87111F">
      <w:pPr>
        <w:widowControl w:val="0"/>
        <w:snapToGrid w:val="0"/>
        <w:spacing w:before="120" w:beforeLines="50" w:line="300" w:lineRule="auto"/>
        <w:ind w:firstLine="556"/>
        <w:rPr>
          <w:rFonts w:ascii="宋体" w:hAnsi="宋体" w:cs="宋体"/>
          <w:color w:val="auto"/>
          <w:sz w:val="24"/>
          <w:szCs w:val="24"/>
          <w:highlight w:val="none"/>
        </w:rPr>
      </w:pPr>
      <w:r>
        <w:rPr>
          <w:rFonts w:hint="eastAsia" w:ascii="宋体" w:hAnsi="宋体" w:cs="宋体"/>
          <w:color w:val="auto"/>
          <w:sz w:val="24"/>
          <w:szCs w:val="24"/>
          <w:highlight w:val="none"/>
        </w:rPr>
        <w:t>3.我单位愿按《中华人民共和国民法典》履行我单位的全部责任。</w:t>
      </w:r>
    </w:p>
    <w:p w14:paraId="36B42BFE">
      <w:pPr>
        <w:widowControl w:val="0"/>
        <w:snapToGrid w:val="0"/>
        <w:spacing w:before="120" w:beforeLines="50" w:line="300" w:lineRule="auto"/>
        <w:ind w:firstLine="556"/>
        <w:rPr>
          <w:rFonts w:ascii="宋体" w:hAnsi="宋体" w:cs="宋体"/>
          <w:color w:val="auto"/>
          <w:sz w:val="24"/>
          <w:szCs w:val="24"/>
          <w:highlight w:val="none"/>
        </w:rPr>
      </w:pPr>
      <w:r>
        <w:rPr>
          <w:rFonts w:hint="eastAsia" w:ascii="宋体" w:hAnsi="宋体" w:cs="宋体"/>
          <w:color w:val="auto"/>
          <w:sz w:val="24"/>
          <w:szCs w:val="24"/>
          <w:highlight w:val="none"/>
        </w:rPr>
        <w:t>4.我单位已详细阅读并完全理解、同意《磋商文件》的全部内容，包括澄清、修改、补充文件（竞争性磋商公告所述媒体公布）以及全部参考资料和有关附件；除我单位在《磋商文件》规定期间内书面提出的疑问外，我单位放弃对这方面有不明及误解的权力。</w:t>
      </w:r>
    </w:p>
    <w:p w14:paraId="2CC3DB33">
      <w:pPr>
        <w:widowControl w:val="0"/>
        <w:snapToGrid w:val="0"/>
        <w:spacing w:before="120" w:beforeLines="50" w:line="300" w:lineRule="auto"/>
        <w:ind w:firstLine="556"/>
        <w:rPr>
          <w:rFonts w:ascii="宋体" w:hAnsi="宋体" w:cs="宋体"/>
          <w:color w:val="auto"/>
          <w:sz w:val="24"/>
          <w:szCs w:val="24"/>
          <w:highlight w:val="none"/>
        </w:rPr>
      </w:pPr>
      <w:r>
        <w:rPr>
          <w:rFonts w:hint="eastAsia" w:ascii="宋体" w:hAnsi="宋体" w:cs="宋体"/>
          <w:color w:val="auto"/>
          <w:sz w:val="24"/>
          <w:szCs w:val="24"/>
          <w:highlight w:val="none"/>
        </w:rPr>
        <w:t>5.《响应文件》自开启日起有效期为</w:t>
      </w:r>
      <w:r>
        <w:rPr>
          <w:rFonts w:hint="eastAsia" w:ascii="宋体" w:hAnsi="宋体" w:cs="宋体"/>
          <w:color w:val="auto"/>
          <w:sz w:val="24"/>
          <w:szCs w:val="24"/>
          <w:highlight w:val="none"/>
          <w:u w:val="single"/>
        </w:rPr>
        <w:t>90日历天</w:t>
      </w:r>
      <w:r>
        <w:rPr>
          <w:rFonts w:hint="eastAsia" w:ascii="宋体" w:hAnsi="宋体" w:cs="宋体"/>
          <w:color w:val="auto"/>
          <w:sz w:val="24"/>
          <w:szCs w:val="24"/>
          <w:highlight w:val="none"/>
        </w:rPr>
        <w:t>。</w:t>
      </w:r>
    </w:p>
    <w:p w14:paraId="506B232D">
      <w:pPr>
        <w:widowControl w:val="0"/>
        <w:snapToGrid w:val="0"/>
        <w:spacing w:before="120" w:beforeLines="50" w:line="300" w:lineRule="auto"/>
        <w:ind w:firstLine="556"/>
        <w:rPr>
          <w:rFonts w:ascii="宋体" w:hAnsi="宋体" w:cs="宋体"/>
          <w:color w:val="auto"/>
          <w:sz w:val="24"/>
          <w:szCs w:val="24"/>
          <w:highlight w:val="none"/>
        </w:rPr>
      </w:pPr>
      <w:r>
        <w:rPr>
          <w:rFonts w:hint="eastAsia" w:ascii="宋体" w:hAnsi="宋体" w:cs="宋体"/>
          <w:color w:val="auto"/>
          <w:sz w:val="24"/>
          <w:szCs w:val="24"/>
          <w:highlight w:val="none"/>
        </w:rPr>
        <w:t>6.我单位承诺按照《磋商文件》规定的付款方式执行。</w:t>
      </w:r>
    </w:p>
    <w:p w14:paraId="10B6496C">
      <w:pPr>
        <w:widowControl w:val="0"/>
        <w:snapToGrid w:val="0"/>
        <w:spacing w:before="120" w:beforeLines="50" w:line="300" w:lineRule="auto"/>
        <w:ind w:firstLine="556"/>
        <w:rPr>
          <w:rFonts w:ascii="宋体" w:hAnsi="宋体" w:cs="宋体"/>
          <w:color w:val="auto"/>
          <w:sz w:val="24"/>
          <w:szCs w:val="24"/>
          <w:highlight w:val="none"/>
        </w:rPr>
      </w:pPr>
      <w:r>
        <w:rPr>
          <w:rFonts w:hint="eastAsia" w:ascii="宋体" w:hAnsi="宋体" w:cs="宋体"/>
          <w:color w:val="auto"/>
          <w:sz w:val="24"/>
          <w:szCs w:val="24"/>
          <w:highlight w:val="none"/>
        </w:rPr>
        <w:t>7.如果在规定的开标时间后，我单位在投标有效期内撤回投标的，依据磋商文件“第三章3.5.5 违背承诺的责任追究措施”，我单位承担相应法律责任及违约责任。</w:t>
      </w:r>
    </w:p>
    <w:p w14:paraId="5E1E40BA">
      <w:pPr>
        <w:widowControl w:val="0"/>
        <w:snapToGrid w:val="0"/>
        <w:spacing w:before="120" w:beforeLines="50" w:line="300" w:lineRule="auto"/>
        <w:ind w:firstLine="556"/>
        <w:rPr>
          <w:rFonts w:ascii="宋体" w:hAnsi="宋体" w:cs="宋体"/>
          <w:color w:val="auto"/>
          <w:sz w:val="24"/>
          <w:szCs w:val="24"/>
          <w:highlight w:val="none"/>
        </w:rPr>
      </w:pPr>
      <w:r>
        <w:rPr>
          <w:rFonts w:hint="eastAsia" w:ascii="宋体" w:hAnsi="宋体" w:cs="宋体"/>
          <w:color w:val="auto"/>
          <w:sz w:val="24"/>
          <w:szCs w:val="24"/>
          <w:highlight w:val="none"/>
        </w:rPr>
        <w:t>8.我单位同意提供按照贵方可能要求的与磋商有关的一切数据或资料，理解贵方不一定要接受最低价的投标或收到的任何投标。</w:t>
      </w:r>
    </w:p>
    <w:p w14:paraId="7DF3E0A7">
      <w:pPr>
        <w:widowControl w:val="0"/>
        <w:snapToGrid w:val="0"/>
        <w:spacing w:before="120" w:beforeLines="50" w:line="300" w:lineRule="auto"/>
        <w:ind w:firstLine="556"/>
        <w:rPr>
          <w:rFonts w:ascii="宋体" w:hAnsi="宋体" w:cs="宋体"/>
          <w:color w:val="auto"/>
          <w:sz w:val="24"/>
          <w:szCs w:val="24"/>
          <w:highlight w:val="none"/>
        </w:rPr>
      </w:pPr>
      <w:r>
        <w:rPr>
          <w:rFonts w:hint="eastAsia" w:ascii="宋体" w:hAnsi="宋体" w:cs="宋体"/>
          <w:color w:val="auto"/>
          <w:sz w:val="24"/>
          <w:szCs w:val="24"/>
          <w:highlight w:val="none"/>
        </w:rPr>
        <w:t>9.与本投标有关的一切正式往来请寄：</w:t>
      </w:r>
    </w:p>
    <w:p w14:paraId="0292EDE5">
      <w:pPr>
        <w:widowControl w:val="0"/>
        <w:snapToGrid w:val="0"/>
        <w:spacing w:line="560" w:lineRule="exact"/>
        <w:ind w:firstLine="555"/>
        <w:jc w:val="left"/>
        <w:rPr>
          <w:rFonts w:ascii="宋体" w:hAnsi="宋体" w:cs="宋体"/>
          <w:color w:val="auto"/>
          <w:sz w:val="24"/>
          <w:szCs w:val="24"/>
          <w:highlight w:val="none"/>
        </w:rPr>
      </w:pPr>
      <w:r>
        <w:rPr>
          <w:rFonts w:hint="eastAsia" w:ascii="宋体" w:hAnsi="宋体" w:cs="宋体"/>
          <w:color w:val="auto"/>
          <w:sz w:val="24"/>
          <w:szCs w:val="24"/>
          <w:highlight w:val="none"/>
        </w:rPr>
        <w:t>地址：</w:t>
      </w:r>
      <w:r>
        <w:rPr>
          <w:rFonts w:hint="eastAsia" w:ascii="宋体" w:hAnsi="宋体" w:cs="宋体"/>
          <w:color w:val="auto"/>
          <w:sz w:val="24"/>
          <w:szCs w:val="24"/>
          <w:highlight w:val="none"/>
        </w:rPr>
        <w:tab/>
      </w:r>
      <w:r>
        <w:rPr>
          <w:rFonts w:hint="eastAsia" w:ascii="宋体" w:hAnsi="宋体" w:cs="宋体"/>
          <w:color w:val="auto"/>
          <w:sz w:val="24"/>
          <w:szCs w:val="24"/>
          <w:highlight w:val="none"/>
        </w:rPr>
        <w:tab/>
      </w:r>
      <w:r>
        <w:rPr>
          <w:rFonts w:hint="eastAsia" w:ascii="宋体" w:hAnsi="宋体" w:cs="宋体"/>
          <w:color w:val="auto"/>
          <w:sz w:val="24"/>
          <w:szCs w:val="24"/>
          <w:highlight w:val="none"/>
        </w:rPr>
        <w:t>邮政编码：</w:t>
      </w:r>
      <w:r>
        <w:rPr>
          <w:rFonts w:hint="eastAsia" w:ascii="宋体" w:hAnsi="宋体" w:cs="宋体"/>
          <w:color w:val="auto"/>
          <w:sz w:val="24"/>
          <w:szCs w:val="24"/>
          <w:highlight w:val="none"/>
        </w:rPr>
        <w:tab/>
      </w:r>
    </w:p>
    <w:p w14:paraId="6AFAFC9E">
      <w:pPr>
        <w:widowControl w:val="0"/>
        <w:snapToGrid w:val="0"/>
        <w:spacing w:line="560" w:lineRule="exact"/>
        <w:ind w:firstLine="555"/>
        <w:rPr>
          <w:rFonts w:ascii="宋体" w:hAnsi="宋体" w:cs="宋体"/>
          <w:color w:val="auto"/>
          <w:sz w:val="24"/>
          <w:szCs w:val="24"/>
          <w:highlight w:val="none"/>
        </w:rPr>
      </w:pPr>
      <w:r>
        <w:rPr>
          <w:rFonts w:hint="eastAsia" w:ascii="宋体" w:hAnsi="宋体" w:cs="宋体"/>
          <w:color w:val="auto"/>
          <w:sz w:val="24"/>
          <w:szCs w:val="24"/>
          <w:highlight w:val="none"/>
        </w:rPr>
        <w:t>电话：</w:t>
      </w:r>
      <w:r>
        <w:rPr>
          <w:rFonts w:hint="eastAsia" w:ascii="宋体" w:hAnsi="宋体" w:cs="宋体"/>
          <w:color w:val="auto"/>
          <w:sz w:val="24"/>
          <w:szCs w:val="24"/>
          <w:highlight w:val="none"/>
        </w:rPr>
        <w:tab/>
      </w:r>
      <w:r>
        <w:rPr>
          <w:rFonts w:hint="eastAsia" w:ascii="宋体" w:hAnsi="宋体" w:cs="宋体"/>
          <w:color w:val="auto"/>
          <w:sz w:val="24"/>
          <w:szCs w:val="24"/>
          <w:highlight w:val="none"/>
        </w:rPr>
        <w:tab/>
      </w:r>
      <w:r>
        <w:rPr>
          <w:rFonts w:hint="eastAsia" w:ascii="宋体" w:hAnsi="宋体" w:cs="宋体"/>
          <w:color w:val="auto"/>
          <w:sz w:val="24"/>
          <w:szCs w:val="24"/>
          <w:highlight w:val="none"/>
        </w:rPr>
        <w:t>传真：</w:t>
      </w:r>
    </w:p>
    <w:p w14:paraId="10702F74">
      <w:pPr>
        <w:widowControl w:val="0"/>
        <w:snapToGrid w:val="0"/>
        <w:spacing w:line="560" w:lineRule="exact"/>
        <w:ind w:firstLine="555"/>
        <w:rPr>
          <w:rFonts w:ascii="宋体" w:hAnsi="宋体" w:cs="宋体"/>
          <w:color w:val="auto"/>
          <w:sz w:val="24"/>
          <w:szCs w:val="24"/>
          <w:highlight w:val="none"/>
        </w:rPr>
      </w:pPr>
    </w:p>
    <w:p w14:paraId="4B4A339C">
      <w:pPr>
        <w:widowControl w:val="0"/>
        <w:snapToGrid w:val="0"/>
        <w:spacing w:line="560" w:lineRule="exact"/>
        <w:ind w:firstLine="555"/>
        <w:rPr>
          <w:rFonts w:ascii="宋体" w:hAnsi="宋体" w:cs="宋体"/>
          <w:color w:val="auto"/>
          <w:sz w:val="24"/>
          <w:szCs w:val="24"/>
          <w:highlight w:val="none"/>
        </w:rPr>
      </w:pPr>
    </w:p>
    <w:p w14:paraId="0B9BAE84">
      <w:pPr>
        <w:widowControl w:val="0"/>
        <w:snapToGrid w:val="0"/>
        <w:spacing w:line="560" w:lineRule="exact"/>
        <w:ind w:firstLine="555"/>
        <w:rPr>
          <w:rFonts w:ascii="宋体" w:hAnsi="宋体" w:cs="宋体"/>
          <w:color w:val="auto"/>
          <w:sz w:val="24"/>
          <w:szCs w:val="24"/>
          <w:highlight w:val="none"/>
        </w:rPr>
      </w:pPr>
    </w:p>
    <w:p w14:paraId="5E62D48C">
      <w:pPr>
        <w:autoSpaceDE w:val="0"/>
        <w:autoSpaceDN w:val="0"/>
        <w:adjustRightInd w:val="0"/>
        <w:spacing w:line="360" w:lineRule="auto"/>
        <w:rPr>
          <w:rFonts w:ascii="宋体" w:hAnsi="宋体" w:cs="宋体"/>
          <w:color w:val="auto"/>
          <w:sz w:val="24"/>
          <w:highlight w:val="none"/>
          <w:lang w:val="zh-CN"/>
        </w:rPr>
      </w:pPr>
      <w:r>
        <w:rPr>
          <w:rFonts w:hint="eastAsia" w:ascii="宋体" w:hAnsi="宋体" w:cs="宋体"/>
          <w:color w:val="auto"/>
          <w:sz w:val="24"/>
          <w:highlight w:val="none"/>
        </w:rPr>
        <w:t>供应商</w:t>
      </w:r>
      <w:r>
        <w:rPr>
          <w:rFonts w:hint="eastAsia" w:ascii="宋体" w:hAnsi="宋体" w:cs="宋体"/>
          <w:color w:val="auto"/>
          <w:sz w:val="24"/>
          <w:szCs w:val="24"/>
          <w:highlight w:val="none"/>
        </w:rPr>
        <w:t>（电子签章）</w:t>
      </w:r>
      <w:r>
        <w:rPr>
          <w:rFonts w:hint="eastAsia" w:ascii="宋体" w:hAnsi="宋体" w:cs="宋体"/>
          <w:color w:val="auto"/>
          <w:sz w:val="24"/>
          <w:highlight w:val="none"/>
          <w:lang w:val="zh-CN"/>
        </w:rPr>
        <w:t>：</w:t>
      </w:r>
    </w:p>
    <w:p w14:paraId="2019C5B6">
      <w:pPr>
        <w:autoSpaceDE w:val="0"/>
        <w:autoSpaceDN w:val="0"/>
        <w:adjustRightInd w:val="0"/>
        <w:spacing w:line="360" w:lineRule="auto"/>
        <w:ind w:left="-2" w:right="-817" w:firstLine="2"/>
        <w:rPr>
          <w:rFonts w:ascii="宋体" w:hAnsi="宋体" w:cs="宋体"/>
          <w:color w:val="auto"/>
          <w:sz w:val="24"/>
          <w:highlight w:val="none"/>
          <w:lang w:val="zh-CN"/>
        </w:rPr>
      </w:pPr>
      <w:r>
        <w:rPr>
          <w:rFonts w:hint="eastAsia" w:ascii="宋体" w:hAnsi="宋体" w:cs="宋体"/>
          <w:color w:val="auto"/>
          <w:sz w:val="24"/>
          <w:highlight w:val="none"/>
          <w:lang w:val="zh-CN"/>
        </w:rPr>
        <w:t>法定代表人</w:t>
      </w:r>
      <w:r>
        <w:rPr>
          <w:rFonts w:hint="eastAsia" w:ascii="宋体" w:hAnsi="宋体" w:cs="宋体"/>
          <w:color w:val="auto"/>
          <w:sz w:val="24"/>
          <w:szCs w:val="24"/>
          <w:highlight w:val="none"/>
        </w:rPr>
        <w:t>（电子签名）</w:t>
      </w:r>
      <w:r>
        <w:rPr>
          <w:rFonts w:hint="eastAsia" w:ascii="宋体" w:hAnsi="宋体" w:cs="宋体"/>
          <w:color w:val="auto"/>
          <w:sz w:val="24"/>
          <w:highlight w:val="none"/>
          <w:lang w:val="zh-CN"/>
        </w:rPr>
        <w:t xml:space="preserve">：  </w:t>
      </w:r>
    </w:p>
    <w:p w14:paraId="0B6D1A4F">
      <w:pPr>
        <w:autoSpaceDE w:val="0"/>
        <w:autoSpaceDN w:val="0"/>
        <w:adjustRightInd w:val="0"/>
        <w:spacing w:line="360" w:lineRule="auto"/>
        <w:ind w:right="-817"/>
        <w:rPr>
          <w:rFonts w:ascii="宋体" w:hAnsi="宋体" w:cs="宋体"/>
          <w:color w:val="auto"/>
          <w:sz w:val="24"/>
          <w:highlight w:val="none"/>
          <w:lang w:val="zh-CN"/>
        </w:rPr>
      </w:pPr>
      <w:r>
        <w:rPr>
          <w:rFonts w:hint="eastAsia" w:ascii="宋体" w:hAnsi="宋体" w:cs="宋体"/>
          <w:color w:val="auto"/>
          <w:sz w:val="24"/>
          <w:highlight w:val="none"/>
          <w:lang w:val="zh-CN"/>
        </w:rPr>
        <w:t>日期：   年   月   日</w:t>
      </w:r>
    </w:p>
    <w:p w14:paraId="4006B220">
      <w:pPr>
        <w:spacing w:line="240" w:lineRule="auto"/>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br w:type="page"/>
      </w:r>
    </w:p>
    <w:p w14:paraId="4682A703">
      <w:pPr>
        <w:widowControl w:val="0"/>
        <w:snapToGrid w:val="0"/>
        <w:spacing w:line="560" w:lineRule="exact"/>
        <w:jc w:val="center"/>
        <w:rPr>
          <w:rFonts w:ascii="宋体" w:hAnsi="宋体" w:cs="宋体"/>
          <w:b/>
          <w:color w:val="auto"/>
          <w:sz w:val="30"/>
          <w:szCs w:val="30"/>
          <w:highlight w:val="none"/>
        </w:rPr>
      </w:pPr>
      <w:r>
        <w:rPr>
          <w:rFonts w:hint="eastAsia" w:ascii="宋体" w:hAnsi="宋体" w:cs="宋体"/>
          <w:b/>
          <w:color w:val="auto"/>
          <w:sz w:val="30"/>
          <w:szCs w:val="30"/>
          <w:highlight w:val="none"/>
        </w:rPr>
        <w:t>二、开标一览表</w:t>
      </w:r>
    </w:p>
    <w:p w14:paraId="52693781">
      <w:pPr>
        <w:widowControl w:val="0"/>
        <w:snapToGrid w:val="0"/>
        <w:spacing w:line="560" w:lineRule="exact"/>
        <w:jc w:val="left"/>
        <w:rPr>
          <w:rFonts w:ascii="宋体" w:hAnsi="宋体" w:cs="宋体"/>
          <w:b/>
          <w:color w:val="auto"/>
          <w:sz w:val="24"/>
          <w:szCs w:val="24"/>
          <w:highlight w:val="none"/>
        </w:rPr>
      </w:pP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4"/>
        <w:gridCol w:w="6155"/>
      </w:tblGrid>
      <w:tr w14:paraId="0DD40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2844" w:type="dxa"/>
            <w:tcBorders>
              <w:top w:val="single" w:color="auto" w:sz="4" w:space="0"/>
              <w:left w:val="single" w:color="auto" w:sz="4" w:space="0"/>
              <w:bottom w:val="single" w:color="auto" w:sz="4" w:space="0"/>
              <w:right w:val="single" w:color="auto" w:sz="4" w:space="0"/>
            </w:tcBorders>
            <w:noWrap w:val="0"/>
            <w:vAlign w:val="center"/>
          </w:tcPr>
          <w:p w14:paraId="4A18C0D6">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项目名称</w:t>
            </w:r>
          </w:p>
        </w:tc>
        <w:tc>
          <w:tcPr>
            <w:tcW w:w="6155" w:type="dxa"/>
            <w:tcBorders>
              <w:top w:val="single" w:color="auto" w:sz="4" w:space="0"/>
              <w:left w:val="single" w:color="auto" w:sz="4" w:space="0"/>
              <w:bottom w:val="single" w:color="auto" w:sz="4" w:space="0"/>
              <w:right w:val="single" w:color="auto" w:sz="4" w:space="0"/>
            </w:tcBorders>
            <w:noWrap w:val="0"/>
            <w:vAlign w:val="center"/>
          </w:tcPr>
          <w:p w14:paraId="7868A781">
            <w:pPr>
              <w:spacing w:line="360" w:lineRule="auto"/>
              <w:jc w:val="center"/>
              <w:rPr>
                <w:rFonts w:hint="eastAsia"/>
                <w:color w:val="auto"/>
                <w:sz w:val="24"/>
                <w:szCs w:val="24"/>
                <w:highlight w:val="none"/>
                <w:lang w:eastAsia="zh-CN"/>
              </w:rPr>
            </w:pPr>
          </w:p>
          <w:p w14:paraId="5ADC95FD">
            <w:pPr>
              <w:pStyle w:val="7"/>
              <w:rPr>
                <w:rFonts w:hint="eastAsia"/>
                <w:color w:val="auto"/>
                <w:sz w:val="24"/>
                <w:szCs w:val="24"/>
                <w:highlight w:val="none"/>
                <w:lang w:eastAsia="zh-CN"/>
              </w:rPr>
            </w:pPr>
          </w:p>
        </w:tc>
      </w:tr>
      <w:tr w14:paraId="33F6E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8" w:hRule="atLeast"/>
          <w:jc w:val="center"/>
        </w:trPr>
        <w:tc>
          <w:tcPr>
            <w:tcW w:w="2844" w:type="dxa"/>
            <w:tcBorders>
              <w:top w:val="single" w:color="auto" w:sz="4" w:space="0"/>
              <w:left w:val="single" w:color="auto" w:sz="4" w:space="0"/>
              <w:bottom w:val="single" w:color="auto" w:sz="4" w:space="0"/>
              <w:right w:val="single" w:color="auto" w:sz="4" w:space="0"/>
            </w:tcBorders>
            <w:noWrap w:val="0"/>
            <w:vAlign w:val="center"/>
          </w:tcPr>
          <w:p w14:paraId="5D7220CF">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供应商名称</w:t>
            </w:r>
          </w:p>
        </w:tc>
        <w:tc>
          <w:tcPr>
            <w:tcW w:w="6155" w:type="dxa"/>
            <w:tcBorders>
              <w:top w:val="single" w:color="auto" w:sz="4" w:space="0"/>
              <w:left w:val="single" w:color="auto" w:sz="4" w:space="0"/>
              <w:bottom w:val="single" w:color="auto" w:sz="4" w:space="0"/>
              <w:right w:val="single" w:color="auto" w:sz="4" w:space="0"/>
            </w:tcBorders>
            <w:noWrap w:val="0"/>
            <w:vAlign w:val="center"/>
          </w:tcPr>
          <w:p w14:paraId="76739947">
            <w:pPr>
              <w:pStyle w:val="4"/>
              <w:jc w:val="center"/>
              <w:rPr>
                <w:rFonts w:ascii="宋体" w:hAnsi="宋体"/>
                <w:color w:val="auto"/>
                <w:kern w:val="2"/>
                <w:sz w:val="24"/>
                <w:szCs w:val="24"/>
                <w:highlight w:val="none"/>
              </w:rPr>
            </w:pPr>
          </w:p>
        </w:tc>
      </w:tr>
      <w:tr w14:paraId="7232E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6" w:hRule="atLeast"/>
          <w:jc w:val="center"/>
        </w:trPr>
        <w:tc>
          <w:tcPr>
            <w:tcW w:w="2844" w:type="dxa"/>
            <w:tcBorders>
              <w:top w:val="single" w:color="auto" w:sz="4" w:space="0"/>
              <w:left w:val="single" w:color="auto" w:sz="4" w:space="0"/>
              <w:bottom w:val="single" w:color="auto" w:sz="4" w:space="0"/>
              <w:right w:val="single" w:color="auto" w:sz="4" w:space="0"/>
            </w:tcBorders>
            <w:noWrap w:val="0"/>
            <w:vAlign w:val="center"/>
          </w:tcPr>
          <w:p w14:paraId="6D15A523">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投标</w:t>
            </w:r>
            <w:r>
              <w:rPr>
                <w:rFonts w:hint="eastAsia" w:ascii="宋体" w:hAnsi="宋体"/>
                <w:color w:val="auto"/>
                <w:sz w:val="24"/>
                <w:szCs w:val="24"/>
                <w:highlight w:val="none"/>
                <w:lang w:val="en-US" w:eastAsia="zh-CN"/>
              </w:rPr>
              <w:t>总</w:t>
            </w:r>
            <w:r>
              <w:rPr>
                <w:rFonts w:hint="eastAsia" w:ascii="宋体" w:hAnsi="宋体"/>
                <w:color w:val="auto"/>
                <w:sz w:val="24"/>
                <w:szCs w:val="24"/>
                <w:highlight w:val="none"/>
              </w:rPr>
              <w:t>报价</w:t>
            </w:r>
          </w:p>
        </w:tc>
        <w:tc>
          <w:tcPr>
            <w:tcW w:w="6155" w:type="dxa"/>
            <w:tcBorders>
              <w:top w:val="single" w:color="auto" w:sz="4" w:space="0"/>
              <w:left w:val="single" w:color="auto" w:sz="4" w:space="0"/>
              <w:bottom w:val="single" w:color="auto" w:sz="4" w:space="0"/>
              <w:right w:val="single" w:color="auto" w:sz="4" w:space="0"/>
            </w:tcBorders>
            <w:noWrap w:val="0"/>
            <w:vAlign w:val="center"/>
          </w:tcPr>
          <w:p w14:paraId="1E4D2B0C">
            <w:pPr>
              <w:spacing w:line="360" w:lineRule="auto"/>
              <w:jc w:val="left"/>
              <w:rPr>
                <w:rFonts w:hint="eastAsia" w:ascii="宋体" w:hAnsi="宋体"/>
                <w:color w:val="auto"/>
                <w:sz w:val="24"/>
                <w:szCs w:val="24"/>
                <w:highlight w:val="none"/>
                <w:u w:val="single"/>
              </w:rPr>
            </w:pPr>
            <w:r>
              <w:rPr>
                <w:rFonts w:hint="eastAsia" w:ascii="宋体" w:hAnsi="宋体"/>
                <w:color w:val="auto"/>
                <w:sz w:val="24"/>
                <w:szCs w:val="24"/>
                <w:highlight w:val="none"/>
              </w:rPr>
              <w:t>大写：</w:t>
            </w:r>
            <w:r>
              <w:rPr>
                <w:rFonts w:hint="eastAsia" w:ascii="宋体" w:hAnsi="宋体"/>
                <w:color w:val="auto"/>
                <w:sz w:val="24"/>
                <w:szCs w:val="24"/>
                <w:highlight w:val="none"/>
                <w:u w:val="single"/>
              </w:rPr>
              <w:t xml:space="preserve">                                 </w:t>
            </w:r>
          </w:p>
          <w:p w14:paraId="1898B1D4">
            <w:pPr>
              <w:pStyle w:val="20"/>
              <w:ind w:left="0" w:leftChars="0" w:firstLine="0" w:firstLineChars="0"/>
              <w:jc w:val="left"/>
              <w:rPr>
                <w:color w:val="auto"/>
                <w:sz w:val="24"/>
                <w:szCs w:val="24"/>
                <w:highlight w:val="none"/>
              </w:rPr>
            </w:pPr>
          </w:p>
          <w:p w14:paraId="71678F23">
            <w:p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小写：</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none"/>
                <w:lang w:val="en-US" w:eastAsia="zh-CN"/>
              </w:rPr>
              <w:t>元</w:t>
            </w:r>
          </w:p>
        </w:tc>
      </w:tr>
      <w:tr w14:paraId="3A69A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6" w:hRule="atLeast"/>
          <w:jc w:val="center"/>
        </w:trPr>
        <w:tc>
          <w:tcPr>
            <w:tcW w:w="2844" w:type="dxa"/>
            <w:tcBorders>
              <w:top w:val="single" w:color="auto" w:sz="4" w:space="0"/>
              <w:left w:val="single" w:color="auto" w:sz="4" w:space="0"/>
              <w:bottom w:val="single" w:color="auto" w:sz="4" w:space="0"/>
              <w:right w:val="single" w:color="auto" w:sz="4" w:space="0"/>
            </w:tcBorders>
            <w:noWrap w:val="0"/>
            <w:vAlign w:val="center"/>
          </w:tcPr>
          <w:p w14:paraId="0A4FE2D9">
            <w:pPr>
              <w:spacing w:line="360" w:lineRule="auto"/>
              <w:jc w:val="center"/>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rPr>
              <w:t>申报的小微企业价格扣除总金额</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如有）</w:t>
            </w:r>
          </w:p>
        </w:tc>
        <w:tc>
          <w:tcPr>
            <w:tcW w:w="6155" w:type="dxa"/>
            <w:tcBorders>
              <w:top w:val="single" w:color="auto" w:sz="4" w:space="0"/>
              <w:left w:val="single" w:color="auto" w:sz="4" w:space="0"/>
              <w:bottom w:val="single" w:color="auto" w:sz="4" w:space="0"/>
              <w:right w:val="single" w:color="auto" w:sz="4" w:space="0"/>
            </w:tcBorders>
            <w:noWrap w:val="0"/>
            <w:vAlign w:val="center"/>
          </w:tcPr>
          <w:p w14:paraId="4E69813F">
            <w:pPr>
              <w:spacing w:line="360" w:lineRule="auto"/>
              <w:jc w:val="left"/>
              <w:rPr>
                <w:rFonts w:hint="eastAsia" w:ascii="宋体" w:hAnsi="宋体"/>
                <w:color w:val="auto"/>
                <w:sz w:val="24"/>
                <w:szCs w:val="24"/>
                <w:highlight w:val="none"/>
                <w:u w:val="single"/>
              </w:rPr>
            </w:pPr>
            <w:r>
              <w:rPr>
                <w:rFonts w:hint="eastAsia" w:ascii="宋体" w:hAnsi="宋体"/>
                <w:color w:val="auto"/>
                <w:sz w:val="24"/>
                <w:szCs w:val="24"/>
                <w:highlight w:val="none"/>
              </w:rPr>
              <w:t>大写：</w:t>
            </w:r>
            <w:r>
              <w:rPr>
                <w:rFonts w:hint="eastAsia" w:ascii="宋体" w:hAnsi="宋体"/>
                <w:color w:val="auto"/>
                <w:sz w:val="24"/>
                <w:szCs w:val="24"/>
                <w:highlight w:val="none"/>
                <w:u w:val="single"/>
              </w:rPr>
              <w:t xml:space="preserve">                                 </w:t>
            </w:r>
          </w:p>
          <w:p w14:paraId="6E22A56C">
            <w:pPr>
              <w:pStyle w:val="20"/>
              <w:ind w:left="0" w:leftChars="0" w:firstLine="0" w:firstLineChars="0"/>
              <w:jc w:val="left"/>
              <w:rPr>
                <w:color w:val="auto"/>
                <w:sz w:val="24"/>
                <w:szCs w:val="24"/>
                <w:highlight w:val="none"/>
              </w:rPr>
            </w:pPr>
          </w:p>
          <w:p w14:paraId="6267B7BA">
            <w:pPr>
              <w:spacing w:line="360" w:lineRule="auto"/>
              <w:jc w:val="left"/>
              <w:rPr>
                <w:rFonts w:hint="eastAsia" w:ascii="宋体" w:hAnsi="宋体"/>
                <w:color w:val="auto"/>
                <w:sz w:val="24"/>
                <w:szCs w:val="24"/>
                <w:highlight w:val="none"/>
              </w:rPr>
            </w:pPr>
            <w:r>
              <w:rPr>
                <w:rFonts w:hint="eastAsia" w:ascii="宋体" w:hAnsi="宋体"/>
                <w:color w:val="auto"/>
                <w:sz w:val="24"/>
                <w:szCs w:val="24"/>
                <w:highlight w:val="none"/>
              </w:rPr>
              <w:t>小写：</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none"/>
                <w:lang w:val="en-US" w:eastAsia="zh-CN"/>
              </w:rPr>
              <w:t>元</w:t>
            </w:r>
          </w:p>
        </w:tc>
      </w:tr>
      <w:tr w14:paraId="2CD41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4" w:hRule="atLeast"/>
          <w:jc w:val="center"/>
        </w:trPr>
        <w:tc>
          <w:tcPr>
            <w:tcW w:w="2844" w:type="dxa"/>
            <w:tcBorders>
              <w:top w:val="single" w:color="auto" w:sz="4" w:space="0"/>
              <w:left w:val="single" w:color="auto" w:sz="4" w:space="0"/>
              <w:bottom w:val="single" w:color="auto" w:sz="4" w:space="0"/>
              <w:right w:val="single" w:color="auto" w:sz="4" w:space="0"/>
            </w:tcBorders>
            <w:noWrap w:val="0"/>
            <w:vAlign w:val="center"/>
          </w:tcPr>
          <w:p w14:paraId="202E649B">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投标有效期</w:t>
            </w:r>
          </w:p>
        </w:tc>
        <w:tc>
          <w:tcPr>
            <w:tcW w:w="6155" w:type="dxa"/>
            <w:tcBorders>
              <w:top w:val="single" w:color="auto" w:sz="4" w:space="0"/>
              <w:left w:val="single" w:color="auto" w:sz="4" w:space="0"/>
              <w:bottom w:val="single" w:color="auto" w:sz="4" w:space="0"/>
              <w:right w:val="single" w:color="auto" w:sz="4" w:space="0"/>
            </w:tcBorders>
            <w:noWrap w:val="0"/>
            <w:vAlign w:val="center"/>
          </w:tcPr>
          <w:p w14:paraId="686D4AE2">
            <w:pPr>
              <w:spacing w:line="360" w:lineRule="auto"/>
              <w:jc w:val="center"/>
              <w:rPr>
                <w:rFonts w:ascii="宋体" w:hAnsi="宋体"/>
                <w:color w:val="auto"/>
                <w:sz w:val="24"/>
                <w:szCs w:val="24"/>
                <w:highlight w:val="none"/>
              </w:rPr>
            </w:pPr>
          </w:p>
        </w:tc>
      </w:tr>
      <w:tr w14:paraId="6E7B5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4" w:hRule="atLeast"/>
          <w:jc w:val="center"/>
        </w:trPr>
        <w:tc>
          <w:tcPr>
            <w:tcW w:w="2844" w:type="dxa"/>
            <w:tcBorders>
              <w:top w:val="single" w:color="auto" w:sz="4" w:space="0"/>
              <w:left w:val="single" w:color="auto" w:sz="4" w:space="0"/>
              <w:bottom w:val="single" w:color="auto" w:sz="4" w:space="0"/>
              <w:right w:val="single" w:color="auto" w:sz="4" w:space="0"/>
            </w:tcBorders>
            <w:noWrap w:val="0"/>
            <w:vAlign w:val="center"/>
          </w:tcPr>
          <w:p w14:paraId="6CC29D58">
            <w:pPr>
              <w:spacing w:line="360" w:lineRule="auto"/>
              <w:jc w:val="center"/>
              <w:rPr>
                <w:rFonts w:hint="eastAsia" w:ascii="宋体" w:hAnsi="宋体"/>
                <w:color w:val="auto"/>
                <w:sz w:val="24"/>
                <w:szCs w:val="24"/>
                <w:highlight w:val="none"/>
              </w:rPr>
            </w:pPr>
            <w:r>
              <w:rPr>
                <w:rFonts w:hint="eastAsia" w:ascii="宋体" w:hAnsi="宋体"/>
                <w:color w:val="auto"/>
                <w:sz w:val="24"/>
                <w:szCs w:val="24"/>
                <w:highlight w:val="none"/>
              </w:rPr>
              <w:t xml:space="preserve">质保期 </w:t>
            </w:r>
          </w:p>
        </w:tc>
        <w:tc>
          <w:tcPr>
            <w:tcW w:w="6155" w:type="dxa"/>
            <w:tcBorders>
              <w:top w:val="single" w:color="auto" w:sz="4" w:space="0"/>
              <w:left w:val="single" w:color="auto" w:sz="4" w:space="0"/>
              <w:bottom w:val="single" w:color="auto" w:sz="4" w:space="0"/>
              <w:right w:val="single" w:color="auto" w:sz="4" w:space="0"/>
            </w:tcBorders>
            <w:noWrap w:val="0"/>
            <w:vAlign w:val="center"/>
          </w:tcPr>
          <w:p w14:paraId="2196B38E">
            <w:pPr>
              <w:spacing w:line="360" w:lineRule="auto"/>
              <w:rPr>
                <w:rFonts w:ascii="宋体"/>
                <w:color w:val="auto"/>
                <w:sz w:val="24"/>
                <w:szCs w:val="24"/>
                <w:highlight w:val="none"/>
                <w:u w:val="single"/>
              </w:rPr>
            </w:pPr>
          </w:p>
        </w:tc>
      </w:tr>
      <w:tr w14:paraId="680CE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2" w:hRule="atLeast"/>
          <w:jc w:val="center"/>
        </w:trPr>
        <w:tc>
          <w:tcPr>
            <w:tcW w:w="2844" w:type="dxa"/>
            <w:tcBorders>
              <w:top w:val="single" w:color="auto" w:sz="4" w:space="0"/>
              <w:left w:val="single" w:color="auto" w:sz="4" w:space="0"/>
              <w:bottom w:val="single" w:color="auto" w:sz="4" w:space="0"/>
              <w:right w:val="single" w:color="auto" w:sz="4" w:space="0"/>
            </w:tcBorders>
            <w:noWrap w:val="0"/>
            <w:vAlign w:val="center"/>
          </w:tcPr>
          <w:p w14:paraId="0D09D82A">
            <w:pPr>
              <w:spacing w:line="360" w:lineRule="auto"/>
              <w:jc w:val="center"/>
              <w:rPr>
                <w:rFonts w:ascii="宋体"/>
                <w:color w:val="auto"/>
                <w:sz w:val="24"/>
                <w:szCs w:val="24"/>
                <w:highlight w:val="none"/>
              </w:rPr>
            </w:pPr>
            <w:r>
              <w:rPr>
                <w:rFonts w:hint="eastAsia" w:ascii="宋体" w:hAnsi="宋体"/>
                <w:color w:val="auto"/>
                <w:sz w:val="24"/>
                <w:szCs w:val="24"/>
                <w:highlight w:val="none"/>
              </w:rPr>
              <w:t>备注</w:t>
            </w:r>
          </w:p>
        </w:tc>
        <w:tc>
          <w:tcPr>
            <w:tcW w:w="6155" w:type="dxa"/>
            <w:tcBorders>
              <w:top w:val="single" w:color="auto" w:sz="4" w:space="0"/>
              <w:left w:val="single" w:color="auto" w:sz="4" w:space="0"/>
              <w:bottom w:val="single" w:color="auto" w:sz="4" w:space="0"/>
              <w:right w:val="single" w:color="auto" w:sz="4" w:space="0"/>
            </w:tcBorders>
            <w:noWrap w:val="0"/>
            <w:vAlign w:val="center"/>
          </w:tcPr>
          <w:p w14:paraId="4E46D20A">
            <w:pPr>
              <w:spacing w:line="360" w:lineRule="auto"/>
              <w:rPr>
                <w:rFonts w:ascii="宋体"/>
                <w:color w:val="auto"/>
                <w:sz w:val="24"/>
                <w:szCs w:val="24"/>
                <w:highlight w:val="none"/>
                <w:u w:val="single"/>
              </w:rPr>
            </w:pPr>
          </w:p>
        </w:tc>
      </w:tr>
    </w:tbl>
    <w:p w14:paraId="629E724C">
      <w:pPr>
        <w:widowControl w:val="0"/>
        <w:tabs>
          <w:tab w:val="left" w:pos="9365"/>
        </w:tabs>
        <w:snapToGrid w:val="0"/>
        <w:spacing w:before="56" w:after="56" w:line="560" w:lineRule="atLeast"/>
        <w:ind w:firstLine="354" w:firstLineChars="147"/>
        <w:jc w:val="left"/>
        <w:textAlignment w:val="top"/>
        <w:rPr>
          <w:rFonts w:ascii="宋体" w:hAnsi="宋体" w:cs="宋体"/>
          <w:b/>
          <w:color w:val="auto"/>
          <w:sz w:val="24"/>
          <w:szCs w:val="24"/>
          <w:highlight w:val="none"/>
        </w:rPr>
      </w:pPr>
    </w:p>
    <w:p w14:paraId="688E99D2">
      <w:pPr>
        <w:autoSpaceDE w:val="0"/>
        <w:autoSpaceDN w:val="0"/>
        <w:adjustRightInd w:val="0"/>
        <w:spacing w:line="360" w:lineRule="auto"/>
        <w:jc w:val="center"/>
        <w:rPr>
          <w:rFonts w:ascii="宋体" w:hAnsi="宋体" w:cs="宋体"/>
          <w:color w:val="auto"/>
          <w:sz w:val="28"/>
          <w:highlight w:val="none"/>
        </w:rPr>
      </w:pPr>
    </w:p>
    <w:p w14:paraId="33B2CE42">
      <w:pPr>
        <w:widowControl w:val="0"/>
        <w:tabs>
          <w:tab w:val="left" w:pos="9365"/>
        </w:tabs>
        <w:snapToGrid w:val="0"/>
        <w:spacing w:after="56" w:line="560" w:lineRule="exact"/>
        <w:ind w:right="85"/>
        <w:jc w:val="left"/>
        <w:textAlignment w:val="top"/>
        <w:rPr>
          <w:rFonts w:ascii="宋体" w:hAnsi="宋体" w:cs="宋体"/>
          <w:color w:val="auto"/>
          <w:sz w:val="24"/>
          <w:szCs w:val="24"/>
          <w:highlight w:val="none"/>
        </w:rPr>
      </w:pPr>
      <w:r>
        <w:rPr>
          <w:rFonts w:hint="eastAsia" w:ascii="宋体" w:hAnsi="宋体" w:cs="宋体"/>
          <w:color w:val="auto"/>
          <w:sz w:val="24"/>
          <w:highlight w:val="none"/>
        </w:rPr>
        <w:t>供应商</w:t>
      </w:r>
      <w:r>
        <w:rPr>
          <w:rFonts w:hint="eastAsia" w:ascii="宋体" w:hAnsi="宋体" w:cs="宋体"/>
          <w:color w:val="auto"/>
          <w:sz w:val="24"/>
          <w:szCs w:val="24"/>
          <w:highlight w:val="none"/>
        </w:rPr>
        <w:t>（电子签章）：</w:t>
      </w:r>
    </w:p>
    <w:p w14:paraId="74C6B5C0">
      <w:pPr>
        <w:widowControl w:val="0"/>
        <w:tabs>
          <w:tab w:val="left" w:pos="9365"/>
        </w:tabs>
        <w:snapToGrid w:val="0"/>
        <w:spacing w:after="56" w:line="560" w:lineRule="exact"/>
        <w:ind w:right="85"/>
        <w:jc w:val="left"/>
        <w:textAlignment w:val="top"/>
        <w:rPr>
          <w:rFonts w:ascii="宋体" w:hAnsi="宋体" w:cs="宋体"/>
          <w:color w:val="auto"/>
          <w:sz w:val="24"/>
          <w:szCs w:val="24"/>
          <w:highlight w:val="none"/>
        </w:rPr>
      </w:pPr>
      <w:r>
        <w:rPr>
          <w:rFonts w:hint="eastAsia" w:ascii="宋体" w:hAnsi="宋体" w:cs="宋体"/>
          <w:color w:val="auto"/>
          <w:sz w:val="24"/>
          <w:szCs w:val="24"/>
          <w:highlight w:val="none"/>
        </w:rPr>
        <w:t>法定代表人（电子签名）：</w:t>
      </w:r>
    </w:p>
    <w:p w14:paraId="7B12E59B">
      <w:pPr>
        <w:widowControl w:val="0"/>
        <w:tabs>
          <w:tab w:val="left" w:pos="9365"/>
        </w:tabs>
        <w:snapToGrid w:val="0"/>
        <w:spacing w:after="56" w:line="560" w:lineRule="exact"/>
        <w:ind w:right="56"/>
        <w:jc w:val="left"/>
        <w:textAlignment w:val="top"/>
        <w:rPr>
          <w:rFonts w:ascii="宋体" w:hAnsi="宋体" w:cs="宋体"/>
          <w:color w:val="auto"/>
          <w:highlight w:val="none"/>
        </w:rPr>
      </w:pPr>
      <w:r>
        <w:rPr>
          <w:rFonts w:hint="eastAsia" w:ascii="宋体" w:hAnsi="宋体" w:cs="宋体"/>
          <w:color w:val="auto"/>
          <w:sz w:val="24"/>
          <w:highlight w:val="none"/>
          <w:lang w:val="zh-CN"/>
        </w:rPr>
        <w:t>日期：   年   月   日</w:t>
      </w:r>
    </w:p>
    <w:p w14:paraId="124F3CBC">
      <w:pPr>
        <w:widowControl w:val="0"/>
        <w:snapToGrid w:val="0"/>
        <w:spacing w:line="560" w:lineRule="exact"/>
        <w:ind w:firstLine="562" w:firstLineChars="200"/>
        <w:jc w:val="left"/>
        <w:rPr>
          <w:rFonts w:ascii="宋体" w:hAnsi="宋体" w:cs="宋体"/>
          <w:b/>
          <w:color w:val="auto"/>
          <w:sz w:val="28"/>
          <w:highlight w:val="none"/>
        </w:rPr>
      </w:pPr>
    </w:p>
    <w:p w14:paraId="20F46788">
      <w:pPr>
        <w:widowControl w:val="0"/>
        <w:snapToGrid w:val="0"/>
        <w:spacing w:line="560" w:lineRule="exact"/>
        <w:jc w:val="center"/>
        <w:rPr>
          <w:rFonts w:ascii="宋体" w:hAnsi="宋体" w:cs="宋体"/>
          <w:b/>
          <w:color w:val="auto"/>
          <w:sz w:val="30"/>
          <w:szCs w:val="30"/>
          <w:highlight w:val="none"/>
        </w:rPr>
      </w:pPr>
      <w:r>
        <w:rPr>
          <w:rFonts w:hint="eastAsia" w:ascii="宋体" w:hAnsi="宋体" w:cs="宋体"/>
          <w:b/>
          <w:color w:val="auto"/>
          <w:sz w:val="30"/>
          <w:szCs w:val="30"/>
          <w:highlight w:val="none"/>
        </w:rPr>
        <w:br w:type="page"/>
      </w:r>
    </w:p>
    <w:p w14:paraId="00763ED5">
      <w:pPr>
        <w:widowControl w:val="0"/>
        <w:snapToGrid w:val="0"/>
        <w:spacing w:line="560" w:lineRule="exact"/>
        <w:jc w:val="center"/>
        <w:rPr>
          <w:rFonts w:hint="default" w:ascii="宋体" w:hAnsi="宋体" w:eastAsia="宋体" w:cs="宋体"/>
          <w:color w:val="auto"/>
          <w:sz w:val="28"/>
          <w:highlight w:val="none"/>
          <w:lang w:val="en-US" w:eastAsia="zh-CN"/>
        </w:rPr>
      </w:pPr>
      <w:r>
        <w:rPr>
          <w:rFonts w:hint="eastAsia" w:ascii="宋体" w:hAnsi="宋体" w:cs="宋体"/>
          <w:b/>
          <w:color w:val="auto"/>
          <w:sz w:val="30"/>
          <w:szCs w:val="30"/>
          <w:highlight w:val="none"/>
        </w:rPr>
        <w:t>三、分项报价</w:t>
      </w:r>
      <w:r>
        <w:rPr>
          <w:rFonts w:hint="eastAsia" w:ascii="宋体" w:hAnsi="宋体" w:cs="宋体"/>
          <w:b/>
          <w:color w:val="auto"/>
          <w:sz w:val="30"/>
          <w:szCs w:val="30"/>
          <w:highlight w:val="none"/>
          <w:lang w:val="en-US" w:eastAsia="zh-CN"/>
        </w:rPr>
        <w:t>表（第一轮报价明细表）</w:t>
      </w:r>
    </w:p>
    <w:p w14:paraId="52FF8825">
      <w:pPr>
        <w:pStyle w:val="7"/>
        <w:spacing w:before="69" w:after="36"/>
        <w:ind w:left="860" w:firstLine="6720" w:firstLineChars="3200"/>
        <w:rPr>
          <w:color w:val="auto"/>
          <w:highlight w:val="none"/>
        </w:rPr>
      </w:pPr>
      <w:r>
        <w:rPr>
          <w:color w:val="auto"/>
          <w:highlight w:val="none"/>
        </w:rPr>
        <w:t>单位：元（人民币）</w:t>
      </w:r>
    </w:p>
    <w:tbl>
      <w:tblPr>
        <w:tblStyle w:val="22"/>
        <w:tblpPr w:leftFromText="180" w:rightFromText="180" w:vertAnchor="text" w:horzAnchor="page" w:tblpXSpec="center" w:tblpY="404"/>
        <w:tblOverlap w:val="never"/>
        <w:tblW w:w="5078" w:type="pct"/>
        <w:jc w:val="center"/>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Layout w:type="autofit"/>
        <w:tblCellMar>
          <w:top w:w="0" w:type="dxa"/>
          <w:left w:w="0" w:type="dxa"/>
          <w:bottom w:w="0" w:type="dxa"/>
          <w:right w:w="0" w:type="dxa"/>
        </w:tblCellMar>
      </w:tblPr>
      <w:tblGrid>
        <w:gridCol w:w="659"/>
        <w:gridCol w:w="2174"/>
        <w:gridCol w:w="2460"/>
        <w:gridCol w:w="1038"/>
        <w:gridCol w:w="1038"/>
        <w:gridCol w:w="1117"/>
        <w:gridCol w:w="1058"/>
      </w:tblGrid>
      <w:tr w14:paraId="2056034E">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1086" w:hRule="atLeast"/>
          <w:jc w:val="center"/>
        </w:trPr>
        <w:tc>
          <w:tcPr>
            <w:tcW w:w="345" w:type="pct"/>
            <w:tcBorders>
              <w:bottom w:val="single" w:color="000000" w:sz="6" w:space="0"/>
              <w:right w:val="single" w:color="000000" w:sz="6" w:space="0"/>
            </w:tcBorders>
            <w:noWrap w:val="0"/>
            <w:vAlign w:val="center"/>
          </w:tcPr>
          <w:p w14:paraId="034F8A8E">
            <w:pPr>
              <w:pStyle w:val="89"/>
              <w:ind w:left="107"/>
              <w:jc w:val="center"/>
              <w:rPr>
                <w:color w:val="auto"/>
                <w:szCs w:val="21"/>
                <w:highlight w:val="none"/>
              </w:rPr>
            </w:pPr>
            <w:r>
              <w:rPr>
                <w:color w:val="auto"/>
                <w:szCs w:val="21"/>
                <w:highlight w:val="none"/>
              </w:rPr>
              <w:t>序号</w:t>
            </w:r>
          </w:p>
        </w:tc>
        <w:tc>
          <w:tcPr>
            <w:tcW w:w="1139" w:type="pct"/>
            <w:tcBorders>
              <w:left w:val="single" w:color="000000" w:sz="6" w:space="0"/>
              <w:bottom w:val="single" w:color="000000" w:sz="6" w:space="0"/>
              <w:right w:val="single" w:color="000000" w:sz="6" w:space="0"/>
            </w:tcBorders>
            <w:noWrap w:val="0"/>
            <w:vAlign w:val="center"/>
          </w:tcPr>
          <w:p w14:paraId="6073244C">
            <w:pPr>
              <w:pStyle w:val="89"/>
              <w:spacing w:line="312" w:lineRule="auto"/>
              <w:ind w:left="106" w:right="34"/>
              <w:jc w:val="center"/>
              <w:rPr>
                <w:color w:val="auto"/>
                <w:szCs w:val="21"/>
                <w:highlight w:val="none"/>
              </w:rPr>
            </w:pPr>
            <w:r>
              <w:rPr>
                <w:rFonts w:hint="eastAsia"/>
                <w:color w:val="auto"/>
                <w:szCs w:val="21"/>
                <w:highlight w:val="none"/>
              </w:rPr>
              <w:t>产品</w:t>
            </w:r>
            <w:r>
              <w:rPr>
                <w:color w:val="auto"/>
                <w:szCs w:val="21"/>
                <w:highlight w:val="none"/>
              </w:rPr>
              <w:t>名称</w:t>
            </w:r>
          </w:p>
        </w:tc>
        <w:tc>
          <w:tcPr>
            <w:tcW w:w="1289" w:type="pct"/>
            <w:tcBorders>
              <w:left w:val="single" w:color="000000" w:sz="6" w:space="0"/>
              <w:bottom w:val="single" w:color="000000" w:sz="6" w:space="0"/>
              <w:right w:val="single" w:color="000000" w:sz="6" w:space="0"/>
            </w:tcBorders>
            <w:noWrap w:val="0"/>
            <w:vAlign w:val="center"/>
          </w:tcPr>
          <w:p w14:paraId="5398B536">
            <w:pPr>
              <w:pStyle w:val="89"/>
              <w:jc w:val="center"/>
              <w:rPr>
                <w:color w:val="auto"/>
                <w:szCs w:val="21"/>
                <w:highlight w:val="none"/>
              </w:rPr>
            </w:pPr>
            <w:r>
              <w:rPr>
                <w:color w:val="auto"/>
                <w:szCs w:val="21"/>
                <w:highlight w:val="none"/>
              </w:rPr>
              <w:t>规格、型号、品牌</w:t>
            </w:r>
          </w:p>
        </w:tc>
        <w:tc>
          <w:tcPr>
            <w:tcW w:w="544" w:type="pct"/>
            <w:tcBorders>
              <w:left w:val="single" w:color="000000" w:sz="6" w:space="0"/>
              <w:bottom w:val="single" w:color="000000" w:sz="6" w:space="0"/>
              <w:right w:val="single" w:color="000000" w:sz="6" w:space="0"/>
            </w:tcBorders>
            <w:noWrap w:val="0"/>
            <w:vAlign w:val="center"/>
          </w:tcPr>
          <w:p w14:paraId="0094DB49">
            <w:pPr>
              <w:pStyle w:val="89"/>
              <w:spacing w:before="1"/>
              <w:jc w:val="center"/>
              <w:rPr>
                <w:color w:val="auto"/>
                <w:szCs w:val="21"/>
                <w:highlight w:val="none"/>
              </w:rPr>
            </w:pPr>
            <w:r>
              <w:rPr>
                <w:rFonts w:hint="eastAsia"/>
                <w:color w:val="auto"/>
                <w:szCs w:val="21"/>
                <w:highlight w:val="none"/>
              </w:rPr>
              <w:t>单位</w:t>
            </w:r>
          </w:p>
        </w:tc>
        <w:tc>
          <w:tcPr>
            <w:tcW w:w="544" w:type="pct"/>
            <w:tcBorders>
              <w:left w:val="single" w:color="000000" w:sz="6" w:space="0"/>
              <w:bottom w:val="single" w:color="000000" w:sz="6" w:space="0"/>
              <w:right w:val="single" w:color="000000" w:sz="6" w:space="0"/>
            </w:tcBorders>
            <w:noWrap w:val="0"/>
            <w:vAlign w:val="center"/>
          </w:tcPr>
          <w:p w14:paraId="51024468">
            <w:pPr>
              <w:pStyle w:val="89"/>
              <w:ind w:left="161"/>
              <w:jc w:val="center"/>
              <w:rPr>
                <w:color w:val="auto"/>
                <w:szCs w:val="21"/>
                <w:highlight w:val="none"/>
              </w:rPr>
            </w:pPr>
            <w:r>
              <w:rPr>
                <w:color w:val="auto"/>
                <w:szCs w:val="21"/>
                <w:highlight w:val="none"/>
              </w:rPr>
              <w:t>数量</w:t>
            </w:r>
          </w:p>
        </w:tc>
        <w:tc>
          <w:tcPr>
            <w:tcW w:w="584" w:type="pct"/>
            <w:tcBorders>
              <w:left w:val="single" w:color="000000" w:sz="6" w:space="0"/>
              <w:bottom w:val="single" w:color="000000" w:sz="6" w:space="0"/>
              <w:right w:val="single" w:color="000000" w:sz="6" w:space="0"/>
            </w:tcBorders>
            <w:noWrap w:val="0"/>
            <w:vAlign w:val="center"/>
          </w:tcPr>
          <w:p w14:paraId="6CABF6D5">
            <w:pPr>
              <w:pStyle w:val="89"/>
              <w:ind w:left="147"/>
              <w:jc w:val="center"/>
              <w:rPr>
                <w:color w:val="auto"/>
                <w:szCs w:val="21"/>
                <w:highlight w:val="none"/>
              </w:rPr>
            </w:pPr>
            <w:r>
              <w:rPr>
                <w:color w:val="auto"/>
                <w:szCs w:val="21"/>
                <w:highlight w:val="none"/>
              </w:rPr>
              <w:t>单价</w:t>
            </w:r>
          </w:p>
        </w:tc>
        <w:tc>
          <w:tcPr>
            <w:tcW w:w="553" w:type="pct"/>
            <w:tcBorders>
              <w:left w:val="single" w:color="000000" w:sz="6" w:space="0"/>
              <w:bottom w:val="single" w:color="000000" w:sz="6" w:space="0"/>
            </w:tcBorders>
            <w:noWrap w:val="0"/>
            <w:vAlign w:val="center"/>
          </w:tcPr>
          <w:p w14:paraId="636508C7">
            <w:pPr>
              <w:pStyle w:val="89"/>
              <w:ind w:left="137"/>
              <w:jc w:val="center"/>
              <w:rPr>
                <w:color w:val="auto"/>
                <w:szCs w:val="21"/>
                <w:highlight w:val="none"/>
              </w:rPr>
            </w:pPr>
            <w:r>
              <w:rPr>
                <w:color w:val="auto"/>
                <w:szCs w:val="21"/>
                <w:highlight w:val="none"/>
              </w:rPr>
              <w:t>总价</w:t>
            </w:r>
          </w:p>
        </w:tc>
      </w:tr>
      <w:tr w14:paraId="283DFE0C">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895" w:hRule="atLeast"/>
          <w:jc w:val="center"/>
        </w:trPr>
        <w:tc>
          <w:tcPr>
            <w:tcW w:w="345" w:type="pct"/>
            <w:tcBorders>
              <w:top w:val="single" w:color="000000" w:sz="6" w:space="0"/>
              <w:bottom w:val="single" w:color="000000" w:sz="6" w:space="0"/>
              <w:right w:val="single" w:color="000000" w:sz="6" w:space="0"/>
            </w:tcBorders>
            <w:noWrap w:val="0"/>
            <w:vAlign w:val="top"/>
          </w:tcPr>
          <w:p w14:paraId="2DF0A2DA">
            <w:pPr>
              <w:pStyle w:val="89"/>
              <w:spacing w:before="8"/>
              <w:rPr>
                <w:color w:val="auto"/>
                <w:sz w:val="32"/>
                <w:highlight w:val="none"/>
              </w:rPr>
            </w:pPr>
          </w:p>
          <w:p w14:paraId="06D7D2BD">
            <w:pPr>
              <w:pStyle w:val="89"/>
              <w:spacing w:before="1"/>
              <w:ind w:left="1"/>
              <w:jc w:val="center"/>
              <w:rPr>
                <w:color w:val="auto"/>
                <w:sz w:val="24"/>
                <w:highlight w:val="none"/>
              </w:rPr>
            </w:pPr>
            <w:r>
              <w:rPr>
                <w:color w:val="auto"/>
                <w:sz w:val="24"/>
                <w:highlight w:val="none"/>
              </w:rPr>
              <w:t>1</w:t>
            </w:r>
          </w:p>
        </w:tc>
        <w:tc>
          <w:tcPr>
            <w:tcW w:w="1139" w:type="pct"/>
            <w:tcBorders>
              <w:top w:val="single" w:color="000000" w:sz="6" w:space="0"/>
              <w:left w:val="single" w:color="000000" w:sz="6" w:space="0"/>
              <w:bottom w:val="single" w:color="000000" w:sz="6" w:space="0"/>
              <w:right w:val="single" w:color="000000" w:sz="6" w:space="0"/>
            </w:tcBorders>
            <w:noWrap w:val="0"/>
            <w:vAlign w:val="center"/>
          </w:tcPr>
          <w:p w14:paraId="473FB13C">
            <w:pPr>
              <w:pStyle w:val="89"/>
              <w:jc w:val="center"/>
              <w:rPr>
                <w:color w:val="auto"/>
                <w:highlight w:val="none"/>
              </w:rPr>
            </w:pPr>
          </w:p>
        </w:tc>
        <w:tc>
          <w:tcPr>
            <w:tcW w:w="1289" w:type="pct"/>
            <w:tcBorders>
              <w:top w:val="single" w:color="000000" w:sz="6" w:space="0"/>
              <w:left w:val="single" w:color="000000" w:sz="6" w:space="0"/>
              <w:bottom w:val="single" w:color="000000" w:sz="6" w:space="0"/>
              <w:right w:val="single" w:color="000000" w:sz="6" w:space="0"/>
            </w:tcBorders>
            <w:noWrap w:val="0"/>
            <w:vAlign w:val="center"/>
          </w:tcPr>
          <w:p w14:paraId="509594A9">
            <w:pPr>
              <w:pStyle w:val="89"/>
              <w:jc w:val="center"/>
              <w:rPr>
                <w:color w:val="auto"/>
                <w:highlight w:val="none"/>
              </w:rPr>
            </w:pPr>
          </w:p>
        </w:tc>
        <w:tc>
          <w:tcPr>
            <w:tcW w:w="544" w:type="pct"/>
            <w:tcBorders>
              <w:top w:val="single" w:color="000000" w:sz="6" w:space="0"/>
              <w:left w:val="single" w:color="000000" w:sz="6" w:space="0"/>
              <w:bottom w:val="single" w:color="000000" w:sz="6" w:space="0"/>
              <w:right w:val="single" w:color="000000" w:sz="6" w:space="0"/>
            </w:tcBorders>
            <w:noWrap w:val="0"/>
            <w:vAlign w:val="center"/>
          </w:tcPr>
          <w:p w14:paraId="464EF3B9">
            <w:pPr>
              <w:pStyle w:val="89"/>
              <w:jc w:val="center"/>
              <w:rPr>
                <w:color w:val="auto"/>
                <w:highlight w:val="none"/>
              </w:rPr>
            </w:pPr>
          </w:p>
        </w:tc>
        <w:tc>
          <w:tcPr>
            <w:tcW w:w="544" w:type="pct"/>
            <w:tcBorders>
              <w:top w:val="single" w:color="000000" w:sz="6" w:space="0"/>
              <w:left w:val="single" w:color="000000" w:sz="6" w:space="0"/>
              <w:bottom w:val="single" w:color="000000" w:sz="6" w:space="0"/>
              <w:right w:val="single" w:color="000000" w:sz="6" w:space="0"/>
            </w:tcBorders>
            <w:noWrap w:val="0"/>
            <w:vAlign w:val="center"/>
          </w:tcPr>
          <w:p w14:paraId="2DADF0F2">
            <w:pPr>
              <w:pStyle w:val="89"/>
              <w:jc w:val="center"/>
              <w:rPr>
                <w:color w:val="auto"/>
                <w:highlight w:val="none"/>
              </w:rPr>
            </w:pPr>
          </w:p>
        </w:tc>
        <w:tc>
          <w:tcPr>
            <w:tcW w:w="584" w:type="pct"/>
            <w:tcBorders>
              <w:top w:val="single" w:color="000000" w:sz="6" w:space="0"/>
              <w:left w:val="single" w:color="000000" w:sz="6" w:space="0"/>
              <w:bottom w:val="single" w:color="000000" w:sz="6" w:space="0"/>
              <w:right w:val="single" w:color="000000" w:sz="6" w:space="0"/>
            </w:tcBorders>
            <w:noWrap w:val="0"/>
            <w:vAlign w:val="center"/>
          </w:tcPr>
          <w:p w14:paraId="57AB5352">
            <w:pPr>
              <w:pStyle w:val="89"/>
              <w:jc w:val="center"/>
              <w:rPr>
                <w:color w:val="auto"/>
                <w:highlight w:val="none"/>
              </w:rPr>
            </w:pPr>
          </w:p>
        </w:tc>
        <w:tc>
          <w:tcPr>
            <w:tcW w:w="553" w:type="pct"/>
            <w:tcBorders>
              <w:top w:val="single" w:color="000000" w:sz="6" w:space="0"/>
              <w:left w:val="single" w:color="000000" w:sz="6" w:space="0"/>
              <w:bottom w:val="single" w:color="000000" w:sz="6" w:space="0"/>
            </w:tcBorders>
            <w:noWrap w:val="0"/>
            <w:vAlign w:val="center"/>
          </w:tcPr>
          <w:p w14:paraId="6CDD78C5">
            <w:pPr>
              <w:pStyle w:val="89"/>
              <w:jc w:val="center"/>
              <w:rPr>
                <w:color w:val="auto"/>
                <w:highlight w:val="none"/>
              </w:rPr>
            </w:pPr>
          </w:p>
        </w:tc>
      </w:tr>
      <w:tr w14:paraId="727B7E64">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814" w:hRule="atLeast"/>
          <w:jc w:val="center"/>
        </w:trPr>
        <w:tc>
          <w:tcPr>
            <w:tcW w:w="345" w:type="pct"/>
            <w:tcBorders>
              <w:top w:val="single" w:color="000000" w:sz="6" w:space="0"/>
              <w:bottom w:val="single" w:color="000000" w:sz="6" w:space="0"/>
              <w:right w:val="single" w:color="000000" w:sz="6" w:space="0"/>
            </w:tcBorders>
            <w:noWrap w:val="0"/>
            <w:vAlign w:val="top"/>
          </w:tcPr>
          <w:p w14:paraId="5DE360B7">
            <w:pPr>
              <w:pStyle w:val="89"/>
              <w:rPr>
                <w:color w:val="auto"/>
                <w:sz w:val="31"/>
                <w:highlight w:val="none"/>
              </w:rPr>
            </w:pPr>
          </w:p>
          <w:p w14:paraId="47B732CD">
            <w:pPr>
              <w:pStyle w:val="89"/>
              <w:ind w:left="1"/>
              <w:jc w:val="center"/>
              <w:rPr>
                <w:color w:val="auto"/>
                <w:sz w:val="24"/>
                <w:highlight w:val="none"/>
              </w:rPr>
            </w:pPr>
            <w:r>
              <w:rPr>
                <w:color w:val="auto"/>
                <w:sz w:val="24"/>
                <w:highlight w:val="none"/>
              </w:rPr>
              <w:t>2</w:t>
            </w:r>
          </w:p>
        </w:tc>
        <w:tc>
          <w:tcPr>
            <w:tcW w:w="1139" w:type="pct"/>
            <w:tcBorders>
              <w:top w:val="single" w:color="000000" w:sz="6" w:space="0"/>
              <w:left w:val="single" w:color="000000" w:sz="6" w:space="0"/>
              <w:bottom w:val="single" w:color="000000" w:sz="6" w:space="0"/>
              <w:right w:val="single" w:color="000000" w:sz="6" w:space="0"/>
            </w:tcBorders>
            <w:noWrap w:val="0"/>
            <w:vAlign w:val="center"/>
          </w:tcPr>
          <w:p w14:paraId="516E6C11">
            <w:pPr>
              <w:pStyle w:val="89"/>
              <w:jc w:val="center"/>
              <w:rPr>
                <w:color w:val="auto"/>
                <w:highlight w:val="none"/>
              </w:rPr>
            </w:pPr>
          </w:p>
        </w:tc>
        <w:tc>
          <w:tcPr>
            <w:tcW w:w="1289" w:type="pct"/>
            <w:tcBorders>
              <w:top w:val="single" w:color="000000" w:sz="6" w:space="0"/>
              <w:left w:val="single" w:color="000000" w:sz="6" w:space="0"/>
              <w:bottom w:val="single" w:color="000000" w:sz="6" w:space="0"/>
              <w:right w:val="single" w:color="000000" w:sz="6" w:space="0"/>
            </w:tcBorders>
            <w:noWrap w:val="0"/>
            <w:vAlign w:val="center"/>
          </w:tcPr>
          <w:p w14:paraId="61A6EBB6">
            <w:pPr>
              <w:pStyle w:val="89"/>
              <w:jc w:val="center"/>
              <w:rPr>
                <w:color w:val="auto"/>
                <w:highlight w:val="none"/>
              </w:rPr>
            </w:pPr>
          </w:p>
        </w:tc>
        <w:tc>
          <w:tcPr>
            <w:tcW w:w="544" w:type="pct"/>
            <w:tcBorders>
              <w:top w:val="single" w:color="000000" w:sz="6" w:space="0"/>
              <w:left w:val="single" w:color="000000" w:sz="6" w:space="0"/>
              <w:bottom w:val="single" w:color="000000" w:sz="6" w:space="0"/>
              <w:right w:val="single" w:color="000000" w:sz="6" w:space="0"/>
            </w:tcBorders>
            <w:noWrap w:val="0"/>
            <w:vAlign w:val="center"/>
          </w:tcPr>
          <w:p w14:paraId="3E9F6612">
            <w:pPr>
              <w:pStyle w:val="89"/>
              <w:jc w:val="center"/>
              <w:rPr>
                <w:color w:val="auto"/>
                <w:highlight w:val="none"/>
              </w:rPr>
            </w:pPr>
          </w:p>
        </w:tc>
        <w:tc>
          <w:tcPr>
            <w:tcW w:w="544" w:type="pct"/>
            <w:tcBorders>
              <w:top w:val="single" w:color="000000" w:sz="6" w:space="0"/>
              <w:left w:val="single" w:color="000000" w:sz="6" w:space="0"/>
              <w:bottom w:val="single" w:color="000000" w:sz="6" w:space="0"/>
              <w:right w:val="single" w:color="000000" w:sz="6" w:space="0"/>
            </w:tcBorders>
            <w:noWrap w:val="0"/>
            <w:vAlign w:val="center"/>
          </w:tcPr>
          <w:p w14:paraId="4FA835FF">
            <w:pPr>
              <w:pStyle w:val="89"/>
              <w:jc w:val="center"/>
              <w:rPr>
                <w:color w:val="auto"/>
                <w:highlight w:val="none"/>
              </w:rPr>
            </w:pPr>
          </w:p>
        </w:tc>
        <w:tc>
          <w:tcPr>
            <w:tcW w:w="584" w:type="pct"/>
            <w:tcBorders>
              <w:top w:val="single" w:color="000000" w:sz="6" w:space="0"/>
              <w:left w:val="single" w:color="000000" w:sz="6" w:space="0"/>
              <w:bottom w:val="single" w:color="000000" w:sz="6" w:space="0"/>
              <w:right w:val="single" w:color="000000" w:sz="6" w:space="0"/>
            </w:tcBorders>
            <w:noWrap w:val="0"/>
            <w:vAlign w:val="center"/>
          </w:tcPr>
          <w:p w14:paraId="6947871D">
            <w:pPr>
              <w:pStyle w:val="89"/>
              <w:jc w:val="center"/>
              <w:rPr>
                <w:color w:val="auto"/>
                <w:highlight w:val="none"/>
              </w:rPr>
            </w:pPr>
          </w:p>
        </w:tc>
        <w:tc>
          <w:tcPr>
            <w:tcW w:w="553" w:type="pct"/>
            <w:tcBorders>
              <w:top w:val="single" w:color="000000" w:sz="6" w:space="0"/>
              <w:left w:val="single" w:color="000000" w:sz="6" w:space="0"/>
              <w:bottom w:val="single" w:color="000000" w:sz="6" w:space="0"/>
            </w:tcBorders>
            <w:noWrap w:val="0"/>
            <w:vAlign w:val="center"/>
          </w:tcPr>
          <w:p w14:paraId="7C1B46A8">
            <w:pPr>
              <w:pStyle w:val="89"/>
              <w:jc w:val="center"/>
              <w:rPr>
                <w:color w:val="auto"/>
                <w:highlight w:val="none"/>
              </w:rPr>
            </w:pPr>
          </w:p>
        </w:tc>
      </w:tr>
      <w:tr w14:paraId="08432F23">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813" w:hRule="atLeast"/>
          <w:jc w:val="center"/>
        </w:trPr>
        <w:tc>
          <w:tcPr>
            <w:tcW w:w="345" w:type="pct"/>
            <w:tcBorders>
              <w:top w:val="single" w:color="000000" w:sz="6" w:space="0"/>
              <w:bottom w:val="single" w:color="000000" w:sz="6" w:space="0"/>
              <w:right w:val="single" w:color="000000" w:sz="6" w:space="0"/>
            </w:tcBorders>
            <w:noWrap w:val="0"/>
            <w:vAlign w:val="top"/>
          </w:tcPr>
          <w:p w14:paraId="29EDE2E7">
            <w:pPr>
              <w:pStyle w:val="89"/>
              <w:spacing w:before="1"/>
              <w:rPr>
                <w:color w:val="auto"/>
                <w:sz w:val="31"/>
                <w:highlight w:val="none"/>
              </w:rPr>
            </w:pPr>
          </w:p>
          <w:p w14:paraId="1E35560B">
            <w:pPr>
              <w:pStyle w:val="89"/>
              <w:ind w:left="1"/>
              <w:jc w:val="center"/>
              <w:rPr>
                <w:color w:val="auto"/>
                <w:sz w:val="24"/>
                <w:highlight w:val="none"/>
              </w:rPr>
            </w:pPr>
            <w:r>
              <w:rPr>
                <w:color w:val="auto"/>
                <w:sz w:val="24"/>
                <w:highlight w:val="none"/>
              </w:rPr>
              <w:t>3</w:t>
            </w:r>
          </w:p>
        </w:tc>
        <w:tc>
          <w:tcPr>
            <w:tcW w:w="1139" w:type="pct"/>
            <w:tcBorders>
              <w:top w:val="single" w:color="000000" w:sz="6" w:space="0"/>
              <w:left w:val="single" w:color="000000" w:sz="6" w:space="0"/>
              <w:bottom w:val="single" w:color="000000" w:sz="6" w:space="0"/>
              <w:right w:val="single" w:color="000000" w:sz="6" w:space="0"/>
            </w:tcBorders>
            <w:noWrap w:val="0"/>
            <w:vAlign w:val="center"/>
          </w:tcPr>
          <w:p w14:paraId="33962895">
            <w:pPr>
              <w:pStyle w:val="89"/>
              <w:jc w:val="center"/>
              <w:rPr>
                <w:color w:val="auto"/>
                <w:highlight w:val="none"/>
              </w:rPr>
            </w:pPr>
          </w:p>
        </w:tc>
        <w:tc>
          <w:tcPr>
            <w:tcW w:w="1289" w:type="pct"/>
            <w:tcBorders>
              <w:top w:val="single" w:color="000000" w:sz="6" w:space="0"/>
              <w:left w:val="single" w:color="000000" w:sz="6" w:space="0"/>
              <w:bottom w:val="single" w:color="000000" w:sz="6" w:space="0"/>
              <w:right w:val="single" w:color="000000" w:sz="6" w:space="0"/>
            </w:tcBorders>
            <w:noWrap w:val="0"/>
            <w:vAlign w:val="center"/>
          </w:tcPr>
          <w:p w14:paraId="31D73909">
            <w:pPr>
              <w:pStyle w:val="89"/>
              <w:jc w:val="center"/>
              <w:rPr>
                <w:color w:val="auto"/>
                <w:highlight w:val="none"/>
              </w:rPr>
            </w:pPr>
          </w:p>
        </w:tc>
        <w:tc>
          <w:tcPr>
            <w:tcW w:w="544" w:type="pct"/>
            <w:tcBorders>
              <w:top w:val="single" w:color="000000" w:sz="6" w:space="0"/>
              <w:left w:val="single" w:color="000000" w:sz="6" w:space="0"/>
              <w:bottom w:val="single" w:color="000000" w:sz="6" w:space="0"/>
              <w:right w:val="single" w:color="000000" w:sz="6" w:space="0"/>
            </w:tcBorders>
            <w:noWrap w:val="0"/>
            <w:vAlign w:val="center"/>
          </w:tcPr>
          <w:p w14:paraId="48C93F12">
            <w:pPr>
              <w:pStyle w:val="89"/>
              <w:jc w:val="center"/>
              <w:rPr>
                <w:color w:val="auto"/>
                <w:highlight w:val="none"/>
              </w:rPr>
            </w:pPr>
          </w:p>
        </w:tc>
        <w:tc>
          <w:tcPr>
            <w:tcW w:w="544" w:type="pct"/>
            <w:tcBorders>
              <w:top w:val="single" w:color="000000" w:sz="6" w:space="0"/>
              <w:left w:val="single" w:color="000000" w:sz="6" w:space="0"/>
              <w:bottom w:val="single" w:color="000000" w:sz="6" w:space="0"/>
              <w:right w:val="single" w:color="000000" w:sz="6" w:space="0"/>
            </w:tcBorders>
            <w:noWrap w:val="0"/>
            <w:vAlign w:val="center"/>
          </w:tcPr>
          <w:p w14:paraId="2AC7C92D">
            <w:pPr>
              <w:pStyle w:val="89"/>
              <w:jc w:val="center"/>
              <w:rPr>
                <w:color w:val="auto"/>
                <w:highlight w:val="none"/>
              </w:rPr>
            </w:pPr>
          </w:p>
        </w:tc>
        <w:tc>
          <w:tcPr>
            <w:tcW w:w="584" w:type="pct"/>
            <w:tcBorders>
              <w:top w:val="single" w:color="000000" w:sz="6" w:space="0"/>
              <w:left w:val="single" w:color="000000" w:sz="6" w:space="0"/>
              <w:bottom w:val="single" w:color="000000" w:sz="6" w:space="0"/>
              <w:right w:val="single" w:color="000000" w:sz="6" w:space="0"/>
            </w:tcBorders>
            <w:noWrap w:val="0"/>
            <w:vAlign w:val="center"/>
          </w:tcPr>
          <w:p w14:paraId="4EA1D350">
            <w:pPr>
              <w:pStyle w:val="89"/>
              <w:jc w:val="center"/>
              <w:rPr>
                <w:color w:val="auto"/>
                <w:highlight w:val="none"/>
              </w:rPr>
            </w:pPr>
          </w:p>
        </w:tc>
        <w:tc>
          <w:tcPr>
            <w:tcW w:w="553" w:type="pct"/>
            <w:tcBorders>
              <w:top w:val="single" w:color="000000" w:sz="6" w:space="0"/>
              <w:left w:val="single" w:color="000000" w:sz="6" w:space="0"/>
              <w:bottom w:val="single" w:color="000000" w:sz="6" w:space="0"/>
            </w:tcBorders>
            <w:noWrap w:val="0"/>
            <w:vAlign w:val="center"/>
          </w:tcPr>
          <w:p w14:paraId="5E65BF67">
            <w:pPr>
              <w:pStyle w:val="89"/>
              <w:jc w:val="center"/>
              <w:rPr>
                <w:color w:val="auto"/>
                <w:highlight w:val="none"/>
              </w:rPr>
            </w:pPr>
          </w:p>
        </w:tc>
      </w:tr>
      <w:tr w14:paraId="2A18F6BB">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797" w:hRule="atLeast"/>
          <w:jc w:val="center"/>
        </w:trPr>
        <w:tc>
          <w:tcPr>
            <w:tcW w:w="345" w:type="pct"/>
            <w:tcBorders>
              <w:top w:val="single" w:color="000000" w:sz="6" w:space="0"/>
              <w:bottom w:val="single" w:color="000000" w:sz="6" w:space="0"/>
              <w:right w:val="single" w:color="000000" w:sz="6" w:space="0"/>
            </w:tcBorders>
            <w:noWrap w:val="0"/>
            <w:vAlign w:val="top"/>
          </w:tcPr>
          <w:p w14:paraId="14C90F98">
            <w:pPr>
              <w:pStyle w:val="89"/>
              <w:rPr>
                <w:color w:val="auto"/>
                <w:sz w:val="31"/>
                <w:highlight w:val="none"/>
              </w:rPr>
            </w:pPr>
          </w:p>
          <w:p w14:paraId="54535D4E">
            <w:pPr>
              <w:pStyle w:val="89"/>
              <w:ind w:left="167"/>
              <w:rPr>
                <w:color w:val="auto"/>
                <w:sz w:val="24"/>
                <w:highlight w:val="none"/>
              </w:rPr>
            </w:pPr>
            <w:r>
              <w:rPr>
                <w:color w:val="auto"/>
                <w:sz w:val="24"/>
                <w:highlight w:val="none"/>
              </w:rPr>
              <w:t>...</w:t>
            </w:r>
          </w:p>
        </w:tc>
        <w:tc>
          <w:tcPr>
            <w:tcW w:w="1139" w:type="pct"/>
            <w:tcBorders>
              <w:top w:val="single" w:color="000000" w:sz="6" w:space="0"/>
              <w:left w:val="single" w:color="000000" w:sz="6" w:space="0"/>
              <w:bottom w:val="single" w:color="000000" w:sz="6" w:space="0"/>
              <w:right w:val="single" w:color="000000" w:sz="6" w:space="0"/>
            </w:tcBorders>
            <w:noWrap w:val="0"/>
            <w:vAlign w:val="center"/>
          </w:tcPr>
          <w:p w14:paraId="21EECD0C">
            <w:pPr>
              <w:pStyle w:val="89"/>
              <w:jc w:val="center"/>
              <w:rPr>
                <w:color w:val="auto"/>
                <w:highlight w:val="none"/>
              </w:rPr>
            </w:pPr>
          </w:p>
        </w:tc>
        <w:tc>
          <w:tcPr>
            <w:tcW w:w="1289" w:type="pct"/>
            <w:tcBorders>
              <w:top w:val="single" w:color="000000" w:sz="6" w:space="0"/>
              <w:left w:val="single" w:color="000000" w:sz="6" w:space="0"/>
              <w:bottom w:val="single" w:color="000000" w:sz="6" w:space="0"/>
              <w:right w:val="single" w:color="000000" w:sz="6" w:space="0"/>
            </w:tcBorders>
            <w:noWrap w:val="0"/>
            <w:vAlign w:val="center"/>
          </w:tcPr>
          <w:p w14:paraId="30FFE0C0">
            <w:pPr>
              <w:pStyle w:val="89"/>
              <w:jc w:val="center"/>
              <w:rPr>
                <w:color w:val="auto"/>
                <w:highlight w:val="none"/>
              </w:rPr>
            </w:pPr>
          </w:p>
        </w:tc>
        <w:tc>
          <w:tcPr>
            <w:tcW w:w="544" w:type="pct"/>
            <w:tcBorders>
              <w:top w:val="single" w:color="000000" w:sz="6" w:space="0"/>
              <w:left w:val="single" w:color="000000" w:sz="6" w:space="0"/>
              <w:bottom w:val="single" w:color="000000" w:sz="6" w:space="0"/>
              <w:right w:val="single" w:color="000000" w:sz="6" w:space="0"/>
            </w:tcBorders>
            <w:noWrap w:val="0"/>
            <w:vAlign w:val="center"/>
          </w:tcPr>
          <w:p w14:paraId="1E512661">
            <w:pPr>
              <w:pStyle w:val="89"/>
              <w:jc w:val="center"/>
              <w:rPr>
                <w:color w:val="auto"/>
                <w:highlight w:val="none"/>
              </w:rPr>
            </w:pPr>
          </w:p>
        </w:tc>
        <w:tc>
          <w:tcPr>
            <w:tcW w:w="544" w:type="pct"/>
            <w:tcBorders>
              <w:top w:val="single" w:color="000000" w:sz="6" w:space="0"/>
              <w:left w:val="single" w:color="000000" w:sz="6" w:space="0"/>
              <w:bottom w:val="single" w:color="000000" w:sz="6" w:space="0"/>
              <w:right w:val="single" w:color="000000" w:sz="6" w:space="0"/>
            </w:tcBorders>
            <w:noWrap w:val="0"/>
            <w:vAlign w:val="center"/>
          </w:tcPr>
          <w:p w14:paraId="78CA9366">
            <w:pPr>
              <w:pStyle w:val="89"/>
              <w:jc w:val="center"/>
              <w:rPr>
                <w:color w:val="auto"/>
                <w:highlight w:val="none"/>
              </w:rPr>
            </w:pPr>
          </w:p>
        </w:tc>
        <w:tc>
          <w:tcPr>
            <w:tcW w:w="584" w:type="pct"/>
            <w:tcBorders>
              <w:top w:val="single" w:color="000000" w:sz="6" w:space="0"/>
              <w:left w:val="single" w:color="000000" w:sz="6" w:space="0"/>
              <w:bottom w:val="single" w:color="000000" w:sz="6" w:space="0"/>
              <w:right w:val="single" w:color="000000" w:sz="6" w:space="0"/>
            </w:tcBorders>
            <w:noWrap w:val="0"/>
            <w:vAlign w:val="center"/>
          </w:tcPr>
          <w:p w14:paraId="7B4B67BD">
            <w:pPr>
              <w:pStyle w:val="89"/>
              <w:jc w:val="center"/>
              <w:rPr>
                <w:color w:val="auto"/>
                <w:highlight w:val="none"/>
              </w:rPr>
            </w:pPr>
          </w:p>
        </w:tc>
        <w:tc>
          <w:tcPr>
            <w:tcW w:w="553" w:type="pct"/>
            <w:tcBorders>
              <w:top w:val="single" w:color="000000" w:sz="6" w:space="0"/>
              <w:left w:val="single" w:color="000000" w:sz="6" w:space="0"/>
              <w:bottom w:val="single" w:color="000000" w:sz="6" w:space="0"/>
            </w:tcBorders>
            <w:noWrap w:val="0"/>
            <w:vAlign w:val="center"/>
          </w:tcPr>
          <w:p w14:paraId="3EF05001">
            <w:pPr>
              <w:pStyle w:val="89"/>
              <w:jc w:val="center"/>
              <w:rPr>
                <w:color w:val="auto"/>
                <w:highlight w:val="none"/>
              </w:rPr>
            </w:pPr>
          </w:p>
        </w:tc>
      </w:tr>
      <w:tr w14:paraId="4EBB220E">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797" w:hRule="atLeast"/>
          <w:jc w:val="center"/>
        </w:trPr>
        <w:tc>
          <w:tcPr>
            <w:tcW w:w="4446" w:type="pct"/>
            <w:gridSpan w:val="6"/>
            <w:tcBorders>
              <w:top w:val="single" w:color="000000" w:sz="6" w:space="0"/>
              <w:bottom w:val="single" w:color="000000" w:sz="6" w:space="0"/>
              <w:right w:val="single" w:color="000000" w:sz="6" w:space="0"/>
            </w:tcBorders>
            <w:noWrap w:val="0"/>
            <w:vAlign w:val="top"/>
          </w:tcPr>
          <w:p w14:paraId="5145FE33">
            <w:pPr>
              <w:pStyle w:val="89"/>
              <w:jc w:val="center"/>
              <w:rPr>
                <w:color w:val="auto"/>
                <w:highlight w:val="none"/>
              </w:rPr>
            </w:pPr>
            <w:r>
              <w:rPr>
                <w:rFonts w:hint="eastAsia"/>
                <w:color w:val="auto"/>
                <w:highlight w:val="none"/>
              </w:rPr>
              <w:t>合计</w:t>
            </w:r>
          </w:p>
        </w:tc>
        <w:tc>
          <w:tcPr>
            <w:tcW w:w="553" w:type="pct"/>
            <w:tcBorders>
              <w:top w:val="single" w:color="000000" w:sz="6" w:space="0"/>
              <w:left w:val="single" w:color="000000" w:sz="6" w:space="0"/>
              <w:bottom w:val="single" w:color="000000" w:sz="6" w:space="0"/>
            </w:tcBorders>
            <w:noWrap w:val="0"/>
            <w:vAlign w:val="center"/>
          </w:tcPr>
          <w:p w14:paraId="37963CE6">
            <w:pPr>
              <w:pStyle w:val="89"/>
              <w:jc w:val="center"/>
              <w:rPr>
                <w:color w:val="auto"/>
                <w:highlight w:val="none"/>
              </w:rPr>
            </w:pPr>
          </w:p>
        </w:tc>
      </w:tr>
      <w:tr w14:paraId="222A7654">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910" w:hRule="atLeast"/>
          <w:jc w:val="center"/>
        </w:trPr>
        <w:tc>
          <w:tcPr>
            <w:tcW w:w="5000" w:type="pct"/>
            <w:gridSpan w:val="7"/>
            <w:tcBorders>
              <w:top w:val="single" w:color="000000" w:sz="6" w:space="0"/>
              <w:bottom w:val="single" w:color="000000" w:sz="6" w:space="0"/>
            </w:tcBorders>
            <w:noWrap w:val="0"/>
            <w:vAlign w:val="top"/>
          </w:tcPr>
          <w:p w14:paraId="765B14EB">
            <w:pPr>
              <w:pStyle w:val="89"/>
              <w:tabs>
                <w:tab w:val="left" w:pos="7832"/>
              </w:tabs>
              <w:spacing w:before="220"/>
              <w:ind w:left="93"/>
              <w:jc w:val="left"/>
              <w:rPr>
                <w:rFonts w:eastAsia="Times New Roman"/>
                <w:color w:val="auto"/>
                <w:sz w:val="24"/>
                <w:highlight w:val="none"/>
              </w:rPr>
            </w:pPr>
            <w:r>
              <w:rPr>
                <w:rFonts w:hint="eastAsia"/>
                <w:color w:val="auto"/>
                <w:spacing w:val="-1"/>
                <w:sz w:val="24"/>
                <w:highlight w:val="none"/>
                <w:lang w:val="en-US" w:eastAsia="zh-CN"/>
              </w:rPr>
              <w:t>投标</w:t>
            </w:r>
            <w:r>
              <w:rPr>
                <w:color w:val="auto"/>
                <w:spacing w:val="-1"/>
                <w:sz w:val="24"/>
                <w:highlight w:val="none"/>
              </w:rPr>
              <w:t>总</w:t>
            </w:r>
            <w:r>
              <w:rPr>
                <w:color w:val="auto"/>
                <w:sz w:val="24"/>
                <w:highlight w:val="none"/>
              </w:rPr>
              <w:t>报价（大写）：</w:t>
            </w:r>
          </w:p>
          <w:p w14:paraId="0EBBB7EF">
            <w:pPr>
              <w:pStyle w:val="89"/>
              <w:jc w:val="both"/>
              <w:rPr>
                <w:color w:val="auto"/>
                <w:highlight w:val="none"/>
              </w:rPr>
            </w:pPr>
            <w:r>
              <w:rPr>
                <w:color w:val="auto"/>
                <w:spacing w:val="-1"/>
                <w:sz w:val="24"/>
                <w:highlight w:val="none"/>
              </w:rPr>
              <w:t>（</w:t>
            </w:r>
            <w:r>
              <w:rPr>
                <w:color w:val="auto"/>
                <w:sz w:val="24"/>
                <w:highlight w:val="none"/>
              </w:rPr>
              <w:t>小写）：</w:t>
            </w:r>
          </w:p>
        </w:tc>
      </w:tr>
    </w:tbl>
    <w:p w14:paraId="0EDCFCA5">
      <w:pPr>
        <w:pStyle w:val="7"/>
        <w:ind w:left="860"/>
        <w:rPr>
          <w:color w:val="auto"/>
          <w:highlight w:val="none"/>
        </w:rPr>
      </w:pPr>
    </w:p>
    <w:p w14:paraId="2F43B3EF">
      <w:pPr>
        <w:pStyle w:val="7"/>
        <w:rPr>
          <w:color w:val="auto"/>
          <w:highlight w:val="none"/>
        </w:rPr>
      </w:pPr>
      <w:r>
        <w:rPr>
          <w:color w:val="auto"/>
          <w:highlight w:val="none"/>
        </w:rPr>
        <w:t>表格行数可根据具体需要自行调整。</w:t>
      </w:r>
    </w:p>
    <w:p w14:paraId="4C96E5F4">
      <w:pPr>
        <w:pStyle w:val="7"/>
        <w:rPr>
          <w:color w:val="auto"/>
          <w:highlight w:val="none"/>
        </w:rPr>
      </w:pPr>
    </w:p>
    <w:p w14:paraId="086B06D8">
      <w:pPr>
        <w:pStyle w:val="7"/>
        <w:rPr>
          <w:color w:val="auto"/>
          <w:highlight w:val="none"/>
        </w:rPr>
      </w:pPr>
    </w:p>
    <w:p w14:paraId="0A9BE3BB">
      <w:pPr>
        <w:pStyle w:val="7"/>
        <w:rPr>
          <w:color w:val="auto"/>
          <w:highlight w:val="none"/>
        </w:rPr>
      </w:pPr>
    </w:p>
    <w:p w14:paraId="642BF59D">
      <w:pPr>
        <w:pStyle w:val="7"/>
        <w:rPr>
          <w:color w:val="auto"/>
          <w:highlight w:val="none"/>
        </w:rPr>
      </w:pPr>
    </w:p>
    <w:p w14:paraId="29B70F7F">
      <w:pPr>
        <w:pStyle w:val="7"/>
        <w:rPr>
          <w:color w:val="auto"/>
          <w:highlight w:val="none"/>
        </w:rPr>
      </w:pPr>
    </w:p>
    <w:p w14:paraId="6A6E8125">
      <w:pPr>
        <w:pStyle w:val="7"/>
        <w:rPr>
          <w:color w:val="auto"/>
          <w:highlight w:val="none"/>
        </w:rPr>
      </w:pPr>
    </w:p>
    <w:p w14:paraId="71EEBC0B">
      <w:pPr>
        <w:pStyle w:val="7"/>
        <w:rPr>
          <w:color w:val="auto"/>
          <w:highlight w:val="none"/>
        </w:rPr>
      </w:pPr>
    </w:p>
    <w:p w14:paraId="07EE4A18">
      <w:pPr>
        <w:pStyle w:val="7"/>
        <w:rPr>
          <w:rFonts w:ascii="宋体" w:hAnsi="宋体" w:cs="宋体"/>
          <w:color w:val="auto"/>
          <w:sz w:val="24"/>
          <w:szCs w:val="24"/>
          <w:highlight w:val="none"/>
        </w:rPr>
      </w:pPr>
      <w:r>
        <w:rPr>
          <w:rFonts w:hint="eastAsia" w:ascii="宋体" w:hAnsi="宋体" w:cs="宋体"/>
          <w:color w:val="auto"/>
          <w:sz w:val="24"/>
          <w:highlight w:val="none"/>
        </w:rPr>
        <w:t>供应商</w:t>
      </w:r>
      <w:r>
        <w:rPr>
          <w:rFonts w:hint="eastAsia" w:ascii="宋体" w:hAnsi="宋体" w:cs="宋体"/>
          <w:color w:val="auto"/>
          <w:sz w:val="24"/>
          <w:szCs w:val="24"/>
          <w:highlight w:val="none"/>
        </w:rPr>
        <w:t>（电子签章）：</w:t>
      </w:r>
    </w:p>
    <w:p w14:paraId="1AA6D30D">
      <w:pPr>
        <w:widowControl w:val="0"/>
        <w:tabs>
          <w:tab w:val="left" w:pos="9365"/>
        </w:tabs>
        <w:snapToGrid w:val="0"/>
        <w:spacing w:after="56" w:line="560" w:lineRule="exact"/>
        <w:ind w:right="85"/>
        <w:jc w:val="left"/>
        <w:textAlignment w:val="top"/>
        <w:rPr>
          <w:rFonts w:ascii="宋体" w:hAnsi="宋体" w:cs="宋体"/>
          <w:color w:val="auto"/>
          <w:sz w:val="24"/>
          <w:szCs w:val="24"/>
          <w:highlight w:val="none"/>
        </w:rPr>
      </w:pPr>
      <w:r>
        <w:rPr>
          <w:rFonts w:hint="eastAsia" w:ascii="宋体" w:hAnsi="宋体" w:cs="宋体"/>
          <w:color w:val="auto"/>
          <w:sz w:val="24"/>
          <w:szCs w:val="24"/>
          <w:highlight w:val="none"/>
        </w:rPr>
        <w:t>法定代表人（电子签名）：</w:t>
      </w:r>
    </w:p>
    <w:p w14:paraId="66D115BD">
      <w:pPr>
        <w:widowControl w:val="0"/>
        <w:tabs>
          <w:tab w:val="left" w:pos="9365"/>
        </w:tabs>
        <w:snapToGrid w:val="0"/>
        <w:spacing w:after="56" w:line="560" w:lineRule="exact"/>
        <w:ind w:right="56"/>
        <w:jc w:val="left"/>
        <w:textAlignment w:val="top"/>
        <w:rPr>
          <w:rFonts w:ascii="宋体" w:hAnsi="宋体" w:cs="宋体"/>
          <w:color w:val="auto"/>
          <w:highlight w:val="none"/>
        </w:rPr>
      </w:pPr>
      <w:r>
        <w:rPr>
          <w:rFonts w:hint="eastAsia" w:ascii="宋体" w:hAnsi="宋体" w:cs="宋体"/>
          <w:color w:val="auto"/>
          <w:sz w:val="24"/>
          <w:highlight w:val="none"/>
          <w:lang w:val="zh-CN"/>
        </w:rPr>
        <w:t>日期：   年   月   日</w:t>
      </w:r>
    </w:p>
    <w:p w14:paraId="61B28E93">
      <w:pPr>
        <w:widowControl w:val="0"/>
        <w:tabs>
          <w:tab w:val="left" w:pos="9365"/>
        </w:tabs>
        <w:snapToGrid w:val="0"/>
        <w:spacing w:after="56" w:line="560" w:lineRule="exact"/>
        <w:ind w:right="56"/>
        <w:jc w:val="left"/>
        <w:textAlignment w:val="top"/>
        <w:rPr>
          <w:rFonts w:ascii="宋体" w:hAnsi="宋体" w:cs="宋体"/>
          <w:color w:val="auto"/>
          <w:highlight w:val="none"/>
        </w:rPr>
      </w:pPr>
    </w:p>
    <w:p w14:paraId="5BCE6264">
      <w:pPr>
        <w:pStyle w:val="18"/>
        <w:adjustRightInd w:val="0"/>
        <w:snapToGrid w:val="0"/>
        <w:spacing w:before="0" w:beforeAutospacing="0" w:after="0" w:afterAutospacing="0"/>
        <w:rPr>
          <w:color w:val="auto"/>
          <w:sz w:val="28"/>
          <w:highlight w:val="none"/>
        </w:rPr>
      </w:pPr>
    </w:p>
    <w:p w14:paraId="186D689A">
      <w:pPr>
        <w:widowControl w:val="0"/>
        <w:snapToGrid w:val="0"/>
        <w:spacing w:line="560" w:lineRule="exact"/>
        <w:jc w:val="center"/>
        <w:rPr>
          <w:rFonts w:ascii="宋体" w:hAnsi="宋体" w:cs="宋体"/>
          <w:color w:val="auto"/>
          <w:sz w:val="30"/>
          <w:szCs w:val="30"/>
          <w:highlight w:val="none"/>
        </w:rPr>
      </w:pPr>
      <w:r>
        <w:rPr>
          <w:rFonts w:hint="eastAsia" w:ascii="宋体" w:hAnsi="宋体" w:cs="宋体"/>
          <w:b/>
          <w:color w:val="auto"/>
          <w:sz w:val="30"/>
          <w:szCs w:val="30"/>
          <w:highlight w:val="none"/>
        </w:rPr>
        <w:t>四、响应产品清单及具体技术参数</w:t>
      </w:r>
    </w:p>
    <w:p w14:paraId="359E251D">
      <w:pPr>
        <w:pStyle w:val="18"/>
        <w:adjustRightInd w:val="0"/>
        <w:snapToGrid w:val="0"/>
        <w:spacing w:before="0" w:beforeAutospacing="0" w:after="0" w:afterAutospacing="0"/>
        <w:rPr>
          <w:color w:val="auto"/>
          <w:highlight w:val="none"/>
        </w:rPr>
      </w:pPr>
    </w:p>
    <w:p w14:paraId="0388E46A">
      <w:pPr>
        <w:pStyle w:val="18"/>
        <w:adjustRightInd w:val="0"/>
        <w:snapToGrid w:val="0"/>
        <w:spacing w:before="0" w:beforeAutospacing="0" w:after="0" w:afterAutospacing="0"/>
        <w:rPr>
          <w:color w:val="auto"/>
          <w:highlight w:val="none"/>
          <w:u w:val="single"/>
        </w:rPr>
      </w:pPr>
      <w:r>
        <w:rPr>
          <w:rFonts w:hint="eastAsia"/>
          <w:color w:val="auto"/>
          <w:highlight w:val="none"/>
        </w:rPr>
        <w:t>项目名称：</w:t>
      </w:r>
      <w:r>
        <w:rPr>
          <w:rFonts w:hint="eastAsia"/>
          <w:color w:val="auto"/>
          <w:highlight w:val="none"/>
          <w:u w:val="single"/>
        </w:rPr>
        <w:t xml:space="preserve">            </w:t>
      </w:r>
    </w:p>
    <w:p w14:paraId="1AFB001B">
      <w:pPr>
        <w:pStyle w:val="18"/>
        <w:adjustRightInd w:val="0"/>
        <w:snapToGrid w:val="0"/>
        <w:spacing w:before="0" w:beforeAutospacing="0" w:after="0" w:afterAutospacing="0"/>
        <w:rPr>
          <w:color w:val="auto"/>
          <w:highlight w:val="none"/>
          <w:u w:val="single"/>
        </w:rPr>
      </w:pPr>
      <w:r>
        <w:rPr>
          <w:rFonts w:hint="eastAsia"/>
          <w:color w:val="auto"/>
          <w:highlight w:val="none"/>
        </w:rPr>
        <w:t>项目编号：</w:t>
      </w:r>
      <w:r>
        <w:rPr>
          <w:rFonts w:hint="eastAsia"/>
          <w:color w:val="auto"/>
          <w:highlight w:val="none"/>
          <w:u w:val="single"/>
        </w:rPr>
        <w:t xml:space="preserve">            </w:t>
      </w:r>
    </w:p>
    <w:tbl>
      <w:tblPr>
        <w:tblStyle w:val="22"/>
        <w:tblW w:w="96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80"/>
        <w:gridCol w:w="1339"/>
        <w:gridCol w:w="567"/>
        <w:gridCol w:w="567"/>
        <w:gridCol w:w="993"/>
        <w:gridCol w:w="1984"/>
        <w:gridCol w:w="1559"/>
        <w:gridCol w:w="567"/>
        <w:gridCol w:w="1561"/>
      </w:tblGrid>
      <w:tr w14:paraId="449A7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8" w:hRule="atLeast"/>
        </w:trPr>
        <w:tc>
          <w:tcPr>
            <w:tcW w:w="480" w:type="dxa"/>
            <w:tcBorders>
              <w:top w:val="single" w:color="000000" w:sz="8" w:space="0"/>
              <w:bottom w:val="single" w:color="000000" w:sz="4" w:space="0"/>
              <w:right w:val="single" w:color="000000" w:sz="4" w:space="0"/>
            </w:tcBorders>
            <w:vAlign w:val="center"/>
          </w:tcPr>
          <w:p w14:paraId="5B8464AD">
            <w:pPr>
              <w:spacing w:line="360" w:lineRule="exact"/>
              <w:jc w:val="center"/>
              <w:rPr>
                <w:rFonts w:ascii="宋体" w:hAnsi="宋体" w:cs="宋体"/>
                <w:color w:val="auto"/>
                <w:sz w:val="28"/>
                <w:highlight w:val="none"/>
              </w:rPr>
            </w:pPr>
            <w:r>
              <w:rPr>
                <w:rFonts w:hint="eastAsia" w:ascii="宋体" w:hAnsi="宋体" w:cs="宋体"/>
                <w:color w:val="auto"/>
                <w:highlight w:val="none"/>
              </w:rPr>
              <w:t>序号</w:t>
            </w:r>
          </w:p>
        </w:tc>
        <w:tc>
          <w:tcPr>
            <w:tcW w:w="1339" w:type="dxa"/>
            <w:tcBorders>
              <w:top w:val="single" w:color="000000" w:sz="8" w:space="0"/>
              <w:bottom w:val="single" w:color="000000" w:sz="4" w:space="0"/>
              <w:right w:val="single" w:color="000000" w:sz="4" w:space="0"/>
            </w:tcBorders>
            <w:vAlign w:val="center"/>
          </w:tcPr>
          <w:p w14:paraId="4D7F7B79">
            <w:pPr>
              <w:widowControl w:val="0"/>
              <w:snapToGrid w:val="0"/>
              <w:spacing w:line="360" w:lineRule="exact"/>
              <w:jc w:val="center"/>
              <w:rPr>
                <w:rFonts w:ascii="宋体" w:hAnsi="宋体" w:cs="宋体"/>
                <w:color w:val="auto"/>
                <w:sz w:val="28"/>
                <w:highlight w:val="none"/>
              </w:rPr>
            </w:pPr>
            <w:r>
              <w:rPr>
                <w:rFonts w:hint="eastAsia" w:ascii="宋体" w:hAnsi="宋体" w:cs="宋体"/>
                <w:color w:val="auto"/>
                <w:highlight w:val="none"/>
              </w:rPr>
              <w:t>产品名称</w:t>
            </w:r>
          </w:p>
        </w:tc>
        <w:tc>
          <w:tcPr>
            <w:tcW w:w="567" w:type="dxa"/>
            <w:tcBorders>
              <w:top w:val="single" w:color="000000" w:sz="8" w:space="0"/>
              <w:bottom w:val="single" w:color="000000" w:sz="4" w:space="0"/>
              <w:right w:val="single" w:color="000000" w:sz="4" w:space="0"/>
            </w:tcBorders>
            <w:vAlign w:val="center"/>
          </w:tcPr>
          <w:p w14:paraId="5D520C91">
            <w:pPr>
              <w:spacing w:line="360" w:lineRule="exact"/>
              <w:jc w:val="center"/>
              <w:rPr>
                <w:rFonts w:ascii="宋体" w:hAnsi="宋体" w:cs="宋体"/>
                <w:color w:val="auto"/>
                <w:sz w:val="28"/>
                <w:highlight w:val="none"/>
              </w:rPr>
            </w:pPr>
            <w:r>
              <w:rPr>
                <w:rFonts w:hint="eastAsia" w:ascii="宋体" w:hAnsi="宋体" w:cs="宋体"/>
                <w:color w:val="auto"/>
                <w:highlight w:val="none"/>
              </w:rPr>
              <w:t>单位</w:t>
            </w:r>
          </w:p>
        </w:tc>
        <w:tc>
          <w:tcPr>
            <w:tcW w:w="567" w:type="dxa"/>
            <w:tcBorders>
              <w:top w:val="single" w:color="000000" w:sz="8" w:space="0"/>
              <w:bottom w:val="single" w:color="000000" w:sz="4" w:space="0"/>
              <w:right w:val="single" w:color="000000" w:sz="4" w:space="0"/>
            </w:tcBorders>
            <w:vAlign w:val="center"/>
          </w:tcPr>
          <w:p w14:paraId="1C88D683">
            <w:pPr>
              <w:spacing w:line="360" w:lineRule="exact"/>
              <w:jc w:val="center"/>
              <w:rPr>
                <w:rFonts w:ascii="宋体" w:hAnsi="宋体" w:cs="宋体"/>
                <w:color w:val="auto"/>
                <w:sz w:val="28"/>
                <w:highlight w:val="none"/>
              </w:rPr>
            </w:pPr>
            <w:r>
              <w:rPr>
                <w:rFonts w:hint="eastAsia" w:ascii="宋体" w:hAnsi="宋体" w:cs="宋体"/>
                <w:color w:val="auto"/>
                <w:highlight w:val="none"/>
              </w:rPr>
              <w:t>数量</w:t>
            </w:r>
          </w:p>
        </w:tc>
        <w:tc>
          <w:tcPr>
            <w:tcW w:w="993" w:type="dxa"/>
            <w:tcBorders>
              <w:top w:val="single" w:color="000000" w:sz="8" w:space="0"/>
              <w:bottom w:val="single" w:color="000000" w:sz="4" w:space="0"/>
              <w:right w:val="single" w:color="000000" w:sz="4" w:space="0"/>
            </w:tcBorders>
            <w:vAlign w:val="center"/>
          </w:tcPr>
          <w:p w14:paraId="56AC23C1">
            <w:pPr>
              <w:spacing w:line="360" w:lineRule="exact"/>
              <w:jc w:val="center"/>
              <w:rPr>
                <w:rFonts w:ascii="宋体" w:hAnsi="宋体" w:cs="宋体"/>
                <w:color w:val="auto"/>
                <w:sz w:val="28"/>
                <w:highlight w:val="none"/>
              </w:rPr>
            </w:pPr>
            <w:r>
              <w:rPr>
                <w:rFonts w:hint="eastAsia" w:ascii="宋体" w:hAnsi="宋体" w:cs="宋体"/>
                <w:color w:val="auto"/>
                <w:highlight w:val="none"/>
              </w:rPr>
              <w:t>品牌型号</w:t>
            </w:r>
          </w:p>
        </w:tc>
        <w:tc>
          <w:tcPr>
            <w:tcW w:w="1984" w:type="dxa"/>
            <w:tcBorders>
              <w:top w:val="single" w:color="000000" w:sz="8" w:space="0"/>
              <w:bottom w:val="single" w:color="000000" w:sz="4" w:space="0"/>
              <w:right w:val="single" w:color="000000" w:sz="4" w:space="0"/>
            </w:tcBorders>
            <w:vAlign w:val="center"/>
          </w:tcPr>
          <w:p w14:paraId="47B48F8E">
            <w:pPr>
              <w:spacing w:line="360" w:lineRule="exact"/>
              <w:jc w:val="center"/>
              <w:rPr>
                <w:rFonts w:ascii="宋体" w:hAnsi="宋体" w:cs="宋体"/>
                <w:color w:val="auto"/>
                <w:sz w:val="28"/>
                <w:highlight w:val="none"/>
              </w:rPr>
            </w:pPr>
            <w:r>
              <w:rPr>
                <w:rFonts w:hint="eastAsia" w:ascii="宋体" w:hAnsi="宋体" w:cs="宋体"/>
                <w:color w:val="auto"/>
                <w:highlight w:val="none"/>
              </w:rPr>
              <w:t>技术参数</w:t>
            </w:r>
          </w:p>
        </w:tc>
        <w:tc>
          <w:tcPr>
            <w:tcW w:w="1559" w:type="dxa"/>
            <w:tcBorders>
              <w:top w:val="single" w:color="000000" w:sz="8" w:space="0"/>
              <w:bottom w:val="single" w:color="000000" w:sz="4" w:space="0"/>
              <w:right w:val="single" w:color="000000" w:sz="4" w:space="0"/>
            </w:tcBorders>
            <w:vAlign w:val="center"/>
          </w:tcPr>
          <w:p w14:paraId="65283087">
            <w:pPr>
              <w:spacing w:line="360" w:lineRule="exact"/>
              <w:jc w:val="center"/>
              <w:rPr>
                <w:rFonts w:ascii="宋体" w:hAnsi="宋体" w:cs="宋体"/>
                <w:color w:val="auto"/>
                <w:sz w:val="28"/>
                <w:highlight w:val="none"/>
              </w:rPr>
            </w:pPr>
            <w:r>
              <w:rPr>
                <w:rFonts w:hint="eastAsia" w:ascii="宋体" w:hAnsi="宋体" w:cs="宋体"/>
                <w:color w:val="auto"/>
                <w:highlight w:val="none"/>
              </w:rPr>
              <w:t>原产地及制造商</w:t>
            </w:r>
          </w:p>
        </w:tc>
        <w:tc>
          <w:tcPr>
            <w:tcW w:w="567" w:type="dxa"/>
            <w:tcBorders>
              <w:top w:val="single" w:color="000000" w:sz="8" w:space="0"/>
              <w:bottom w:val="single" w:color="000000" w:sz="4" w:space="0"/>
              <w:right w:val="single" w:color="000000" w:sz="8" w:space="0"/>
            </w:tcBorders>
            <w:vAlign w:val="center"/>
          </w:tcPr>
          <w:p w14:paraId="01666CFB">
            <w:pPr>
              <w:spacing w:line="360" w:lineRule="exact"/>
              <w:jc w:val="center"/>
              <w:rPr>
                <w:rFonts w:ascii="宋体" w:hAnsi="宋体" w:cs="宋体"/>
                <w:color w:val="auto"/>
                <w:sz w:val="28"/>
                <w:highlight w:val="none"/>
              </w:rPr>
            </w:pPr>
            <w:r>
              <w:rPr>
                <w:rFonts w:hint="eastAsia" w:ascii="宋体" w:hAnsi="宋体" w:cs="宋体"/>
                <w:color w:val="auto"/>
                <w:highlight w:val="none"/>
              </w:rPr>
              <w:t>附件</w:t>
            </w:r>
          </w:p>
        </w:tc>
        <w:tc>
          <w:tcPr>
            <w:tcW w:w="1561" w:type="dxa"/>
            <w:tcBorders>
              <w:top w:val="single" w:color="000000" w:sz="8" w:space="0"/>
              <w:bottom w:val="single" w:color="000000" w:sz="4" w:space="0"/>
              <w:right w:val="single" w:color="000000" w:sz="8" w:space="0"/>
            </w:tcBorders>
          </w:tcPr>
          <w:p w14:paraId="6B0B1EAE">
            <w:pPr>
              <w:spacing w:line="360" w:lineRule="exact"/>
              <w:jc w:val="center"/>
              <w:rPr>
                <w:rFonts w:ascii="宋体" w:hAnsi="宋体" w:cs="宋体"/>
                <w:color w:val="auto"/>
                <w:highlight w:val="none"/>
              </w:rPr>
            </w:pPr>
            <w:r>
              <w:rPr>
                <w:rFonts w:hint="eastAsia" w:ascii="宋体" w:hAnsi="宋体" w:cs="宋体"/>
                <w:color w:val="auto"/>
                <w:szCs w:val="21"/>
                <w:highlight w:val="none"/>
              </w:rPr>
              <w:t>节能产品、环境标志产品的标注</w:t>
            </w:r>
            <w:r>
              <w:rPr>
                <w:rFonts w:hint="eastAsia" w:ascii="宋体" w:hAnsi="宋体" w:cs="宋体"/>
                <w:color w:val="auto"/>
                <w:sz w:val="18"/>
                <w:szCs w:val="18"/>
                <w:highlight w:val="none"/>
              </w:rPr>
              <w:t>(按需填列)</w:t>
            </w:r>
          </w:p>
        </w:tc>
      </w:tr>
      <w:tr w14:paraId="758C2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553" w:hRule="atLeast"/>
        </w:trPr>
        <w:tc>
          <w:tcPr>
            <w:tcW w:w="480" w:type="dxa"/>
            <w:tcBorders>
              <w:bottom w:val="single" w:color="000000" w:sz="4" w:space="0"/>
              <w:right w:val="single" w:color="000000" w:sz="4" w:space="0"/>
            </w:tcBorders>
            <w:vAlign w:val="center"/>
          </w:tcPr>
          <w:p w14:paraId="09E14CFA">
            <w:pPr>
              <w:spacing w:line="360" w:lineRule="exact"/>
              <w:jc w:val="center"/>
              <w:rPr>
                <w:rFonts w:ascii="宋体" w:hAnsi="宋体" w:cs="宋体"/>
                <w:color w:val="auto"/>
                <w:sz w:val="28"/>
                <w:highlight w:val="none"/>
              </w:rPr>
            </w:pPr>
            <w:r>
              <w:rPr>
                <w:rFonts w:hint="eastAsia" w:ascii="宋体" w:hAnsi="宋体" w:cs="宋体"/>
                <w:color w:val="auto"/>
                <w:highlight w:val="none"/>
              </w:rPr>
              <w:t>1</w:t>
            </w:r>
          </w:p>
        </w:tc>
        <w:tc>
          <w:tcPr>
            <w:tcW w:w="1339" w:type="dxa"/>
            <w:tcBorders>
              <w:bottom w:val="single" w:color="000000" w:sz="4" w:space="0"/>
              <w:right w:val="single" w:color="000000" w:sz="4" w:space="0"/>
            </w:tcBorders>
            <w:vAlign w:val="center"/>
          </w:tcPr>
          <w:p w14:paraId="52DDE79D">
            <w:pPr>
              <w:spacing w:line="360" w:lineRule="exact"/>
              <w:jc w:val="center"/>
              <w:rPr>
                <w:rFonts w:ascii="宋体" w:hAnsi="宋体" w:cs="宋体"/>
                <w:color w:val="auto"/>
                <w:sz w:val="28"/>
                <w:highlight w:val="none"/>
              </w:rPr>
            </w:pPr>
          </w:p>
        </w:tc>
        <w:tc>
          <w:tcPr>
            <w:tcW w:w="567" w:type="dxa"/>
            <w:tcBorders>
              <w:bottom w:val="single" w:color="000000" w:sz="4" w:space="0"/>
              <w:right w:val="single" w:color="000000" w:sz="4" w:space="0"/>
            </w:tcBorders>
            <w:vAlign w:val="center"/>
          </w:tcPr>
          <w:p w14:paraId="170D95F4">
            <w:pPr>
              <w:spacing w:line="360" w:lineRule="exact"/>
              <w:jc w:val="center"/>
              <w:rPr>
                <w:rFonts w:ascii="宋体" w:hAnsi="宋体" w:cs="宋体"/>
                <w:color w:val="auto"/>
                <w:sz w:val="28"/>
                <w:highlight w:val="none"/>
              </w:rPr>
            </w:pPr>
          </w:p>
        </w:tc>
        <w:tc>
          <w:tcPr>
            <w:tcW w:w="567" w:type="dxa"/>
            <w:tcBorders>
              <w:bottom w:val="single" w:color="000000" w:sz="4" w:space="0"/>
              <w:right w:val="single" w:color="000000" w:sz="4" w:space="0"/>
            </w:tcBorders>
            <w:vAlign w:val="center"/>
          </w:tcPr>
          <w:p w14:paraId="3AFF5038">
            <w:pPr>
              <w:spacing w:line="360" w:lineRule="exact"/>
              <w:jc w:val="center"/>
              <w:rPr>
                <w:rFonts w:ascii="宋体" w:hAnsi="宋体" w:cs="宋体"/>
                <w:color w:val="auto"/>
                <w:sz w:val="28"/>
                <w:highlight w:val="none"/>
              </w:rPr>
            </w:pPr>
          </w:p>
        </w:tc>
        <w:tc>
          <w:tcPr>
            <w:tcW w:w="993" w:type="dxa"/>
            <w:tcBorders>
              <w:bottom w:val="single" w:color="000000" w:sz="4" w:space="0"/>
              <w:right w:val="single" w:color="000000" w:sz="4" w:space="0"/>
            </w:tcBorders>
            <w:vAlign w:val="center"/>
          </w:tcPr>
          <w:p w14:paraId="09FA11AD">
            <w:pPr>
              <w:spacing w:line="360" w:lineRule="exact"/>
              <w:jc w:val="center"/>
              <w:rPr>
                <w:rFonts w:ascii="宋体" w:hAnsi="宋体" w:cs="宋体"/>
                <w:color w:val="auto"/>
                <w:sz w:val="28"/>
                <w:highlight w:val="none"/>
              </w:rPr>
            </w:pPr>
          </w:p>
        </w:tc>
        <w:tc>
          <w:tcPr>
            <w:tcW w:w="1984" w:type="dxa"/>
            <w:tcBorders>
              <w:bottom w:val="single" w:color="000000" w:sz="4" w:space="0"/>
              <w:right w:val="single" w:color="000000" w:sz="4" w:space="0"/>
            </w:tcBorders>
            <w:vAlign w:val="center"/>
          </w:tcPr>
          <w:p w14:paraId="1DF375A5">
            <w:pPr>
              <w:spacing w:line="360" w:lineRule="exact"/>
              <w:jc w:val="center"/>
              <w:rPr>
                <w:rFonts w:ascii="宋体" w:hAnsi="宋体" w:cs="宋体"/>
                <w:color w:val="auto"/>
                <w:sz w:val="28"/>
                <w:highlight w:val="none"/>
              </w:rPr>
            </w:pPr>
          </w:p>
        </w:tc>
        <w:tc>
          <w:tcPr>
            <w:tcW w:w="1559" w:type="dxa"/>
            <w:tcBorders>
              <w:bottom w:val="single" w:color="000000" w:sz="4" w:space="0"/>
              <w:right w:val="single" w:color="000000" w:sz="4" w:space="0"/>
            </w:tcBorders>
            <w:vAlign w:val="center"/>
          </w:tcPr>
          <w:p w14:paraId="18D5EF4E">
            <w:pPr>
              <w:spacing w:line="360" w:lineRule="exact"/>
              <w:jc w:val="center"/>
              <w:rPr>
                <w:rFonts w:ascii="宋体" w:hAnsi="宋体" w:cs="宋体"/>
                <w:color w:val="auto"/>
                <w:sz w:val="28"/>
                <w:highlight w:val="none"/>
              </w:rPr>
            </w:pPr>
          </w:p>
        </w:tc>
        <w:tc>
          <w:tcPr>
            <w:tcW w:w="567" w:type="dxa"/>
            <w:tcBorders>
              <w:bottom w:val="single" w:color="000000" w:sz="4" w:space="0"/>
              <w:right w:val="single" w:color="000000" w:sz="8" w:space="0"/>
            </w:tcBorders>
            <w:vAlign w:val="center"/>
          </w:tcPr>
          <w:p w14:paraId="7E9DCD56">
            <w:pPr>
              <w:spacing w:line="360" w:lineRule="exact"/>
              <w:jc w:val="center"/>
              <w:rPr>
                <w:rFonts w:ascii="宋体" w:hAnsi="宋体" w:cs="宋体"/>
                <w:color w:val="auto"/>
                <w:sz w:val="28"/>
                <w:highlight w:val="none"/>
              </w:rPr>
            </w:pPr>
          </w:p>
        </w:tc>
        <w:tc>
          <w:tcPr>
            <w:tcW w:w="1561" w:type="dxa"/>
            <w:tcBorders>
              <w:bottom w:val="single" w:color="000000" w:sz="4" w:space="0"/>
              <w:right w:val="single" w:color="000000" w:sz="8" w:space="0"/>
            </w:tcBorders>
          </w:tcPr>
          <w:p w14:paraId="0E03C161">
            <w:pPr>
              <w:spacing w:line="360" w:lineRule="exact"/>
              <w:jc w:val="center"/>
              <w:rPr>
                <w:rFonts w:ascii="宋体" w:hAnsi="宋体" w:cs="宋体"/>
                <w:color w:val="auto"/>
                <w:sz w:val="28"/>
                <w:highlight w:val="none"/>
              </w:rPr>
            </w:pPr>
          </w:p>
        </w:tc>
      </w:tr>
      <w:tr w14:paraId="1691F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449" w:hRule="atLeast"/>
        </w:trPr>
        <w:tc>
          <w:tcPr>
            <w:tcW w:w="480" w:type="dxa"/>
            <w:tcBorders>
              <w:left w:val="single" w:color="000000" w:sz="4" w:space="0"/>
              <w:bottom w:val="single" w:color="000000" w:sz="4" w:space="0"/>
              <w:right w:val="single" w:color="000000" w:sz="4" w:space="0"/>
            </w:tcBorders>
            <w:vAlign w:val="center"/>
          </w:tcPr>
          <w:p w14:paraId="337873B1">
            <w:pPr>
              <w:spacing w:line="360" w:lineRule="exact"/>
              <w:jc w:val="center"/>
              <w:rPr>
                <w:rFonts w:ascii="宋体" w:hAnsi="宋体" w:cs="宋体"/>
                <w:color w:val="auto"/>
                <w:sz w:val="28"/>
                <w:highlight w:val="none"/>
              </w:rPr>
            </w:pPr>
            <w:r>
              <w:rPr>
                <w:rFonts w:hint="eastAsia" w:ascii="宋体" w:hAnsi="宋体" w:cs="宋体"/>
                <w:color w:val="auto"/>
                <w:highlight w:val="none"/>
              </w:rPr>
              <w:t>2</w:t>
            </w:r>
          </w:p>
        </w:tc>
        <w:tc>
          <w:tcPr>
            <w:tcW w:w="1339" w:type="dxa"/>
            <w:tcBorders>
              <w:bottom w:val="single" w:color="000000" w:sz="4" w:space="0"/>
              <w:right w:val="single" w:color="000000" w:sz="4" w:space="0"/>
            </w:tcBorders>
            <w:vAlign w:val="center"/>
          </w:tcPr>
          <w:p w14:paraId="5876C2E0">
            <w:pPr>
              <w:spacing w:line="360" w:lineRule="exact"/>
              <w:jc w:val="center"/>
              <w:rPr>
                <w:rFonts w:ascii="宋体" w:hAnsi="宋体" w:cs="宋体"/>
                <w:color w:val="auto"/>
                <w:sz w:val="28"/>
                <w:highlight w:val="none"/>
              </w:rPr>
            </w:pPr>
          </w:p>
        </w:tc>
        <w:tc>
          <w:tcPr>
            <w:tcW w:w="567" w:type="dxa"/>
            <w:tcBorders>
              <w:bottom w:val="single" w:color="000000" w:sz="4" w:space="0"/>
              <w:right w:val="single" w:color="000000" w:sz="4" w:space="0"/>
            </w:tcBorders>
            <w:vAlign w:val="center"/>
          </w:tcPr>
          <w:p w14:paraId="5483948F">
            <w:pPr>
              <w:spacing w:line="360" w:lineRule="exact"/>
              <w:jc w:val="center"/>
              <w:rPr>
                <w:rFonts w:ascii="宋体" w:hAnsi="宋体" w:cs="宋体"/>
                <w:color w:val="auto"/>
                <w:sz w:val="28"/>
                <w:highlight w:val="none"/>
              </w:rPr>
            </w:pPr>
          </w:p>
        </w:tc>
        <w:tc>
          <w:tcPr>
            <w:tcW w:w="567" w:type="dxa"/>
            <w:tcBorders>
              <w:bottom w:val="single" w:color="000000" w:sz="4" w:space="0"/>
              <w:right w:val="single" w:color="000000" w:sz="4" w:space="0"/>
            </w:tcBorders>
            <w:vAlign w:val="center"/>
          </w:tcPr>
          <w:p w14:paraId="464AD599">
            <w:pPr>
              <w:spacing w:line="360" w:lineRule="exact"/>
              <w:jc w:val="center"/>
              <w:rPr>
                <w:rFonts w:ascii="宋体" w:hAnsi="宋体" w:cs="宋体"/>
                <w:color w:val="auto"/>
                <w:sz w:val="28"/>
                <w:highlight w:val="none"/>
              </w:rPr>
            </w:pPr>
          </w:p>
        </w:tc>
        <w:tc>
          <w:tcPr>
            <w:tcW w:w="993" w:type="dxa"/>
            <w:tcBorders>
              <w:bottom w:val="single" w:color="000000" w:sz="4" w:space="0"/>
              <w:right w:val="single" w:color="000000" w:sz="4" w:space="0"/>
            </w:tcBorders>
            <w:vAlign w:val="center"/>
          </w:tcPr>
          <w:p w14:paraId="2A890D5A">
            <w:pPr>
              <w:spacing w:line="360" w:lineRule="exact"/>
              <w:jc w:val="center"/>
              <w:rPr>
                <w:rFonts w:ascii="宋体" w:hAnsi="宋体" w:cs="宋体"/>
                <w:color w:val="auto"/>
                <w:sz w:val="28"/>
                <w:highlight w:val="none"/>
              </w:rPr>
            </w:pPr>
          </w:p>
        </w:tc>
        <w:tc>
          <w:tcPr>
            <w:tcW w:w="1984" w:type="dxa"/>
            <w:tcBorders>
              <w:bottom w:val="single" w:color="000000" w:sz="4" w:space="0"/>
              <w:right w:val="single" w:color="000000" w:sz="4" w:space="0"/>
            </w:tcBorders>
            <w:vAlign w:val="center"/>
          </w:tcPr>
          <w:p w14:paraId="6D3C36B8">
            <w:pPr>
              <w:spacing w:line="360" w:lineRule="exact"/>
              <w:jc w:val="center"/>
              <w:rPr>
                <w:rFonts w:ascii="宋体" w:hAnsi="宋体" w:cs="宋体"/>
                <w:color w:val="auto"/>
                <w:sz w:val="28"/>
                <w:highlight w:val="none"/>
              </w:rPr>
            </w:pPr>
          </w:p>
        </w:tc>
        <w:tc>
          <w:tcPr>
            <w:tcW w:w="1559" w:type="dxa"/>
            <w:tcBorders>
              <w:bottom w:val="single" w:color="000000" w:sz="4" w:space="0"/>
              <w:right w:val="single" w:color="000000" w:sz="4" w:space="0"/>
            </w:tcBorders>
            <w:vAlign w:val="center"/>
          </w:tcPr>
          <w:p w14:paraId="72748BA7">
            <w:pPr>
              <w:spacing w:line="360" w:lineRule="exact"/>
              <w:jc w:val="center"/>
              <w:rPr>
                <w:rFonts w:ascii="宋体" w:hAnsi="宋体" w:cs="宋体"/>
                <w:color w:val="auto"/>
                <w:sz w:val="28"/>
                <w:highlight w:val="none"/>
              </w:rPr>
            </w:pPr>
          </w:p>
        </w:tc>
        <w:tc>
          <w:tcPr>
            <w:tcW w:w="567" w:type="dxa"/>
            <w:tcBorders>
              <w:bottom w:val="single" w:color="000000" w:sz="4" w:space="0"/>
              <w:right w:val="single" w:color="000000" w:sz="8" w:space="0"/>
            </w:tcBorders>
            <w:vAlign w:val="center"/>
          </w:tcPr>
          <w:p w14:paraId="046EF8AF">
            <w:pPr>
              <w:spacing w:line="360" w:lineRule="exact"/>
              <w:jc w:val="center"/>
              <w:rPr>
                <w:rFonts w:ascii="宋体" w:hAnsi="宋体" w:cs="宋体"/>
                <w:color w:val="auto"/>
                <w:sz w:val="28"/>
                <w:highlight w:val="none"/>
              </w:rPr>
            </w:pPr>
          </w:p>
        </w:tc>
        <w:tc>
          <w:tcPr>
            <w:tcW w:w="1561" w:type="dxa"/>
            <w:tcBorders>
              <w:bottom w:val="single" w:color="000000" w:sz="4" w:space="0"/>
              <w:right w:val="single" w:color="000000" w:sz="8" w:space="0"/>
            </w:tcBorders>
          </w:tcPr>
          <w:p w14:paraId="071F96A9">
            <w:pPr>
              <w:spacing w:line="360" w:lineRule="exact"/>
              <w:jc w:val="center"/>
              <w:rPr>
                <w:rFonts w:ascii="宋体" w:hAnsi="宋体" w:cs="宋体"/>
                <w:color w:val="auto"/>
                <w:sz w:val="28"/>
                <w:highlight w:val="none"/>
              </w:rPr>
            </w:pPr>
          </w:p>
        </w:tc>
      </w:tr>
      <w:tr w14:paraId="36BFE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479" w:hRule="atLeast"/>
        </w:trPr>
        <w:tc>
          <w:tcPr>
            <w:tcW w:w="480" w:type="dxa"/>
            <w:tcBorders>
              <w:left w:val="single" w:color="000000" w:sz="4" w:space="0"/>
              <w:right w:val="single" w:color="000000" w:sz="4" w:space="0"/>
            </w:tcBorders>
            <w:vAlign w:val="center"/>
          </w:tcPr>
          <w:p w14:paraId="3FD0A11E">
            <w:pPr>
              <w:spacing w:line="360" w:lineRule="exact"/>
              <w:jc w:val="center"/>
              <w:rPr>
                <w:rFonts w:ascii="宋体" w:hAnsi="宋体" w:cs="宋体"/>
                <w:color w:val="auto"/>
                <w:sz w:val="28"/>
                <w:highlight w:val="none"/>
              </w:rPr>
            </w:pPr>
            <w:r>
              <w:rPr>
                <w:rFonts w:hint="eastAsia" w:ascii="宋体" w:hAnsi="宋体" w:cs="宋体"/>
                <w:color w:val="auto"/>
                <w:highlight w:val="none"/>
              </w:rPr>
              <w:t>3</w:t>
            </w:r>
          </w:p>
        </w:tc>
        <w:tc>
          <w:tcPr>
            <w:tcW w:w="1339" w:type="dxa"/>
            <w:tcBorders>
              <w:right w:val="single" w:color="000000" w:sz="4" w:space="0"/>
            </w:tcBorders>
            <w:vAlign w:val="center"/>
          </w:tcPr>
          <w:p w14:paraId="764650A8">
            <w:pPr>
              <w:spacing w:line="360" w:lineRule="exact"/>
              <w:jc w:val="center"/>
              <w:rPr>
                <w:rFonts w:ascii="宋体" w:hAnsi="宋体" w:cs="宋体"/>
                <w:color w:val="auto"/>
                <w:sz w:val="28"/>
                <w:highlight w:val="none"/>
              </w:rPr>
            </w:pPr>
          </w:p>
        </w:tc>
        <w:tc>
          <w:tcPr>
            <w:tcW w:w="567" w:type="dxa"/>
            <w:tcBorders>
              <w:right w:val="single" w:color="000000" w:sz="4" w:space="0"/>
            </w:tcBorders>
            <w:vAlign w:val="center"/>
          </w:tcPr>
          <w:p w14:paraId="783C115F">
            <w:pPr>
              <w:spacing w:line="360" w:lineRule="exact"/>
              <w:jc w:val="center"/>
              <w:rPr>
                <w:rFonts w:ascii="宋体" w:hAnsi="宋体" w:cs="宋体"/>
                <w:color w:val="auto"/>
                <w:sz w:val="28"/>
                <w:highlight w:val="none"/>
              </w:rPr>
            </w:pPr>
          </w:p>
        </w:tc>
        <w:tc>
          <w:tcPr>
            <w:tcW w:w="567" w:type="dxa"/>
            <w:tcBorders>
              <w:right w:val="single" w:color="000000" w:sz="4" w:space="0"/>
            </w:tcBorders>
            <w:vAlign w:val="center"/>
          </w:tcPr>
          <w:p w14:paraId="30B6EB30">
            <w:pPr>
              <w:spacing w:line="360" w:lineRule="exact"/>
              <w:jc w:val="center"/>
              <w:rPr>
                <w:rFonts w:ascii="宋体" w:hAnsi="宋体" w:cs="宋体"/>
                <w:color w:val="auto"/>
                <w:sz w:val="28"/>
                <w:highlight w:val="none"/>
              </w:rPr>
            </w:pPr>
          </w:p>
        </w:tc>
        <w:tc>
          <w:tcPr>
            <w:tcW w:w="993" w:type="dxa"/>
            <w:tcBorders>
              <w:right w:val="single" w:color="000000" w:sz="4" w:space="0"/>
            </w:tcBorders>
            <w:vAlign w:val="center"/>
          </w:tcPr>
          <w:p w14:paraId="353B3B3E">
            <w:pPr>
              <w:spacing w:line="360" w:lineRule="exact"/>
              <w:jc w:val="center"/>
              <w:rPr>
                <w:rFonts w:ascii="宋体" w:hAnsi="宋体" w:cs="宋体"/>
                <w:color w:val="auto"/>
                <w:sz w:val="28"/>
                <w:highlight w:val="none"/>
              </w:rPr>
            </w:pPr>
          </w:p>
        </w:tc>
        <w:tc>
          <w:tcPr>
            <w:tcW w:w="1984" w:type="dxa"/>
            <w:tcBorders>
              <w:right w:val="single" w:color="000000" w:sz="4" w:space="0"/>
            </w:tcBorders>
            <w:vAlign w:val="center"/>
          </w:tcPr>
          <w:p w14:paraId="1EF3C227">
            <w:pPr>
              <w:spacing w:line="360" w:lineRule="exact"/>
              <w:jc w:val="center"/>
              <w:rPr>
                <w:rFonts w:ascii="宋体" w:hAnsi="宋体" w:cs="宋体"/>
                <w:color w:val="auto"/>
                <w:sz w:val="28"/>
                <w:highlight w:val="none"/>
              </w:rPr>
            </w:pPr>
          </w:p>
        </w:tc>
        <w:tc>
          <w:tcPr>
            <w:tcW w:w="1559" w:type="dxa"/>
            <w:tcBorders>
              <w:right w:val="single" w:color="000000" w:sz="4" w:space="0"/>
            </w:tcBorders>
            <w:vAlign w:val="center"/>
          </w:tcPr>
          <w:p w14:paraId="12DC954A">
            <w:pPr>
              <w:spacing w:line="360" w:lineRule="exact"/>
              <w:jc w:val="center"/>
              <w:rPr>
                <w:rFonts w:ascii="宋体" w:hAnsi="宋体" w:cs="宋体"/>
                <w:color w:val="auto"/>
                <w:sz w:val="28"/>
                <w:highlight w:val="none"/>
              </w:rPr>
            </w:pPr>
          </w:p>
        </w:tc>
        <w:tc>
          <w:tcPr>
            <w:tcW w:w="567" w:type="dxa"/>
            <w:tcBorders>
              <w:right w:val="single" w:color="000000" w:sz="8" w:space="0"/>
            </w:tcBorders>
            <w:vAlign w:val="center"/>
          </w:tcPr>
          <w:p w14:paraId="1DBC1572">
            <w:pPr>
              <w:spacing w:line="360" w:lineRule="exact"/>
              <w:jc w:val="center"/>
              <w:rPr>
                <w:rFonts w:ascii="宋体" w:hAnsi="宋体" w:cs="宋体"/>
                <w:color w:val="auto"/>
                <w:sz w:val="28"/>
                <w:highlight w:val="none"/>
              </w:rPr>
            </w:pPr>
          </w:p>
        </w:tc>
        <w:tc>
          <w:tcPr>
            <w:tcW w:w="1561" w:type="dxa"/>
            <w:tcBorders>
              <w:right w:val="single" w:color="000000" w:sz="8" w:space="0"/>
            </w:tcBorders>
          </w:tcPr>
          <w:p w14:paraId="19CA0098">
            <w:pPr>
              <w:spacing w:line="360" w:lineRule="exact"/>
              <w:jc w:val="center"/>
              <w:rPr>
                <w:rFonts w:ascii="宋体" w:hAnsi="宋体" w:cs="宋体"/>
                <w:color w:val="auto"/>
                <w:sz w:val="28"/>
                <w:highlight w:val="none"/>
              </w:rPr>
            </w:pPr>
          </w:p>
        </w:tc>
      </w:tr>
      <w:tr w14:paraId="46AA1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479" w:hRule="atLeast"/>
        </w:trPr>
        <w:tc>
          <w:tcPr>
            <w:tcW w:w="480" w:type="dxa"/>
            <w:tcBorders>
              <w:left w:val="single" w:color="000000" w:sz="4" w:space="0"/>
              <w:right w:val="single" w:color="000000" w:sz="4" w:space="0"/>
            </w:tcBorders>
            <w:vAlign w:val="center"/>
          </w:tcPr>
          <w:p w14:paraId="08CE4746">
            <w:pPr>
              <w:spacing w:line="360" w:lineRule="exact"/>
              <w:jc w:val="center"/>
              <w:rPr>
                <w:rFonts w:ascii="宋体" w:hAnsi="宋体" w:cs="宋体"/>
                <w:color w:val="auto"/>
                <w:highlight w:val="none"/>
              </w:rPr>
            </w:pPr>
            <w:r>
              <w:rPr>
                <w:rFonts w:hint="eastAsia" w:ascii="宋体" w:hAnsi="宋体" w:cs="宋体"/>
                <w:color w:val="auto"/>
                <w:highlight w:val="none"/>
              </w:rPr>
              <w:t>……</w:t>
            </w:r>
          </w:p>
        </w:tc>
        <w:tc>
          <w:tcPr>
            <w:tcW w:w="1339" w:type="dxa"/>
            <w:tcBorders>
              <w:right w:val="single" w:color="000000" w:sz="4" w:space="0"/>
            </w:tcBorders>
            <w:vAlign w:val="center"/>
          </w:tcPr>
          <w:p w14:paraId="07FDAFBF">
            <w:pPr>
              <w:spacing w:line="360" w:lineRule="exact"/>
              <w:jc w:val="center"/>
              <w:rPr>
                <w:rFonts w:ascii="宋体" w:hAnsi="宋体" w:cs="宋体"/>
                <w:color w:val="auto"/>
                <w:sz w:val="28"/>
                <w:highlight w:val="none"/>
              </w:rPr>
            </w:pPr>
          </w:p>
        </w:tc>
        <w:tc>
          <w:tcPr>
            <w:tcW w:w="567" w:type="dxa"/>
            <w:tcBorders>
              <w:right w:val="single" w:color="000000" w:sz="4" w:space="0"/>
            </w:tcBorders>
            <w:vAlign w:val="center"/>
          </w:tcPr>
          <w:p w14:paraId="00A8DC16">
            <w:pPr>
              <w:spacing w:line="360" w:lineRule="exact"/>
              <w:jc w:val="center"/>
              <w:rPr>
                <w:rFonts w:ascii="宋体" w:hAnsi="宋体" w:cs="宋体"/>
                <w:color w:val="auto"/>
                <w:sz w:val="28"/>
                <w:highlight w:val="none"/>
              </w:rPr>
            </w:pPr>
          </w:p>
        </w:tc>
        <w:tc>
          <w:tcPr>
            <w:tcW w:w="567" w:type="dxa"/>
            <w:tcBorders>
              <w:right w:val="single" w:color="000000" w:sz="4" w:space="0"/>
            </w:tcBorders>
            <w:vAlign w:val="center"/>
          </w:tcPr>
          <w:p w14:paraId="01EA6D0A">
            <w:pPr>
              <w:spacing w:line="360" w:lineRule="exact"/>
              <w:jc w:val="center"/>
              <w:rPr>
                <w:rFonts w:ascii="宋体" w:hAnsi="宋体" w:cs="宋体"/>
                <w:color w:val="auto"/>
                <w:sz w:val="28"/>
                <w:highlight w:val="none"/>
              </w:rPr>
            </w:pPr>
          </w:p>
        </w:tc>
        <w:tc>
          <w:tcPr>
            <w:tcW w:w="993" w:type="dxa"/>
            <w:tcBorders>
              <w:right w:val="single" w:color="000000" w:sz="4" w:space="0"/>
            </w:tcBorders>
            <w:vAlign w:val="center"/>
          </w:tcPr>
          <w:p w14:paraId="2D6174BC">
            <w:pPr>
              <w:spacing w:line="360" w:lineRule="exact"/>
              <w:jc w:val="center"/>
              <w:rPr>
                <w:rFonts w:ascii="宋体" w:hAnsi="宋体" w:cs="宋体"/>
                <w:color w:val="auto"/>
                <w:sz w:val="28"/>
                <w:highlight w:val="none"/>
              </w:rPr>
            </w:pPr>
          </w:p>
        </w:tc>
        <w:tc>
          <w:tcPr>
            <w:tcW w:w="1984" w:type="dxa"/>
            <w:tcBorders>
              <w:right w:val="single" w:color="000000" w:sz="4" w:space="0"/>
            </w:tcBorders>
            <w:vAlign w:val="center"/>
          </w:tcPr>
          <w:p w14:paraId="7614681F">
            <w:pPr>
              <w:spacing w:line="360" w:lineRule="exact"/>
              <w:jc w:val="center"/>
              <w:rPr>
                <w:rFonts w:ascii="宋体" w:hAnsi="宋体" w:cs="宋体"/>
                <w:color w:val="auto"/>
                <w:sz w:val="28"/>
                <w:highlight w:val="none"/>
              </w:rPr>
            </w:pPr>
          </w:p>
        </w:tc>
        <w:tc>
          <w:tcPr>
            <w:tcW w:w="1559" w:type="dxa"/>
            <w:tcBorders>
              <w:right w:val="single" w:color="000000" w:sz="4" w:space="0"/>
            </w:tcBorders>
            <w:vAlign w:val="center"/>
          </w:tcPr>
          <w:p w14:paraId="176A736B">
            <w:pPr>
              <w:spacing w:line="360" w:lineRule="exact"/>
              <w:jc w:val="center"/>
              <w:rPr>
                <w:rFonts w:ascii="宋体" w:hAnsi="宋体" w:cs="宋体"/>
                <w:color w:val="auto"/>
                <w:sz w:val="28"/>
                <w:highlight w:val="none"/>
              </w:rPr>
            </w:pPr>
          </w:p>
        </w:tc>
        <w:tc>
          <w:tcPr>
            <w:tcW w:w="567" w:type="dxa"/>
            <w:tcBorders>
              <w:right w:val="single" w:color="000000" w:sz="8" w:space="0"/>
            </w:tcBorders>
            <w:vAlign w:val="center"/>
          </w:tcPr>
          <w:p w14:paraId="13490DCF">
            <w:pPr>
              <w:spacing w:line="360" w:lineRule="exact"/>
              <w:jc w:val="center"/>
              <w:rPr>
                <w:rFonts w:ascii="宋体" w:hAnsi="宋体" w:cs="宋体"/>
                <w:color w:val="auto"/>
                <w:sz w:val="28"/>
                <w:highlight w:val="none"/>
              </w:rPr>
            </w:pPr>
          </w:p>
        </w:tc>
        <w:tc>
          <w:tcPr>
            <w:tcW w:w="1561" w:type="dxa"/>
            <w:tcBorders>
              <w:right w:val="single" w:color="000000" w:sz="8" w:space="0"/>
            </w:tcBorders>
          </w:tcPr>
          <w:p w14:paraId="645F80D1">
            <w:pPr>
              <w:spacing w:line="360" w:lineRule="exact"/>
              <w:jc w:val="center"/>
              <w:rPr>
                <w:rFonts w:ascii="宋体" w:hAnsi="宋体" w:cs="宋体"/>
                <w:color w:val="auto"/>
                <w:sz w:val="28"/>
                <w:highlight w:val="none"/>
              </w:rPr>
            </w:pPr>
          </w:p>
        </w:tc>
      </w:tr>
    </w:tbl>
    <w:p w14:paraId="05EEFF79">
      <w:pPr>
        <w:spacing w:line="240" w:lineRule="auto"/>
        <w:rPr>
          <w:rFonts w:ascii="宋体" w:hAnsi="宋体" w:cs="宋体"/>
          <w:color w:val="auto"/>
          <w:highlight w:val="none"/>
        </w:rPr>
      </w:pPr>
      <w:r>
        <w:rPr>
          <w:rFonts w:hint="eastAsia" w:ascii="宋体" w:hAnsi="宋体" w:cs="宋体"/>
          <w:color w:val="auto"/>
          <w:sz w:val="24"/>
          <w:highlight w:val="none"/>
        </w:rPr>
        <w:t>　</w:t>
      </w:r>
      <w:r>
        <w:rPr>
          <w:rFonts w:hint="eastAsia" w:ascii="宋体" w:hAnsi="宋体" w:cs="宋体"/>
          <w:color w:val="auto"/>
          <w:highlight w:val="none"/>
        </w:rPr>
        <w:t>注：1、供应商应详细填写投标货物具体技术参数。包括货物的品牌、规格、型号、产地等技术参数。</w:t>
      </w:r>
    </w:p>
    <w:p w14:paraId="44FA4442">
      <w:pPr>
        <w:widowControl w:val="0"/>
        <w:tabs>
          <w:tab w:val="left" w:pos="9365"/>
        </w:tabs>
        <w:snapToGrid w:val="0"/>
        <w:spacing w:after="56" w:line="360" w:lineRule="exact"/>
        <w:ind w:right="85" w:firstLine="601"/>
        <w:textAlignment w:val="top"/>
        <w:rPr>
          <w:rFonts w:ascii="宋体" w:hAnsi="宋体" w:cs="宋体"/>
          <w:color w:val="auto"/>
          <w:highlight w:val="none"/>
        </w:rPr>
      </w:pPr>
      <w:r>
        <w:rPr>
          <w:rFonts w:hint="eastAsia" w:ascii="宋体" w:hAnsi="宋体" w:cs="宋体"/>
          <w:color w:val="auto"/>
          <w:highlight w:val="none"/>
        </w:rPr>
        <w:t>2、如采购产品属于政府强制采购品目清单的，供应商须在本表对应栏中标明 “为节能产品，节能产品认证证书后附”，认证证书应当为国家确定的认证机构出具、且应处于有效期之内。不符合的、按磋商文件规定为无效投标。</w:t>
      </w:r>
    </w:p>
    <w:p w14:paraId="3CF1E8BA">
      <w:pPr>
        <w:widowControl w:val="0"/>
        <w:tabs>
          <w:tab w:val="left" w:pos="9365"/>
        </w:tabs>
        <w:snapToGrid w:val="0"/>
        <w:spacing w:after="56" w:line="360" w:lineRule="exact"/>
        <w:ind w:right="85" w:firstLine="601"/>
        <w:textAlignment w:val="top"/>
        <w:rPr>
          <w:rFonts w:ascii="宋体" w:hAnsi="宋体" w:cs="宋体"/>
          <w:color w:val="auto"/>
          <w:highlight w:val="none"/>
        </w:rPr>
      </w:pPr>
      <w:r>
        <w:rPr>
          <w:rFonts w:hint="eastAsia" w:ascii="宋体" w:hAnsi="宋体" w:cs="宋体"/>
          <w:color w:val="auto"/>
          <w:highlight w:val="none"/>
        </w:rPr>
        <w:t>3、如采购产品不属于政府强制采购品目清单的，供应商自主填列。</w:t>
      </w:r>
    </w:p>
    <w:p w14:paraId="2464D012">
      <w:pPr>
        <w:autoSpaceDE w:val="0"/>
        <w:autoSpaceDN w:val="0"/>
        <w:adjustRightInd w:val="0"/>
        <w:spacing w:line="360" w:lineRule="auto"/>
        <w:jc w:val="center"/>
        <w:rPr>
          <w:rFonts w:ascii="宋体" w:hAnsi="宋体" w:cs="宋体"/>
          <w:color w:val="auto"/>
          <w:sz w:val="28"/>
          <w:highlight w:val="none"/>
        </w:rPr>
      </w:pPr>
    </w:p>
    <w:p w14:paraId="23D6FC22">
      <w:pPr>
        <w:widowControl w:val="0"/>
        <w:tabs>
          <w:tab w:val="left" w:pos="9365"/>
        </w:tabs>
        <w:snapToGrid w:val="0"/>
        <w:spacing w:after="56" w:line="560" w:lineRule="exact"/>
        <w:ind w:right="85"/>
        <w:jc w:val="left"/>
        <w:textAlignment w:val="top"/>
        <w:rPr>
          <w:rFonts w:ascii="宋体" w:hAnsi="宋体" w:cs="宋体"/>
          <w:color w:val="auto"/>
          <w:sz w:val="24"/>
          <w:szCs w:val="24"/>
          <w:highlight w:val="none"/>
        </w:rPr>
      </w:pPr>
      <w:r>
        <w:rPr>
          <w:rFonts w:hint="eastAsia" w:ascii="宋体" w:hAnsi="宋体" w:cs="宋体"/>
          <w:color w:val="auto"/>
          <w:sz w:val="24"/>
          <w:highlight w:val="none"/>
        </w:rPr>
        <w:t>供应商</w:t>
      </w:r>
      <w:r>
        <w:rPr>
          <w:rFonts w:hint="eastAsia" w:ascii="宋体" w:hAnsi="宋体" w:cs="宋体"/>
          <w:color w:val="auto"/>
          <w:sz w:val="24"/>
          <w:szCs w:val="24"/>
          <w:highlight w:val="none"/>
        </w:rPr>
        <w:t>（电子签章）：</w:t>
      </w:r>
    </w:p>
    <w:p w14:paraId="5EB48140">
      <w:pPr>
        <w:widowControl w:val="0"/>
        <w:tabs>
          <w:tab w:val="left" w:pos="9365"/>
        </w:tabs>
        <w:snapToGrid w:val="0"/>
        <w:spacing w:after="56" w:line="560" w:lineRule="exact"/>
        <w:ind w:right="85"/>
        <w:jc w:val="left"/>
        <w:textAlignment w:val="top"/>
        <w:rPr>
          <w:rFonts w:ascii="宋体" w:hAnsi="宋体" w:cs="宋体"/>
          <w:color w:val="auto"/>
          <w:sz w:val="24"/>
          <w:szCs w:val="24"/>
          <w:highlight w:val="none"/>
        </w:rPr>
      </w:pPr>
      <w:r>
        <w:rPr>
          <w:rFonts w:hint="eastAsia" w:ascii="宋体" w:hAnsi="宋体" w:cs="宋体"/>
          <w:color w:val="auto"/>
          <w:sz w:val="24"/>
          <w:szCs w:val="24"/>
          <w:highlight w:val="none"/>
        </w:rPr>
        <w:t>法定代表人（电子签名）：</w:t>
      </w:r>
    </w:p>
    <w:p w14:paraId="66B1FA70">
      <w:pPr>
        <w:widowControl w:val="0"/>
        <w:tabs>
          <w:tab w:val="left" w:pos="9365"/>
        </w:tabs>
        <w:snapToGrid w:val="0"/>
        <w:spacing w:after="56" w:line="560" w:lineRule="exact"/>
        <w:ind w:right="56"/>
        <w:jc w:val="left"/>
        <w:textAlignment w:val="top"/>
        <w:rPr>
          <w:rFonts w:ascii="宋体" w:hAnsi="宋体" w:cs="宋体"/>
          <w:color w:val="auto"/>
          <w:highlight w:val="none"/>
        </w:rPr>
      </w:pPr>
      <w:r>
        <w:rPr>
          <w:rFonts w:hint="eastAsia" w:ascii="宋体" w:hAnsi="宋体" w:cs="宋体"/>
          <w:color w:val="auto"/>
          <w:sz w:val="24"/>
          <w:highlight w:val="none"/>
          <w:lang w:val="zh-CN"/>
        </w:rPr>
        <w:t>日期：   年   月   日</w:t>
      </w:r>
    </w:p>
    <w:p w14:paraId="017FBA86">
      <w:pPr>
        <w:spacing w:line="240" w:lineRule="auto"/>
        <w:rPr>
          <w:rFonts w:ascii="宋体" w:hAnsi="宋体" w:cs="宋体"/>
          <w:color w:val="auto"/>
          <w:sz w:val="24"/>
          <w:highlight w:val="none"/>
        </w:rPr>
      </w:pPr>
    </w:p>
    <w:p w14:paraId="63789C70">
      <w:pPr>
        <w:pStyle w:val="18"/>
        <w:adjustRightInd w:val="0"/>
        <w:snapToGrid w:val="0"/>
        <w:spacing w:before="0" w:beforeAutospacing="0" w:after="0" w:afterAutospacing="0"/>
        <w:rPr>
          <w:b/>
          <w:color w:val="auto"/>
          <w:sz w:val="30"/>
          <w:szCs w:val="30"/>
          <w:highlight w:val="none"/>
        </w:rPr>
      </w:pPr>
      <w:r>
        <w:rPr>
          <w:rFonts w:hint="eastAsia"/>
          <w:b/>
          <w:color w:val="auto"/>
          <w:sz w:val="30"/>
          <w:szCs w:val="30"/>
          <w:highlight w:val="none"/>
        </w:rPr>
        <w:br w:type="page"/>
      </w:r>
      <w:bookmarkStart w:id="45" w:name="OLE_LINK22"/>
    </w:p>
    <w:p w14:paraId="1B258BBD">
      <w:pPr>
        <w:widowControl w:val="0"/>
        <w:snapToGrid w:val="0"/>
        <w:spacing w:line="560" w:lineRule="exact"/>
        <w:jc w:val="center"/>
        <w:rPr>
          <w:rFonts w:ascii="宋体" w:hAnsi="宋体" w:cs="宋体"/>
          <w:b/>
          <w:color w:val="auto"/>
          <w:sz w:val="30"/>
          <w:szCs w:val="30"/>
          <w:highlight w:val="none"/>
        </w:rPr>
      </w:pPr>
      <w:r>
        <w:rPr>
          <w:rFonts w:hint="eastAsia" w:ascii="宋体" w:hAnsi="宋体" w:cs="宋体"/>
          <w:b/>
          <w:color w:val="auto"/>
          <w:sz w:val="30"/>
          <w:szCs w:val="30"/>
          <w:highlight w:val="none"/>
        </w:rPr>
        <w:t>五、技术偏差表</w:t>
      </w:r>
      <w:bookmarkEnd w:id="45"/>
    </w:p>
    <w:p w14:paraId="642561EB">
      <w:pPr>
        <w:pStyle w:val="18"/>
        <w:adjustRightInd w:val="0"/>
        <w:snapToGrid w:val="0"/>
        <w:spacing w:before="0" w:beforeAutospacing="0" w:after="0" w:afterAutospacing="0"/>
        <w:rPr>
          <w:color w:val="auto"/>
          <w:highlight w:val="none"/>
        </w:rPr>
      </w:pPr>
    </w:p>
    <w:p w14:paraId="4BB644D3">
      <w:pPr>
        <w:pStyle w:val="18"/>
        <w:adjustRightInd w:val="0"/>
        <w:snapToGrid w:val="0"/>
        <w:spacing w:before="0" w:beforeAutospacing="0" w:after="0" w:afterAutospacing="0"/>
        <w:rPr>
          <w:color w:val="auto"/>
          <w:highlight w:val="none"/>
          <w:u w:val="single"/>
        </w:rPr>
      </w:pPr>
      <w:r>
        <w:rPr>
          <w:rFonts w:hint="eastAsia"/>
          <w:color w:val="auto"/>
          <w:highlight w:val="none"/>
        </w:rPr>
        <w:t>项目名称：</w:t>
      </w:r>
      <w:r>
        <w:rPr>
          <w:rFonts w:hint="eastAsia"/>
          <w:color w:val="auto"/>
          <w:highlight w:val="none"/>
          <w:u w:val="single"/>
        </w:rPr>
        <w:t xml:space="preserve">            </w:t>
      </w:r>
    </w:p>
    <w:p w14:paraId="1A726AB3">
      <w:pPr>
        <w:pStyle w:val="18"/>
        <w:adjustRightInd w:val="0"/>
        <w:snapToGrid w:val="0"/>
        <w:spacing w:before="0" w:beforeAutospacing="0" w:after="0" w:afterAutospacing="0"/>
        <w:rPr>
          <w:color w:val="auto"/>
          <w:highlight w:val="none"/>
          <w:u w:val="single"/>
        </w:rPr>
      </w:pPr>
      <w:r>
        <w:rPr>
          <w:rFonts w:hint="eastAsia"/>
          <w:color w:val="auto"/>
          <w:highlight w:val="none"/>
        </w:rPr>
        <w:t>项目编号：</w:t>
      </w:r>
      <w:r>
        <w:rPr>
          <w:rFonts w:hint="eastAsia"/>
          <w:color w:val="auto"/>
          <w:highlight w:val="none"/>
          <w:u w:val="single"/>
        </w:rPr>
        <w:t xml:space="preserve">            </w:t>
      </w:r>
    </w:p>
    <w:tbl>
      <w:tblPr>
        <w:tblStyle w:val="22"/>
        <w:tblW w:w="9468" w:type="dxa"/>
        <w:tblInd w:w="-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48"/>
        <w:gridCol w:w="1640"/>
        <w:gridCol w:w="2184"/>
        <w:gridCol w:w="2077"/>
        <w:gridCol w:w="1859"/>
        <w:gridCol w:w="1260"/>
      </w:tblGrid>
      <w:tr w14:paraId="6CB33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2" w:hRule="atLeast"/>
        </w:trPr>
        <w:tc>
          <w:tcPr>
            <w:tcW w:w="448" w:type="dxa"/>
            <w:tcBorders>
              <w:top w:val="single" w:color="000000" w:sz="8" w:space="0"/>
              <w:left w:val="single" w:color="000000" w:sz="8" w:space="0"/>
              <w:bottom w:val="single" w:color="000000" w:sz="4" w:space="0"/>
              <w:right w:val="single" w:color="000000" w:sz="4" w:space="0"/>
            </w:tcBorders>
            <w:vAlign w:val="center"/>
          </w:tcPr>
          <w:p w14:paraId="3C5834F3">
            <w:pPr>
              <w:spacing w:line="560" w:lineRule="exact"/>
              <w:jc w:val="center"/>
              <w:rPr>
                <w:rFonts w:ascii="宋体" w:hAnsi="宋体" w:cs="宋体"/>
                <w:b/>
                <w:color w:val="auto"/>
                <w:sz w:val="28"/>
                <w:highlight w:val="none"/>
              </w:rPr>
            </w:pPr>
            <w:r>
              <w:rPr>
                <w:rFonts w:hint="eastAsia" w:ascii="宋体" w:hAnsi="宋体" w:cs="宋体"/>
                <w:b/>
                <w:color w:val="auto"/>
                <w:highlight w:val="none"/>
              </w:rPr>
              <w:t>序号</w:t>
            </w:r>
          </w:p>
        </w:tc>
        <w:tc>
          <w:tcPr>
            <w:tcW w:w="1640" w:type="dxa"/>
            <w:tcBorders>
              <w:top w:val="single" w:color="000000" w:sz="8" w:space="0"/>
              <w:bottom w:val="single" w:color="000000" w:sz="4" w:space="0"/>
              <w:right w:val="single" w:color="000000" w:sz="4" w:space="0"/>
            </w:tcBorders>
            <w:vAlign w:val="center"/>
          </w:tcPr>
          <w:p w14:paraId="64A8088C">
            <w:pPr>
              <w:spacing w:line="560" w:lineRule="exact"/>
              <w:jc w:val="center"/>
              <w:rPr>
                <w:rFonts w:ascii="宋体" w:hAnsi="宋体" w:cs="宋体"/>
                <w:b/>
                <w:color w:val="auto"/>
                <w:sz w:val="28"/>
                <w:highlight w:val="none"/>
              </w:rPr>
            </w:pPr>
            <w:r>
              <w:rPr>
                <w:rFonts w:hint="eastAsia" w:ascii="宋体" w:hAnsi="宋体" w:cs="宋体"/>
                <w:b/>
                <w:color w:val="auto"/>
                <w:highlight w:val="none"/>
              </w:rPr>
              <w:t>产品名称</w:t>
            </w:r>
          </w:p>
        </w:tc>
        <w:tc>
          <w:tcPr>
            <w:tcW w:w="2184" w:type="dxa"/>
            <w:tcBorders>
              <w:top w:val="single" w:color="000000" w:sz="8" w:space="0"/>
              <w:bottom w:val="single" w:color="000000" w:sz="4" w:space="0"/>
              <w:right w:val="single" w:color="000000" w:sz="4" w:space="0"/>
            </w:tcBorders>
            <w:vAlign w:val="center"/>
          </w:tcPr>
          <w:p w14:paraId="78D12537">
            <w:pPr>
              <w:spacing w:line="560" w:lineRule="exact"/>
              <w:jc w:val="center"/>
              <w:rPr>
                <w:rFonts w:ascii="宋体" w:hAnsi="宋体" w:cs="宋体"/>
                <w:b/>
                <w:color w:val="auto"/>
                <w:sz w:val="28"/>
                <w:highlight w:val="none"/>
              </w:rPr>
            </w:pPr>
            <w:r>
              <w:rPr>
                <w:rFonts w:hint="eastAsia" w:ascii="宋体" w:hAnsi="宋体" w:cs="宋体"/>
                <w:b/>
                <w:color w:val="auto"/>
                <w:highlight w:val="none"/>
              </w:rPr>
              <w:t>《磋商文件》要求</w:t>
            </w:r>
          </w:p>
        </w:tc>
        <w:tc>
          <w:tcPr>
            <w:tcW w:w="2077" w:type="dxa"/>
            <w:tcBorders>
              <w:top w:val="single" w:color="000000" w:sz="8" w:space="0"/>
              <w:bottom w:val="single" w:color="000000" w:sz="4" w:space="0"/>
              <w:right w:val="single" w:color="000000" w:sz="4" w:space="0"/>
            </w:tcBorders>
            <w:vAlign w:val="center"/>
          </w:tcPr>
          <w:p w14:paraId="30FD9720">
            <w:pPr>
              <w:spacing w:line="560" w:lineRule="exact"/>
              <w:jc w:val="center"/>
              <w:rPr>
                <w:rFonts w:ascii="宋体" w:hAnsi="宋体" w:cs="宋体"/>
                <w:b/>
                <w:color w:val="auto"/>
                <w:sz w:val="28"/>
                <w:highlight w:val="none"/>
              </w:rPr>
            </w:pPr>
            <w:r>
              <w:rPr>
                <w:rFonts w:hint="eastAsia" w:ascii="宋体" w:hAnsi="宋体" w:cs="宋体"/>
                <w:b/>
                <w:color w:val="auto"/>
                <w:highlight w:val="none"/>
              </w:rPr>
              <w:t>响应产品参数</w:t>
            </w:r>
          </w:p>
        </w:tc>
        <w:tc>
          <w:tcPr>
            <w:tcW w:w="1859" w:type="dxa"/>
            <w:tcBorders>
              <w:top w:val="single" w:color="000000" w:sz="8" w:space="0"/>
              <w:bottom w:val="single" w:color="000000" w:sz="4" w:space="0"/>
              <w:right w:val="single" w:color="000000" w:sz="8" w:space="0"/>
            </w:tcBorders>
            <w:vAlign w:val="center"/>
          </w:tcPr>
          <w:p w14:paraId="082DF952">
            <w:pPr>
              <w:spacing w:line="560" w:lineRule="exact"/>
              <w:jc w:val="center"/>
              <w:rPr>
                <w:rFonts w:ascii="宋体" w:hAnsi="宋体" w:cs="宋体"/>
                <w:b/>
                <w:color w:val="auto"/>
                <w:sz w:val="28"/>
                <w:highlight w:val="none"/>
              </w:rPr>
            </w:pPr>
            <w:r>
              <w:rPr>
                <w:rFonts w:hint="eastAsia" w:ascii="宋体" w:hAnsi="宋体" w:cs="宋体"/>
                <w:b/>
                <w:color w:val="auto"/>
                <w:highlight w:val="none"/>
              </w:rPr>
              <w:t>偏差描述</w:t>
            </w:r>
          </w:p>
        </w:tc>
        <w:tc>
          <w:tcPr>
            <w:tcW w:w="1260" w:type="dxa"/>
            <w:tcBorders>
              <w:top w:val="single" w:color="000000" w:sz="8" w:space="0"/>
              <w:bottom w:val="single" w:color="000000" w:sz="4" w:space="0"/>
              <w:right w:val="single" w:color="000000" w:sz="8" w:space="0"/>
            </w:tcBorders>
          </w:tcPr>
          <w:p w14:paraId="42A2D579">
            <w:pPr>
              <w:spacing w:line="240" w:lineRule="auto"/>
              <w:jc w:val="center"/>
              <w:rPr>
                <w:rFonts w:ascii="宋体" w:hAnsi="宋体" w:cs="宋体"/>
                <w:b/>
                <w:color w:val="auto"/>
                <w:highlight w:val="none"/>
              </w:rPr>
            </w:pPr>
            <w:r>
              <w:rPr>
                <w:rFonts w:hint="eastAsia" w:ascii="宋体" w:hAnsi="宋体" w:cs="宋体"/>
                <w:b/>
                <w:color w:val="auto"/>
                <w:highlight w:val="none"/>
              </w:rPr>
              <w:t>所对应的产品证明材料的页码</w:t>
            </w:r>
          </w:p>
        </w:tc>
      </w:tr>
      <w:tr w14:paraId="5F941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trPr>
        <w:tc>
          <w:tcPr>
            <w:tcW w:w="448" w:type="dxa"/>
            <w:tcBorders>
              <w:left w:val="single" w:color="000000" w:sz="8" w:space="0"/>
              <w:bottom w:val="single" w:color="000000" w:sz="4" w:space="0"/>
              <w:right w:val="single" w:color="000000" w:sz="4" w:space="0"/>
            </w:tcBorders>
            <w:vAlign w:val="center"/>
          </w:tcPr>
          <w:p w14:paraId="059DFD2D">
            <w:pPr>
              <w:spacing w:line="560" w:lineRule="exact"/>
              <w:jc w:val="center"/>
              <w:rPr>
                <w:rFonts w:ascii="宋体" w:hAnsi="宋体" w:cs="宋体"/>
                <w:color w:val="auto"/>
                <w:sz w:val="28"/>
                <w:highlight w:val="none"/>
              </w:rPr>
            </w:pPr>
            <w:r>
              <w:rPr>
                <w:rFonts w:hint="eastAsia" w:ascii="宋体" w:hAnsi="宋体" w:cs="宋体"/>
                <w:color w:val="auto"/>
                <w:highlight w:val="none"/>
              </w:rPr>
              <w:t>1</w:t>
            </w:r>
          </w:p>
        </w:tc>
        <w:tc>
          <w:tcPr>
            <w:tcW w:w="1640" w:type="dxa"/>
            <w:tcBorders>
              <w:bottom w:val="single" w:color="000000" w:sz="4" w:space="0"/>
              <w:right w:val="single" w:color="000000" w:sz="4" w:space="0"/>
            </w:tcBorders>
            <w:vAlign w:val="center"/>
          </w:tcPr>
          <w:p w14:paraId="0218F4EB">
            <w:pPr>
              <w:spacing w:line="560" w:lineRule="exact"/>
              <w:jc w:val="center"/>
              <w:rPr>
                <w:rFonts w:ascii="宋体" w:hAnsi="宋体" w:cs="宋体"/>
                <w:color w:val="auto"/>
                <w:sz w:val="28"/>
                <w:highlight w:val="none"/>
              </w:rPr>
            </w:pPr>
          </w:p>
        </w:tc>
        <w:tc>
          <w:tcPr>
            <w:tcW w:w="2184" w:type="dxa"/>
            <w:tcBorders>
              <w:bottom w:val="single" w:color="000000" w:sz="4" w:space="0"/>
              <w:right w:val="single" w:color="000000" w:sz="4" w:space="0"/>
            </w:tcBorders>
            <w:vAlign w:val="center"/>
          </w:tcPr>
          <w:p w14:paraId="14D00716">
            <w:pPr>
              <w:spacing w:line="560" w:lineRule="exact"/>
              <w:jc w:val="center"/>
              <w:rPr>
                <w:rFonts w:ascii="宋体" w:hAnsi="宋体" w:cs="宋体"/>
                <w:color w:val="auto"/>
                <w:sz w:val="28"/>
                <w:highlight w:val="none"/>
              </w:rPr>
            </w:pPr>
          </w:p>
        </w:tc>
        <w:tc>
          <w:tcPr>
            <w:tcW w:w="2077" w:type="dxa"/>
            <w:tcBorders>
              <w:bottom w:val="single" w:color="000000" w:sz="4" w:space="0"/>
              <w:right w:val="single" w:color="000000" w:sz="4" w:space="0"/>
            </w:tcBorders>
            <w:vAlign w:val="center"/>
          </w:tcPr>
          <w:p w14:paraId="78D53A22">
            <w:pPr>
              <w:spacing w:line="560" w:lineRule="exact"/>
              <w:jc w:val="center"/>
              <w:rPr>
                <w:rFonts w:ascii="宋体" w:hAnsi="宋体" w:cs="宋体"/>
                <w:color w:val="auto"/>
                <w:sz w:val="28"/>
                <w:highlight w:val="none"/>
              </w:rPr>
            </w:pPr>
          </w:p>
        </w:tc>
        <w:tc>
          <w:tcPr>
            <w:tcW w:w="1859" w:type="dxa"/>
            <w:tcBorders>
              <w:bottom w:val="single" w:color="000000" w:sz="4" w:space="0"/>
              <w:right w:val="single" w:color="000000" w:sz="8" w:space="0"/>
            </w:tcBorders>
            <w:vAlign w:val="center"/>
          </w:tcPr>
          <w:p w14:paraId="68A6086F">
            <w:pPr>
              <w:spacing w:line="560" w:lineRule="exact"/>
              <w:jc w:val="center"/>
              <w:rPr>
                <w:rFonts w:ascii="宋体" w:hAnsi="宋体" w:cs="宋体"/>
                <w:color w:val="auto"/>
                <w:sz w:val="28"/>
                <w:highlight w:val="none"/>
              </w:rPr>
            </w:pPr>
          </w:p>
        </w:tc>
        <w:tc>
          <w:tcPr>
            <w:tcW w:w="1260" w:type="dxa"/>
            <w:tcBorders>
              <w:bottom w:val="single" w:color="000000" w:sz="4" w:space="0"/>
              <w:right w:val="single" w:color="000000" w:sz="8" w:space="0"/>
            </w:tcBorders>
          </w:tcPr>
          <w:p w14:paraId="4FBB0E9C">
            <w:pPr>
              <w:spacing w:line="560" w:lineRule="exact"/>
              <w:jc w:val="center"/>
              <w:rPr>
                <w:rFonts w:ascii="宋体" w:hAnsi="宋体" w:cs="宋体"/>
                <w:color w:val="auto"/>
                <w:sz w:val="28"/>
                <w:highlight w:val="none"/>
              </w:rPr>
            </w:pPr>
          </w:p>
        </w:tc>
      </w:tr>
      <w:tr w14:paraId="2DD02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trPr>
        <w:tc>
          <w:tcPr>
            <w:tcW w:w="448" w:type="dxa"/>
            <w:tcBorders>
              <w:left w:val="single" w:color="000000" w:sz="8" w:space="0"/>
              <w:bottom w:val="single" w:color="000000" w:sz="4" w:space="0"/>
              <w:right w:val="single" w:color="000000" w:sz="4" w:space="0"/>
            </w:tcBorders>
            <w:vAlign w:val="center"/>
          </w:tcPr>
          <w:p w14:paraId="7EB62609">
            <w:pPr>
              <w:spacing w:line="560" w:lineRule="exact"/>
              <w:jc w:val="center"/>
              <w:rPr>
                <w:rFonts w:ascii="宋体" w:hAnsi="宋体" w:cs="宋体"/>
                <w:color w:val="auto"/>
                <w:sz w:val="28"/>
                <w:highlight w:val="none"/>
              </w:rPr>
            </w:pPr>
            <w:r>
              <w:rPr>
                <w:rFonts w:hint="eastAsia" w:ascii="宋体" w:hAnsi="宋体" w:cs="宋体"/>
                <w:color w:val="auto"/>
                <w:highlight w:val="none"/>
              </w:rPr>
              <w:t>2</w:t>
            </w:r>
          </w:p>
        </w:tc>
        <w:tc>
          <w:tcPr>
            <w:tcW w:w="1640" w:type="dxa"/>
            <w:tcBorders>
              <w:bottom w:val="single" w:color="000000" w:sz="4" w:space="0"/>
              <w:right w:val="single" w:color="000000" w:sz="4" w:space="0"/>
            </w:tcBorders>
            <w:vAlign w:val="center"/>
          </w:tcPr>
          <w:p w14:paraId="14133ADE">
            <w:pPr>
              <w:spacing w:line="560" w:lineRule="exact"/>
              <w:jc w:val="center"/>
              <w:rPr>
                <w:rFonts w:ascii="宋体" w:hAnsi="宋体" w:cs="宋体"/>
                <w:color w:val="auto"/>
                <w:sz w:val="28"/>
                <w:highlight w:val="none"/>
              </w:rPr>
            </w:pPr>
          </w:p>
        </w:tc>
        <w:tc>
          <w:tcPr>
            <w:tcW w:w="2184" w:type="dxa"/>
            <w:tcBorders>
              <w:bottom w:val="single" w:color="000000" w:sz="4" w:space="0"/>
              <w:right w:val="single" w:color="000000" w:sz="4" w:space="0"/>
            </w:tcBorders>
            <w:vAlign w:val="center"/>
          </w:tcPr>
          <w:p w14:paraId="69FFBA19">
            <w:pPr>
              <w:spacing w:line="560" w:lineRule="exact"/>
              <w:jc w:val="center"/>
              <w:rPr>
                <w:rFonts w:ascii="宋体" w:hAnsi="宋体" w:cs="宋体"/>
                <w:color w:val="auto"/>
                <w:sz w:val="28"/>
                <w:highlight w:val="none"/>
              </w:rPr>
            </w:pPr>
          </w:p>
        </w:tc>
        <w:tc>
          <w:tcPr>
            <w:tcW w:w="2077" w:type="dxa"/>
            <w:tcBorders>
              <w:bottom w:val="single" w:color="000000" w:sz="4" w:space="0"/>
              <w:right w:val="single" w:color="000000" w:sz="4" w:space="0"/>
            </w:tcBorders>
            <w:vAlign w:val="center"/>
          </w:tcPr>
          <w:p w14:paraId="4738C178">
            <w:pPr>
              <w:spacing w:line="560" w:lineRule="exact"/>
              <w:jc w:val="center"/>
              <w:rPr>
                <w:rFonts w:ascii="宋体" w:hAnsi="宋体" w:cs="宋体"/>
                <w:color w:val="auto"/>
                <w:sz w:val="28"/>
                <w:highlight w:val="none"/>
              </w:rPr>
            </w:pPr>
          </w:p>
        </w:tc>
        <w:tc>
          <w:tcPr>
            <w:tcW w:w="1859" w:type="dxa"/>
            <w:tcBorders>
              <w:bottom w:val="single" w:color="000000" w:sz="4" w:space="0"/>
              <w:right w:val="single" w:color="000000" w:sz="8" w:space="0"/>
            </w:tcBorders>
            <w:vAlign w:val="center"/>
          </w:tcPr>
          <w:p w14:paraId="215DCEB1">
            <w:pPr>
              <w:spacing w:line="560" w:lineRule="exact"/>
              <w:jc w:val="center"/>
              <w:rPr>
                <w:rFonts w:ascii="宋体" w:hAnsi="宋体" w:cs="宋体"/>
                <w:color w:val="auto"/>
                <w:sz w:val="28"/>
                <w:highlight w:val="none"/>
              </w:rPr>
            </w:pPr>
          </w:p>
        </w:tc>
        <w:tc>
          <w:tcPr>
            <w:tcW w:w="1260" w:type="dxa"/>
            <w:tcBorders>
              <w:bottom w:val="single" w:color="000000" w:sz="4" w:space="0"/>
              <w:right w:val="single" w:color="000000" w:sz="8" w:space="0"/>
            </w:tcBorders>
          </w:tcPr>
          <w:p w14:paraId="4C599133">
            <w:pPr>
              <w:spacing w:line="560" w:lineRule="exact"/>
              <w:jc w:val="center"/>
              <w:rPr>
                <w:rFonts w:ascii="宋体" w:hAnsi="宋体" w:cs="宋体"/>
                <w:color w:val="auto"/>
                <w:sz w:val="28"/>
                <w:highlight w:val="none"/>
              </w:rPr>
            </w:pPr>
          </w:p>
        </w:tc>
      </w:tr>
      <w:tr w14:paraId="0F15E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trPr>
        <w:tc>
          <w:tcPr>
            <w:tcW w:w="448" w:type="dxa"/>
            <w:tcBorders>
              <w:left w:val="single" w:color="000000" w:sz="8" w:space="0"/>
              <w:bottom w:val="single" w:color="000000" w:sz="4" w:space="0"/>
              <w:right w:val="single" w:color="000000" w:sz="4" w:space="0"/>
            </w:tcBorders>
            <w:vAlign w:val="center"/>
          </w:tcPr>
          <w:p w14:paraId="1759D8C4">
            <w:pPr>
              <w:spacing w:line="560" w:lineRule="exact"/>
              <w:jc w:val="center"/>
              <w:rPr>
                <w:rFonts w:ascii="宋体" w:hAnsi="宋体" w:cs="宋体"/>
                <w:color w:val="auto"/>
                <w:sz w:val="28"/>
                <w:highlight w:val="none"/>
              </w:rPr>
            </w:pPr>
            <w:r>
              <w:rPr>
                <w:rFonts w:hint="eastAsia" w:ascii="宋体" w:hAnsi="宋体" w:cs="宋体"/>
                <w:color w:val="auto"/>
                <w:highlight w:val="none"/>
              </w:rPr>
              <w:t>3</w:t>
            </w:r>
          </w:p>
        </w:tc>
        <w:tc>
          <w:tcPr>
            <w:tcW w:w="1640" w:type="dxa"/>
            <w:tcBorders>
              <w:bottom w:val="single" w:color="000000" w:sz="4" w:space="0"/>
              <w:right w:val="single" w:color="000000" w:sz="4" w:space="0"/>
            </w:tcBorders>
            <w:vAlign w:val="center"/>
          </w:tcPr>
          <w:p w14:paraId="5E1A7056">
            <w:pPr>
              <w:spacing w:line="560" w:lineRule="exact"/>
              <w:jc w:val="center"/>
              <w:rPr>
                <w:rFonts w:ascii="宋体" w:hAnsi="宋体" w:cs="宋体"/>
                <w:color w:val="auto"/>
                <w:sz w:val="28"/>
                <w:highlight w:val="none"/>
              </w:rPr>
            </w:pPr>
          </w:p>
        </w:tc>
        <w:tc>
          <w:tcPr>
            <w:tcW w:w="2184" w:type="dxa"/>
            <w:tcBorders>
              <w:bottom w:val="single" w:color="000000" w:sz="4" w:space="0"/>
              <w:right w:val="single" w:color="000000" w:sz="4" w:space="0"/>
            </w:tcBorders>
            <w:vAlign w:val="center"/>
          </w:tcPr>
          <w:p w14:paraId="319645C6">
            <w:pPr>
              <w:spacing w:line="560" w:lineRule="exact"/>
              <w:jc w:val="center"/>
              <w:rPr>
                <w:rFonts w:ascii="宋体" w:hAnsi="宋体" w:cs="宋体"/>
                <w:color w:val="auto"/>
                <w:sz w:val="28"/>
                <w:highlight w:val="none"/>
              </w:rPr>
            </w:pPr>
          </w:p>
        </w:tc>
        <w:tc>
          <w:tcPr>
            <w:tcW w:w="2077" w:type="dxa"/>
            <w:tcBorders>
              <w:bottom w:val="single" w:color="000000" w:sz="4" w:space="0"/>
              <w:right w:val="single" w:color="000000" w:sz="4" w:space="0"/>
            </w:tcBorders>
            <w:vAlign w:val="center"/>
          </w:tcPr>
          <w:p w14:paraId="424704CB">
            <w:pPr>
              <w:spacing w:line="560" w:lineRule="exact"/>
              <w:jc w:val="center"/>
              <w:rPr>
                <w:rFonts w:ascii="宋体" w:hAnsi="宋体" w:cs="宋体"/>
                <w:color w:val="auto"/>
                <w:sz w:val="28"/>
                <w:highlight w:val="none"/>
              </w:rPr>
            </w:pPr>
          </w:p>
        </w:tc>
        <w:tc>
          <w:tcPr>
            <w:tcW w:w="1859" w:type="dxa"/>
            <w:tcBorders>
              <w:bottom w:val="single" w:color="000000" w:sz="4" w:space="0"/>
              <w:right w:val="single" w:color="000000" w:sz="8" w:space="0"/>
            </w:tcBorders>
            <w:vAlign w:val="center"/>
          </w:tcPr>
          <w:p w14:paraId="4F769EE0">
            <w:pPr>
              <w:spacing w:line="560" w:lineRule="exact"/>
              <w:jc w:val="center"/>
              <w:rPr>
                <w:rFonts w:ascii="宋体" w:hAnsi="宋体" w:cs="宋体"/>
                <w:color w:val="auto"/>
                <w:sz w:val="28"/>
                <w:highlight w:val="none"/>
              </w:rPr>
            </w:pPr>
          </w:p>
        </w:tc>
        <w:tc>
          <w:tcPr>
            <w:tcW w:w="1260" w:type="dxa"/>
            <w:tcBorders>
              <w:bottom w:val="single" w:color="000000" w:sz="4" w:space="0"/>
              <w:right w:val="single" w:color="000000" w:sz="8" w:space="0"/>
            </w:tcBorders>
          </w:tcPr>
          <w:p w14:paraId="4EFFDAC7">
            <w:pPr>
              <w:spacing w:line="560" w:lineRule="exact"/>
              <w:jc w:val="center"/>
              <w:rPr>
                <w:rFonts w:ascii="宋体" w:hAnsi="宋体" w:cs="宋体"/>
                <w:color w:val="auto"/>
                <w:sz w:val="28"/>
                <w:highlight w:val="none"/>
              </w:rPr>
            </w:pPr>
          </w:p>
        </w:tc>
      </w:tr>
      <w:tr w14:paraId="321AB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trPr>
        <w:tc>
          <w:tcPr>
            <w:tcW w:w="448" w:type="dxa"/>
            <w:tcBorders>
              <w:left w:val="single" w:color="000000" w:sz="8" w:space="0"/>
              <w:bottom w:val="single" w:color="000000" w:sz="4" w:space="0"/>
              <w:right w:val="single" w:color="000000" w:sz="4" w:space="0"/>
            </w:tcBorders>
            <w:vAlign w:val="center"/>
          </w:tcPr>
          <w:p w14:paraId="3B42756E">
            <w:pPr>
              <w:spacing w:line="560" w:lineRule="exact"/>
              <w:jc w:val="center"/>
              <w:rPr>
                <w:rFonts w:ascii="宋体" w:hAnsi="宋体" w:cs="宋体"/>
                <w:color w:val="auto"/>
                <w:sz w:val="28"/>
                <w:highlight w:val="none"/>
              </w:rPr>
            </w:pPr>
            <w:r>
              <w:rPr>
                <w:rFonts w:hint="eastAsia" w:ascii="宋体" w:hAnsi="宋体" w:cs="宋体"/>
                <w:color w:val="auto"/>
                <w:highlight w:val="none"/>
              </w:rPr>
              <w:t>4</w:t>
            </w:r>
          </w:p>
        </w:tc>
        <w:tc>
          <w:tcPr>
            <w:tcW w:w="1640" w:type="dxa"/>
            <w:tcBorders>
              <w:bottom w:val="single" w:color="000000" w:sz="4" w:space="0"/>
              <w:right w:val="single" w:color="000000" w:sz="4" w:space="0"/>
            </w:tcBorders>
            <w:vAlign w:val="center"/>
          </w:tcPr>
          <w:p w14:paraId="01676400">
            <w:pPr>
              <w:spacing w:line="560" w:lineRule="exact"/>
              <w:jc w:val="center"/>
              <w:rPr>
                <w:rFonts w:ascii="宋体" w:hAnsi="宋体" w:cs="宋体"/>
                <w:color w:val="auto"/>
                <w:sz w:val="28"/>
                <w:highlight w:val="none"/>
              </w:rPr>
            </w:pPr>
          </w:p>
        </w:tc>
        <w:tc>
          <w:tcPr>
            <w:tcW w:w="2184" w:type="dxa"/>
            <w:tcBorders>
              <w:bottom w:val="single" w:color="000000" w:sz="4" w:space="0"/>
              <w:right w:val="single" w:color="000000" w:sz="4" w:space="0"/>
            </w:tcBorders>
            <w:vAlign w:val="center"/>
          </w:tcPr>
          <w:p w14:paraId="705A8ACB">
            <w:pPr>
              <w:spacing w:line="560" w:lineRule="exact"/>
              <w:jc w:val="center"/>
              <w:rPr>
                <w:rFonts w:ascii="宋体" w:hAnsi="宋体" w:cs="宋体"/>
                <w:color w:val="auto"/>
                <w:sz w:val="28"/>
                <w:highlight w:val="none"/>
              </w:rPr>
            </w:pPr>
          </w:p>
        </w:tc>
        <w:tc>
          <w:tcPr>
            <w:tcW w:w="2077" w:type="dxa"/>
            <w:tcBorders>
              <w:bottom w:val="single" w:color="000000" w:sz="4" w:space="0"/>
              <w:right w:val="single" w:color="000000" w:sz="4" w:space="0"/>
            </w:tcBorders>
            <w:vAlign w:val="center"/>
          </w:tcPr>
          <w:p w14:paraId="03903428">
            <w:pPr>
              <w:spacing w:line="560" w:lineRule="exact"/>
              <w:jc w:val="center"/>
              <w:rPr>
                <w:rFonts w:ascii="宋体" w:hAnsi="宋体" w:cs="宋体"/>
                <w:color w:val="auto"/>
                <w:sz w:val="28"/>
                <w:highlight w:val="none"/>
              </w:rPr>
            </w:pPr>
          </w:p>
        </w:tc>
        <w:tc>
          <w:tcPr>
            <w:tcW w:w="1859" w:type="dxa"/>
            <w:tcBorders>
              <w:bottom w:val="single" w:color="000000" w:sz="4" w:space="0"/>
              <w:right w:val="single" w:color="000000" w:sz="8" w:space="0"/>
            </w:tcBorders>
            <w:vAlign w:val="center"/>
          </w:tcPr>
          <w:p w14:paraId="3F54E4A5">
            <w:pPr>
              <w:spacing w:line="560" w:lineRule="exact"/>
              <w:jc w:val="center"/>
              <w:rPr>
                <w:rFonts w:ascii="宋体" w:hAnsi="宋体" w:cs="宋体"/>
                <w:color w:val="auto"/>
                <w:sz w:val="28"/>
                <w:highlight w:val="none"/>
              </w:rPr>
            </w:pPr>
          </w:p>
        </w:tc>
        <w:tc>
          <w:tcPr>
            <w:tcW w:w="1260" w:type="dxa"/>
            <w:tcBorders>
              <w:bottom w:val="single" w:color="000000" w:sz="4" w:space="0"/>
              <w:right w:val="single" w:color="000000" w:sz="8" w:space="0"/>
            </w:tcBorders>
          </w:tcPr>
          <w:p w14:paraId="4FE372BF">
            <w:pPr>
              <w:spacing w:line="560" w:lineRule="exact"/>
              <w:jc w:val="center"/>
              <w:rPr>
                <w:rFonts w:ascii="宋体" w:hAnsi="宋体" w:cs="宋体"/>
                <w:color w:val="auto"/>
                <w:sz w:val="28"/>
                <w:highlight w:val="none"/>
              </w:rPr>
            </w:pPr>
          </w:p>
        </w:tc>
      </w:tr>
      <w:tr w14:paraId="50205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trPr>
        <w:tc>
          <w:tcPr>
            <w:tcW w:w="448" w:type="dxa"/>
            <w:tcBorders>
              <w:left w:val="single" w:color="000000" w:sz="8" w:space="0"/>
              <w:bottom w:val="single" w:color="000000" w:sz="4" w:space="0"/>
              <w:right w:val="single" w:color="000000" w:sz="4" w:space="0"/>
            </w:tcBorders>
            <w:vAlign w:val="center"/>
          </w:tcPr>
          <w:p w14:paraId="4EE4DB71">
            <w:pPr>
              <w:spacing w:line="560" w:lineRule="exact"/>
              <w:jc w:val="center"/>
              <w:rPr>
                <w:rFonts w:ascii="宋体" w:hAnsi="宋体" w:cs="宋体"/>
                <w:color w:val="auto"/>
                <w:sz w:val="28"/>
                <w:highlight w:val="none"/>
              </w:rPr>
            </w:pPr>
            <w:r>
              <w:rPr>
                <w:rFonts w:hint="eastAsia" w:ascii="宋体" w:hAnsi="宋体" w:cs="宋体"/>
                <w:color w:val="auto"/>
                <w:highlight w:val="none"/>
              </w:rPr>
              <w:t>5</w:t>
            </w:r>
          </w:p>
        </w:tc>
        <w:tc>
          <w:tcPr>
            <w:tcW w:w="1640" w:type="dxa"/>
            <w:tcBorders>
              <w:bottom w:val="single" w:color="000000" w:sz="4" w:space="0"/>
              <w:right w:val="single" w:color="000000" w:sz="4" w:space="0"/>
            </w:tcBorders>
            <w:vAlign w:val="center"/>
          </w:tcPr>
          <w:p w14:paraId="49E455EE">
            <w:pPr>
              <w:spacing w:line="560" w:lineRule="exact"/>
              <w:jc w:val="center"/>
              <w:rPr>
                <w:rFonts w:ascii="宋体" w:hAnsi="宋体" w:cs="宋体"/>
                <w:color w:val="auto"/>
                <w:sz w:val="28"/>
                <w:highlight w:val="none"/>
              </w:rPr>
            </w:pPr>
          </w:p>
        </w:tc>
        <w:tc>
          <w:tcPr>
            <w:tcW w:w="2184" w:type="dxa"/>
            <w:tcBorders>
              <w:bottom w:val="single" w:color="000000" w:sz="4" w:space="0"/>
              <w:right w:val="single" w:color="000000" w:sz="4" w:space="0"/>
            </w:tcBorders>
            <w:vAlign w:val="center"/>
          </w:tcPr>
          <w:p w14:paraId="065233C5">
            <w:pPr>
              <w:spacing w:line="560" w:lineRule="exact"/>
              <w:jc w:val="center"/>
              <w:rPr>
                <w:rFonts w:ascii="宋体" w:hAnsi="宋体" w:cs="宋体"/>
                <w:color w:val="auto"/>
                <w:sz w:val="28"/>
                <w:highlight w:val="none"/>
              </w:rPr>
            </w:pPr>
          </w:p>
        </w:tc>
        <w:tc>
          <w:tcPr>
            <w:tcW w:w="2077" w:type="dxa"/>
            <w:tcBorders>
              <w:bottom w:val="single" w:color="000000" w:sz="4" w:space="0"/>
              <w:right w:val="single" w:color="000000" w:sz="4" w:space="0"/>
            </w:tcBorders>
            <w:vAlign w:val="center"/>
          </w:tcPr>
          <w:p w14:paraId="26487DBF">
            <w:pPr>
              <w:spacing w:line="560" w:lineRule="exact"/>
              <w:jc w:val="center"/>
              <w:rPr>
                <w:rFonts w:ascii="宋体" w:hAnsi="宋体" w:cs="宋体"/>
                <w:color w:val="auto"/>
                <w:sz w:val="28"/>
                <w:highlight w:val="none"/>
              </w:rPr>
            </w:pPr>
          </w:p>
        </w:tc>
        <w:tc>
          <w:tcPr>
            <w:tcW w:w="1859" w:type="dxa"/>
            <w:tcBorders>
              <w:bottom w:val="single" w:color="000000" w:sz="4" w:space="0"/>
              <w:right w:val="single" w:color="000000" w:sz="8" w:space="0"/>
            </w:tcBorders>
            <w:vAlign w:val="center"/>
          </w:tcPr>
          <w:p w14:paraId="6E12E0D8">
            <w:pPr>
              <w:spacing w:line="560" w:lineRule="exact"/>
              <w:jc w:val="center"/>
              <w:rPr>
                <w:rFonts w:ascii="宋体" w:hAnsi="宋体" w:cs="宋体"/>
                <w:color w:val="auto"/>
                <w:sz w:val="28"/>
                <w:highlight w:val="none"/>
              </w:rPr>
            </w:pPr>
          </w:p>
        </w:tc>
        <w:tc>
          <w:tcPr>
            <w:tcW w:w="1260" w:type="dxa"/>
            <w:tcBorders>
              <w:bottom w:val="single" w:color="000000" w:sz="4" w:space="0"/>
              <w:right w:val="single" w:color="000000" w:sz="8" w:space="0"/>
            </w:tcBorders>
          </w:tcPr>
          <w:p w14:paraId="2CBCF3AE">
            <w:pPr>
              <w:spacing w:line="560" w:lineRule="exact"/>
              <w:jc w:val="center"/>
              <w:rPr>
                <w:rFonts w:ascii="宋体" w:hAnsi="宋体" w:cs="宋体"/>
                <w:color w:val="auto"/>
                <w:sz w:val="28"/>
                <w:highlight w:val="none"/>
              </w:rPr>
            </w:pPr>
          </w:p>
        </w:tc>
      </w:tr>
      <w:tr w14:paraId="48009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448" w:type="dxa"/>
            <w:tcBorders>
              <w:left w:val="single" w:color="000000" w:sz="8" w:space="0"/>
              <w:bottom w:val="single" w:color="000000" w:sz="4" w:space="0"/>
              <w:right w:val="single" w:color="000000" w:sz="4" w:space="0"/>
            </w:tcBorders>
            <w:vAlign w:val="center"/>
          </w:tcPr>
          <w:p w14:paraId="1EAC10D0">
            <w:pPr>
              <w:spacing w:line="560" w:lineRule="exact"/>
              <w:jc w:val="center"/>
              <w:rPr>
                <w:rFonts w:ascii="宋体" w:hAnsi="宋体" w:cs="宋体"/>
                <w:color w:val="auto"/>
                <w:sz w:val="28"/>
                <w:highlight w:val="none"/>
              </w:rPr>
            </w:pPr>
            <w:r>
              <w:rPr>
                <w:rFonts w:hint="eastAsia" w:ascii="宋体" w:hAnsi="宋体" w:cs="宋体"/>
                <w:color w:val="auto"/>
                <w:highlight w:val="none"/>
              </w:rPr>
              <w:t>6</w:t>
            </w:r>
          </w:p>
        </w:tc>
        <w:tc>
          <w:tcPr>
            <w:tcW w:w="1640" w:type="dxa"/>
            <w:tcBorders>
              <w:bottom w:val="single" w:color="000000" w:sz="4" w:space="0"/>
              <w:right w:val="single" w:color="000000" w:sz="4" w:space="0"/>
            </w:tcBorders>
            <w:vAlign w:val="center"/>
          </w:tcPr>
          <w:p w14:paraId="4B3DA9B3">
            <w:pPr>
              <w:spacing w:line="560" w:lineRule="exact"/>
              <w:jc w:val="center"/>
              <w:rPr>
                <w:rFonts w:ascii="宋体" w:hAnsi="宋体" w:cs="宋体"/>
                <w:color w:val="auto"/>
                <w:sz w:val="28"/>
                <w:highlight w:val="none"/>
              </w:rPr>
            </w:pPr>
          </w:p>
        </w:tc>
        <w:tc>
          <w:tcPr>
            <w:tcW w:w="2184" w:type="dxa"/>
            <w:tcBorders>
              <w:bottom w:val="single" w:color="000000" w:sz="4" w:space="0"/>
              <w:right w:val="single" w:color="000000" w:sz="4" w:space="0"/>
            </w:tcBorders>
            <w:vAlign w:val="center"/>
          </w:tcPr>
          <w:p w14:paraId="2E8CA3D2">
            <w:pPr>
              <w:spacing w:line="560" w:lineRule="exact"/>
              <w:jc w:val="center"/>
              <w:rPr>
                <w:rFonts w:ascii="宋体" w:hAnsi="宋体" w:cs="宋体"/>
                <w:color w:val="auto"/>
                <w:sz w:val="28"/>
                <w:highlight w:val="none"/>
              </w:rPr>
            </w:pPr>
          </w:p>
        </w:tc>
        <w:tc>
          <w:tcPr>
            <w:tcW w:w="2077" w:type="dxa"/>
            <w:tcBorders>
              <w:bottom w:val="single" w:color="000000" w:sz="4" w:space="0"/>
              <w:right w:val="single" w:color="000000" w:sz="4" w:space="0"/>
            </w:tcBorders>
            <w:vAlign w:val="center"/>
          </w:tcPr>
          <w:p w14:paraId="2059257A">
            <w:pPr>
              <w:spacing w:line="560" w:lineRule="exact"/>
              <w:jc w:val="center"/>
              <w:rPr>
                <w:rFonts w:ascii="宋体" w:hAnsi="宋体" w:cs="宋体"/>
                <w:color w:val="auto"/>
                <w:sz w:val="28"/>
                <w:highlight w:val="none"/>
              </w:rPr>
            </w:pPr>
          </w:p>
        </w:tc>
        <w:tc>
          <w:tcPr>
            <w:tcW w:w="1859" w:type="dxa"/>
            <w:tcBorders>
              <w:bottom w:val="single" w:color="000000" w:sz="4" w:space="0"/>
              <w:right w:val="single" w:color="000000" w:sz="8" w:space="0"/>
            </w:tcBorders>
            <w:vAlign w:val="center"/>
          </w:tcPr>
          <w:p w14:paraId="6E5A2557">
            <w:pPr>
              <w:spacing w:line="560" w:lineRule="exact"/>
              <w:jc w:val="center"/>
              <w:rPr>
                <w:rFonts w:ascii="宋体" w:hAnsi="宋体" w:cs="宋体"/>
                <w:color w:val="auto"/>
                <w:sz w:val="28"/>
                <w:highlight w:val="none"/>
              </w:rPr>
            </w:pPr>
          </w:p>
        </w:tc>
        <w:tc>
          <w:tcPr>
            <w:tcW w:w="1260" w:type="dxa"/>
            <w:tcBorders>
              <w:bottom w:val="single" w:color="000000" w:sz="4" w:space="0"/>
              <w:right w:val="single" w:color="000000" w:sz="8" w:space="0"/>
            </w:tcBorders>
          </w:tcPr>
          <w:p w14:paraId="64C06E40">
            <w:pPr>
              <w:spacing w:line="560" w:lineRule="exact"/>
              <w:jc w:val="center"/>
              <w:rPr>
                <w:rFonts w:ascii="宋体" w:hAnsi="宋体" w:cs="宋体"/>
                <w:color w:val="auto"/>
                <w:sz w:val="28"/>
                <w:highlight w:val="none"/>
              </w:rPr>
            </w:pPr>
          </w:p>
        </w:tc>
      </w:tr>
      <w:tr w14:paraId="5A283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2" w:hRule="atLeast"/>
        </w:trPr>
        <w:tc>
          <w:tcPr>
            <w:tcW w:w="448" w:type="dxa"/>
            <w:tcBorders>
              <w:left w:val="single" w:color="000000" w:sz="8" w:space="0"/>
              <w:bottom w:val="single" w:color="000000" w:sz="4" w:space="0"/>
              <w:right w:val="single" w:color="000000" w:sz="4" w:space="0"/>
            </w:tcBorders>
            <w:vAlign w:val="center"/>
          </w:tcPr>
          <w:p w14:paraId="492AE83A">
            <w:pPr>
              <w:spacing w:line="560" w:lineRule="exact"/>
              <w:jc w:val="center"/>
              <w:rPr>
                <w:rFonts w:ascii="宋体" w:hAnsi="宋体" w:cs="宋体"/>
                <w:color w:val="auto"/>
                <w:sz w:val="28"/>
                <w:highlight w:val="none"/>
              </w:rPr>
            </w:pPr>
            <w:r>
              <w:rPr>
                <w:rFonts w:hint="eastAsia" w:ascii="宋体" w:hAnsi="宋体" w:cs="宋体"/>
                <w:color w:val="auto"/>
                <w:highlight w:val="none"/>
              </w:rPr>
              <w:t>7</w:t>
            </w:r>
          </w:p>
        </w:tc>
        <w:tc>
          <w:tcPr>
            <w:tcW w:w="1640" w:type="dxa"/>
            <w:tcBorders>
              <w:bottom w:val="single" w:color="000000" w:sz="4" w:space="0"/>
              <w:right w:val="single" w:color="000000" w:sz="4" w:space="0"/>
            </w:tcBorders>
            <w:vAlign w:val="center"/>
          </w:tcPr>
          <w:p w14:paraId="038B7E08">
            <w:pPr>
              <w:spacing w:line="560" w:lineRule="exact"/>
              <w:jc w:val="center"/>
              <w:rPr>
                <w:rFonts w:ascii="宋体" w:hAnsi="宋体" w:cs="宋体"/>
                <w:color w:val="auto"/>
                <w:sz w:val="28"/>
                <w:highlight w:val="none"/>
              </w:rPr>
            </w:pPr>
          </w:p>
        </w:tc>
        <w:tc>
          <w:tcPr>
            <w:tcW w:w="2184" w:type="dxa"/>
            <w:tcBorders>
              <w:bottom w:val="single" w:color="000000" w:sz="4" w:space="0"/>
              <w:right w:val="single" w:color="000000" w:sz="4" w:space="0"/>
            </w:tcBorders>
            <w:vAlign w:val="center"/>
          </w:tcPr>
          <w:p w14:paraId="45A590F5">
            <w:pPr>
              <w:spacing w:line="560" w:lineRule="exact"/>
              <w:jc w:val="center"/>
              <w:rPr>
                <w:rFonts w:ascii="宋体" w:hAnsi="宋体" w:cs="宋体"/>
                <w:color w:val="auto"/>
                <w:sz w:val="28"/>
                <w:highlight w:val="none"/>
              </w:rPr>
            </w:pPr>
          </w:p>
        </w:tc>
        <w:tc>
          <w:tcPr>
            <w:tcW w:w="2077" w:type="dxa"/>
            <w:tcBorders>
              <w:bottom w:val="single" w:color="000000" w:sz="4" w:space="0"/>
              <w:right w:val="single" w:color="000000" w:sz="4" w:space="0"/>
            </w:tcBorders>
            <w:vAlign w:val="center"/>
          </w:tcPr>
          <w:p w14:paraId="63822772">
            <w:pPr>
              <w:spacing w:line="560" w:lineRule="exact"/>
              <w:jc w:val="center"/>
              <w:rPr>
                <w:rFonts w:ascii="宋体" w:hAnsi="宋体" w:cs="宋体"/>
                <w:color w:val="auto"/>
                <w:sz w:val="28"/>
                <w:highlight w:val="none"/>
              </w:rPr>
            </w:pPr>
          </w:p>
        </w:tc>
        <w:tc>
          <w:tcPr>
            <w:tcW w:w="1859" w:type="dxa"/>
            <w:tcBorders>
              <w:bottom w:val="single" w:color="000000" w:sz="4" w:space="0"/>
              <w:right w:val="single" w:color="000000" w:sz="8" w:space="0"/>
            </w:tcBorders>
            <w:vAlign w:val="center"/>
          </w:tcPr>
          <w:p w14:paraId="1862AF5C">
            <w:pPr>
              <w:spacing w:line="560" w:lineRule="exact"/>
              <w:jc w:val="center"/>
              <w:rPr>
                <w:rFonts w:ascii="宋体" w:hAnsi="宋体" w:cs="宋体"/>
                <w:color w:val="auto"/>
                <w:sz w:val="28"/>
                <w:highlight w:val="none"/>
              </w:rPr>
            </w:pPr>
          </w:p>
        </w:tc>
        <w:tc>
          <w:tcPr>
            <w:tcW w:w="1260" w:type="dxa"/>
            <w:tcBorders>
              <w:bottom w:val="single" w:color="000000" w:sz="4" w:space="0"/>
              <w:right w:val="single" w:color="000000" w:sz="8" w:space="0"/>
            </w:tcBorders>
          </w:tcPr>
          <w:p w14:paraId="77AEDA1A">
            <w:pPr>
              <w:spacing w:line="560" w:lineRule="exact"/>
              <w:jc w:val="center"/>
              <w:rPr>
                <w:rFonts w:ascii="宋体" w:hAnsi="宋体" w:cs="宋体"/>
                <w:color w:val="auto"/>
                <w:sz w:val="28"/>
                <w:highlight w:val="none"/>
              </w:rPr>
            </w:pPr>
          </w:p>
        </w:tc>
      </w:tr>
      <w:tr w14:paraId="2A5E6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2" w:hRule="atLeast"/>
        </w:trPr>
        <w:tc>
          <w:tcPr>
            <w:tcW w:w="448" w:type="dxa"/>
            <w:tcBorders>
              <w:left w:val="single" w:color="000000" w:sz="8" w:space="0"/>
              <w:bottom w:val="single" w:color="000000" w:sz="4" w:space="0"/>
              <w:right w:val="single" w:color="000000" w:sz="4" w:space="0"/>
            </w:tcBorders>
            <w:vAlign w:val="center"/>
          </w:tcPr>
          <w:p w14:paraId="58A63557">
            <w:pPr>
              <w:spacing w:line="560" w:lineRule="exact"/>
              <w:jc w:val="center"/>
              <w:rPr>
                <w:rFonts w:ascii="宋体" w:hAnsi="宋体" w:cs="宋体"/>
                <w:color w:val="auto"/>
                <w:sz w:val="28"/>
                <w:highlight w:val="none"/>
              </w:rPr>
            </w:pPr>
            <w:r>
              <w:rPr>
                <w:rFonts w:hint="eastAsia" w:ascii="宋体" w:hAnsi="宋体" w:cs="宋体"/>
                <w:color w:val="auto"/>
                <w:highlight w:val="none"/>
              </w:rPr>
              <w:t>8</w:t>
            </w:r>
          </w:p>
        </w:tc>
        <w:tc>
          <w:tcPr>
            <w:tcW w:w="1640" w:type="dxa"/>
            <w:tcBorders>
              <w:bottom w:val="single" w:color="000000" w:sz="4" w:space="0"/>
              <w:right w:val="single" w:color="000000" w:sz="4" w:space="0"/>
            </w:tcBorders>
            <w:vAlign w:val="center"/>
          </w:tcPr>
          <w:p w14:paraId="24BDDD49">
            <w:pPr>
              <w:spacing w:line="560" w:lineRule="exact"/>
              <w:jc w:val="center"/>
              <w:rPr>
                <w:rFonts w:ascii="宋体" w:hAnsi="宋体" w:cs="宋体"/>
                <w:color w:val="auto"/>
                <w:sz w:val="28"/>
                <w:highlight w:val="none"/>
              </w:rPr>
            </w:pPr>
          </w:p>
        </w:tc>
        <w:tc>
          <w:tcPr>
            <w:tcW w:w="2184" w:type="dxa"/>
            <w:tcBorders>
              <w:bottom w:val="single" w:color="000000" w:sz="4" w:space="0"/>
              <w:right w:val="single" w:color="000000" w:sz="4" w:space="0"/>
            </w:tcBorders>
            <w:vAlign w:val="center"/>
          </w:tcPr>
          <w:p w14:paraId="71951EBA">
            <w:pPr>
              <w:spacing w:line="560" w:lineRule="exact"/>
              <w:jc w:val="center"/>
              <w:rPr>
                <w:rFonts w:ascii="宋体" w:hAnsi="宋体" w:cs="宋体"/>
                <w:color w:val="auto"/>
                <w:sz w:val="28"/>
                <w:highlight w:val="none"/>
              </w:rPr>
            </w:pPr>
          </w:p>
        </w:tc>
        <w:tc>
          <w:tcPr>
            <w:tcW w:w="2077" w:type="dxa"/>
            <w:tcBorders>
              <w:bottom w:val="single" w:color="000000" w:sz="4" w:space="0"/>
              <w:right w:val="single" w:color="000000" w:sz="4" w:space="0"/>
            </w:tcBorders>
            <w:vAlign w:val="center"/>
          </w:tcPr>
          <w:p w14:paraId="728B2EB9">
            <w:pPr>
              <w:spacing w:line="560" w:lineRule="exact"/>
              <w:jc w:val="center"/>
              <w:rPr>
                <w:rFonts w:ascii="宋体" w:hAnsi="宋体" w:cs="宋体"/>
                <w:color w:val="auto"/>
                <w:sz w:val="28"/>
                <w:highlight w:val="none"/>
              </w:rPr>
            </w:pPr>
          </w:p>
        </w:tc>
        <w:tc>
          <w:tcPr>
            <w:tcW w:w="1859" w:type="dxa"/>
            <w:tcBorders>
              <w:bottom w:val="single" w:color="000000" w:sz="4" w:space="0"/>
              <w:right w:val="single" w:color="000000" w:sz="8" w:space="0"/>
            </w:tcBorders>
            <w:vAlign w:val="center"/>
          </w:tcPr>
          <w:p w14:paraId="0D85A52E">
            <w:pPr>
              <w:spacing w:line="560" w:lineRule="exact"/>
              <w:jc w:val="center"/>
              <w:rPr>
                <w:rFonts w:ascii="宋体" w:hAnsi="宋体" w:cs="宋体"/>
                <w:color w:val="auto"/>
                <w:sz w:val="28"/>
                <w:highlight w:val="none"/>
              </w:rPr>
            </w:pPr>
          </w:p>
        </w:tc>
        <w:tc>
          <w:tcPr>
            <w:tcW w:w="1260" w:type="dxa"/>
            <w:tcBorders>
              <w:bottom w:val="single" w:color="000000" w:sz="4" w:space="0"/>
              <w:right w:val="single" w:color="000000" w:sz="8" w:space="0"/>
            </w:tcBorders>
          </w:tcPr>
          <w:p w14:paraId="5C11C86F">
            <w:pPr>
              <w:spacing w:line="560" w:lineRule="exact"/>
              <w:jc w:val="center"/>
              <w:rPr>
                <w:rFonts w:ascii="宋体" w:hAnsi="宋体" w:cs="宋体"/>
                <w:color w:val="auto"/>
                <w:sz w:val="28"/>
                <w:highlight w:val="none"/>
              </w:rPr>
            </w:pPr>
          </w:p>
        </w:tc>
      </w:tr>
      <w:tr w14:paraId="22EDE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9" w:hRule="atLeast"/>
        </w:trPr>
        <w:tc>
          <w:tcPr>
            <w:tcW w:w="448" w:type="dxa"/>
            <w:tcBorders>
              <w:left w:val="single" w:color="000000" w:sz="8" w:space="0"/>
              <w:bottom w:val="single" w:color="000000" w:sz="4" w:space="0"/>
              <w:right w:val="single" w:color="000000" w:sz="4" w:space="0"/>
            </w:tcBorders>
            <w:vAlign w:val="center"/>
          </w:tcPr>
          <w:p w14:paraId="2301DAFE">
            <w:pPr>
              <w:spacing w:line="560" w:lineRule="exact"/>
              <w:jc w:val="center"/>
              <w:rPr>
                <w:rFonts w:ascii="宋体" w:hAnsi="宋体" w:cs="宋体"/>
                <w:color w:val="auto"/>
                <w:sz w:val="28"/>
                <w:highlight w:val="none"/>
              </w:rPr>
            </w:pPr>
            <w:r>
              <w:rPr>
                <w:rFonts w:hint="eastAsia" w:ascii="宋体" w:hAnsi="宋体" w:cs="宋体"/>
                <w:color w:val="auto"/>
                <w:highlight w:val="none"/>
              </w:rPr>
              <w:t>9</w:t>
            </w:r>
          </w:p>
        </w:tc>
        <w:tc>
          <w:tcPr>
            <w:tcW w:w="1640" w:type="dxa"/>
            <w:tcBorders>
              <w:bottom w:val="single" w:color="000000" w:sz="4" w:space="0"/>
              <w:right w:val="single" w:color="000000" w:sz="4" w:space="0"/>
            </w:tcBorders>
            <w:vAlign w:val="center"/>
          </w:tcPr>
          <w:p w14:paraId="7655DA5B">
            <w:pPr>
              <w:spacing w:line="560" w:lineRule="exact"/>
              <w:jc w:val="center"/>
              <w:rPr>
                <w:rFonts w:ascii="宋体" w:hAnsi="宋体" w:cs="宋体"/>
                <w:color w:val="auto"/>
                <w:sz w:val="28"/>
                <w:highlight w:val="none"/>
              </w:rPr>
            </w:pPr>
          </w:p>
        </w:tc>
        <w:tc>
          <w:tcPr>
            <w:tcW w:w="2184" w:type="dxa"/>
            <w:tcBorders>
              <w:bottom w:val="single" w:color="000000" w:sz="4" w:space="0"/>
              <w:right w:val="single" w:color="000000" w:sz="4" w:space="0"/>
            </w:tcBorders>
            <w:vAlign w:val="center"/>
          </w:tcPr>
          <w:p w14:paraId="58E78641">
            <w:pPr>
              <w:spacing w:line="560" w:lineRule="exact"/>
              <w:jc w:val="center"/>
              <w:rPr>
                <w:rFonts w:ascii="宋体" w:hAnsi="宋体" w:cs="宋体"/>
                <w:color w:val="auto"/>
                <w:sz w:val="28"/>
                <w:highlight w:val="none"/>
              </w:rPr>
            </w:pPr>
          </w:p>
        </w:tc>
        <w:tc>
          <w:tcPr>
            <w:tcW w:w="2077" w:type="dxa"/>
            <w:tcBorders>
              <w:bottom w:val="single" w:color="000000" w:sz="4" w:space="0"/>
              <w:right w:val="single" w:color="000000" w:sz="4" w:space="0"/>
            </w:tcBorders>
            <w:vAlign w:val="center"/>
          </w:tcPr>
          <w:p w14:paraId="3FB855AB">
            <w:pPr>
              <w:spacing w:line="560" w:lineRule="exact"/>
              <w:jc w:val="center"/>
              <w:rPr>
                <w:rFonts w:ascii="宋体" w:hAnsi="宋体" w:cs="宋体"/>
                <w:color w:val="auto"/>
                <w:sz w:val="28"/>
                <w:highlight w:val="none"/>
              </w:rPr>
            </w:pPr>
          </w:p>
        </w:tc>
        <w:tc>
          <w:tcPr>
            <w:tcW w:w="1859" w:type="dxa"/>
            <w:tcBorders>
              <w:bottom w:val="single" w:color="000000" w:sz="4" w:space="0"/>
              <w:right w:val="single" w:color="000000" w:sz="8" w:space="0"/>
            </w:tcBorders>
            <w:vAlign w:val="center"/>
          </w:tcPr>
          <w:p w14:paraId="454CE9D7">
            <w:pPr>
              <w:spacing w:line="560" w:lineRule="exact"/>
              <w:jc w:val="center"/>
              <w:rPr>
                <w:rFonts w:ascii="宋体" w:hAnsi="宋体" w:cs="宋体"/>
                <w:color w:val="auto"/>
                <w:sz w:val="28"/>
                <w:highlight w:val="none"/>
              </w:rPr>
            </w:pPr>
          </w:p>
        </w:tc>
        <w:tc>
          <w:tcPr>
            <w:tcW w:w="1260" w:type="dxa"/>
            <w:tcBorders>
              <w:bottom w:val="single" w:color="000000" w:sz="4" w:space="0"/>
              <w:right w:val="single" w:color="000000" w:sz="8" w:space="0"/>
            </w:tcBorders>
          </w:tcPr>
          <w:p w14:paraId="2129B2C4">
            <w:pPr>
              <w:spacing w:line="560" w:lineRule="exact"/>
              <w:jc w:val="center"/>
              <w:rPr>
                <w:rFonts w:ascii="宋体" w:hAnsi="宋体" w:cs="宋体"/>
                <w:color w:val="auto"/>
                <w:sz w:val="28"/>
                <w:highlight w:val="none"/>
              </w:rPr>
            </w:pPr>
          </w:p>
        </w:tc>
      </w:tr>
      <w:tr w14:paraId="70948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448" w:type="dxa"/>
            <w:tcBorders>
              <w:left w:val="single" w:color="000000" w:sz="8" w:space="0"/>
              <w:bottom w:val="single" w:color="000000" w:sz="8" w:space="0"/>
              <w:right w:val="single" w:color="000000" w:sz="4" w:space="0"/>
            </w:tcBorders>
            <w:vAlign w:val="center"/>
          </w:tcPr>
          <w:p w14:paraId="369E21AC">
            <w:pPr>
              <w:spacing w:line="560" w:lineRule="exact"/>
              <w:jc w:val="center"/>
              <w:rPr>
                <w:rFonts w:ascii="宋体" w:hAnsi="宋体" w:cs="宋体"/>
                <w:color w:val="auto"/>
                <w:sz w:val="28"/>
                <w:highlight w:val="none"/>
              </w:rPr>
            </w:pPr>
            <w:r>
              <w:rPr>
                <w:rFonts w:hint="eastAsia" w:ascii="宋体" w:hAnsi="宋体" w:cs="宋体"/>
                <w:color w:val="auto"/>
                <w:highlight w:val="none"/>
              </w:rPr>
              <w:t>......</w:t>
            </w:r>
          </w:p>
        </w:tc>
        <w:tc>
          <w:tcPr>
            <w:tcW w:w="1640" w:type="dxa"/>
            <w:tcBorders>
              <w:bottom w:val="single" w:color="000000" w:sz="8" w:space="0"/>
              <w:right w:val="single" w:color="000000" w:sz="4" w:space="0"/>
            </w:tcBorders>
            <w:vAlign w:val="center"/>
          </w:tcPr>
          <w:p w14:paraId="17506F77">
            <w:pPr>
              <w:spacing w:line="560" w:lineRule="exact"/>
              <w:jc w:val="center"/>
              <w:rPr>
                <w:rFonts w:ascii="宋体" w:hAnsi="宋体" w:cs="宋体"/>
                <w:color w:val="auto"/>
                <w:sz w:val="28"/>
                <w:highlight w:val="none"/>
              </w:rPr>
            </w:pPr>
          </w:p>
        </w:tc>
        <w:tc>
          <w:tcPr>
            <w:tcW w:w="2184" w:type="dxa"/>
            <w:tcBorders>
              <w:bottom w:val="single" w:color="000000" w:sz="8" w:space="0"/>
              <w:right w:val="single" w:color="000000" w:sz="4" w:space="0"/>
            </w:tcBorders>
            <w:vAlign w:val="center"/>
          </w:tcPr>
          <w:p w14:paraId="45237BCB">
            <w:pPr>
              <w:spacing w:line="560" w:lineRule="exact"/>
              <w:jc w:val="center"/>
              <w:rPr>
                <w:rFonts w:ascii="宋体" w:hAnsi="宋体" w:cs="宋体"/>
                <w:color w:val="auto"/>
                <w:sz w:val="28"/>
                <w:highlight w:val="none"/>
              </w:rPr>
            </w:pPr>
          </w:p>
        </w:tc>
        <w:tc>
          <w:tcPr>
            <w:tcW w:w="2077" w:type="dxa"/>
            <w:tcBorders>
              <w:bottom w:val="single" w:color="000000" w:sz="8" w:space="0"/>
              <w:right w:val="single" w:color="000000" w:sz="4" w:space="0"/>
            </w:tcBorders>
            <w:vAlign w:val="center"/>
          </w:tcPr>
          <w:p w14:paraId="3F8AEC63">
            <w:pPr>
              <w:spacing w:line="560" w:lineRule="exact"/>
              <w:jc w:val="center"/>
              <w:rPr>
                <w:rFonts w:ascii="宋体" w:hAnsi="宋体" w:cs="宋体"/>
                <w:color w:val="auto"/>
                <w:sz w:val="28"/>
                <w:highlight w:val="none"/>
              </w:rPr>
            </w:pPr>
          </w:p>
        </w:tc>
        <w:tc>
          <w:tcPr>
            <w:tcW w:w="1859" w:type="dxa"/>
            <w:tcBorders>
              <w:bottom w:val="single" w:color="000000" w:sz="8" w:space="0"/>
              <w:right w:val="single" w:color="000000" w:sz="8" w:space="0"/>
            </w:tcBorders>
            <w:vAlign w:val="center"/>
          </w:tcPr>
          <w:p w14:paraId="6CABEC18">
            <w:pPr>
              <w:spacing w:line="560" w:lineRule="exact"/>
              <w:jc w:val="center"/>
              <w:rPr>
                <w:rFonts w:ascii="宋体" w:hAnsi="宋体" w:cs="宋体"/>
                <w:color w:val="auto"/>
                <w:sz w:val="28"/>
                <w:highlight w:val="none"/>
              </w:rPr>
            </w:pPr>
          </w:p>
        </w:tc>
        <w:tc>
          <w:tcPr>
            <w:tcW w:w="1260" w:type="dxa"/>
            <w:tcBorders>
              <w:bottom w:val="single" w:color="000000" w:sz="8" w:space="0"/>
              <w:right w:val="single" w:color="000000" w:sz="8" w:space="0"/>
            </w:tcBorders>
          </w:tcPr>
          <w:p w14:paraId="08E05CCE">
            <w:pPr>
              <w:spacing w:line="560" w:lineRule="exact"/>
              <w:jc w:val="center"/>
              <w:rPr>
                <w:rFonts w:ascii="宋体" w:hAnsi="宋体" w:cs="宋体"/>
                <w:color w:val="auto"/>
                <w:sz w:val="28"/>
                <w:highlight w:val="none"/>
              </w:rPr>
            </w:pPr>
          </w:p>
        </w:tc>
      </w:tr>
    </w:tbl>
    <w:p w14:paraId="3C63F0AD">
      <w:pPr>
        <w:widowControl w:val="0"/>
        <w:tabs>
          <w:tab w:val="left" w:pos="9365"/>
        </w:tabs>
        <w:snapToGrid w:val="0"/>
        <w:spacing w:line="360" w:lineRule="auto"/>
        <w:ind w:firstLine="210" w:firstLineChars="100"/>
        <w:textAlignment w:val="top"/>
        <w:rPr>
          <w:rFonts w:ascii="宋体" w:hAnsi="宋体" w:cs="宋体"/>
          <w:color w:val="auto"/>
          <w:highlight w:val="none"/>
        </w:rPr>
      </w:pPr>
      <w:r>
        <w:rPr>
          <w:rFonts w:hint="eastAsia" w:ascii="宋体" w:hAnsi="宋体" w:cs="宋体"/>
          <w:color w:val="auto"/>
          <w:highlight w:val="none"/>
        </w:rPr>
        <w:t>注：1、“偏差”栏中详细注明响应产品参数与《磋商文件》中要求有何不同，并说明其符合性。供应商应分标段（包）填制本表。</w:t>
      </w:r>
    </w:p>
    <w:p w14:paraId="5D8BEC57">
      <w:pPr>
        <w:widowControl w:val="0"/>
        <w:tabs>
          <w:tab w:val="left" w:pos="9365"/>
        </w:tabs>
        <w:snapToGrid w:val="0"/>
        <w:spacing w:line="360" w:lineRule="auto"/>
        <w:ind w:firstLine="624"/>
        <w:textAlignment w:val="top"/>
        <w:rPr>
          <w:rFonts w:ascii="宋体" w:hAnsi="宋体" w:cs="宋体"/>
          <w:color w:val="auto"/>
          <w:highlight w:val="none"/>
        </w:rPr>
      </w:pPr>
      <w:r>
        <w:rPr>
          <w:rFonts w:hint="eastAsia" w:ascii="宋体" w:hAnsi="宋体" w:cs="宋体"/>
          <w:color w:val="auto"/>
          <w:highlight w:val="none"/>
        </w:rPr>
        <w:t>2、如所投产品配置及技术参数与“技术要求”一致的部分，仍需在本表填列“与《磋商文件》技术要求一致”字样。</w:t>
      </w:r>
    </w:p>
    <w:p w14:paraId="68C2F245">
      <w:pPr>
        <w:autoSpaceDE w:val="0"/>
        <w:autoSpaceDN w:val="0"/>
        <w:adjustRightInd w:val="0"/>
        <w:spacing w:line="360" w:lineRule="auto"/>
        <w:jc w:val="center"/>
        <w:rPr>
          <w:rFonts w:ascii="宋体" w:hAnsi="宋体" w:cs="宋体"/>
          <w:color w:val="auto"/>
          <w:sz w:val="24"/>
          <w:highlight w:val="none"/>
        </w:rPr>
      </w:pPr>
    </w:p>
    <w:p w14:paraId="0ECC6B50">
      <w:pPr>
        <w:autoSpaceDE w:val="0"/>
        <w:autoSpaceDN w:val="0"/>
        <w:adjustRightInd w:val="0"/>
        <w:spacing w:line="360" w:lineRule="auto"/>
        <w:jc w:val="left"/>
        <w:rPr>
          <w:rFonts w:ascii="宋体" w:hAnsi="宋体" w:cs="宋体"/>
          <w:color w:val="auto"/>
          <w:sz w:val="24"/>
          <w:highlight w:val="none"/>
          <w:lang w:val="zh-CN"/>
        </w:rPr>
      </w:pPr>
      <w:r>
        <w:rPr>
          <w:rFonts w:hint="eastAsia" w:ascii="宋体" w:hAnsi="宋体" w:cs="宋体"/>
          <w:color w:val="auto"/>
          <w:sz w:val="24"/>
          <w:highlight w:val="none"/>
        </w:rPr>
        <w:t>供应商</w:t>
      </w:r>
      <w:r>
        <w:rPr>
          <w:rFonts w:hint="eastAsia" w:ascii="宋体" w:hAnsi="宋体" w:cs="宋体"/>
          <w:color w:val="auto"/>
          <w:sz w:val="24"/>
          <w:szCs w:val="24"/>
          <w:highlight w:val="none"/>
        </w:rPr>
        <w:t>（电子签章）</w:t>
      </w:r>
      <w:r>
        <w:rPr>
          <w:rFonts w:hint="eastAsia" w:ascii="宋体" w:hAnsi="宋体" w:cs="宋体"/>
          <w:color w:val="auto"/>
          <w:sz w:val="24"/>
          <w:highlight w:val="none"/>
          <w:lang w:val="zh-CN"/>
        </w:rPr>
        <w:t>：</w:t>
      </w:r>
    </w:p>
    <w:p w14:paraId="222AE8AF">
      <w:pPr>
        <w:autoSpaceDE w:val="0"/>
        <w:autoSpaceDN w:val="0"/>
        <w:adjustRightInd w:val="0"/>
        <w:spacing w:line="360" w:lineRule="auto"/>
        <w:ind w:left="-2" w:right="-817" w:firstLine="2"/>
        <w:jc w:val="left"/>
        <w:rPr>
          <w:rFonts w:ascii="宋体" w:hAnsi="宋体" w:cs="宋体"/>
          <w:color w:val="auto"/>
          <w:sz w:val="24"/>
          <w:highlight w:val="none"/>
          <w:lang w:val="zh-CN"/>
        </w:rPr>
      </w:pPr>
      <w:r>
        <w:rPr>
          <w:rFonts w:hint="eastAsia" w:ascii="宋体" w:hAnsi="宋体" w:cs="宋体"/>
          <w:color w:val="auto"/>
          <w:sz w:val="24"/>
          <w:highlight w:val="none"/>
          <w:lang w:val="zh-CN"/>
        </w:rPr>
        <w:t>法定代表人</w:t>
      </w:r>
      <w:r>
        <w:rPr>
          <w:rFonts w:hint="eastAsia" w:ascii="宋体" w:hAnsi="宋体" w:cs="宋体"/>
          <w:color w:val="auto"/>
          <w:sz w:val="24"/>
          <w:szCs w:val="24"/>
          <w:highlight w:val="none"/>
        </w:rPr>
        <w:t>（电子签名）</w:t>
      </w:r>
      <w:r>
        <w:rPr>
          <w:rFonts w:hint="eastAsia" w:ascii="宋体" w:hAnsi="宋体" w:cs="宋体"/>
          <w:color w:val="auto"/>
          <w:sz w:val="24"/>
          <w:highlight w:val="none"/>
          <w:lang w:val="zh-CN"/>
        </w:rPr>
        <w:t xml:space="preserve">：  </w:t>
      </w:r>
    </w:p>
    <w:p w14:paraId="2D3137B6">
      <w:pPr>
        <w:autoSpaceDE w:val="0"/>
        <w:autoSpaceDN w:val="0"/>
        <w:adjustRightInd w:val="0"/>
        <w:spacing w:line="360" w:lineRule="auto"/>
        <w:ind w:right="-817"/>
        <w:jc w:val="left"/>
        <w:rPr>
          <w:rFonts w:ascii="宋体" w:hAnsi="宋体" w:cs="宋体"/>
          <w:color w:val="auto"/>
          <w:sz w:val="24"/>
          <w:highlight w:val="none"/>
          <w:lang w:val="zh-CN"/>
        </w:rPr>
      </w:pPr>
      <w:r>
        <w:rPr>
          <w:rFonts w:hint="eastAsia" w:ascii="宋体" w:hAnsi="宋体" w:cs="宋体"/>
          <w:color w:val="auto"/>
          <w:sz w:val="24"/>
          <w:highlight w:val="none"/>
          <w:lang w:val="zh-CN"/>
        </w:rPr>
        <w:t>日期：   年   月   日</w:t>
      </w:r>
    </w:p>
    <w:p w14:paraId="37B7B336">
      <w:pPr>
        <w:spacing w:line="240" w:lineRule="auto"/>
        <w:jc w:val="left"/>
        <w:textAlignment w:val="auto"/>
        <w:rPr>
          <w:rFonts w:ascii="宋体" w:hAnsi="宋体" w:cs="宋体"/>
          <w:b/>
          <w:color w:val="auto"/>
          <w:sz w:val="30"/>
          <w:szCs w:val="30"/>
          <w:highlight w:val="none"/>
        </w:rPr>
      </w:pPr>
    </w:p>
    <w:p w14:paraId="41D580DF">
      <w:pPr>
        <w:pStyle w:val="18"/>
        <w:adjustRightInd w:val="0"/>
        <w:snapToGrid w:val="0"/>
        <w:spacing w:before="0" w:beforeAutospacing="0" w:after="0" w:afterAutospacing="0"/>
        <w:rPr>
          <w:b/>
          <w:color w:val="auto"/>
          <w:sz w:val="30"/>
          <w:szCs w:val="30"/>
          <w:highlight w:val="none"/>
        </w:rPr>
      </w:pPr>
      <w:r>
        <w:rPr>
          <w:rFonts w:hint="eastAsia"/>
          <w:b/>
          <w:color w:val="auto"/>
          <w:sz w:val="30"/>
          <w:szCs w:val="30"/>
          <w:highlight w:val="none"/>
        </w:rPr>
        <w:br w:type="page"/>
      </w:r>
    </w:p>
    <w:p w14:paraId="10D9C88C">
      <w:pPr>
        <w:autoSpaceDE w:val="0"/>
        <w:autoSpaceDN w:val="0"/>
        <w:adjustRightInd w:val="0"/>
        <w:spacing w:line="360" w:lineRule="auto"/>
        <w:jc w:val="center"/>
        <w:rPr>
          <w:rFonts w:ascii="宋体" w:hAnsi="宋体" w:cs="宋体"/>
          <w:b/>
          <w:color w:val="auto"/>
          <w:sz w:val="30"/>
          <w:szCs w:val="30"/>
          <w:highlight w:val="none"/>
        </w:rPr>
      </w:pPr>
      <w:r>
        <w:rPr>
          <w:rFonts w:hint="eastAsia" w:ascii="宋体" w:hAnsi="宋体" w:cs="宋体"/>
          <w:b/>
          <w:color w:val="auto"/>
          <w:sz w:val="30"/>
          <w:szCs w:val="30"/>
          <w:highlight w:val="none"/>
        </w:rPr>
        <w:t>六、其他偏差表（除技术偏差外）</w:t>
      </w:r>
    </w:p>
    <w:p w14:paraId="3FFE3EF8">
      <w:pPr>
        <w:pStyle w:val="18"/>
        <w:adjustRightInd w:val="0"/>
        <w:snapToGrid w:val="0"/>
        <w:spacing w:before="0" w:beforeAutospacing="0" w:after="0" w:afterAutospacing="0"/>
        <w:rPr>
          <w:color w:val="auto"/>
          <w:highlight w:val="none"/>
        </w:rPr>
      </w:pPr>
    </w:p>
    <w:p w14:paraId="60D69264">
      <w:pPr>
        <w:pStyle w:val="18"/>
        <w:adjustRightInd w:val="0"/>
        <w:snapToGrid w:val="0"/>
        <w:spacing w:before="0" w:beforeAutospacing="0" w:after="0" w:afterAutospacing="0"/>
        <w:rPr>
          <w:color w:val="auto"/>
          <w:highlight w:val="none"/>
          <w:u w:val="single"/>
        </w:rPr>
      </w:pPr>
      <w:r>
        <w:rPr>
          <w:rFonts w:hint="eastAsia"/>
          <w:color w:val="auto"/>
          <w:highlight w:val="none"/>
        </w:rPr>
        <w:t>项目名称：</w:t>
      </w:r>
      <w:r>
        <w:rPr>
          <w:rFonts w:hint="eastAsia"/>
          <w:color w:val="auto"/>
          <w:highlight w:val="none"/>
          <w:u w:val="single"/>
        </w:rPr>
        <w:t xml:space="preserve">            </w:t>
      </w:r>
    </w:p>
    <w:p w14:paraId="0F1B012B">
      <w:pPr>
        <w:pStyle w:val="18"/>
        <w:adjustRightInd w:val="0"/>
        <w:snapToGrid w:val="0"/>
        <w:spacing w:before="0" w:beforeAutospacing="0" w:after="0" w:afterAutospacing="0"/>
        <w:rPr>
          <w:color w:val="auto"/>
          <w:highlight w:val="none"/>
          <w:u w:val="single"/>
        </w:rPr>
      </w:pPr>
      <w:r>
        <w:rPr>
          <w:rFonts w:hint="eastAsia"/>
          <w:color w:val="auto"/>
          <w:highlight w:val="none"/>
        </w:rPr>
        <w:t>项目编号：</w:t>
      </w:r>
      <w:r>
        <w:rPr>
          <w:rFonts w:hint="eastAsia"/>
          <w:color w:val="auto"/>
          <w:highlight w:val="none"/>
          <w:u w:val="single"/>
        </w:rPr>
        <w:t xml:space="preserve">            </w:t>
      </w:r>
    </w:p>
    <w:tbl>
      <w:tblPr>
        <w:tblStyle w:val="22"/>
        <w:tblW w:w="9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37"/>
        <w:gridCol w:w="3098"/>
        <w:gridCol w:w="2947"/>
        <w:gridCol w:w="2638"/>
      </w:tblGrid>
      <w:tr w14:paraId="41B59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2" w:hRule="atLeast"/>
        </w:trPr>
        <w:tc>
          <w:tcPr>
            <w:tcW w:w="637" w:type="dxa"/>
            <w:tcBorders>
              <w:top w:val="single" w:color="000000" w:sz="8" w:space="0"/>
              <w:left w:val="single" w:color="000000" w:sz="8" w:space="0"/>
              <w:bottom w:val="single" w:color="000000" w:sz="4" w:space="0"/>
              <w:right w:val="single" w:color="000000" w:sz="4" w:space="0"/>
            </w:tcBorders>
            <w:vAlign w:val="center"/>
          </w:tcPr>
          <w:p w14:paraId="32155ABB">
            <w:pPr>
              <w:spacing w:line="560" w:lineRule="exact"/>
              <w:jc w:val="center"/>
              <w:rPr>
                <w:rFonts w:ascii="宋体" w:hAnsi="宋体" w:cs="宋体"/>
                <w:b/>
                <w:color w:val="auto"/>
                <w:sz w:val="28"/>
                <w:highlight w:val="none"/>
              </w:rPr>
            </w:pPr>
            <w:r>
              <w:rPr>
                <w:rFonts w:hint="eastAsia" w:ascii="宋体" w:hAnsi="宋体" w:cs="宋体"/>
                <w:b/>
                <w:color w:val="auto"/>
                <w:highlight w:val="none"/>
              </w:rPr>
              <w:t>序号</w:t>
            </w:r>
          </w:p>
        </w:tc>
        <w:tc>
          <w:tcPr>
            <w:tcW w:w="3098" w:type="dxa"/>
            <w:tcBorders>
              <w:top w:val="single" w:color="000000" w:sz="8" w:space="0"/>
              <w:bottom w:val="single" w:color="000000" w:sz="4" w:space="0"/>
              <w:right w:val="single" w:color="000000" w:sz="4" w:space="0"/>
            </w:tcBorders>
            <w:vAlign w:val="center"/>
          </w:tcPr>
          <w:p w14:paraId="08C112D8">
            <w:pPr>
              <w:spacing w:line="560" w:lineRule="exact"/>
              <w:jc w:val="center"/>
              <w:rPr>
                <w:rFonts w:ascii="宋体" w:hAnsi="宋体" w:cs="宋体"/>
                <w:b/>
                <w:color w:val="auto"/>
                <w:sz w:val="28"/>
                <w:highlight w:val="none"/>
              </w:rPr>
            </w:pPr>
            <w:r>
              <w:rPr>
                <w:rFonts w:hint="eastAsia" w:ascii="宋体" w:hAnsi="宋体" w:cs="宋体"/>
                <w:b/>
                <w:color w:val="auto"/>
                <w:highlight w:val="none"/>
              </w:rPr>
              <w:t>《磋商文件》要求</w:t>
            </w:r>
          </w:p>
        </w:tc>
        <w:tc>
          <w:tcPr>
            <w:tcW w:w="2947" w:type="dxa"/>
            <w:tcBorders>
              <w:top w:val="single" w:color="000000" w:sz="8" w:space="0"/>
              <w:bottom w:val="single" w:color="000000" w:sz="4" w:space="0"/>
              <w:right w:val="single" w:color="000000" w:sz="4" w:space="0"/>
            </w:tcBorders>
            <w:vAlign w:val="center"/>
          </w:tcPr>
          <w:p w14:paraId="71F2ED48">
            <w:pPr>
              <w:spacing w:line="560" w:lineRule="exact"/>
              <w:jc w:val="center"/>
              <w:rPr>
                <w:rFonts w:ascii="宋体" w:hAnsi="宋体" w:cs="宋体"/>
                <w:b/>
                <w:color w:val="auto"/>
                <w:sz w:val="28"/>
                <w:highlight w:val="none"/>
              </w:rPr>
            </w:pPr>
            <w:r>
              <w:rPr>
                <w:rFonts w:hint="eastAsia" w:ascii="宋体" w:hAnsi="宋体" w:cs="宋体"/>
                <w:b/>
                <w:color w:val="auto"/>
                <w:highlight w:val="none"/>
              </w:rPr>
              <w:t>《响应文件》响应</w:t>
            </w:r>
          </w:p>
        </w:tc>
        <w:tc>
          <w:tcPr>
            <w:tcW w:w="2638" w:type="dxa"/>
            <w:tcBorders>
              <w:top w:val="single" w:color="000000" w:sz="8" w:space="0"/>
              <w:bottom w:val="single" w:color="000000" w:sz="4" w:space="0"/>
              <w:right w:val="single" w:color="000000" w:sz="8" w:space="0"/>
            </w:tcBorders>
            <w:vAlign w:val="center"/>
          </w:tcPr>
          <w:p w14:paraId="6BE44908">
            <w:pPr>
              <w:spacing w:line="560" w:lineRule="exact"/>
              <w:jc w:val="center"/>
              <w:rPr>
                <w:rFonts w:ascii="宋体" w:hAnsi="宋体" w:cs="宋体"/>
                <w:b/>
                <w:color w:val="auto"/>
                <w:sz w:val="28"/>
                <w:highlight w:val="none"/>
              </w:rPr>
            </w:pPr>
            <w:r>
              <w:rPr>
                <w:rFonts w:hint="eastAsia" w:ascii="宋体" w:hAnsi="宋体" w:cs="宋体"/>
                <w:b/>
                <w:color w:val="auto"/>
                <w:highlight w:val="none"/>
              </w:rPr>
              <w:t>偏差描述</w:t>
            </w:r>
          </w:p>
        </w:tc>
      </w:tr>
      <w:tr w14:paraId="29D9B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trPr>
        <w:tc>
          <w:tcPr>
            <w:tcW w:w="637" w:type="dxa"/>
            <w:tcBorders>
              <w:left w:val="single" w:color="000000" w:sz="8" w:space="0"/>
              <w:bottom w:val="single" w:color="000000" w:sz="4" w:space="0"/>
              <w:right w:val="single" w:color="000000" w:sz="4" w:space="0"/>
            </w:tcBorders>
            <w:vAlign w:val="center"/>
          </w:tcPr>
          <w:p w14:paraId="3FCCF7CC">
            <w:pPr>
              <w:spacing w:line="560" w:lineRule="exact"/>
              <w:jc w:val="center"/>
              <w:rPr>
                <w:rFonts w:ascii="宋体" w:hAnsi="宋体" w:cs="宋体"/>
                <w:color w:val="auto"/>
                <w:sz w:val="28"/>
                <w:highlight w:val="none"/>
              </w:rPr>
            </w:pPr>
            <w:r>
              <w:rPr>
                <w:rFonts w:hint="eastAsia" w:ascii="宋体" w:hAnsi="宋体" w:cs="宋体"/>
                <w:color w:val="auto"/>
                <w:highlight w:val="none"/>
              </w:rPr>
              <w:t>1</w:t>
            </w:r>
          </w:p>
        </w:tc>
        <w:tc>
          <w:tcPr>
            <w:tcW w:w="3098" w:type="dxa"/>
            <w:tcBorders>
              <w:bottom w:val="single" w:color="000000" w:sz="4" w:space="0"/>
              <w:right w:val="single" w:color="000000" w:sz="4" w:space="0"/>
            </w:tcBorders>
            <w:vAlign w:val="center"/>
          </w:tcPr>
          <w:p w14:paraId="19BEE1AD">
            <w:pPr>
              <w:spacing w:line="560" w:lineRule="exact"/>
              <w:jc w:val="center"/>
              <w:rPr>
                <w:rFonts w:ascii="宋体" w:hAnsi="宋体" w:cs="宋体"/>
                <w:color w:val="auto"/>
                <w:sz w:val="28"/>
                <w:highlight w:val="none"/>
              </w:rPr>
            </w:pPr>
          </w:p>
        </w:tc>
        <w:tc>
          <w:tcPr>
            <w:tcW w:w="2947" w:type="dxa"/>
            <w:tcBorders>
              <w:bottom w:val="single" w:color="000000" w:sz="4" w:space="0"/>
              <w:right w:val="single" w:color="000000" w:sz="4" w:space="0"/>
            </w:tcBorders>
            <w:vAlign w:val="center"/>
          </w:tcPr>
          <w:p w14:paraId="61368E90">
            <w:pPr>
              <w:spacing w:line="560" w:lineRule="exact"/>
              <w:jc w:val="center"/>
              <w:rPr>
                <w:rFonts w:ascii="宋体" w:hAnsi="宋体" w:cs="宋体"/>
                <w:color w:val="auto"/>
                <w:sz w:val="28"/>
                <w:highlight w:val="none"/>
              </w:rPr>
            </w:pPr>
          </w:p>
        </w:tc>
        <w:tc>
          <w:tcPr>
            <w:tcW w:w="2638" w:type="dxa"/>
            <w:tcBorders>
              <w:bottom w:val="single" w:color="000000" w:sz="4" w:space="0"/>
              <w:right w:val="single" w:color="000000" w:sz="8" w:space="0"/>
            </w:tcBorders>
            <w:vAlign w:val="center"/>
          </w:tcPr>
          <w:p w14:paraId="3C2CE6CB">
            <w:pPr>
              <w:spacing w:line="560" w:lineRule="exact"/>
              <w:jc w:val="center"/>
              <w:rPr>
                <w:rFonts w:ascii="宋体" w:hAnsi="宋体" w:cs="宋体"/>
                <w:color w:val="auto"/>
                <w:sz w:val="28"/>
                <w:highlight w:val="none"/>
              </w:rPr>
            </w:pPr>
          </w:p>
        </w:tc>
      </w:tr>
      <w:tr w14:paraId="0983F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trPr>
        <w:tc>
          <w:tcPr>
            <w:tcW w:w="637" w:type="dxa"/>
            <w:tcBorders>
              <w:left w:val="single" w:color="000000" w:sz="8" w:space="0"/>
              <w:bottom w:val="single" w:color="000000" w:sz="4" w:space="0"/>
              <w:right w:val="single" w:color="000000" w:sz="4" w:space="0"/>
            </w:tcBorders>
            <w:vAlign w:val="center"/>
          </w:tcPr>
          <w:p w14:paraId="6FE1395E">
            <w:pPr>
              <w:spacing w:line="560" w:lineRule="exact"/>
              <w:jc w:val="center"/>
              <w:rPr>
                <w:rFonts w:ascii="宋体" w:hAnsi="宋体" w:cs="宋体"/>
                <w:color w:val="auto"/>
                <w:sz w:val="28"/>
                <w:highlight w:val="none"/>
              </w:rPr>
            </w:pPr>
            <w:r>
              <w:rPr>
                <w:rFonts w:hint="eastAsia" w:ascii="宋体" w:hAnsi="宋体" w:cs="宋体"/>
                <w:color w:val="auto"/>
                <w:highlight w:val="none"/>
              </w:rPr>
              <w:t>2</w:t>
            </w:r>
          </w:p>
        </w:tc>
        <w:tc>
          <w:tcPr>
            <w:tcW w:w="3098" w:type="dxa"/>
            <w:tcBorders>
              <w:bottom w:val="single" w:color="000000" w:sz="4" w:space="0"/>
              <w:right w:val="single" w:color="000000" w:sz="4" w:space="0"/>
            </w:tcBorders>
            <w:vAlign w:val="center"/>
          </w:tcPr>
          <w:p w14:paraId="5A31C7C9">
            <w:pPr>
              <w:spacing w:line="560" w:lineRule="exact"/>
              <w:jc w:val="center"/>
              <w:rPr>
                <w:rFonts w:ascii="宋体" w:hAnsi="宋体" w:cs="宋体"/>
                <w:color w:val="auto"/>
                <w:sz w:val="28"/>
                <w:highlight w:val="none"/>
              </w:rPr>
            </w:pPr>
          </w:p>
        </w:tc>
        <w:tc>
          <w:tcPr>
            <w:tcW w:w="2947" w:type="dxa"/>
            <w:tcBorders>
              <w:bottom w:val="single" w:color="000000" w:sz="4" w:space="0"/>
              <w:right w:val="single" w:color="000000" w:sz="4" w:space="0"/>
            </w:tcBorders>
            <w:vAlign w:val="center"/>
          </w:tcPr>
          <w:p w14:paraId="3E6DF530">
            <w:pPr>
              <w:spacing w:line="560" w:lineRule="exact"/>
              <w:jc w:val="center"/>
              <w:rPr>
                <w:rFonts w:ascii="宋体" w:hAnsi="宋体" w:cs="宋体"/>
                <w:color w:val="auto"/>
                <w:sz w:val="28"/>
                <w:highlight w:val="none"/>
              </w:rPr>
            </w:pPr>
          </w:p>
        </w:tc>
        <w:tc>
          <w:tcPr>
            <w:tcW w:w="2638" w:type="dxa"/>
            <w:tcBorders>
              <w:bottom w:val="single" w:color="000000" w:sz="4" w:space="0"/>
              <w:right w:val="single" w:color="000000" w:sz="8" w:space="0"/>
            </w:tcBorders>
            <w:vAlign w:val="center"/>
          </w:tcPr>
          <w:p w14:paraId="552031B8">
            <w:pPr>
              <w:spacing w:line="560" w:lineRule="exact"/>
              <w:jc w:val="center"/>
              <w:rPr>
                <w:rFonts w:ascii="宋体" w:hAnsi="宋体" w:cs="宋体"/>
                <w:color w:val="auto"/>
                <w:sz w:val="28"/>
                <w:highlight w:val="none"/>
              </w:rPr>
            </w:pPr>
          </w:p>
        </w:tc>
      </w:tr>
      <w:tr w14:paraId="35314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trPr>
        <w:tc>
          <w:tcPr>
            <w:tcW w:w="637" w:type="dxa"/>
            <w:tcBorders>
              <w:left w:val="single" w:color="000000" w:sz="8" w:space="0"/>
              <w:bottom w:val="single" w:color="000000" w:sz="4" w:space="0"/>
              <w:right w:val="single" w:color="000000" w:sz="4" w:space="0"/>
            </w:tcBorders>
            <w:vAlign w:val="center"/>
          </w:tcPr>
          <w:p w14:paraId="20C3F788">
            <w:pPr>
              <w:spacing w:line="560" w:lineRule="exact"/>
              <w:jc w:val="center"/>
              <w:rPr>
                <w:rFonts w:ascii="宋体" w:hAnsi="宋体" w:cs="宋体"/>
                <w:color w:val="auto"/>
                <w:sz w:val="28"/>
                <w:highlight w:val="none"/>
              </w:rPr>
            </w:pPr>
            <w:r>
              <w:rPr>
                <w:rFonts w:hint="eastAsia" w:ascii="宋体" w:hAnsi="宋体" w:cs="宋体"/>
                <w:color w:val="auto"/>
                <w:highlight w:val="none"/>
              </w:rPr>
              <w:t>3</w:t>
            </w:r>
          </w:p>
        </w:tc>
        <w:tc>
          <w:tcPr>
            <w:tcW w:w="3098" w:type="dxa"/>
            <w:tcBorders>
              <w:bottom w:val="single" w:color="000000" w:sz="4" w:space="0"/>
              <w:right w:val="single" w:color="000000" w:sz="4" w:space="0"/>
            </w:tcBorders>
            <w:vAlign w:val="center"/>
          </w:tcPr>
          <w:p w14:paraId="18C0FC45">
            <w:pPr>
              <w:spacing w:line="560" w:lineRule="exact"/>
              <w:jc w:val="center"/>
              <w:rPr>
                <w:rFonts w:ascii="宋体" w:hAnsi="宋体" w:cs="宋体"/>
                <w:color w:val="auto"/>
                <w:sz w:val="28"/>
                <w:highlight w:val="none"/>
              </w:rPr>
            </w:pPr>
          </w:p>
        </w:tc>
        <w:tc>
          <w:tcPr>
            <w:tcW w:w="2947" w:type="dxa"/>
            <w:tcBorders>
              <w:bottom w:val="single" w:color="000000" w:sz="4" w:space="0"/>
              <w:right w:val="single" w:color="000000" w:sz="4" w:space="0"/>
            </w:tcBorders>
            <w:vAlign w:val="center"/>
          </w:tcPr>
          <w:p w14:paraId="352B58C6">
            <w:pPr>
              <w:spacing w:line="560" w:lineRule="exact"/>
              <w:jc w:val="center"/>
              <w:rPr>
                <w:rFonts w:ascii="宋体" w:hAnsi="宋体" w:cs="宋体"/>
                <w:color w:val="auto"/>
                <w:sz w:val="28"/>
                <w:highlight w:val="none"/>
              </w:rPr>
            </w:pPr>
          </w:p>
        </w:tc>
        <w:tc>
          <w:tcPr>
            <w:tcW w:w="2638" w:type="dxa"/>
            <w:tcBorders>
              <w:bottom w:val="single" w:color="000000" w:sz="4" w:space="0"/>
              <w:right w:val="single" w:color="000000" w:sz="8" w:space="0"/>
            </w:tcBorders>
            <w:vAlign w:val="center"/>
          </w:tcPr>
          <w:p w14:paraId="2F48B4F1">
            <w:pPr>
              <w:spacing w:line="560" w:lineRule="exact"/>
              <w:jc w:val="center"/>
              <w:rPr>
                <w:rFonts w:ascii="宋体" w:hAnsi="宋体" w:cs="宋体"/>
                <w:color w:val="auto"/>
                <w:sz w:val="28"/>
                <w:highlight w:val="none"/>
              </w:rPr>
            </w:pPr>
          </w:p>
        </w:tc>
      </w:tr>
      <w:tr w14:paraId="4216B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trPr>
        <w:tc>
          <w:tcPr>
            <w:tcW w:w="637" w:type="dxa"/>
            <w:tcBorders>
              <w:left w:val="single" w:color="000000" w:sz="8" w:space="0"/>
              <w:bottom w:val="single" w:color="000000" w:sz="4" w:space="0"/>
              <w:right w:val="single" w:color="000000" w:sz="4" w:space="0"/>
            </w:tcBorders>
            <w:vAlign w:val="center"/>
          </w:tcPr>
          <w:p w14:paraId="61309490">
            <w:pPr>
              <w:spacing w:line="560" w:lineRule="exact"/>
              <w:jc w:val="center"/>
              <w:rPr>
                <w:rFonts w:ascii="宋体" w:hAnsi="宋体" w:cs="宋体"/>
                <w:color w:val="auto"/>
                <w:sz w:val="28"/>
                <w:highlight w:val="none"/>
              </w:rPr>
            </w:pPr>
            <w:r>
              <w:rPr>
                <w:rFonts w:hint="eastAsia" w:ascii="宋体" w:hAnsi="宋体" w:cs="宋体"/>
                <w:color w:val="auto"/>
                <w:highlight w:val="none"/>
              </w:rPr>
              <w:t>4</w:t>
            </w:r>
          </w:p>
        </w:tc>
        <w:tc>
          <w:tcPr>
            <w:tcW w:w="3098" w:type="dxa"/>
            <w:tcBorders>
              <w:bottom w:val="single" w:color="000000" w:sz="4" w:space="0"/>
              <w:right w:val="single" w:color="000000" w:sz="4" w:space="0"/>
            </w:tcBorders>
            <w:vAlign w:val="center"/>
          </w:tcPr>
          <w:p w14:paraId="39072A20">
            <w:pPr>
              <w:spacing w:line="560" w:lineRule="exact"/>
              <w:jc w:val="center"/>
              <w:rPr>
                <w:rFonts w:ascii="宋体" w:hAnsi="宋体" w:cs="宋体"/>
                <w:color w:val="auto"/>
                <w:sz w:val="28"/>
                <w:highlight w:val="none"/>
              </w:rPr>
            </w:pPr>
          </w:p>
        </w:tc>
        <w:tc>
          <w:tcPr>
            <w:tcW w:w="2947" w:type="dxa"/>
            <w:tcBorders>
              <w:bottom w:val="single" w:color="000000" w:sz="4" w:space="0"/>
              <w:right w:val="single" w:color="000000" w:sz="4" w:space="0"/>
            </w:tcBorders>
            <w:vAlign w:val="center"/>
          </w:tcPr>
          <w:p w14:paraId="49CE3C27">
            <w:pPr>
              <w:spacing w:line="560" w:lineRule="exact"/>
              <w:jc w:val="center"/>
              <w:rPr>
                <w:rFonts w:ascii="宋体" w:hAnsi="宋体" w:cs="宋体"/>
                <w:color w:val="auto"/>
                <w:sz w:val="28"/>
                <w:highlight w:val="none"/>
              </w:rPr>
            </w:pPr>
          </w:p>
        </w:tc>
        <w:tc>
          <w:tcPr>
            <w:tcW w:w="2638" w:type="dxa"/>
            <w:tcBorders>
              <w:bottom w:val="single" w:color="000000" w:sz="4" w:space="0"/>
              <w:right w:val="single" w:color="000000" w:sz="8" w:space="0"/>
            </w:tcBorders>
            <w:vAlign w:val="center"/>
          </w:tcPr>
          <w:p w14:paraId="38B627C5">
            <w:pPr>
              <w:spacing w:line="560" w:lineRule="exact"/>
              <w:jc w:val="center"/>
              <w:rPr>
                <w:rFonts w:ascii="宋体" w:hAnsi="宋体" w:cs="宋体"/>
                <w:color w:val="auto"/>
                <w:sz w:val="28"/>
                <w:highlight w:val="none"/>
              </w:rPr>
            </w:pPr>
          </w:p>
        </w:tc>
      </w:tr>
      <w:tr w14:paraId="528BA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trPr>
        <w:tc>
          <w:tcPr>
            <w:tcW w:w="637" w:type="dxa"/>
            <w:tcBorders>
              <w:left w:val="single" w:color="000000" w:sz="8" w:space="0"/>
              <w:bottom w:val="single" w:color="000000" w:sz="4" w:space="0"/>
              <w:right w:val="single" w:color="000000" w:sz="4" w:space="0"/>
            </w:tcBorders>
            <w:vAlign w:val="center"/>
          </w:tcPr>
          <w:p w14:paraId="452D8620">
            <w:pPr>
              <w:spacing w:line="560" w:lineRule="exact"/>
              <w:jc w:val="center"/>
              <w:rPr>
                <w:rFonts w:ascii="宋体" w:hAnsi="宋体" w:cs="宋体"/>
                <w:color w:val="auto"/>
                <w:sz w:val="28"/>
                <w:highlight w:val="none"/>
              </w:rPr>
            </w:pPr>
            <w:r>
              <w:rPr>
                <w:rFonts w:hint="eastAsia" w:ascii="宋体" w:hAnsi="宋体" w:cs="宋体"/>
                <w:color w:val="auto"/>
                <w:highlight w:val="none"/>
              </w:rPr>
              <w:t>5</w:t>
            </w:r>
          </w:p>
        </w:tc>
        <w:tc>
          <w:tcPr>
            <w:tcW w:w="3098" w:type="dxa"/>
            <w:tcBorders>
              <w:bottom w:val="single" w:color="000000" w:sz="4" w:space="0"/>
              <w:right w:val="single" w:color="000000" w:sz="4" w:space="0"/>
            </w:tcBorders>
            <w:vAlign w:val="center"/>
          </w:tcPr>
          <w:p w14:paraId="59C7A8FE">
            <w:pPr>
              <w:spacing w:line="560" w:lineRule="exact"/>
              <w:jc w:val="center"/>
              <w:rPr>
                <w:rFonts w:ascii="宋体" w:hAnsi="宋体" w:cs="宋体"/>
                <w:color w:val="auto"/>
                <w:sz w:val="28"/>
                <w:highlight w:val="none"/>
              </w:rPr>
            </w:pPr>
          </w:p>
        </w:tc>
        <w:tc>
          <w:tcPr>
            <w:tcW w:w="2947" w:type="dxa"/>
            <w:tcBorders>
              <w:bottom w:val="single" w:color="000000" w:sz="4" w:space="0"/>
              <w:right w:val="single" w:color="000000" w:sz="4" w:space="0"/>
            </w:tcBorders>
            <w:vAlign w:val="center"/>
          </w:tcPr>
          <w:p w14:paraId="42F05BE8">
            <w:pPr>
              <w:spacing w:line="560" w:lineRule="exact"/>
              <w:jc w:val="center"/>
              <w:rPr>
                <w:rFonts w:ascii="宋体" w:hAnsi="宋体" w:cs="宋体"/>
                <w:color w:val="auto"/>
                <w:sz w:val="28"/>
                <w:highlight w:val="none"/>
              </w:rPr>
            </w:pPr>
          </w:p>
        </w:tc>
        <w:tc>
          <w:tcPr>
            <w:tcW w:w="2638" w:type="dxa"/>
            <w:tcBorders>
              <w:bottom w:val="single" w:color="000000" w:sz="4" w:space="0"/>
              <w:right w:val="single" w:color="000000" w:sz="8" w:space="0"/>
            </w:tcBorders>
            <w:vAlign w:val="center"/>
          </w:tcPr>
          <w:p w14:paraId="51960E7A">
            <w:pPr>
              <w:spacing w:line="560" w:lineRule="exact"/>
              <w:jc w:val="center"/>
              <w:rPr>
                <w:rFonts w:ascii="宋体" w:hAnsi="宋体" w:cs="宋体"/>
                <w:color w:val="auto"/>
                <w:sz w:val="28"/>
                <w:highlight w:val="none"/>
              </w:rPr>
            </w:pPr>
          </w:p>
        </w:tc>
      </w:tr>
      <w:tr w14:paraId="52C4C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637" w:type="dxa"/>
            <w:tcBorders>
              <w:left w:val="single" w:color="000000" w:sz="8" w:space="0"/>
              <w:bottom w:val="single" w:color="000000" w:sz="4" w:space="0"/>
              <w:right w:val="single" w:color="000000" w:sz="4" w:space="0"/>
            </w:tcBorders>
            <w:vAlign w:val="center"/>
          </w:tcPr>
          <w:p w14:paraId="1B36B1B2">
            <w:pPr>
              <w:spacing w:line="560" w:lineRule="exact"/>
              <w:jc w:val="center"/>
              <w:rPr>
                <w:rFonts w:ascii="宋体" w:hAnsi="宋体" w:cs="宋体"/>
                <w:color w:val="auto"/>
                <w:sz w:val="28"/>
                <w:highlight w:val="none"/>
              </w:rPr>
            </w:pPr>
            <w:r>
              <w:rPr>
                <w:rFonts w:hint="eastAsia" w:ascii="宋体" w:hAnsi="宋体" w:cs="宋体"/>
                <w:color w:val="auto"/>
                <w:highlight w:val="none"/>
              </w:rPr>
              <w:t>6</w:t>
            </w:r>
          </w:p>
        </w:tc>
        <w:tc>
          <w:tcPr>
            <w:tcW w:w="3098" w:type="dxa"/>
            <w:tcBorders>
              <w:bottom w:val="single" w:color="000000" w:sz="4" w:space="0"/>
              <w:right w:val="single" w:color="000000" w:sz="4" w:space="0"/>
            </w:tcBorders>
            <w:vAlign w:val="center"/>
          </w:tcPr>
          <w:p w14:paraId="610F8407">
            <w:pPr>
              <w:spacing w:line="560" w:lineRule="exact"/>
              <w:jc w:val="center"/>
              <w:rPr>
                <w:rFonts w:ascii="宋体" w:hAnsi="宋体" w:cs="宋体"/>
                <w:color w:val="auto"/>
                <w:sz w:val="28"/>
                <w:highlight w:val="none"/>
              </w:rPr>
            </w:pPr>
          </w:p>
        </w:tc>
        <w:tc>
          <w:tcPr>
            <w:tcW w:w="2947" w:type="dxa"/>
            <w:tcBorders>
              <w:bottom w:val="single" w:color="000000" w:sz="4" w:space="0"/>
              <w:right w:val="single" w:color="000000" w:sz="4" w:space="0"/>
            </w:tcBorders>
            <w:vAlign w:val="center"/>
          </w:tcPr>
          <w:p w14:paraId="290C1CDA">
            <w:pPr>
              <w:spacing w:line="560" w:lineRule="exact"/>
              <w:jc w:val="center"/>
              <w:rPr>
                <w:rFonts w:ascii="宋体" w:hAnsi="宋体" w:cs="宋体"/>
                <w:color w:val="auto"/>
                <w:sz w:val="28"/>
                <w:highlight w:val="none"/>
              </w:rPr>
            </w:pPr>
          </w:p>
        </w:tc>
        <w:tc>
          <w:tcPr>
            <w:tcW w:w="2638" w:type="dxa"/>
            <w:tcBorders>
              <w:bottom w:val="single" w:color="000000" w:sz="4" w:space="0"/>
              <w:right w:val="single" w:color="000000" w:sz="8" w:space="0"/>
            </w:tcBorders>
            <w:vAlign w:val="center"/>
          </w:tcPr>
          <w:p w14:paraId="1FC964A3">
            <w:pPr>
              <w:spacing w:line="560" w:lineRule="exact"/>
              <w:jc w:val="center"/>
              <w:rPr>
                <w:rFonts w:ascii="宋体" w:hAnsi="宋体" w:cs="宋体"/>
                <w:color w:val="auto"/>
                <w:sz w:val="28"/>
                <w:highlight w:val="none"/>
              </w:rPr>
            </w:pPr>
          </w:p>
        </w:tc>
      </w:tr>
      <w:tr w14:paraId="37B60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2" w:hRule="atLeast"/>
        </w:trPr>
        <w:tc>
          <w:tcPr>
            <w:tcW w:w="637" w:type="dxa"/>
            <w:tcBorders>
              <w:left w:val="single" w:color="000000" w:sz="8" w:space="0"/>
              <w:bottom w:val="single" w:color="000000" w:sz="4" w:space="0"/>
              <w:right w:val="single" w:color="000000" w:sz="4" w:space="0"/>
            </w:tcBorders>
            <w:vAlign w:val="center"/>
          </w:tcPr>
          <w:p w14:paraId="3FAC6E9F">
            <w:pPr>
              <w:spacing w:line="560" w:lineRule="exact"/>
              <w:jc w:val="center"/>
              <w:rPr>
                <w:rFonts w:ascii="宋体" w:hAnsi="宋体" w:cs="宋体"/>
                <w:color w:val="auto"/>
                <w:sz w:val="28"/>
                <w:highlight w:val="none"/>
              </w:rPr>
            </w:pPr>
            <w:r>
              <w:rPr>
                <w:rFonts w:hint="eastAsia" w:ascii="宋体" w:hAnsi="宋体" w:cs="宋体"/>
                <w:color w:val="auto"/>
                <w:highlight w:val="none"/>
              </w:rPr>
              <w:t>7</w:t>
            </w:r>
          </w:p>
        </w:tc>
        <w:tc>
          <w:tcPr>
            <w:tcW w:w="3098" w:type="dxa"/>
            <w:tcBorders>
              <w:bottom w:val="single" w:color="000000" w:sz="4" w:space="0"/>
              <w:right w:val="single" w:color="000000" w:sz="4" w:space="0"/>
            </w:tcBorders>
            <w:vAlign w:val="center"/>
          </w:tcPr>
          <w:p w14:paraId="40D7F8CE">
            <w:pPr>
              <w:spacing w:line="560" w:lineRule="exact"/>
              <w:jc w:val="center"/>
              <w:rPr>
                <w:rFonts w:ascii="宋体" w:hAnsi="宋体" w:cs="宋体"/>
                <w:color w:val="auto"/>
                <w:sz w:val="28"/>
                <w:highlight w:val="none"/>
              </w:rPr>
            </w:pPr>
          </w:p>
        </w:tc>
        <w:tc>
          <w:tcPr>
            <w:tcW w:w="2947" w:type="dxa"/>
            <w:tcBorders>
              <w:bottom w:val="single" w:color="000000" w:sz="4" w:space="0"/>
              <w:right w:val="single" w:color="000000" w:sz="4" w:space="0"/>
            </w:tcBorders>
            <w:vAlign w:val="center"/>
          </w:tcPr>
          <w:p w14:paraId="0F6FD70B">
            <w:pPr>
              <w:spacing w:line="560" w:lineRule="exact"/>
              <w:jc w:val="center"/>
              <w:rPr>
                <w:rFonts w:ascii="宋体" w:hAnsi="宋体" w:cs="宋体"/>
                <w:color w:val="auto"/>
                <w:sz w:val="28"/>
                <w:highlight w:val="none"/>
              </w:rPr>
            </w:pPr>
          </w:p>
        </w:tc>
        <w:tc>
          <w:tcPr>
            <w:tcW w:w="2638" w:type="dxa"/>
            <w:tcBorders>
              <w:bottom w:val="single" w:color="000000" w:sz="4" w:space="0"/>
              <w:right w:val="single" w:color="000000" w:sz="8" w:space="0"/>
            </w:tcBorders>
            <w:vAlign w:val="center"/>
          </w:tcPr>
          <w:p w14:paraId="07A2229D">
            <w:pPr>
              <w:spacing w:line="560" w:lineRule="exact"/>
              <w:jc w:val="center"/>
              <w:rPr>
                <w:rFonts w:ascii="宋体" w:hAnsi="宋体" w:cs="宋体"/>
                <w:color w:val="auto"/>
                <w:sz w:val="28"/>
                <w:highlight w:val="none"/>
              </w:rPr>
            </w:pPr>
          </w:p>
        </w:tc>
      </w:tr>
      <w:tr w14:paraId="45FE2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2" w:hRule="atLeast"/>
        </w:trPr>
        <w:tc>
          <w:tcPr>
            <w:tcW w:w="637" w:type="dxa"/>
            <w:tcBorders>
              <w:left w:val="single" w:color="000000" w:sz="8" w:space="0"/>
              <w:bottom w:val="single" w:color="000000" w:sz="4" w:space="0"/>
              <w:right w:val="single" w:color="000000" w:sz="4" w:space="0"/>
            </w:tcBorders>
            <w:vAlign w:val="center"/>
          </w:tcPr>
          <w:p w14:paraId="509CB2A5">
            <w:pPr>
              <w:spacing w:line="560" w:lineRule="exact"/>
              <w:jc w:val="center"/>
              <w:rPr>
                <w:rFonts w:ascii="宋体" w:hAnsi="宋体" w:cs="宋体"/>
                <w:color w:val="auto"/>
                <w:sz w:val="28"/>
                <w:highlight w:val="none"/>
              </w:rPr>
            </w:pPr>
            <w:r>
              <w:rPr>
                <w:rFonts w:hint="eastAsia" w:ascii="宋体" w:hAnsi="宋体" w:cs="宋体"/>
                <w:color w:val="auto"/>
                <w:highlight w:val="none"/>
              </w:rPr>
              <w:t>8</w:t>
            </w:r>
          </w:p>
        </w:tc>
        <w:tc>
          <w:tcPr>
            <w:tcW w:w="3098" w:type="dxa"/>
            <w:tcBorders>
              <w:bottom w:val="single" w:color="000000" w:sz="4" w:space="0"/>
              <w:right w:val="single" w:color="000000" w:sz="4" w:space="0"/>
            </w:tcBorders>
            <w:vAlign w:val="center"/>
          </w:tcPr>
          <w:p w14:paraId="51D5B741">
            <w:pPr>
              <w:spacing w:line="560" w:lineRule="exact"/>
              <w:jc w:val="center"/>
              <w:rPr>
                <w:rFonts w:ascii="宋体" w:hAnsi="宋体" w:cs="宋体"/>
                <w:color w:val="auto"/>
                <w:sz w:val="28"/>
                <w:highlight w:val="none"/>
              </w:rPr>
            </w:pPr>
          </w:p>
        </w:tc>
        <w:tc>
          <w:tcPr>
            <w:tcW w:w="2947" w:type="dxa"/>
            <w:tcBorders>
              <w:bottom w:val="single" w:color="000000" w:sz="4" w:space="0"/>
              <w:right w:val="single" w:color="000000" w:sz="4" w:space="0"/>
            </w:tcBorders>
            <w:vAlign w:val="center"/>
          </w:tcPr>
          <w:p w14:paraId="3572B6F7">
            <w:pPr>
              <w:spacing w:line="560" w:lineRule="exact"/>
              <w:jc w:val="center"/>
              <w:rPr>
                <w:rFonts w:ascii="宋体" w:hAnsi="宋体" w:cs="宋体"/>
                <w:color w:val="auto"/>
                <w:sz w:val="28"/>
                <w:highlight w:val="none"/>
              </w:rPr>
            </w:pPr>
          </w:p>
        </w:tc>
        <w:tc>
          <w:tcPr>
            <w:tcW w:w="2638" w:type="dxa"/>
            <w:tcBorders>
              <w:bottom w:val="single" w:color="000000" w:sz="4" w:space="0"/>
              <w:right w:val="single" w:color="000000" w:sz="8" w:space="0"/>
            </w:tcBorders>
            <w:vAlign w:val="center"/>
          </w:tcPr>
          <w:p w14:paraId="75687B48">
            <w:pPr>
              <w:spacing w:line="560" w:lineRule="exact"/>
              <w:jc w:val="center"/>
              <w:rPr>
                <w:rFonts w:ascii="宋体" w:hAnsi="宋体" w:cs="宋体"/>
                <w:color w:val="auto"/>
                <w:sz w:val="28"/>
                <w:highlight w:val="none"/>
              </w:rPr>
            </w:pPr>
          </w:p>
        </w:tc>
      </w:tr>
      <w:tr w14:paraId="72059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9" w:hRule="atLeast"/>
        </w:trPr>
        <w:tc>
          <w:tcPr>
            <w:tcW w:w="637" w:type="dxa"/>
            <w:tcBorders>
              <w:left w:val="single" w:color="000000" w:sz="8" w:space="0"/>
              <w:bottom w:val="single" w:color="000000" w:sz="4" w:space="0"/>
              <w:right w:val="single" w:color="000000" w:sz="4" w:space="0"/>
            </w:tcBorders>
            <w:vAlign w:val="center"/>
          </w:tcPr>
          <w:p w14:paraId="321C445A">
            <w:pPr>
              <w:spacing w:line="560" w:lineRule="exact"/>
              <w:jc w:val="center"/>
              <w:rPr>
                <w:rFonts w:ascii="宋体" w:hAnsi="宋体" w:cs="宋体"/>
                <w:color w:val="auto"/>
                <w:sz w:val="28"/>
                <w:highlight w:val="none"/>
              </w:rPr>
            </w:pPr>
            <w:r>
              <w:rPr>
                <w:rFonts w:hint="eastAsia" w:ascii="宋体" w:hAnsi="宋体" w:cs="宋体"/>
                <w:color w:val="auto"/>
                <w:highlight w:val="none"/>
              </w:rPr>
              <w:t>9</w:t>
            </w:r>
          </w:p>
        </w:tc>
        <w:tc>
          <w:tcPr>
            <w:tcW w:w="3098" w:type="dxa"/>
            <w:tcBorders>
              <w:bottom w:val="single" w:color="000000" w:sz="4" w:space="0"/>
              <w:right w:val="single" w:color="000000" w:sz="4" w:space="0"/>
            </w:tcBorders>
            <w:vAlign w:val="center"/>
          </w:tcPr>
          <w:p w14:paraId="65F0C17E">
            <w:pPr>
              <w:spacing w:line="560" w:lineRule="exact"/>
              <w:jc w:val="center"/>
              <w:rPr>
                <w:rFonts w:ascii="宋体" w:hAnsi="宋体" w:cs="宋体"/>
                <w:color w:val="auto"/>
                <w:sz w:val="28"/>
                <w:highlight w:val="none"/>
              </w:rPr>
            </w:pPr>
          </w:p>
        </w:tc>
        <w:tc>
          <w:tcPr>
            <w:tcW w:w="2947" w:type="dxa"/>
            <w:tcBorders>
              <w:bottom w:val="single" w:color="000000" w:sz="4" w:space="0"/>
              <w:right w:val="single" w:color="000000" w:sz="4" w:space="0"/>
            </w:tcBorders>
            <w:vAlign w:val="center"/>
          </w:tcPr>
          <w:p w14:paraId="7787BC11">
            <w:pPr>
              <w:spacing w:line="560" w:lineRule="exact"/>
              <w:jc w:val="center"/>
              <w:rPr>
                <w:rFonts w:ascii="宋体" w:hAnsi="宋体" w:cs="宋体"/>
                <w:color w:val="auto"/>
                <w:sz w:val="28"/>
                <w:highlight w:val="none"/>
              </w:rPr>
            </w:pPr>
          </w:p>
        </w:tc>
        <w:tc>
          <w:tcPr>
            <w:tcW w:w="2638" w:type="dxa"/>
            <w:tcBorders>
              <w:bottom w:val="single" w:color="000000" w:sz="4" w:space="0"/>
              <w:right w:val="single" w:color="000000" w:sz="8" w:space="0"/>
            </w:tcBorders>
            <w:vAlign w:val="center"/>
          </w:tcPr>
          <w:p w14:paraId="45B99DDA">
            <w:pPr>
              <w:spacing w:line="560" w:lineRule="exact"/>
              <w:jc w:val="center"/>
              <w:rPr>
                <w:rFonts w:ascii="宋体" w:hAnsi="宋体" w:cs="宋体"/>
                <w:color w:val="auto"/>
                <w:sz w:val="28"/>
                <w:highlight w:val="none"/>
              </w:rPr>
            </w:pPr>
          </w:p>
        </w:tc>
      </w:tr>
      <w:tr w14:paraId="1B5BF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637" w:type="dxa"/>
            <w:tcBorders>
              <w:left w:val="single" w:color="000000" w:sz="8" w:space="0"/>
              <w:bottom w:val="single" w:color="000000" w:sz="8" w:space="0"/>
              <w:right w:val="single" w:color="000000" w:sz="4" w:space="0"/>
            </w:tcBorders>
            <w:vAlign w:val="center"/>
          </w:tcPr>
          <w:p w14:paraId="2199983E">
            <w:pPr>
              <w:spacing w:line="560" w:lineRule="exact"/>
              <w:jc w:val="center"/>
              <w:rPr>
                <w:rFonts w:ascii="宋体" w:hAnsi="宋体" w:cs="宋体"/>
                <w:color w:val="auto"/>
                <w:sz w:val="28"/>
                <w:highlight w:val="none"/>
              </w:rPr>
            </w:pPr>
            <w:r>
              <w:rPr>
                <w:rFonts w:hint="eastAsia" w:ascii="宋体" w:hAnsi="宋体" w:cs="宋体"/>
                <w:color w:val="auto"/>
                <w:highlight w:val="none"/>
              </w:rPr>
              <w:t>......</w:t>
            </w:r>
          </w:p>
        </w:tc>
        <w:tc>
          <w:tcPr>
            <w:tcW w:w="3098" w:type="dxa"/>
            <w:tcBorders>
              <w:bottom w:val="single" w:color="000000" w:sz="8" w:space="0"/>
              <w:right w:val="single" w:color="000000" w:sz="4" w:space="0"/>
            </w:tcBorders>
            <w:vAlign w:val="center"/>
          </w:tcPr>
          <w:p w14:paraId="4B2A5FDB">
            <w:pPr>
              <w:spacing w:line="560" w:lineRule="exact"/>
              <w:jc w:val="center"/>
              <w:rPr>
                <w:rFonts w:ascii="宋体" w:hAnsi="宋体" w:cs="宋体"/>
                <w:color w:val="auto"/>
                <w:sz w:val="28"/>
                <w:highlight w:val="none"/>
              </w:rPr>
            </w:pPr>
          </w:p>
        </w:tc>
        <w:tc>
          <w:tcPr>
            <w:tcW w:w="2947" w:type="dxa"/>
            <w:tcBorders>
              <w:bottom w:val="single" w:color="000000" w:sz="8" w:space="0"/>
              <w:right w:val="single" w:color="000000" w:sz="4" w:space="0"/>
            </w:tcBorders>
            <w:vAlign w:val="center"/>
          </w:tcPr>
          <w:p w14:paraId="63354B55">
            <w:pPr>
              <w:spacing w:line="560" w:lineRule="exact"/>
              <w:jc w:val="center"/>
              <w:rPr>
                <w:rFonts w:ascii="宋体" w:hAnsi="宋体" w:cs="宋体"/>
                <w:color w:val="auto"/>
                <w:sz w:val="28"/>
                <w:highlight w:val="none"/>
              </w:rPr>
            </w:pPr>
          </w:p>
        </w:tc>
        <w:tc>
          <w:tcPr>
            <w:tcW w:w="2638" w:type="dxa"/>
            <w:tcBorders>
              <w:bottom w:val="single" w:color="000000" w:sz="8" w:space="0"/>
              <w:right w:val="single" w:color="000000" w:sz="8" w:space="0"/>
            </w:tcBorders>
            <w:vAlign w:val="center"/>
          </w:tcPr>
          <w:p w14:paraId="2FD0AF4E">
            <w:pPr>
              <w:spacing w:line="560" w:lineRule="exact"/>
              <w:jc w:val="center"/>
              <w:rPr>
                <w:rFonts w:ascii="宋体" w:hAnsi="宋体" w:cs="宋体"/>
                <w:color w:val="auto"/>
                <w:sz w:val="28"/>
                <w:highlight w:val="none"/>
              </w:rPr>
            </w:pPr>
          </w:p>
        </w:tc>
      </w:tr>
    </w:tbl>
    <w:p w14:paraId="5D6A9C42">
      <w:pPr>
        <w:tabs>
          <w:tab w:val="left" w:pos="0"/>
        </w:tabs>
        <w:adjustRightInd w:val="0"/>
        <w:snapToGrid w:val="0"/>
        <w:spacing w:before="120" w:beforeLines="50" w:line="300" w:lineRule="auto"/>
        <w:ind w:right="25"/>
        <w:rPr>
          <w:rFonts w:ascii="宋体" w:hAnsi="宋体" w:cs="宋体"/>
          <w:color w:val="auto"/>
          <w:spacing w:val="8"/>
          <w:szCs w:val="21"/>
          <w:highlight w:val="none"/>
        </w:rPr>
      </w:pPr>
      <w:r>
        <w:rPr>
          <w:rFonts w:hint="eastAsia" w:ascii="宋体" w:hAnsi="宋体" w:cs="宋体"/>
          <w:color w:val="auto"/>
          <w:spacing w:val="8"/>
          <w:szCs w:val="21"/>
          <w:highlight w:val="none"/>
        </w:rPr>
        <w:t>注：1、“其他偏差表”应详细注明与《磋商文件》中各项要求（除技术条款外的所有条款）有何不同，并说明其符合性（优于、或低于《磋商文件》要求）。</w:t>
      </w:r>
    </w:p>
    <w:p w14:paraId="1EF98EC7">
      <w:pPr>
        <w:tabs>
          <w:tab w:val="left" w:pos="0"/>
        </w:tabs>
        <w:adjustRightInd w:val="0"/>
        <w:snapToGrid w:val="0"/>
        <w:spacing w:before="120" w:beforeLines="50" w:line="300" w:lineRule="auto"/>
        <w:ind w:right="25" w:firstLine="452" w:firstLineChars="200"/>
        <w:rPr>
          <w:rFonts w:ascii="宋体" w:hAnsi="宋体" w:cs="宋体"/>
          <w:color w:val="auto"/>
          <w:spacing w:val="8"/>
          <w:szCs w:val="21"/>
          <w:highlight w:val="none"/>
        </w:rPr>
      </w:pPr>
      <w:r>
        <w:rPr>
          <w:rFonts w:hint="eastAsia" w:ascii="宋体" w:hAnsi="宋体" w:cs="宋体"/>
          <w:color w:val="auto"/>
          <w:spacing w:val="8"/>
          <w:szCs w:val="21"/>
          <w:highlight w:val="none"/>
        </w:rPr>
        <w:t>2、如《响应文件》与《磋商文件》其他要求一致，仍需在本表填列“除技术条款外，与《磋商文件》所有条款要求一致，无偏差”字样。</w:t>
      </w:r>
    </w:p>
    <w:p w14:paraId="3F3589CC">
      <w:pPr>
        <w:tabs>
          <w:tab w:val="left" w:pos="0"/>
        </w:tabs>
        <w:adjustRightInd w:val="0"/>
        <w:snapToGrid w:val="0"/>
        <w:spacing w:before="120" w:beforeLines="50" w:line="300" w:lineRule="auto"/>
        <w:ind w:right="510"/>
        <w:rPr>
          <w:rFonts w:ascii="宋体" w:hAnsi="宋体" w:cs="宋体"/>
          <w:color w:val="auto"/>
          <w:spacing w:val="8"/>
          <w:szCs w:val="21"/>
          <w:highlight w:val="none"/>
        </w:rPr>
      </w:pPr>
    </w:p>
    <w:p w14:paraId="179978F6">
      <w:pPr>
        <w:tabs>
          <w:tab w:val="left" w:pos="0"/>
        </w:tabs>
        <w:adjustRightInd w:val="0"/>
        <w:snapToGrid w:val="0"/>
        <w:spacing w:before="120" w:beforeLines="50" w:line="300" w:lineRule="auto"/>
        <w:ind w:right="510"/>
        <w:rPr>
          <w:rFonts w:ascii="宋体" w:hAnsi="宋体" w:cs="宋体"/>
          <w:color w:val="auto"/>
          <w:spacing w:val="8"/>
          <w:szCs w:val="21"/>
          <w:highlight w:val="none"/>
        </w:rPr>
      </w:pPr>
    </w:p>
    <w:p w14:paraId="7B3E6A85">
      <w:pPr>
        <w:tabs>
          <w:tab w:val="left" w:pos="0"/>
        </w:tabs>
        <w:spacing w:line="480" w:lineRule="auto"/>
        <w:ind w:right="512"/>
        <w:rPr>
          <w:rFonts w:ascii="宋体" w:hAnsi="宋体" w:cs="宋体"/>
          <w:color w:val="auto"/>
          <w:spacing w:val="8"/>
          <w:sz w:val="24"/>
          <w:highlight w:val="none"/>
        </w:rPr>
      </w:pPr>
      <w:r>
        <w:rPr>
          <w:rFonts w:hint="eastAsia" w:ascii="宋体" w:hAnsi="宋体" w:cs="宋体"/>
          <w:color w:val="auto"/>
          <w:sz w:val="24"/>
          <w:highlight w:val="none"/>
        </w:rPr>
        <w:t>供应商</w:t>
      </w:r>
      <w:r>
        <w:rPr>
          <w:rFonts w:hint="eastAsia" w:ascii="宋体" w:hAnsi="宋体" w:cs="宋体"/>
          <w:color w:val="auto"/>
          <w:sz w:val="24"/>
          <w:szCs w:val="24"/>
          <w:highlight w:val="none"/>
        </w:rPr>
        <w:t>（电子签章）</w:t>
      </w:r>
      <w:r>
        <w:rPr>
          <w:rFonts w:hint="eastAsia" w:ascii="宋体" w:hAnsi="宋体" w:cs="宋体"/>
          <w:color w:val="auto"/>
          <w:spacing w:val="8"/>
          <w:sz w:val="24"/>
          <w:highlight w:val="none"/>
        </w:rPr>
        <w:t>：</w:t>
      </w:r>
    </w:p>
    <w:p w14:paraId="5DAEFE08">
      <w:pPr>
        <w:tabs>
          <w:tab w:val="left" w:pos="0"/>
        </w:tabs>
        <w:spacing w:line="480" w:lineRule="auto"/>
        <w:ind w:right="768"/>
        <w:jc w:val="left"/>
        <w:rPr>
          <w:rFonts w:ascii="宋体" w:hAnsi="宋体" w:cs="宋体"/>
          <w:color w:val="auto"/>
          <w:spacing w:val="8"/>
          <w:sz w:val="24"/>
          <w:highlight w:val="none"/>
        </w:rPr>
      </w:pPr>
      <w:r>
        <w:rPr>
          <w:rFonts w:hint="eastAsia" w:ascii="宋体" w:hAnsi="宋体" w:cs="宋体"/>
          <w:color w:val="auto"/>
          <w:spacing w:val="8"/>
          <w:sz w:val="24"/>
          <w:highlight w:val="none"/>
        </w:rPr>
        <w:t>法定代表人</w:t>
      </w:r>
      <w:r>
        <w:rPr>
          <w:rFonts w:hint="eastAsia" w:ascii="宋体" w:hAnsi="宋体" w:cs="宋体"/>
          <w:color w:val="auto"/>
          <w:sz w:val="24"/>
          <w:szCs w:val="24"/>
          <w:highlight w:val="none"/>
        </w:rPr>
        <w:t>（电子签名）</w:t>
      </w:r>
      <w:r>
        <w:rPr>
          <w:rFonts w:hint="eastAsia" w:ascii="宋体" w:hAnsi="宋体" w:cs="宋体"/>
          <w:color w:val="auto"/>
          <w:spacing w:val="8"/>
          <w:sz w:val="24"/>
          <w:highlight w:val="none"/>
        </w:rPr>
        <w:t>：</w:t>
      </w:r>
    </w:p>
    <w:p w14:paraId="6156473B">
      <w:pPr>
        <w:autoSpaceDE w:val="0"/>
        <w:autoSpaceDN w:val="0"/>
        <w:adjustRightInd w:val="0"/>
        <w:spacing w:line="480" w:lineRule="auto"/>
        <w:rPr>
          <w:rFonts w:ascii="宋体" w:hAnsi="宋体" w:cs="宋体"/>
          <w:color w:val="auto"/>
          <w:sz w:val="24"/>
          <w:highlight w:val="none"/>
        </w:rPr>
      </w:pPr>
      <w:r>
        <w:rPr>
          <w:rFonts w:hint="eastAsia" w:ascii="宋体" w:hAnsi="宋体" w:cs="宋体"/>
          <w:color w:val="auto"/>
          <w:spacing w:val="8"/>
          <w:sz w:val="24"/>
          <w:highlight w:val="none"/>
        </w:rPr>
        <w:t>日期 ：</w:t>
      </w:r>
      <w:r>
        <w:rPr>
          <w:rFonts w:hint="eastAsia" w:ascii="宋体" w:hAnsi="宋体" w:cs="宋体"/>
          <w:color w:val="auto"/>
          <w:sz w:val="24"/>
          <w:highlight w:val="none"/>
          <w:lang w:val="zh-CN"/>
        </w:rPr>
        <w:t xml:space="preserve">   年   月   日</w:t>
      </w:r>
    </w:p>
    <w:p w14:paraId="6C2A062E">
      <w:pPr>
        <w:tabs>
          <w:tab w:val="left" w:pos="540"/>
        </w:tabs>
        <w:spacing w:line="440" w:lineRule="exact"/>
        <w:jc w:val="center"/>
        <w:rPr>
          <w:rFonts w:ascii="宋体" w:hAnsi="宋体" w:cs="宋体"/>
          <w:b/>
          <w:color w:val="auto"/>
          <w:sz w:val="30"/>
          <w:szCs w:val="30"/>
          <w:highlight w:val="none"/>
          <w:lang w:val="zh-CN"/>
        </w:rPr>
      </w:pPr>
    </w:p>
    <w:p w14:paraId="5F492A75">
      <w:pPr>
        <w:tabs>
          <w:tab w:val="left" w:pos="540"/>
        </w:tabs>
        <w:spacing w:line="440" w:lineRule="exact"/>
        <w:jc w:val="center"/>
        <w:rPr>
          <w:rFonts w:ascii="宋体" w:hAnsi="宋体" w:cs="宋体"/>
          <w:b/>
          <w:color w:val="auto"/>
          <w:sz w:val="30"/>
          <w:szCs w:val="30"/>
          <w:highlight w:val="none"/>
        </w:rPr>
      </w:pPr>
      <w:bookmarkStart w:id="46" w:name="OLE_LINK27"/>
      <w:r>
        <w:rPr>
          <w:rFonts w:hint="eastAsia" w:ascii="宋体" w:hAnsi="宋体" w:cs="宋体"/>
          <w:b/>
          <w:color w:val="auto"/>
          <w:sz w:val="30"/>
          <w:szCs w:val="30"/>
          <w:highlight w:val="none"/>
        </w:rPr>
        <w:t>七、</w:t>
      </w:r>
      <w:bookmarkEnd w:id="46"/>
      <w:r>
        <w:rPr>
          <w:rFonts w:hint="eastAsia" w:ascii="宋体" w:hAnsi="宋体" w:cs="宋体"/>
          <w:b/>
          <w:color w:val="auto"/>
          <w:sz w:val="30"/>
          <w:szCs w:val="30"/>
          <w:highlight w:val="none"/>
        </w:rPr>
        <w:t>实施方案及售后服务计划</w:t>
      </w:r>
    </w:p>
    <w:p w14:paraId="24F3D4B0">
      <w:pPr>
        <w:snapToGrid w:val="0"/>
        <w:spacing w:line="560" w:lineRule="exact"/>
        <w:ind w:firstLine="839"/>
        <w:rPr>
          <w:rFonts w:ascii="宋体" w:hAnsi="宋体" w:cs="宋体"/>
          <w:color w:val="auto"/>
          <w:highlight w:val="none"/>
        </w:rPr>
      </w:pPr>
    </w:p>
    <w:p w14:paraId="588F08BF">
      <w:pPr>
        <w:autoSpaceDE w:val="0"/>
        <w:autoSpaceDN w:val="0"/>
        <w:adjustRightInd w:val="0"/>
        <w:spacing w:line="360" w:lineRule="auto"/>
        <w:ind w:left="1" w:firstLine="560"/>
        <w:rPr>
          <w:rFonts w:ascii="宋体" w:hAnsi="宋体" w:cs="宋体"/>
          <w:color w:val="auto"/>
          <w:sz w:val="24"/>
          <w:highlight w:val="none"/>
          <w:lang w:val="zh-CN"/>
        </w:rPr>
      </w:pPr>
      <w:r>
        <w:rPr>
          <w:rFonts w:ascii="宋体" w:hAnsi="宋体" w:cs="宋体"/>
          <w:color w:val="auto"/>
          <w:sz w:val="24"/>
          <w:szCs w:val="24"/>
          <w:highlight w:val="none"/>
        </w:rPr>
        <w:t>备注：格式自拟，但计划内容中必须明确承诺采购文件中供货及售后服 务要求，加盖法定代表人电子签名和单位电子签章。</w:t>
      </w:r>
    </w:p>
    <w:p w14:paraId="4488BF24">
      <w:pPr>
        <w:autoSpaceDE w:val="0"/>
        <w:autoSpaceDN w:val="0"/>
        <w:adjustRightInd w:val="0"/>
        <w:spacing w:line="360" w:lineRule="auto"/>
        <w:ind w:left="1" w:firstLine="560"/>
        <w:rPr>
          <w:rFonts w:ascii="宋体" w:hAnsi="宋体" w:cs="宋体"/>
          <w:color w:val="auto"/>
          <w:sz w:val="24"/>
          <w:highlight w:val="none"/>
          <w:lang w:val="zh-CN"/>
        </w:rPr>
      </w:pPr>
    </w:p>
    <w:p w14:paraId="425CB351">
      <w:pPr>
        <w:autoSpaceDE w:val="0"/>
        <w:autoSpaceDN w:val="0"/>
        <w:adjustRightInd w:val="0"/>
        <w:spacing w:line="360" w:lineRule="auto"/>
        <w:ind w:left="1" w:firstLine="560"/>
        <w:rPr>
          <w:rFonts w:ascii="宋体" w:hAnsi="宋体" w:cs="宋体"/>
          <w:color w:val="auto"/>
          <w:sz w:val="24"/>
          <w:highlight w:val="none"/>
          <w:lang w:val="zh-CN"/>
        </w:rPr>
      </w:pPr>
    </w:p>
    <w:p w14:paraId="4742F973">
      <w:pPr>
        <w:autoSpaceDE w:val="0"/>
        <w:autoSpaceDN w:val="0"/>
        <w:adjustRightInd w:val="0"/>
        <w:spacing w:line="360" w:lineRule="auto"/>
        <w:ind w:left="1" w:firstLine="560"/>
        <w:rPr>
          <w:rFonts w:ascii="宋体" w:hAnsi="宋体" w:cs="宋体"/>
          <w:color w:val="auto"/>
          <w:sz w:val="24"/>
          <w:highlight w:val="none"/>
          <w:lang w:val="zh-CN"/>
        </w:rPr>
      </w:pPr>
    </w:p>
    <w:p w14:paraId="27B4ABF7">
      <w:pPr>
        <w:autoSpaceDE w:val="0"/>
        <w:autoSpaceDN w:val="0"/>
        <w:adjustRightInd w:val="0"/>
        <w:spacing w:line="360" w:lineRule="auto"/>
        <w:ind w:left="1" w:firstLine="560"/>
        <w:rPr>
          <w:rFonts w:ascii="宋体" w:hAnsi="宋体" w:cs="宋体"/>
          <w:color w:val="auto"/>
          <w:sz w:val="24"/>
          <w:highlight w:val="none"/>
          <w:lang w:val="zh-CN"/>
        </w:rPr>
      </w:pPr>
    </w:p>
    <w:p w14:paraId="6AD824E6">
      <w:pPr>
        <w:autoSpaceDE w:val="0"/>
        <w:autoSpaceDN w:val="0"/>
        <w:adjustRightInd w:val="0"/>
        <w:spacing w:line="360" w:lineRule="auto"/>
        <w:ind w:left="1" w:firstLine="560"/>
        <w:rPr>
          <w:rFonts w:ascii="宋体" w:hAnsi="宋体" w:cs="宋体"/>
          <w:color w:val="auto"/>
          <w:sz w:val="24"/>
          <w:highlight w:val="none"/>
          <w:lang w:val="zh-CN"/>
        </w:rPr>
      </w:pPr>
    </w:p>
    <w:p w14:paraId="4D9462B3">
      <w:pPr>
        <w:autoSpaceDE w:val="0"/>
        <w:autoSpaceDN w:val="0"/>
        <w:adjustRightInd w:val="0"/>
        <w:spacing w:line="360" w:lineRule="auto"/>
        <w:ind w:left="1" w:firstLine="560"/>
        <w:rPr>
          <w:rFonts w:ascii="宋体" w:hAnsi="宋体" w:cs="宋体"/>
          <w:color w:val="auto"/>
          <w:sz w:val="24"/>
          <w:highlight w:val="none"/>
          <w:lang w:val="zh-CN"/>
        </w:rPr>
      </w:pPr>
    </w:p>
    <w:p w14:paraId="3B0A188F">
      <w:pPr>
        <w:autoSpaceDE w:val="0"/>
        <w:autoSpaceDN w:val="0"/>
        <w:adjustRightInd w:val="0"/>
        <w:spacing w:line="360" w:lineRule="auto"/>
        <w:ind w:left="1" w:firstLine="560"/>
        <w:rPr>
          <w:rFonts w:ascii="宋体" w:hAnsi="宋体" w:cs="宋体"/>
          <w:color w:val="auto"/>
          <w:sz w:val="24"/>
          <w:highlight w:val="none"/>
          <w:lang w:val="zh-CN"/>
        </w:rPr>
      </w:pPr>
    </w:p>
    <w:p w14:paraId="0C81806A">
      <w:pPr>
        <w:autoSpaceDE w:val="0"/>
        <w:autoSpaceDN w:val="0"/>
        <w:adjustRightInd w:val="0"/>
        <w:spacing w:line="360" w:lineRule="auto"/>
        <w:ind w:left="1" w:firstLine="560"/>
        <w:rPr>
          <w:rFonts w:ascii="宋体" w:hAnsi="宋体" w:cs="宋体"/>
          <w:color w:val="auto"/>
          <w:sz w:val="24"/>
          <w:highlight w:val="none"/>
          <w:lang w:val="zh-CN"/>
        </w:rPr>
      </w:pPr>
    </w:p>
    <w:p w14:paraId="57578440">
      <w:pPr>
        <w:autoSpaceDE w:val="0"/>
        <w:autoSpaceDN w:val="0"/>
        <w:adjustRightInd w:val="0"/>
        <w:spacing w:line="360" w:lineRule="auto"/>
        <w:ind w:left="1" w:firstLine="560"/>
        <w:rPr>
          <w:rFonts w:ascii="宋体" w:hAnsi="宋体" w:cs="宋体"/>
          <w:color w:val="auto"/>
          <w:sz w:val="24"/>
          <w:highlight w:val="none"/>
          <w:lang w:val="zh-CN"/>
        </w:rPr>
      </w:pPr>
    </w:p>
    <w:p w14:paraId="674C9760">
      <w:pPr>
        <w:autoSpaceDE w:val="0"/>
        <w:autoSpaceDN w:val="0"/>
        <w:adjustRightInd w:val="0"/>
        <w:spacing w:line="360" w:lineRule="auto"/>
        <w:ind w:left="1" w:firstLine="560"/>
        <w:rPr>
          <w:rFonts w:ascii="宋体" w:hAnsi="宋体" w:cs="宋体"/>
          <w:color w:val="auto"/>
          <w:sz w:val="24"/>
          <w:highlight w:val="none"/>
          <w:lang w:val="zh-CN"/>
        </w:rPr>
      </w:pPr>
    </w:p>
    <w:p w14:paraId="60AC764B">
      <w:pPr>
        <w:autoSpaceDE w:val="0"/>
        <w:autoSpaceDN w:val="0"/>
        <w:adjustRightInd w:val="0"/>
        <w:spacing w:line="360" w:lineRule="auto"/>
        <w:ind w:left="1" w:firstLine="560"/>
        <w:rPr>
          <w:rFonts w:ascii="宋体" w:hAnsi="宋体" w:cs="宋体"/>
          <w:color w:val="auto"/>
          <w:sz w:val="24"/>
          <w:highlight w:val="none"/>
          <w:lang w:val="zh-CN"/>
        </w:rPr>
      </w:pPr>
      <w:r>
        <w:rPr>
          <w:rFonts w:hint="eastAsia" w:ascii="宋体" w:hAnsi="宋体" w:cs="宋体"/>
          <w:color w:val="auto"/>
          <w:sz w:val="24"/>
          <w:highlight w:val="none"/>
          <w:lang w:val="zh-CN"/>
        </w:rPr>
        <w:t xml:space="preserve">         </w:t>
      </w:r>
    </w:p>
    <w:p w14:paraId="7E0BF452">
      <w:pPr>
        <w:snapToGrid w:val="0"/>
        <w:spacing w:line="560" w:lineRule="exact"/>
        <w:rPr>
          <w:rFonts w:ascii="宋体" w:hAnsi="宋体" w:cs="宋体"/>
          <w:color w:val="auto"/>
          <w:highlight w:val="none"/>
        </w:rPr>
      </w:pPr>
    </w:p>
    <w:p w14:paraId="280167C9">
      <w:pPr>
        <w:tabs>
          <w:tab w:val="left" w:pos="540"/>
        </w:tabs>
        <w:spacing w:line="440" w:lineRule="exact"/>
        <w:jc w:val="center"/>
        <w:rPr>
          <w:rFonts w:ascii="宋体" w:hAnsi="宋体" w:cs="宋体"/>
          <w:color w:val="auto"/>
          <w:sz w:val="28"/>
          <w:highlight w:val="none"/>
        </w:rPr>
      </w:pPr>
      <w:r>
        <w:rPr>
          <w:rFonts w:hint="eastAsia" w:ascii="宋体" w:hAnsi="宋体" w:cs="宋体"/>
          <w:color w:val="auto"/>
          <w:sz w:val="28"/>
          <w:highlight w:val="none"/>
        </w:rPr>
        <w:br w:type="page"/>
      </w:r>
      <w:bookmarkStart w:id="47" w:name="OLE_LINK28"/>
    </w:p>
    <w:p w14:paraId="5A7DAD55">
      <w:pPr>
        <w:tabs>
          <w:tab w:val="left" w:pos="540"/>
        </w:tabs>
        <w:spacing w:line="440" w:lineRule="exact"/>
        <w:jc w:val="center"/>
        <w:rPr>
          <w:rFonts w:ascii="宋体" w:hAnsi="宋体" w:cs="宋体"/>
          <w:b/>
          <w:color w:val="auto"/>
          <w:sz w:val="30"/>
          <w:szCs w:val="30"/>
          <w:highlight w:val="none"/>
        </w:rPr>
      </w:pPr>
      <w:r>
        <w:rPr>
          <w:rFonts w:hint="eastAsia" w:ascii="宋体" w:hAnsi="宋体" w:cs="宋体"/>
          <w:b/>
          <w:color w:val="auto"/>
          <w:sz w:val="30"/>
          <w:szCs w:val="30"/>
          <w:highlight w:val="none"/>
        </w:rPr>
        <w:t>八、关于资格的声明函</w:t>
      </w:r>
      <w:bookmarkEnd w:id="47"/>
    </w:p>
    <w:p w14:paraId="421F45EA">
      <w:pPr>
        <w:snapToGrid w:val="0"/>
        <w:spacing w:line="560" w:lineRule="exact"/>
        <w:ind w:firstLine="839"/>
        <w:rPr>
          <w:rFonts w:ascii="宋体" w:hAnsi="宋体" w:cs="宋体"/>
          <w:color w:val="auto"/>
          <w:highlight w:val="none"/>
        </w:rPr>
      </w:pPr>
    </w:p>
    <w:p w14:paraId="372D16C0">
      <w:pPr>
        <w:snapToGrid w:val="0"/>
        <w:spacing w:line="560" w:lineRule="exact"/>
        <w:rPr>
          <w:rFonts w:ascii="宋体" w:hAnsi="宋体" w:cs="宋体"/>
          <w:color w:val="auto"/>
          <w:sz w:val="24"/>
          <w:highlight w:val="none"/>
        </w:rPr>
      </w:pPr>
      <w:r>
        <w:rPr>
          <w:rFonts w:hint="eastAsia" w:ascii="宋体" w:hAnsi="宋体" w:cs="宋体"/>
          <w:color w:val="auto"/>
          <w:sz w:val="24"/>
          <w:highlight w:val="none"/>
          <w:lang w:eastAsia="zh-CN"/>
        </w:rPr>
        <w:t>诚安工程管理有限公司</w:t>
      </w:r>
      <w:r>
        <w:rPr>
          <w:rFonts w:hint="eastAsia" w:ascii="宋体" w:hAnsi="宋体" w:cs="宋体"/>
          <w:color w:val="auto"/>
          <w:sz w:val="24"/>
          <w:highlight w:val="none"/>
        </w:rPr>
        <w:t>：</w:t>
      </w:r>
    </w:p>
    <w:p w14:paraId="5DB3D08B">
      <w:pPr>
        <w:snapToGrid w:val="0"/>
        <w:spacing w:line="560" w:lineRule="exact"/>
        <w:ind w:firstLine="555"/>
        <w:rPr>
          <w:rFonts w:ascii="宋体" w:hAnsi="宋体" w:cs="宋体"/>
          <w:color w:val="auto"/>
          <w:sz w:val="24"/>
          <w:highlight w:val="none"/>
        </w:rPr>
      </w:pPr>
      <w:r>
        <w:rPr>
          <w:rFonts w:hint="eastAsia" w:ascii="宋体" w:hAnsi="宋体" w:cs="宋体"/>
          <w:color w:val="auto"/>
          <w:sz w:val="24"/>
          <w:highlight w:val="none"/>
        </w:rPr>
        <w:t>关于贵方项目编号为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的</w:t>
      </w:r>
      <w:r>
        <w:rPr>
          <w:rFonts w:hint="eastAsia" w:ascii="宋体" w:hAnsi="宋体" w:cs="宋体"/>
          <w:color w:val="auto"/>
          <w:sz w:val="24"/>
          <w:highlight w:val="none"/>
          <w:u w:val="single"/>
        </w:rPr>
        <w:t xml:space="preserve">     项目</w:t>
      </w:r>
      <w:r>
        <w:rPr>
          <w:rFonts w:hint="eastAsia" w:ascii="宋体" w:hAnsi="宋体" w:cs="宋体"/>
          <w:color w:val="auto"/>
          <w:sz w:val="24"/>
          <w:highlight w:val="none"/>
        </w:rPr>
        <w:t>投标邀请，本签字人愿意参加投标，提供《磋商文件》中规定的产品及服务，并声明提交下列文件是准确的、真实的和有效的。</w:t>
      </w:r>
    </w:p>
    <w:p w14:paraId="43FDABAB">
      <w:pPr>
        <w:snapToGrid w:val="0"/>
        <w:spacing w:line="560" w:lineRule="exact"/>
        <w:ind w:firstLine="555"/>
        <w:rPr>
          <w:rFonts w:ascii="宋体" w:hAnsi="宋体" w:cs="宋体"/>
          <w:color w:val="auto"/>
          <w:sz w:val="24"/>
          <w:highlight w:val="none"/>
        </w:rPr>
      </w:pPr>
      <w:r>
        <w:rPr>
          <w:rFonts w:hint="eastAsia" w:ascii="宋体" w:hAnsi="宋体" w:cs="宋体"/>
          <w:color w:val="auto"/>
          <w:sz w:val="24"/>
          <w:highlight w:val="none"/>
        </w:rPr>
        <w:t>1. 由</w:t>
      </w:r>
      <w:r>
        <w:rPr>
          <w:rFonts w:hint="eastAsia" w:ascii="宋体" w:hAnsi="宋体" w:cs="宋体"/>
          <w:color w:val="auto"/>
          <w:sz w:val="24"/>
          <w:highlight w:val="none"/>
          <w:lang w:val="en-US" w:eastAsia="zh-CN"/>
        </w:rPr>
        <w:t>市场监督管理局</w:t>
      </w:r>
      <w:r>
        <w:rPr>
          <w:rFonts w:hint="eastAsia" w:ascii="宋体" w:hAnsi="宋体" w:cs="宋体"/>
          <w:color w:val="auto"/>
          <w:sz w:val="24"/>
          <w:highlight w:val="none"/>
        </w:rPr>
        <w:t>签发的我方营业执照；或事业单位等登记管理部门签发的证照。</w:t>
      </w:r>
    </w:p>
    <w:p w14:paraId="69146CFD">
      <w:pPr>
        <w:snapToGrid w:val="0"/>
        <w:spacing w:line="560" w:lineRule="exact"/>
        <w:ind w:firstLine="555"/>
        <w:rPr>
          <w:rFonts w:ascii="宋体" w:hAnsi="宋体" w:cs="宋体"/>
          <w:color w:val="auto"/>
          <w:sz w:val="24"/>
          <w:highlight w:val="none"/>
        </w:rPr>
      </w:pPr>
      <w:r>
        <w:rPr>
          <w:rFonts w:hint="eastAsia" w:ascii="宋体" w:hAnsi="宋体" w:cs="宋体"/>
          <w:color w:val="auto"/>
          <w:sz w:val="24"/>
          <w:highlight w:val="none"/>
        </w:rPr>
        <w:t>2.  符合《中华人民共和国政府采购法》第二十二条规定的其他证件材料或证明材料。</w:t>
      </w:r>
    </w:p>
    <w:p w14:paraId="46254837">
      <w:pPr>
        <w:snapToGrid w:val="0"/>
        <w:spacing w:line="560" w:lineRule="exact"/>
        <w:ind w:firstLine="555"/>
        <w:rPr>
          <w:rFonts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 采购项目中必须的其他证件。</w:t>
      </w:r>
    </w:p>
    <w:p w14:paraId="34B84CCC">
      <w:pPr>
        <w:snapToGrid w:val="0"/>
        <w:spacing w:line="560" w:lineRule="exact"/>
        <w:ind w:firstLine="555"/>
        <w:rPr>
          <w:rFonts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 本签字人确认资格文件中的说明是真实的、准确的。</w:t>
      </w:r>
    </w:p>
    <w:p w14:paraId="5DAC6811">
      <w:pPr>
        <w:snapToGrid w:val="0"/>
        <w:spacing w:line="560" w:lineRule="exact"/>
        <w:ind w:firstLine="555"/>
        <w:rPr>
          <w:rFonts w:ascii="宋体" w:hAnsi="宋体" w:cs="宋体"/>
          <w:color w:val="auto"/>
          <w:sz w:val="24"/>
          <w:highlight w:val="none"/>
        </w:rPr>
      </w:pPr>
    </w:p>
    <w:p w14:paraId="66FB3E99">
      <w:pPr>
        <w:widowControl w:val="0"/>
        <w:tabs>
          <w:tab w:val="left" w:pos="9365"/>
        </w:tabs>
        <w:snapToGrid w:val="0"/>
        <w:spacing w:after="56" w:line="560" w:lineRule="exact"/>
        <w:ind w:right="85"/>
        <w:jc w:val="left"/>
        <w:textAlignment w:val="top"/>
        <w:rPr>
          <w:rFonts w:ascii="宋体" w:hAnsi="宋体" w:cs="宋体"/>
          <w:color w:val="auto"/>
          <w:sz w:val="24"/>
          <w:szCs w:val="24"/>
          <w:highlight w:val="none"/>
        </w:rPr>
      </w:pPr>
      <w:r>
        <w:rPr>
          <w:rFonts w:hint="eastAsia" w:ascii="宋体" w:hAnsi="宋体" w:cs="宋体"/>
          <w:color w:val="auto"/>
          <w:sz w:val="24"/>
          <w:highlight w:val="none"/>
        </w:rPr>
        <w:t>供应商</w:t>
      </w:r>
      <w:r>
        <w:rPr>
          <w:rFonts w:hint="eastAsia" w:ascii="宋体" w:hAnsi="宋体" w:cs="宋体"/>
          <w:color w:val="auto"/>
          <w:sz w:val="24"/>
          <w:szCs w:val="24"/>
          <w:highlight w:val="none"/>
        </w:rPr>
        <w:t>（电子签章）：</w:t>
      </w:r>
    </w:p>
    <w:p w14:paraId="45E70A3F">
      <w:pPr>
        <w:widowControl w:val="0"/>
        <w:tabs>
          <w:tab w:val="left" w:pos="9365"/>
        </w:tabs>
        <w:snapToGrid w:val="0"/>
        <w:spacing w:after="56" w:line="560" w:lineRule="exact"/>
        <w:ind w:right="85"/>
        <w:jc w:val="left"/>
        <w:textAlignment w:val="top"/>
        <w:rPr>
          <w:rFonts w:ascii="宋体" w:hAnsi="宋体" w:cs="宋体"/>
          <w:color w:val="auto"/>
          <w:sz w:val="24"/>
          <w:szCs w:val="24"/>
          <w:highlight w:val="none"/>
        </w:rPr>
      </w:pPr>
      <w:r>
        <w:rPr>
          <w:rFonts w:hint="eastAsia" w:ascii="宋体" w:hAnsi="宋体" w:cs="宋体"/>
          <w:color w:val="auto"/>
          <w:sz w:val="24"/>
          <w:szCs w:val="24"/>
          <w:highlight w:val="none"/>
        </w:rPr>
        <w:t>法定代表人（电子签名）：</w:t>
      </w:r>
    </w:p>
    <w:p w14:paraId="1C9607FE">
      <w:pPr>
        <w:widowControl w:val="0"/>
        <w:tabs>
          <w:tab w:val="left" w:pos="9365"/>
        </w:tabs>
        <w:snapToGrid w:val="0"/>
        <w:spacing w:after="56" w:line="560" w:lineRule="exact"/>
        <w:ind w:right="85"/>
        <w:jc w:val="left"/>
        <w:textAlignment w:val="top"/>
        <w:rPr>
          <w:rFonts w:ascii="宋体" w:hAnsi="宋体" w:cs="宋体"/>
          <w:color w:val="auto"/>
          <w:sz w:val="24"/>
          <w:szCs w:val="24"/>
          <w:highlight w:val="none"/>
        </w:rPr>
      </w:pPr>
      <w:r>
        <w:rPr>
          <w:rFonts w:hint="eastAsia" w:ascii="宋体" w:hAnsi="宋体" w:cs="宋体"/>
          <w:color w:val="auto"/>
          <w:spacing w:val="8"/>
          <w:sz w:val="24"/>
          <w:highlight w:val="none"/>
        </w:rPr>
        <w:t>日期 ：</w:t>
      </w:r>
      <w:r>
        <w:rPr>
          <w:rFonts w:hint="eastAsia" w:ascii="宋体" w:hAnsi="宋体" w:cs="宋体"/>
          <w:color w:val="auto"/>
          <w:sz w:val="24"/>
          <w:highlight w:val="none"/>
          <w:lang w:val="zh-CN"/>
        </w:rPr>
        <w:t xml:space="preserve">   年   月   日</w:t>
      </w:r>
    </w:p>
    <w:p w14:paraId="63061BD9">
      <w:pPr>
        <w:snapToGrid w:val="0"/>
        <w:spacing w:line="560" w:lineRule="exact"/>
        <w:rPr>
          <w:rFonts w:ascii="宋体" w:hAnsi="宋体" w:cs="宋体"/>
          <w:color w:val="auto"/>
          <w:sz w:val="24"/>
          <w:highlight w:val="none"/>
        </w:rPr>
      </w:pPr>
    </w:p>
    <w:p w14:paraId="248DCDF4">
      <w:pPr>
        <w:snapToGrid w:val="0"/>
        <w:spacing w:line="560" w:lineRule="exact"/>
        <w:ind w:firstLine="555"/>
        <w:rPr>
          <w:rFonts w:ascii="宋体" w:hAnsi="宋体" w:cs="宋体"/>
          <w:color w:val="auto"/>
          <w:sz w:val="24"/>
          <w:highlight w:val="none"/>
        </w:rPr>
      </w:pPr>
    </w:p>
    <w:p w14:paraId="4CAFE58F">
      <w:pPr>
        <w:widowControl w:val="0"/>
        <w:tabs>
          <w:tab w:val="left" w:pos="9365"/>
        </w:tabs>
        <w:snapToGrid w:val="0"/>
        <w:spacing w:after="56" w:line="560" w:lineRule="exact"/>
        <w:ind w:right="85"/>
        <w:jc w:val="center"/>
        <w:textAlignment w:val="top"/>
        <w:rPr>
          <w:rFonts w:ascii="宋体" w:hAnsi="宋体" w:cs="宋体"/>
          <w:color w:val="auto"/>
          <w:sz w:val="24"/>
          <w:highlight w:val="none"/>
        </w:rPr>
      </w:pPr>
      <w:r>
        <w:rPr>
          <w:rFonts w:hint="eastAsia" w:ascii="宋体" w:hAnsi="宋体" w:cs="宋体"/>
          <w:color w:val="auto"/>
          <w:sz w:val="24"/>
          <w:highlight w:val="none"/>
        </w:rPr>
        <w:t xml:space="preserve">   </w:t>
      </w:r>
    </w:p>
    <w:p w14:paraId="50C11E91">
      <w:pPr>
        <w:widowControl w:val="0"/>
        <w:tabs>
          <w:tab w:val="left" w:pos="9365"/>
        </w:tabs>
        <w:snapToGrid w:val="0"/>
        <w:spacing w:after="56" w:line="560" w:lineRule="exact"/>
        <w:ind w:right="85"/>
        <w:jc w:val="center"/>
        <w:textAlignment w:val="top"/>
        <w:rPr>
          <w:rFonts w:ascii="宋体" w:hAnsi="宋体" w:cs="宋体"/>
          <w:color w:val="auto"/>
          <w:sz w:val="24"/>
          <w:highlight w:val="none"/>
        </w:rPr>
      </w:pPr>
    </w:p>
    <w:p w14:paraId="6C946A7D">
      <w:pPr>
        <w:widowControl w:val="0"/>
        <w:tabs>
          <w:tab w:val="left" w:pos="9365"/>
        </w:tabs>
        <w:snapToGrid w:val="0"/>
        <w:spacing w:after="56" w:line="560" w:lineRule="exact"/>
        <w:ind w:right="85"/>
        <w:jc w:val="center"/>
        <w:textAlignment w:val="top"/>
        <w:rPr>
          <w:rFonts w:ascii="宋体" w:hAnsi="宋体" w:cs="宋体"/>
          <w:color w:val="auto"/>
          <w:sz w:val="24"/>
          <w:highlight w:val="none"/>
        </w:rPr>
      </w:pPr>
    </w:p>
    <w:p w14:paraId="2D6ADC82">
      <w:pPr>
        <w:widowControl w:val="0"/>
        <w:tabs>
          <w:tab w:val="left" w:pos="9365"/>
        </w:tabs>
        <w:snapToGrid w:val="0"/>
        <w:spacing w:after="56" w:line="560" w:lineRule="exact"/>
        <w:ind w:right="85"/>
        <w:jc w:val="center"/>
        <w:textAlignment w:val="top"/>
        <w:rPr>
          <w:rFonts w:ascii="宋体" w:hAnsi="宋体" w:cs="宋体"/>
          <w:color w:val="auto"/>
          <w:sz w:val="24"/>
          <w:highlight w:val="none"/>
        </w:rPr>
      </w:pPr>
    </w:p>
    <w:p w14:paraId="2977CFCB">
      <w:pPr>
        <w:widowControl w:val="0"/>
        <w:tabs>
          <w:tab w:val="left" w:pos="9365"/>
        </w:tabs>
        <w:snapToGrid w:val="0"/>
        <w:spacing w:after="56" w:line="560" w:lineRule="exact"/>
        <w:ind w:right="85"/>
        <w:jc w:val="center"/>
        <w:textAlignment w:val="top"/>
        <w:rPr>
          <w:rFonts w:ascii="宋体" w:hAnsi="宋体" w:cs="宋体"/>
          <w:color w:val="auto"/>
          <w:sz w:val="24"/>
          <w:highlight w:val="none"/>
        </w:rPr>
      </w:pPr>
    </w:p>
    <w:p w14:paraId="7A788D0D">
      <w:pPr>
        <w:widowControl w:val="0"/>
        <w:tabs>
          <w:tab w:val="left" w:pos="9365"/>
        </w:tabs>
        <w:snapToGrid w:val="0"/>
        <w:spacing w:after="56" w:line="560" w:lineRule="exact"/>
        <w:ind w:right="85"/>
        <w:jc w:val="center"/>
        <w:textAlignment w:val="top"/>
        <w:rPr>
          <w:rFonts w:ascii="宋体" w:hAnsi="宋体" w:cs="宋体"/>
          <w:color w:val="auto"/>
          <w:sz w:val="24"/>
          <w:highlight w:val="none"/>
        </w:rPr>
      </w:pPr>
    </w:p>
    <w:p w14:paraId="6DB3C9EA">
      <w:pPr>
        <w:widowControl w:val="0"/>
        <w:tabs>
          <w:tab w:val="left" w:pos="9365"/>
        </w:tabs>
        <w:snapToGrid w:val="0"/>
        <w:spacing w:after="56" w:line="560" w:lineRule="exact"/>
        <w:ind w:right="85"/>
        <w:jc w:val="center"/>
        <w:textAlignment w:val="top"/>
        <w:rPr>
          <w:rFonts w:ascii="宋体" w:hAnsi="宋体" w:cs="宋体"/>
          <w:color w:val="auto"/>
          <w:sz w:val="24"/>
          <w:highlight w:val="none"/>
        </w:rPr>
      </w:pPr>
    </w:p>
    <w:p w14:paraId="4014FF5E">
      <w:pPr>
        <w:widowControl w:val="0"/>
        <w:tabs>
          <w:tab w:val="left" w:pos="9365"/>
        </w:tabs>
        <w:snapToGrid w:val="0"/>
        <w:spacing w:after="56" w:line="560" w:lineRule="exact"/>
        <w:ind w:right="85"/>
        <w:textAlignment w:val="top"/>
        <w:rPr>
          <w:rFonts w:ascii="宋体" w:hAnsi="宋体" w:cs="宋体"/>
          <w:color w:val="auto"/>
          <w:sz w:val="24"/>
          <w:highlight w:val="none"/>
        </w:rPr>
      </w:pPr>
    </w:p>
    <w:p w14:paraId="13041134">
      <w:pPr>
        <w:widowControl w:val="0"/>
        <w:tabs>
          <w:tab w:val="left" w:pos="9365"/>
        </w:tabs>
        <w:snapToGrid w:val="0"/>
        <w:spacing w:after="56" w:line="560" w:lineRule="exact"/>
        <w:ind w:right="85"/>
        <w:textAlignment w:val="top"/>
        <w:rPr>
          <w:rFonts w:ascii="宋体" w:hAnsi="宋体" w:cs="宋体"/>
          <w:color w:val="auto"/>
          <w:sz w:val="24"/>
          <w:highlight w:val="none"/>
        </w:rPr>
      </w:pPr>
      <w:r>
        <w:rPr>
          <w:rFonts w:hint="eastAsia" w:ascii="宋体" w:hAnsi="宋体" w:cs="宋体"/>
          <w:b/>
          <w:color w:val="auto"/>
          <w:sz w:val="32"/>
          <w:szCs w:val="32"/>
          <w:highlight w:val="none"/>
        </w:rPr>
        <w:br w:type="page"/>
      </w:r>
    </w:p>
    <w:p w14:paraId="3D48B0B0">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《政府采购法》第二十二条第一款规定的供应商基础性资格的承诺函</w:t>
      </w:r>
    </w:p>
    <w:p w14:paraId="3A94D3FB">
      <w:pPr>
        <w:keepNext w:val="0"/>
        <w:keepLines w:val="0"/>
        <w:pageBreakBefore w:val="0"/>
        <w:widowControl w:val="0"/>
        <w:numPr>
          <w:ilvl w:val="0"/>
          <w:numId w:val="18"/>
        </w:numP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我公司郑重承诺，我公司符合《政府采购法》第二十二条第一款规定的供应商基础性资格条件，具体如下：</w:t>
      </w:r>
    </w:p>
    <w:p w14:paraId="5114DF48">
      <w:pPr>
        <w:keepNext w:val="0"/>
        <w:keepLines w:val="0"/>
        <w:pageBreakBefore w:val="0"/>
        <w:widowControl w:val="0"/>
        <w:numPr>
          <w:ilvl w:val="0"/>
          <w:numId w:val="19"/>
        </w:numP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我公司承诺具有独立承担民事责任能力；</w:t>
      </w:r>
    </w:p>
    <w:p w14:paraId="61BAC391">
      <w:pPr>
        <w:keepNext w:val="0"/>
        <w:keepLines w:val="0"/>
        <w:pageBreakBefore w:val="0"/>
        <w:widowControl w:val="0"/>
        <w:numPr>
          <w:ilvl w:val="0"/>
          <w:numId w:val="19"/>
        </w:numP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我公司承诺具有良好的商业信誉和健全的财务会计制度；</w:t>
      </w:r>
    </w:p>
    <w:p w14:paraId="4317ECB8">
      <w:pPr>
        <w:keepNext w:val="0"/>
        <w:keepLines w:val="0"/>
        <w:pageBreakBefore w:val="0"/>
        <w:widowControl w:val="0"/>
        <w:numPr>
          <w:ilvl w:val="0"/>
          <w:numId w:val="19"/>
        </w:numP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我公司承诺具备履行合同所必需的设备和专业技术能力；</w:t>
      </w:r>
    </w:p>
    <w:p w14:paraId="20395B13">
      <w:pPr>
        <w:keepNext w:val="0"/>
        <w:keepLines w:val="0"/>
        <w:pageBreakBefore w:val="0"/>
        <w:widowControl w:val="0"/>
        <w:numPr>
          <w:ilvl w:val="0"/>
          <w:numId w:val="19"/>
        </w:numP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我公司承诺具有依法缴纳税收和社会保障资金的良好记录；</w:t>
      </w:r>
    </w:p>
    <w:p w14:paraId="5E6927B1">
      <w:pPr>
        <w:keepNext w:val="0"/>
        <w:keepLines w:val="0"/>
        <w:pageBreakBefore w:val="0"/>
        <w:widowControl w:val="0"/>
        <w:numPr>
          <w:ilvl w:val="0"/>
          <w:numId w:val="19"/>
        </w:numP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我公司承诺在参加政府采购活动前三年内，在经营活动中没有重大违法记录。</w:t>
      </w:r>
    </w:p>
    <w:p w14:paraId="2D508C1A">
      <w:pPr>
        <w:keepNext w:val="0"/>
        <w:keepLines w:val="0"/>
        <w:pageBreakBefore w:val="0"/>
        <w:widowControl w:val="0"/>
        <w:numPr>
          <w:ilvl w:val="0"/>
          <w:numId w:val="18"/>
        </w:numP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我公司保证上述承诺事项的真实性，如有虚假或其他违规违法行为，我公司愿意按《政府采购法》提供虚假材料的有关规定承担法律责任，并承担因此造成的一切损失。  </w:t>
      </w:r>
    </w:p>
    <w:p w14:paraId="1BEA4229">
      <w:pPr>
        <w:keepNext w:val="0"/>
        <w:keepLines w:val="0"/>
        <w:pageBreakBefore w:val="0"/>
        <w:widowControl w:val="0"/>
        <w:numPr>
          <w:ilvl w:val="0"/>
          <w:numId w:val="18"/>
        </w:numP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我公司认同按照《</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文件》“《政府采购法》第二十二条第一款规定的供应商基础性资格的承诺认定标准”对我公司或其他公司进行的供应商基础性资格的审查，对按照认定标准得出的审查结果无异议。</w:t>
      </w:r>
    </w:p>
    <w:p w14:paraId="23928712">
      <w:pPr>
        <w:keepNext w:val="0"/>
        <w:keepLines w:val="0"/>
        <w:pageBreakBefore w:val="0"/>
        <w:widowControl w:val="0"/>
        <w:numPr>
          <w:ilvl w:val="0"/>
          <w:numId w:val="18"/>
        </w:numP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我公司响应文件或公开资料或备案资料中，有不符合《</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文件》“《政府采购法》第二十二条第一款规定的供应商基础性资格的承诺认定标准”的，我公司认同判定为无效投标、承担虚假承诺责任。</w:t>
      </w:r>
    </w:p>
    <w:p w14:paraId="028B5044">
      <w:pPr>
        <w:keepNext w:val="0"/>
        <w:keepLines w:val="0"/>
        <w:pageBreakBefore w:val="0"/>
        <w:widowControl w:val="0"/>
        <w:numPr>
          <w:ilvl w:val="0"/>
          <w:numId w:val="18"/>
        </w:numP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我公司在没有有效的证明材料，以证明其他供应商不符合《</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文件》“《政府采购法》第二十二条第一款规定的供应商基础性资格的承诺认定标准”时，我公司承诺不对其他供应商的承诺函提起质疑投诉，同意对已提起的质疑投诉按缺乏事实依据、按无效质疑投诉处理。</w:t>
      </w:r>
    </w:p>
    <w:p w14:paraId="03E6C977">
      <w:pPr>
        <w:widowControl w:val="0"/>
        <w:spacing w:after="120" w:line="360" w:lineRule="auto"/>
        <w:jc w:val="both"/>
        <w:rPr>
          <w:rFonts w:hint="eastAsia" w:ascii="宋体" w:hAnsi="宋体" w:eastAsia="宋体" w:cs="宋体"/>
          <w:color w:val="auto"/>
          <w:kern w:val="2"/>
          <w:sz w:val="24"/>
          <w:szCs w:val="24"/>
          <w:highlight w:val="none"/>
          <w:lang w:val="en-US" w:eastAsia="zh-CN" w:bidi="ar-SA"/>
        </w:rPr>
      </w:pPr>
    </w:p>
    <w:p w14:paraId="2BC2C028">
      <w:pPr>
        <w:tabs>
          <w:tab w:val="left" w:pos="0"/>
        </w:tabs>
        <w:spacing w:line="480" w:lineRule="auto"/>
        <w:ind w:right="512"/>
        <w:rPr>
          <w:rFonts w:ascii="宋体" w:hAnsi="宋体" w:cs="宋体"/>
          <w:color w:val="auto"/>
          <w:spacing w:val="8"/>
          <w:sz w:val="24"/>
          <w:highlight w:val="none"/>
        </w:rPr>
      </w:pPr>
      <w:r>
        <w:rPr>
          <w:rFonts w:hint="eastAsia" w:ascii="宋体" w:hAnsi="宋体" w:cs="宋体"/>
          <w:color w:val="auto"/>
          <w:sz w:val="24"/>
          <w:highlight w:val="none"/>
        </w:rPr>
        <w:t>供应商</w:t>
      </w:r>
      <w:r>
        <w:rPr>
          <w:rFonts w:hint="eastAsia" w:ascii="宋体" w:hAnsi="宋体" w:cs="宋体"/>
          <w:color w:val="auto"/>
          <w:sz w:val="24"/>
          <w:szCs w:val="24"/>
          <w:highlight w:val="none"/>
        </w:rPr>
        <w:t>（电子签章）</w:t>
      </w:r>
      <w:r>
        <w:rPr>
          <w:rFonts w:hint="eastAsia" w:ascii="宋体" w:hAnsi="宋体" w:cs="宋体"/>
          <w:color w:val="auto"/>
          <w:spacing w:val="8"/>
          <w:sz w:val="24"/>
          <w:highlight w:val="none"/>
        </w:rPr>
        <w:t>：</w:t>
      </w:r>
    </w:p>
    <w:p w14:paraId="51ED17D1">
      <w:pPr>
        <w:tabs>
          <w:tab w:val="left" w:pos="0"/>
        </w:tabs>
        <w:spacing w:line="480" w:lineRule="auto"/>
        <w:ind w:right="768"/>
        <w:jc w:val="left"/>
        <w:rPr>
          <w:rFonts w:ascii="宋体" w:hAnsi="宋体" w:cs="宋体"/>
          <w:color w:val="auto"/>
          <w:spacing w:val="8"/>
          <w:sz w:val="24"/>
          <w:highlight w:val="none"/>
        </w:rPr>
      </w:pPr>
      <w:r>
        <w:rPr>
          <w:rFonts w:hint="eastAsia" w:ascii="宋体" w:hAnsi="宋体" w:cs="宋体"/>
          <w:color w:val="auto"/>
          <w:spacing w:val="8"/>
          <w:sz w:val="24"/>
          <w:highlight w:val="none"/>
        </w:rPr>
        <w:t>法定代表人</w:t>
      </w:r>
      <w:r>
        <w:rPr>
          <w:rFonts w:hint="eastAsia" w:ascii="宋体" w:hAnsi="宋体" w:cs="宋体"/>
          <w:color w:val="auto"/>
          <w:sz w:val="24"/>
          <w:szCs w:val="24"/>
          <w:highlight w:val="none"/>
        </w:rPr>
        <w:t>（电子签名）</w:t>
      </w:r>
      <w:r>
        <w:rPr>
          <w:rFonts w:hint="eastAsia" w:ascii="宋体" w:hAnsi="宋体" w:cs="宋体"/>
          <w:color w:val="auto"/>
          <w:spacing w:val="8"/>
          <w:sz w:val="24"/>
          <w:highlight w:val="none"/>
        </w:rPr>
        <w:t>：</w:t>
      </w:r>
    </w:p>
    <w:p w14:paraId="7A850FFF">
      <w:pPr>
        <w:autoSpaceDE w:val="0"/>
        <w:autoSpaceDN w:val="0"/>
        <w:adjustRightInd w:val="0"/>
        <w:spacing w:line="480" w:lineRule="auto"/>
        <w:rPr>
          <w:rFonts w:ascii="宋体" w:hAnsi="宋体" w:cs="宋体"/>
          <w:color w:val="auto"/>
          <w:sz w:val="24"/>
          <w:highlight w:val="none"/>
        </w:rPr>
      </w:pPr>
      <w:r>
        <w:rPr>
          <w:rFonts w:hint="eastAsia" w:ascii="宋体" w:hAnsi="宋体" w:cs="宋体"/>
          <w:color w:val="auto"/>
          <w:spacing w:val="8"/>
          <w:sz w:val="24"/>
          <w:highlight w:val="none"/>
        </w:rPr>
        <w:t>日期 ：</w:t>
      </w:r>
      <w:r>
        <w:rPr>
          <w:rFonts w:hint="eastAsia" w:ascii="宋体" w:hAnsi="宋体" w:cs="宋体"/>
          <w:color w:val="auto"/>
          <w:sz w:val="24"/>
          <w:highlight w:val="none"/>
          <w:lang w:val="zh-CN"/>
        </w:rPr>
        <w:t xml:space="preserve">   年   月   日</w:t>
      </w:r>
    </w:p>
    <w:p w14:paraId="3DCEB644">
      <w:pPr>
        <w:pStyle w:val="7"/>
        <w:rPr>
          <w:rFonts w:hint="eastAsia"/>
          <w:color w:val="auto"/>
          <w:highlight w:val="none"/>
        </w:rPr>
      </w:pPr>
    </w:p>
    <w:p w14:paraId="54F642C6">
      <w:pPr>
        <w:widowControl w:val="0"/>
        <w:spacing w:after="120" w:line="360" w:lineRule="auto"/>
        <w:jc w:val="both"/>
        <w:rPr>
          <w:rFonts w:hint="eastAsia" w:ascii="宋体" w:hAnsi="宋体" w:eastAsia="宋体" w:cs="宋体"/>
          <w:color w:val="auto"/>
          <w:kern w:val="2"/>
          <w:sz w:val="24"/>
          <w:szCs w:val="24"/>
          <w:highlight w:val="none"/>
          <w:lang w:val="en-US" w:eastAsia="zh-CN" w:bidi="ar-SA"/>
        </w:rPr>
      </w:pPr>
    </w:p>
    <w:p w14:paraId="664BC0F2">
      <w:pPr>
        <w:spacing w:line="360" w:lineRule="auto"/>
        <w:rPr>
          <w:rFonts w:hint="eastAsia" w:ascii="宋体" w:hAnsi="宋体" w:eastAsia="宋体" w:cs="宋体"/>
          <w:color w:val="auto"/>
          <w:sz w:val="24"/>
          <w:szCs w:val="24"/>
          <w:highlight w:val="none"/>
        </w:rPr>
      </w:pPr>
    </w:p>
    <w:p w14:paraId="13337F12">
      <w:pPr>
        <w:pStyle w:val="7"/>
        <w:spacing w:line="360" w:lineRule="auto"/>
        <w:rPr>
          <w:rFonts w:hint="eastAsia" w:ascii="宋体" w:hAnsi="宋体" w:eastAsia="宋体" w:cs="宋体"/>
          <w:color w:val="auto"/>
          <w:sz w:val="24"/>
          <w:szCs w:val="24"/>
          <w:highlight w:val="none"/>
        </w:rPr>
      </w:pPr>
    </w:p>
    <w:p w14:paraId="0E4ACF04">
      <w:pPr>
        <w:spacing w:line="360" w:lineRule="auto"/>
        <w:rPr>
          <w:rFonts w:hint="eastAsia" w:ascii="宋体" w:hAnsi="宋体" w:eastAsia="宋体" w:cs="宋体"/>
          <w:color w:val="auto"/>
          <w:sz w:val="24"/>
          <w:szCs w:val="24"/>
          <w:highlight w:val="none"/>
        </w:rPr>
      </w:pPr>
    </w:p>
    <w:p w14:paraId="65189AF5">
      <w:pPr>
        <w:widowControl w:val="0"/>
        <w:spacing w:after="120" w:line="360" w:lineRule="auto"/>
        <w:jc w:val="both"/>
        <w:rPr>
          <w:rFonts w:hint="eastAsia" w:ascii="宋体" w:hAnsi="宋体" w:eastAsia="宋体" w:cs="宋体"/>
          <w:color w:val="auto"/>
          <w:kern w:val="2"/>
          <w:sz w:val="24"/>
          <w:szCs w:val="24"/>
          <w:highlight w:val="none"/>
          <w:lang w:val="en-US" w:eastAsia="zh-CN" w:bidi="ar-SA"/>
        </w:rPr>
      </w:pPr>
    </w:p>
    <w:p w14:paraId="0623DF2E">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《政府采购法》第二十二条第一款规定的供应商基础性资格的承诺事项的认定标准</w:t>
      </w:r>
    </w:p>
    <w:p w14:paraId="5A540E20">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政府采购监督检查、质疑投诉及政府采购行政处罚等情形中，需要对资格承诺的真实性的进行认定时，相关供应商应提供如下关于基础性资格的证明材料：</w:t>
      </w:r>
    </w:p>
    <w:p w14:paraId="7CCDB38D">
      <w:pPr>
        <w:keepNext w:val="0"/>
        <w:keepLines w:val="0"/>
        <w:pageBreakBefore w:val="0"/>
        <w:widowControl w:val="0"/>
        <w:numPr>
          <w:ilvl w:val="0"/>
          <w:numId w:val="20"/>
        </w:numP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具有独立承担民事责任的能力。■提供营业执照或事业单位法人证书</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rPr>
        <w:t>以分公司等不具有独立法人资格的其他组织名义作为投标人的，可使用其总公司或所属法人机构资格、资质、业绩案例、人员证书等相关资料参与投标，但必须提供其总公司或所属法人机构的授权文件</w:t>
      </w:r>
      <w:r>
        <w:rPr>
          <w:rFonts w:hint="eastAsia" w:ascii="宋体" w:hAnsi="宋体" w:eastAsia="宋体" w:cs="宋体"/>
          <w:color w:val="auto"/>
          <w:sz w:val="24"/>
          <w:szCs w:val="24"/>
          <w:highlight w:val="none"/>
        </w:rPr>
        <w:t xml:space="preserve">）。 </w:t>
      </w:r>
    </w:p>
    <w:p w14:paraId="7816D6E6">
      <w:pPr>
        <w:keepNext w:val="0"/>
        <w:keepLines w:val="0"/>
        <w:pageBreakBefore w:val="0"/>
        <w:widowControl w:val="0"/>
        <w:numPr>
          <w:ilvl w:val="0"/>
          <w:numId w:val="20"/>
        </w:numP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具有良好的商业信誉和健全的财务会计制度。■提供银行出具的近1 年内资信证明（法人为基本开户行）、或 2022 年度以来（任一年度）经审计的财务报告、或银行（保险公司）出具的投标担保函。</w:t>
      </w:r>
    </w:p>
    <w:p w14:paraId="4690D4FC">
      <w:pPr>
        <w:keepNext w:val="0"/>
        <w:keepLines w:val="0"/>
        <w:pageBreakBefore w:val="0"/>
        <w:widowControl w:val="0"/>
        <w:numPr>
          <w:ilvl w:val="0"/>
          <w:numId w:val="20"/>
        </w:numP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备履行合同所必需的设备和专业技术能力。■提供相关设备或设施的购置发票或单据（任一），■专业人员用工合同（任一人），或技术人员的职称证书或职业（执业）资格证或等级证书等相关证书（任一人）等的证明材料。</w:t>
      </w:r>
    </w:p>
    <w:p w14:paraId="713A2F7E">
      <w:pPr>
        <w:keepNext w:val="0"/>
        <w:keepLines w:val="0"/>
        <w:pageBreakBefore w:val="0"/>
        <w:widowControl w:val="0"/>
        <w:numPr>
          <w:ilvl w:val="0"/>
          <w:numId w:val="20"/>
        </w:numP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有依法缴纳税收和社会保障资金的良好记录。■提供近12 个月内（任意1个月）已依法缴纳税收的凭据；■提供近 12 个月内（任意 1 个月）已依法缴纳社会保险的凭据。依法免税或不需要缴纳社会保障资金的供应商，应提供相应证明文件。</w:t>
      </w:r>
    </w:p>
    <w:p w14:paraId="6A144EB5">
      <w:pPr>
        <w:keepNext w:val="0"/>
        <w:keepLines w:val="0"/>
        <w:pageBreakBefore w:val="0"/>
        <w:widowControl w:val="0"/>
        <w:numPr>
          <w:ilvl w:val="0"/>
          <w:numId w:val="20"/>
        </w:numP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参加政府采购活动前 3 年内在经营活动中没有重大违法记录。</w:t>
      </w:r>
    </w:p>
    <w:p w14:paraId="2DFD84EB">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供应商提供的证明材料不符合上述认定标准的，评定该供应商不满足《政府采购法》供应商资格要求，为提供虚假承诺，投标、中标无效，并上报财政部门对其违规违法行为作进一步处理。</w:t>
      </w:r>
    </w:p>
    <w:p w14:paraId="56962D74">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p>
    <w:p w14:paraId="75F9BBA0">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p>
    <w:p w14:paraId="3B355C06">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p>
    <w:p w14:paraId="4EF6F70E">
      <w:pPr>
        <w:tabs>
          <w:tab w:val="left" w:pos="0"/>
        </w:tabs>
        <w:spacing w:line="480" w:lineRule="auto"/>
        <w:ind w:right="512"/>
        <w:rPr>
          <w:rFonts w:ascii="宋体" w:hAnsi="宋体" w:cs="宋体"/>
          <w:color w:val="auto"/>
          <w:spacing w:val="8"/>
          <w:sz w:val="24"/>
          <w:highlight w:val="none"/>
        </w:rPr>
      </w:pPr>
      <w:r>
        <w:rPr>
          <w:rFonts w:hint="eastAsia" w:ascii="宋体" w:hAnsi="宋体" w:cs="宋体"/>
          <w:color w:val="auto"/>
          <w:sz w:val="24"/>
          <w:highlight w:val="none"/>
        </w:rPr>
        <w:t>供应商</w:t>
      </w:r>
      <w:r>
        <w:rPr>
          <w:rFonts w:hint="eastAsia" w:ascii="宋体" w:hAnsi="宋体" w:cs="宋体"/>
          <w:color w:val="auto"/>
          <w:sz w:val="24"/>
          <w:szCs w:val="24"/>
          <w:highlight w:val="none"/>
        </w:rPr>
        <w:t>（电子签章）</w:t>
      </w:r>
      <w:r>
        <w:rPr>
          <w:rFonts w:hint="eastAsia" w:ascii="宋体" w:hAnsi="宋体" w:cs="宋体"/>
          <w:color w:val="auto"/>
          <w:spacing w:val="8"/>
          <w:sz w:val="24"/>
          <w:highlight w:val="none"/>
        </w:rPr>
        <w:t>：</w:t>
      </w:r>
    </w:p>
    <w:p w14:paraId="21F05F94">
      <w:pPr>
        <w:tabs>
          <w:tab w:val="left" w:pos="0"/>
        </w:tabs>
        <w:spacing w:line="480" w:lineRule="auto"/>
        <w:ind w:right="768"/>
        <w:jc w:val="left"/>
        <w:rPr>
          <w:rFonts w:ascii="宋体" w:hAnsi="宋体" w:cs="宋体"/>
          <w:color w:val="auto"/>
          <w:spacing w:val="8"/>
          <w:sz w:val="24"/>
          <w:highlight w:val="none"/>
        </w:rPr>
      </w:pPr>
      <w:r>
        <w:rPr>
          <w:rFonts w:hint="eastAsia" w:ascii="宋体" w:hAnsi="宋体" w:cs="宋体"/>
          <w:color w:val="auto"/>
          <w:spacing w:val="8"/>
          <w:sz w:val="24"/>
          <w:highlight w:val="none"/>
        </w:rPr>
        <w:t>法定代表人</w:t>
      </w:r>
      <w:r>
        <w:rPr>
          <w:rFonts w:hint="eastAsia" w:ascii="宋体" w:hAnsi="宋体" w:cs="宋体"/>
          <w:color w:val="auto"/>
          <w:sz w:val="24"/>
          <w:szCs w:val="24"/>
          <w:highlight w:val="none"/>
        </w:rPr>
        <w:t>（电子签名）</w:t>
      </w:r>
      <w:r>
        <w:rPr>
          <w:rFonts w:hint="eastAsia" w:ascii="宋体" w:hAnsi="宋体" w:cs="宋体"/>
          <w:color w:val="auto"/>
          <w:spacing w:val="8"/>
          <w:sz w:val="24"/>
          <w:highlight w:val="none"/>
        </w:rPr>
        <w:t>：</w:t>
      </w:r>
    </w:p>
    <w:p w14:paraId="7E9478E0">
      <w:pPr>
        <w:autoSpaceDE w:val="0"/>
        <w:autoSpaceDN w:val="0"/>
        <w:adjustRightInd w:val="0"/>
        <w:spacing w:line="480" w:lineRule="auto"/>
        <w:rPr>
          <w:rFonts w:ascii="宋体" w:hAnsi="宋体" w:cs="宋体"/>
          <w:color w:val="auto"/>
          <w:sz w:val="24"/>
          <w:highlight w:val="none"/>
        </w:rPr>
      </w:pPr>
      <w:r>
        <w:rPr>
          <w:rFonts w:hint="eastAsia" w:ascii="宋体" w:hAnsi="宋体" w:cs="宋体"/>
          <w:color w:val="auto"/>
          <w:spacing w:val="8"/>
          <w:sz w:val="24"/>
          <w:highlight w:val="none"/>
        </w:rPr>
        <w:t>日期 ：</w:t>
      </w:r>
      <w:r>
        <w:rPr>
          <w:rFonts w:hint="eastAsia" w:ascii="宋体" w:hAnsi="宋体" w:cs="宋体"/>
          <w:color w:val="auto"/>
          <w:sz w:val="24"/>
          <w:highlight w:val="none"/>
          <w:lang w:val="zh-CN"/>
        </w:rPr>
        <w:t xml:space="preserve">   年   月   日</w:t>
      </w:r>
    </w:p>
    <w:p w14:paraId="3FEBED6C">
      <w:pPr>
        <w:tabs>
          <w:tab w:val="left" w:pos="540"/>
        </w:tabs>
        <w:spacing w:line="440" w:lineRule="exact"/>
        <w:jc w:val="center"/>
        <w:rPr>
          <w:rFonts w:hint="eastAsia" w:ascii="宋体" w:hAnsi="宋体" w:eastAsia="宋体" w:cs="宋体"/>
          <w:b/>
          <w:color w:val="auto"/>
          <w:sz w:val="30"/>
          <w:szCs w:val="30"/>
          <w:highlight w:val="none"/>
          <w:lang w:val="en-US" w:eastAsia="zh-CN"/>
        </w:rPr>
      </w:pPr>
    </w:p>
    <w:p w14:paraId="1FA70358">
      <w:pPr>
        <w:pStyle w:val="5"/>
        <w:numPr>
          <w:ilvl w:val="3"/>
          <w:numId w:val="0"/>
        </w:numPr>
        <w:ind w:leftChars="0"/>
        <w:rPr>
          <w:rFonts w:hint="eastAsia" w:ascii="宋体" w:hAnsi="宋体" w:eastAsia="宋体" w:cs="宋体"/>
          <w:b/>
          <w:color w:val="auto"/>
          <w:sz w:val="30"/>
          <w:szCs w:val="30"/>
          <w:highlight w:val="none"/>
          <w:lang w:val="en-US" w:eastAsia="zh-CN"/>
        </w:rPr>
      </w:pPr>
    </w:p>
    <w:p w14:paraId="6A8DC995">
      <w:pPr>
        <w:rPr>
          <w:rFonts w:hint="eastAsia" w:ascii="宋体" w:hAnsi="宋体" w:eastAsia="宋体" w:cs="宋体"/>
          <w:b/>
          <w:color w:val="auto"/>
          <w:sz w:val="30"/>
          <w:szCs w:val="30"/>
          <w:highlight w:val="none"/>
          <w:lang w:val="en-US" w:eastAsia="zh-CN"/>
        </w:rPr>
      </w:pPr>
    </w:p>
    <w:p w14:paraId="3DD6B6F8">
      <w:pPr>
        <w:tabs>
          <w:tab w:val="left" w:pos="540"/>
        </w:tabs>
        <w:spacing w:line="440" w:lineRule="exact"/>
        <w:jc w:val="center"/>
        <w:rPr>
          <w:rFonts w:ascii="宋体" w:hAnsi="宋体" w:cs="宋体"/>
          <w:b/>
          <w:color w:val="auto"/>
          <w:sz w:val="30"/>
          <w:szCs w:val="30"/>
          <w:highlight w:val="none"/>
        </w:rPr>
      </w:pPr>
      <w:r>
        <w:rPr>
          <w:rFonts w:hint="eastAsia" w:ascii="宋体" w:hAnsi="宋体" w:cs="宋体"/>
          <w:b/>
          <w:color w:val="auto"/>
          <w:sz w:val="30"/>
          <w:szCs w:val="30"/>
          <w:highlight w:val="none"/>
        </w:rPr>
        <w:t>九、反商业贿赂承诺书</w:t>
      </w:r>
    </w:p>
    <w:p w14:paraId="7BC93439">
      <w:pPr>
        <w:rPr>
          <w:rFonts w:ascii="宋体" w:hAnsi="宋体" w:cs="宋体"/>
          <w:b/>
          <w:color w:val="auto"/>
          <w:sz w:val="48"/>
          <w:szCs w:val="48"/>
          <w:highlight w:val="none"/>
        </w:rPr>
      </w:pPr>
    </w:p>
    <w:p w14:paraId="06DD2417">
      <w:pPr>
        <w:snapToGrid w:val="0"/>
        <w:spacing w:line="560" w:lineRule="atLeast"/>
        <w:ind w:right="56" w:firstLine="555"/>
        <w:rPr>
          <w:rFonts w:ascii="宋体" w:hAnsi="宋体" w:cs="宋体"/>
          <w:color w:val="auto"/>
          <w:sz w:val="24"/>
          <w:highlight w:val="none"/>
        </w:rPr>
      </w:pPr>
      <w:r>
        <w:rPr>
          <w:rFonts w:hint="eastAsia" w:ascii="宋体" w:hAnsi="宋体" w:cs="宋体"/>
          <w:color w:val="auto"/>
          <w:sz w:val="24"/>
          <w:highlight w:val="none"/>
        </w:rPr>
        <w:t>我公司承诺：</w:t>
      </w:r>
    </w:p>
    <w:p w14:paraId="3BD7D4CC">
      <w:pPr>
        <w:snapToGrid w:val="0"/>
        <w:spacing w:line="560" w:lineRule="atLeast"/>
        <w:ind w:right="56" w:firstLine="555"/>
        <w:rPr>
          <w:rFonts w:ascii="宋体" w:hAnsi="宋体" w:cs="宋体"/>
          <w:color w:val="auto"/>
          <w:sz w:val="24"/>
          <w:highlight w:val="none"/>
        </w:rPr>
      </w:pPr>
      <w:r>
        <w:rPr>
          <w:rFonts w:hint="eastAsia" w:ascii="宋体" w:hAnsi="宋体" w:cs="宋体"/>
          <w:color w:val="auto"/>
          <w:sz w:val="24"/>
          <w:highlight w:val="none"/>
        </w:rPr>
        <w:t>在采购活动中，我公司保证做到：</w:t>
      </w:r>
    </w:p>
    <w:p w14:paraId="1FA60147">
      <w:pPr>
        <w:snapToGrid w:val="0"/>
        <w:spacing w:line="560" w:lineRule="atLeast"/>
        <w:ind w:right="56" w:firstLine="555"/>
        <w:rPr>
          <w:rFonts w:ascii="宋体" w:hAnsi="宋体" w:cs="宋体"/>
          <w:color w:val="auto"/>
          <w:sz w:val="24"/>
          <w:highlight w:val="none"/>
        </w:rPr>
      </w:pPr>
      <w:r>
        <w:rPr>
          <w:rFonts w:hint="eastAsia" w:ascii="宋体" w:hAnsi="宋体" w:cs="宋体"/>
          <w:color w:val="auto"/>
          <w:sz w:val="24"/>
          <w:highlight w:val="none"/>
        </w:rPr>
        <w:t>一、公平竞争参加本次采购活动。</w:t>
      </w:r>
    </w:p>
    <w:p w14:paraId="20BB9958">
      <w:pPr>
        <w:snapToGrid w:val="0"/>
        <w:spacing w:line="560" w:lineRule="atLeast"/>
        <w:ind w:right="56" w:firstLine="555"/>
        <w:rPr>
          <w:rFonts w:ascii="宋体" w:hAnsi="宋体" w:cs="宋体"/>
          <w:color w:val="auto"/>
          <w:sz w:val="24"/>
          <w:highlight w:val="none"/>
        </w:rPr>
      </w:pPr>
      <w:r>
        <w:rPr>
          <w:rFonts w:hint="eastAsia" w:ascii="宋体" w:hAnsi="宋体" w:cs="宋体"/>
          <w:color w:val="auto"/>
          <w:sz w:val="24"/>
          <w:highlight w:val="none"/>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5D971418">
      <w:pPr>
        <w:snapToGrid w:val="0"/>
        <w:spacing w:line="560" w:lineRule="atLeast"/>
        <w:ind w:right="56" w:firstLine="555"/>
        <w:rPr>
          <w:rFonts w:ascii="宋体" w:hAnsi="宋体" w:cs="宋体"/>
          <w:color w:val="auto"/>
          <w:sz w:val="24"/>
          <w:highlight w:val="none"/>
        </w:rPr>
      </w:pPr>
      <w:r>
        <w:rPr>
          <w:rFonts w:hint="eastAsia" w:ascii="宋体" w:hAnsi="宋体" w:cs="宋体"/>
          <w:color w:val="auto"/>
          <w:sz w:val="24"/>
          <w:highlight w:val="none"/>
        </w:rPr>
        <w:t>三、若出现上述行为，我公司及其参与投标的工作人员愿意接受按照国家法律法规等有关规定给予的处罚。</w:t>
      </w:r>
    </w:p>
    <w:p w14:paraId="2693C70F">
      <w:pPr>
        <w:snapToGrid w:val="0"/>
        <w:spacing w:line="560" w:lineRule="atLeast"/>
        <w:ind w:right="56" w:firstLine="555"/>
        <w:rPr>
          <w:rFonts w:ascii="宋体" w:hAnsi="宋体" w:cs="宋体"/>
          <w:color w:val="auto"/>
          <w:sz w:val="24"/>
          <w:highlight w:val="none"/>
        </w:rPr>
      </w:pPr>
    </w:p>
    <w:p w14:paraId="227214A3">
      <w:pPr>
        <w:snapToGrid w:val="0"/>
        <w:spacing w:line="560" w:lineRule="atLeast"/>
        <w:ind w:right="56" w:firstLine="555"/>
        <w:rPr>
          <w:rFonts w:ascii="宋体" w:hAnsi="宋体" w:cs="宋体"/>
          <w:color w:val="auto"/>
          <w:sz w:val="24"/>
          <w:highlight w:val="none"/>
        </w:rPr>
      </w:pPr>
    </w:p>
    <w:p w14:paraId="5AD20EC0">
      <w:pPr>
        <w:tabs>
          <w:tab w:val="left" w:pos="0"/>
        </w:tabs>
        <w:spacing w:line="480" w:lineRule="auto"/>
        <w:ind w:right="512"/>
        <w:rPr>
          <w:rFonts w:ascii="宋体" w:hAnsi="宋体" w:cs="宋体"/>
          <w:color w:val="auto"/>
          <w:spacing w:val="8"/>
          <w:sz w:val="24"/>
          <w:highlight w:val="none"/>
        </w:rPr>
      </w:pPr>
      <w:r>
        <w:rPr>
          <w:rFonts w:hint="eastAsia" w:ascii="宋体" w:hAnsi="宋体" w:cs="宋体"/>
          <w:color w:val="auto"/>
          <w:sz w:val="24"/>
          <w:highlight w:val="none"/>
        </w:rPr>
        <w:t>供应商</w:t>
      </w:r>
      <w:r>
        <w:rPr>
          <w:rFonts w:hint="eastAsia" w:ascii="宋体" w:hAnsi="宋体" w:cs="宋体"/>
          <w:color w:val="auto"/>
          <w:sz w:val="24"/>
          <w:szCs w:val="24"/>
          <w:highlight w:val="none"/>
        </w:rPr>
        <w:t>（电子签章）</w:t>
      </w:r>
      <w:r>
        <w:rPr>
          <w:rFonts w:hint="eastAsia" w:ascii="宋体" w:hAnsi="宋体" w:cs="宋体"/>
          <w:color w:val="auto"/>
          <w:spacing w:val="8"/>
          <w:sz w:val="24"/>
          <w:highlight w:val="none"/>
        </w:rPr>
        <w:t>：</w:t>
      </w:r>
    </w:p>
    <w:p w14:paraId="4BE56EDE">
      <w:pPr>
        <w:tabs>
          <w:tab w:val="left" w:pos="0"/>
        </w:tabs>
        <w:spacing w:line="480" w:lineRule="auto"/>
        <w:ind w:right="768"/>
        <w:jc w:val="left"/>
        <w:rPr>
          <w:rFonts w:ascii="宋体" w:hAnsi="宋体" w:cs="宋体"/>
          <w:color w:val="auto"/>
          <w:spacing w:val="8"/>
          <w:sz w:val="24"/>
          <w:highlight w:val="none"/>
        </w:rPr>
      </w:pPr>
      <w:r>
        <w:rPr>
          <w:rFonts w:hint="eastAsia" w:ascii="宋体" w:hAnsi="宋体" w:cs="宋体"/>
          <w:color w:val="auto"/>
          <w:spacing w:val="8"/>
          <w:sz w:val="24"/>
          <w:highlight w:val="none"/>
        </w:rPr>
        <w:t>法定代表人</w:t>
      </w:r>
      <w:r>
        <w:rPr>
          <w:rFonts w:hint="eastAsia" w:ascii="宋体" w:hAnsi="宋体" w:cs="宋体"/>
          <w:color w:val="auto"/>
          <w:sz w:val="24"/>
          <w:szCs w:val="24"/>
          <w:highlight w:val="none"/>
        </w:rPr>
        <w:t>（电子签名）</w:t>
      </w:r>
      <w:r>
        <w:rPr>
          <w:rFonts w:hint="eastAsia" w:ascii="宋体" w:hAnsi="宋体" w:cs="宋体"/>
          <w:color w:val="auto"/>
          <w:spacing w:val="8"/>
          <w:sz w:val="24"/>
          <w:highlight w:val="none"/>
        </w:rPr>
        <w:t>：</w:t>
      </w:r>
    </w:p>
    <w:p w14:paraId="527F7538">
      <w:pPr>
        <w:autoSpaceDE w:val="0"/>
        <w:autoSpaceDN w:val="0"/>
        <w:adjustRightInd w:val="0"/>
        <w:spacing w:line="480" w:lineRule="auto"/>
        <w:rPr>
          <w:rFonts w:ascii="宋体" w:hAnsi="宋体" w:cs="宋体"/>
          <w:color w:val="auto"/>
          <w:sz w:val="24"/>
          <w:highlight w:val="none"/>
        </w:rPr>
      </w:pPr>
      <w:r>
        <w:rPr>
          <w:rFonts w:hint="eastAsia" w:ascii="宋体" w:hAnsi="宋体" w:cs="宋体"/>
          <w:color w:val="auto"/>
          <w:spacing w:val="8"/>
          <w:sz w:val="24"/>
          <w:highlight w:val="none"/>
        </w:rPr>
        <w:t>日期 ：</w:t>
      </w:r>
      <w:r>
        <w:rPr>
          <w:rFonts w:hint="eastAsia" w:ascii="宋体" w:hAnsi="宋体" w:cs="宋体"/>
          <w:color w:val="auto"/>
          <w:sz w:val="24"/>
          <w:highlight w:val="none"/>
          <w:lang w:val="zh-CN"/>
        </w:rPr>
        <w:t xml:space="preserve">   年   月   日</w:t>
      </w:r>
    </w:p>
    <w:p w14:paraId="4A5710A0">
      <w:pPr>
        <w:tabs>
          <w:tab w:val="left" w:pos="540"/>
        </w:tabs>
        <w:spacing w:line="440" w:lineRule="exact"/>
        <w:jc w:val="center"/>
        <w:rPr>
          <w:rFonts w:ascii="宋体" w:hAnsi="宋体" w:cs="宋体"/>
          <w:color w:val="auto"/>
          <w:highlight w:val="none"/>
        </w:rPr>
      </w:pPr>
      <w:r>
        <w:rPr>
          <w:rFonts w:hint="eastAsia" w:ascii="宋体" w:hAnsi="宋体" w:cs="宋体"/>
          <w:color w:val="auto"/>
          <w:highlight w:val="none"/>
        </w:rPr>
        <w:br w:type="page"/>
      </w:r>
    </w:p>
    <w:p w14:paraId="537E43C0">
      <w:pPr>
        <w:tabs>
          <w:tab w:val="left" w:pos="540"/>
        </w:tabs>
        <w:spacing w:line="440" w:lineRule="exact"/>
        <w:jc w:val="center"/>
        <w:rPr>
          <w:rFonts w:ascii="宋体" w:hAnsi="宋体" w:cs="宋体"/>
          <w:b/>
          <w:color w:val="auto"/>
          <w:sz w:val="30"/>
          <w:szCs w:val="30"/>
          <w:highlight w:val="none"/>
        </w:rPr>
      </w:pPr>
      <w:r>
        <w:rPr>
          <w:rFonts w:hint="eastAsia" w:ascii="宋体" w:hAnsi="宋体" w:cs="宋体"/>
          <w:b/>
          <w:color w:val="auto"/>
          <w:sz w:val="30"/>
          <w:szCs w:val="30"/>
          <w:highlight w:val="none"/>
        </w:rPr>
        <w:t>十、</w:t>
      </w:r>
      <w:bookmarkStart w:id="48" w:name="OLE_LINK19"/>
      <w:r>
        <w:rPr>
          <w:rFonts w:hint="eastAsia" w:ascii="宋体" w:hAnsi="宋体" w:cs="宋体"/>
          <w:b/>
          <w:color w:val="auto"/>
          <w:sz w:val="30"/>
          <w:szCs w:val="30"/>
          <w:highlight w:val="none"/>
        </w:rPr>
        <w:t>履约承诺书</w:t>
      </w:r>
      <w:bookmarkEnd w:id="48"/>
    </w:p>
    <w:p w14:paraId="191E22A9">
      <w:pPr>
        <w:tabs>
          <w:tab w:val="left" w:pos="540"/>
        </w:tabs>
        <w:spacing w:line="440" w:lineRule="exact"/>
        <w:jc w:val="center"/>
        <w:rPr>
          <w:rFonts w:ascii="宋体" w:hAnsi="宋体" w:cs="宋体"/>
          <w:b/>
          <w:color w:val="auto"/>
          <w:sz w:val="30"/>
          <w:szCs w:val="30"/>
          <w:highlight w:val="none"/>
        </w:rPr>
      </w:pPr>
    </w:p>
    <w:p w14:paraId="20E2E139">
      <w:pPr>
        <w:adjustRightInd w:val="0"/>
        <w:snapToGrid w:val="0"/>
        <w:spacing w:before="120" w:beforeLines="50" w:line="300" w:lineRule="auto"/>
        <w:ind w:right="56" w:firstLine="555"/>
        <w:rPr>
          <w:rFonts w:ascii="宋体" w:hAnsi="宋体" w:cs="宋体"/>
          <w:color w:val="auto"/>
          <w:sz w:val="24"/>
          <w:highlight w:val="none"/>
        </w:rPr>
      </w:pPr>
      <w:r>
        <w:rPr>
          <w:rFonts w:hint="eastAsia" w:ascii="宋体" w:hAnsi="宋体" w:cs="宋体"/>
          <w:color w:val="auto"/>
          <w:sz w:val="24"/>
          <w:highlight w:val="none"/>
        </w:rPr>
        <w:t>一、我单位承诺：</w:t>
      </w:r>
    </w:p>
    <w:p w14:paraId="7EB16000">
      <w:pPr>
        <w:adjustRightInd w:val="0"/>
        <w:snapToGrid w:val="0"/>
        <w:spacing w:before="120" w:beforeLines="50" w:line="300" w:lineRule="auto"/>
        <w:ind w:firstLine="555"/>
        <w:rPr>
          <w:rFonts w:ascii="宋体" w:hAnsi="宋体" w:cs="宋体"/>
          <w:color w:val="auto"/>
          <w:sz w:val="24"/>
          <w:highlight w:val="none"/>
        </w:rPr>
      </w:pPr>
      <w:r>
        <w:rPr>
          <w:rFonts w:hint="eastAsia" w:ascii="宋体" w:hAnsi="宋体" w:cs="宋体"/>
          <w:color w:val="auto"/>
          <w:sz w:val="24"/>
          <w:highlight w:val="none"/>
        </w:rPr>
        <w:t>（一）我单位已详细阅读并完全理解、同意《磋商文件》的全部内容，包括修改补充文件以及全部参考资料和有关附件；除我单位在《磋商文件》规定期间内书面提出的疑问外，我单位放弃对这方面不明及误解的权力，并严格按采购人确定的技术及商务要求等履行。</w:t>
      </w:r>
    </w:p>
    <w:p w14:paraId="31BD4F8D">
      <w:pPr>
        <w:tabs>
          <w:tab w:val="left" w:pos="9354"/>
        </w:tabs>
        <w:adjustRightInd w:val="0"/>
        <w:snapToGrid w:val="0"/>
        <w:spacing w:before="120" w:beforeLines="50" w:line="30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二）我单位《响应文件》开启前已详细勘察现场，并按采购人现场条件及采购要求编制磋商报价；我单位的磋商报价括《磋商文件》所述报价组成的所有内容、并包括《磋商文件》未列明而与采购项目相关的、必须的所有款项及费用等达到交付使用及验收条件的所有一切风险、责任和义务的费用。</w:t>
      </w:r>
    </w:p>
    <w:p w14:paraId="24473C2D">
      <w:pPr>
        <w:tabs>
          <w:tab w:val="left" w:pos="9354"/>
        </w:tabs>
        <w:adjustRightInd w:val="0"/>
        <w:snapToGrid w:val="0"/>
        <w:spacing w:before="120" w:beforeLines="50" w:line="30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我单位保证按《磋商文件》要求及投标承诺的质量诚信履约。</w:t>
      </w:r>
    </w:p>
    <w:p w14:paraId="3FB9E030">
      <w:pPr>
        <w:tabs>
          <w:tab w:val="left" w:pos="9354"/>
        </w:tabs>
        <w:adjustRightInd w:val="0"/>
        <w:snapToGrid w:val="0"/>
        <w:spacing w:before="120" w:beforeLines="50" w:line="30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三）我单位保证在《磋商文件》要求的时间内按期、保质完成中标项目。我单位在推荐中标结果公示后，将积极、主动的与采购人联系合同签订事宜，合同签订中如有任何的问题，我单位保证及时书面反映情况，否则视为我单位责任、按违约处理。</w:t>
      </w:r>
    </w:p>
    <w:p w14:paraId="11D469DB">
      <w:pPr>
        <w:tabs>
          <w:tab w:val="left" w:pos="9354"/>
        </w:tabs>
        <w:adjustRightInd w:val="0"/>
        <w:snapToGrid w:val="0"/>
        <w:spacing w:before="120" w:beforeLines="50" w:line="30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二、我单位承诺：</w:t>
      </w:r>
    </w:p>
    <w:p w14:paraId="496C139A">
      <w:pPr>
        <w:tabs>
          <w:tab w:val="left" w:pos="9354"/>
        </w:tabs>
        <w:adjustRightInd w:val="0"/>
        <w:snapToGrid w:val="0"/>
        <w:spacing w:before="120" w:beforeLines="50" w:line="30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除法律规定的不可抗力因素外，我单位中标后以任何理由（包括违背上述承诺的事项）提出不能满足《磋商文件》技术、</w:t>
      </w:r>
      <w:r>
        <w:rPr>
          <w:rFonts w:hint="eastAsia" w:ascii="宋体" w:hAnsi="宋体" w:cs="宋体"/>
          <w:color w:val="auto"/>
          <w:sz w:val="24"/>
          <w:highlight w:val="none"/>
          <w:lang w:eastAsia="zh-CN"/>
        </w:rPr>
        <w:t>合同履行期限</w:t>
      </w:r>
      <w:r>
        <w:rPr>
          <w:rFonts w:hint="eastAsia" w:ascii="宋体" w:hAnsi="宋体" w:cs="宋体"/>
          <w:color w:val="auto"/>
          <w:sz w:val="24"/>
          <w:highlight w:val="none"/>
        </w:rPr>
        <w:t>等要求或不能实现投标承诺的或提出变更的，我单位将无条件接受违约处理、并放弃我单位中标资格。我单位知悉违约责任及其处理，并无条件接受：</w:t>
      </w:r>
      <w:r>
        <w:rPr>
          <w:rFonts w:hint="eastAsia" w:ascii="宋体" w:hAnsi="宋体" w:cs="宋体"/>
          <w:color w:val="auto"/>
          <w:sz w:val="24"/>
          <w:szCs w:val="24"/>
          <w:highlight w:val="none"/>
        </w:rPr>
        <w:t>依据磋商文件“第三章3.5.5 违背承诺的责任追究措施”，供应商承担相应法律责任及违约责任</w:t>
      </w:r>
      <w:r>
        <w:rPr>
          <w:rFonts w:hint="eastAsia" w:ascii="宋体" w:hAnsi="宋体" w:cs="宋体"/>
          <w:color w:val="auto"/>
          <w:sz w:val="24"/>
          <w:highlight w:val="none"/>
        </w:rPr>
        <w:t>；情节严重的，由财政部门列入不良行为记录名单，在一至三年内禁止参加政府采购活动，并予以通报，处以罚金，给采购人及他人造成损失的，承担相应的赔偿责任。</w:t>
      </w:r>
    </w:p>
    <w:p w14:paraId="0B0E40F9">
      <w:pPr>
        <w:tabs>
          <w:tab w:val="left" w:pos="9354"/>
        </w:tabs>
        <w:adjustRightInd w:val="0"/>
        <w:snapToGrid w:val="0"/>
        <w:spacing w:before="120" w:beforeLines="50" w:line="300" w:lineRule="auto"/>
        <w:ind w:firstLine="480" w:firstLineChars="200"/>
        <w:rPr>
          <w:rFonts w:ascii="宋体" w:hAnsi="宋体" w:cs="宋体"/>
          <w:color w:val="auto"/>
          <w:sz w:val="24"/>
          <w:highlight w:val="none"/>
        </w:rPr>
      </w:pPr>
    </w:p>
    <w:p w14:paraId="211679D0">
      <w:pPr>
        <w:tabs>
          <w:tab w:val="left" w:pos="9354"/>
        </w:tabs>
        <w:adjustRightInd w:val="0"/>
        <w:snapToGrid w:val="0"/>
        <w:spacing w:before="120" w:beforeLines="50" w:line="300" w:lineRule="auto"/>
        <w:ind w:firstLine="480" w:firstLineChars="200"/>
        <w:rPr>
          <w:rFonts w:ascii="宋体" w:hAnsi="宋体" w:cs="宋体"/>
          <w:color w:val="auto"/>
          <w:sz w:val="24"/>
          <w:highlight w:val="none"/>
        </w:rPr>
      </w:pPr>
    </w:p>
    <w:p w14:paraId="45C7C1ED">
      <w:pPr>
        <w:tabs>
          <w:tab w:val="left" w:pos="0"/>
        </w:tabs>
        <w:spacing w:line="500" w:lineRule="exact"/>
        <w:ind w:right="512"/>
        <w:rPr>
          <w:rFonts w:ascii="宋体" w:hAnsi="宋体" w:cs="宋体"/>
          <w:color w:val="auto"/>
          <w:spacing w:val="8"/>
          <w:sz w:val="24"/>
          <w:highlight w:val="none"/>
        </w:rPr>
      </w:pPr>
      <w:r>
        <w:rPr>
          <w:rFonts w:hint="eastAsia" w:ascii="宋体" w:hAnsi="宋体" w:cs="宋体"/>
          <w:color w:val="auto"/>
          <w:sz w:val="24"/>
          <w:highlight w:val="none"/>
        </w:rPr>
        <w:t>供应商</w:t>
      </w:r>
      <w:r>
        <w:rPr>
          <w:rFonts w:hint="eastAsia" w:ascii="宋体" w:hAnsi="宋体" w:cs="宋体"/>
          <w:color w:val="auto"/>
          <w:sz w:val="24"/>
          <w:szCs w:val="24"/>
          <w:highlight w:val="none"/>
        </w:rPr>
        <w:t>（电子签章）</w:t>
      </w:r>
      <w:r>
        <w:rPr>
          <w:rFonts w:hint="eastAsia" w:ascii="宋体" w:hAnsi="宋体" w:cs="宋体"/>
          <w:color w:val="auto"/>
          <w:spacing w:val="8"/>
          <w:sz w:val="24"/>
          <w:highlight w:val="none"/>
        </w:rPr>
        <w:t>：</w:t>
      </w:r>
    </w:p>
    <w:p w14:paraId="38C7B658">
      <w:pPr>
        <w:tabs>
          <w:tab w:val="left" w:pos="0"/>
        </w:tabs>
        <w:spacing w:line="500" w:lineRule="exact"/>
        <w:ind w:right="768"/>
        <w:jc w:val="left"/>
        <w:rPr>
          <w:rFonts w:ascii="宋体" w:hAnsi="宋体" w:cs="宋体"/>
          <w:color w:val="auto"/>
          <w:spacing w:val="8"/>
          <w:sz w:val="24"/>
          <w:highlight w:val="none"/>
        </w:rPr>
      </w:pPr>
      <w:r>
        <w:rPr>
          <w:rFonts w:hint="eastAsia" w:ascii="宋体" w:hAnsi="宋体" w:cs="宋体"/>
          <w:color w:val="auto"/>
          <w:spacing w:val="8"/>
          <w:sz w:val="24"/>
          <w:highlight w:val="none"/>
        </w:rPr>
        <w:t>法定代表人</w:t>
      </w:r>
      <w:r>
        <w:rPr>
          <w:rFonts w:hint="eastAsia" w:ascii="宋体" w:hAnsi="宋体" w:cs="宋体"/>
          <w:color w:val="auto"/>
          <w:sz w:val="24"/>
          <w:szCs w:val="24"/>
          <w:highlight w:val="none"/>
        </w:rPr>
        <w:t>（电子签名）</w:t>
      </w:r>
      <w:r>
        <w:rPr>
          <w:rFonts w:hint="eastAsia" w:ascii="宋体" w:hAnsi="宋体" w:cs="宋体"/>
          <w:color w:val="auto"/>
          <w:spacing w:val="8"/>
          <w:sz w:val="24"/>
          <w:highlight w:val="none"/>
        </w:rPr>
        <w:t>：</w:t>
      </w:r>
    </w:p>
    <w:p w14:paraId="18ABCB89">
      <w:pPr>
        <w:tabs>
          <w:tab w:val="left" w:pos="0"/>
        </w:tabs>
        <w:spacing w:line="500" w:lineRule="exact"/>
        <w:ind w:right="256"/>
        <w:jc w:val="right"/>
        <w:rPr>
          <w:rFonts w:ascii="宋体" w:hAnsi="宋体" w:cs="宋体"/>
          <w:color w:val="auto"/>
          <w:spacing w:val="8"/>
          <w:sz w:val="24"/>
          <w:highlight w:val="none"/>
        </w:rPr>
      </w:pPr>
    </w:p>
    <w:p w14:paraId="739C276A">
      <w:pPr>
        <w:autoSpaceDE w:val="0"/>
        <w:autoSpaceDN w:val="0"/>
        <w:adjustRightInd w:val="0"/>
        <w:spacing w:line="360" w:lineRule="auto"/>
        <w:jc w:val="left"/>
        <w:rPr>
          <w:rFonts w:ascii="宋体" w:hAnsi="宋体" w:cs="宋体"/>
          <w:color w:val="auto"/>
          <w:sz w:val="24"/>
          <w:highlight w:val="none"/>
        </w:rPr>
      </w:pPr>
      <w:r>
        <w:rPr>
          <w:rFonts w:hint="eastAsia" w:ascii="宋体" w:hAnsi="宋体" w:cs="宋体"/>
          <w:color w:val="auto"/>
          <w:spacing w:val="8"/>
          <w:sz w:val="24"/>
          <w:highlight w:val="none"/>
        </w:rPr>
        <w:t>日期 ：</w:t>
      </w:r>
      <w:r>
        <w:rPr>
          <w:rFonts w:hint="eastAsia" w:ascii="宋体" w:hAnsi="宋体" w:cs="宋体"/>
          <w:color w:val="auto"/>
          <w:sz w:val="24"/>
          <w:highlight w:val="none"/>
          <w:lang w:val="zh-CN"/>
        </w:rPr>
        <w:t xml:space="preserve">   年   月   日</w:t>
      </w:r>
    </w:p>
    <w:p w14:paraId="17F8C23C">
      <w:pPr>
        <w:autoSpaceDE w:val="0"/>
        <w:autoSpaceDN w:val="0"/>
        <w:adjustRightInd w:val="0"/>
        <w:spacing w:line="360" w:lineRule="auto"/>
        <w:rPr>
          <w:rFonts w:ascii="宋体" w:hAnsi="宋体" w:cs="宋体"/>
          <w:b/>
          <w:color w:val="auto"/>
          <w:sz w:val="30"/>
          <w:szCs w:val="30"/>
          <w:highlight w:val="none"/>
          <w:lang w:val="zh-CN"/>
        </w:rPr>
      </w:pPr>
      <w:r>
        <w:rPr>
          <w:rFonts w:hint="eastAsia" w:ascii="宋体" w:hAnsi="宋体" w:cs="宋体"/>
          <w:b/>
          <w:bCs/>
          <w:color w:val="auto"/>
          <w:sz w:val="24"/>
          <w:highlight w:val="none"/>
          <w:lang w:val="zh-CN"/>
        </w:rPr>
        <w:br w:type="page"/>
      </w:r>
    </w:p>
    <w:p w14:paraId="66055547">
      <w:pPr>
        <w:tabs>
          <w:tab w:val="left" w:pos="540"/>
        </w:tabs>
        <w:spacing w:line="440" w:lineRule="exact"/>
        <w:jc w:val="center"/>
        <w:rPr>
          <w:rFonts w:ascii="宋体" w:hAnsi="宋体" w:cs="宋体"/>
          <w:b/>
          <w:color w:val="auto"/>
          <w:sz w:val="30"/>
          <w:szCs w:val="30"/>
          <w:highlight w:val="none"/>
        </w:rPr>
      </w:pPr>
      <w:r>
        <w:rPr>
          <w:rFonts w:hint="eastAsia" w:ascii="宋体" w:hAnsi="宋体" w:cs="宋体"/>
          <w:b/>
          <w:color w:val="auto"/>
          <w:sz w:val="30"/>
          <w:szCs w:val="30"/>
          <w:highlight w:val="none"/>
        </w:rPr>
        <w:t>十一、供应商基本情况一览表</w:t>
      </w:r>
    </w:p>
    <w:p w14:paraId="7335458C">
      <w:pPr>
        <w:tabs>
          <w:tab w:val="left" w:pos="540"/>
        </w:tabs>
        <w:spacing w:line="440" w:lineRule="exact"/>
        <w:jc w:val="center"/>
        <w:rPr>
          <w:rFonts w:ascii="宋体" w:hAnsi="宋体" w:cs="宋体"/>
          <w:b/>
          <w:color w:val="auto"/>
          <w:sz w:val="30"/>
          <w:szCs w:val="30"/>
          <w:highlight w:val="none"/>
        </w:rPr>
      </w:pPr>
    </w:p>
    <w:tbl>
      <w:tblPr>
        <w:tblStyle w:val="77"/>
        <w:tblW w:w="973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56"/>
        <w:gridCol w:w="2517"/>
        <w:gridCol w:w="2162"/>
        <w:gridCol w:w="2704"/>
      </w:tblGrid>
      <w:tr w14:paraId="17553D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2356" w:type="dxa"/>
            <w:tcBorders>
              <w:top w:val="single" w:color="000000" w:sz="2" w:space="0"/>
              <w:bottom w:val="single" w:color="000000" w:sz="2" w:space="0"/>
            </w:tcBorders>
          </w:tcPr>
          <w:p w14:paraId="406D5195">
            <w:pPr>
              <w:spacing w:before="114" w:line="221" w:lineRule="auto"/>
              <w:ind w:left="588"/>
              <w:rPr>
                <w:rFonts w:ascii="仿宋" w:hAnsi="仿宋" w:eastAsia="仿宋" w:cs="仿宋"/>
                <w:color w:val="auto"/>
                <w:sz w:val="24"/>
                <w:szCs w:val="24"/>
                <w:highlight w:val="none"/>
              </w:rPr>
            </w:pPr>
            <w:r>
              <w:rPr>
                <w:rFonts w:hint="eastAsia" w:ascii="宋体" w:hAnsi="宋体" w:cs="宋体"/>
                <w:color w:val="auto"/>
                <w:sz w:val="24"/>
                <w:highlight w:val="none"/>
              </w:rPr>
              <w:t>供应商名称</w:t>
            </w:r>
          </w:p>
        </w:tc>
        <w:tc>
          <w:tcPr>
            <w:tcW w:w="7383" w:type="dxa"/>
            <w:gridSpan w:val="3"/>
            <w:tcBorders>
              <w:top w:val="single" w:color="000000" w:sz="2" w:space="0"/>
              <w:bottom w:val="single" w:color="000000" w:sz="2" w:space="0"/>
            </w:tcBorders>
          </w:tcPr>
          <w:p w14:paraId="40EEEA15">
            <w:pPr>
              <w:rPr>
                <w:rFonts w:ascii="Arial"/>
                <w:color w:val="auto"/>
                <w:highlight w:val="none"/>
              </w:rPr>
            </w:pPr>
          </w:p>
        </w:tc>
      </w:tr>
      <w:tr w14:paraId="6A94B2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2356" w:type="dxa"/>
            <w:tcBorders>
              <w:top w:val="single" w:color="000000" w:sz="2" w:space="0"/>
              <w:bottom w:val="single" w:color="000000" w:sz="2" w:space="0"/>
            </w:tcBorders>
          </w:tcPr>
          <w:p w14:paraId="19BAEFA4">
            <w:pPr>
              <w:spacing w:before="107" w:line="223" w:lineRule="auto"/>
              <w:ind w:left="595"/>
              <w:rPr>
                <w:rFonts w:ascii="宋体" w:hAnsi="宋体" w:cs="宋体"/>
                <w:color w:val="auto"/>
                <w:sz w:val="24"/>
                <w:szCs w:val="24"/>
                <w:highlight w:val="none"/>
              </w:rPr>
            </w:pPr>
            <w:r>
              <w:rPr>
                <w:rFonts w:hint="eastAsia" w:ascii="宋体" w:hAnsi="宋体" w:cs="宋体"/>
                <w:color w:val="auto"/>
                <w:spacing w:val="-6"/>
                <w:sz w:val="24"/>
                <w:szCs w:val="24"/>
                <w:highlight w:val="none"/>
              </w:rPr>
              <w:t>法</w:t>
            </w:r>
            <w:r>
              <w:rPr>
                <w:rFonts w:hint="eastAsia" w:ascii="宋体" w:hAnsi="宋体" w:cs="宋体"/>
                <w:color w:val="auto"/>
                <w:spacing w:val="-4"/>
                <w:sz w:val="24"/>
                <w:szCs w:val="24"/>
                <w:highlight w:val="none"/>
              </w:rPr>
              <w:t>定</w:t>
            </w:r>
            <w:r>
              <w:rPr>
                <w:rFonts w:hint="eastAsia" w:ascii="宋体" w:hAnsi="宋体" w:cs="宋体"/>
                <w:color w:val="auto"/>
                <w:spacing w:val="-3"/>
                <w:sz w:val="24"/>
                <w:szCs w:val="24"/>
                <w:highlight w:val="none"/>
              </w:rPr>
              <w:t>代表人</w:t>
            </w:r>
          </w:p>
        </w:tc>
        <w:tc>
          <w:tcPr>
            <w:tcW w:w="2517" w:type="dxa"/>
            <w:tcBorders>
              <w:top w:val="single" w:color="000000" w:sz="2" w:space="0"/>
              <w:bottom w:val="single" w:color="000000" w:sz="2" w:space="0"/>
            </w:tcBorders>
          </w:tcPr>
          <w:p w14:paraId="57D85D35">
            <w:pPr>
              <w:rPr>
                <w:rFonts w:ascii="宋体" w:hAnsi="宋体" w:cs="宋体"/>
                <w:color w:val="auto"/>
                <w:sz w:val="24"/>
                <w:szCs w:val="24"/>
                <w:highlight w:val="none"/>
              </w:rPr>
            </w:pPr>
          </w:p>
        </w:tc>
        <w:tc>
          <w:tcPr>
            <w:tcW w:w="2162" w:type="dxa"/>
            <w:tcBorders>
              <w:top w:val="single" w:color="000000" w:sz="2" w:space="0"/>
              <w:bottom w:val="single" w:color="000000" w:sz="2" w:space="0"/>
            </w:tcBorders>
          </w:tcPr>
          <w:p w14:paraId="09E9E75D">
            <w:pPr>
              <w:spacing w:before="107" w:line="223" w:lineRule="auto"/>
              <w:ind w:left="611"/>
              <w:rPr>
                <w:rFonts w:ascii="宋体" w:hAnsi="宋体" w:cs="宋体"/>
                <w:color w:val="auto"/>
                <w:sz w:val="24"/>
                <w:szCs w:val="24"/>
                <w:highlight w:val="none"/>
              </w:rPr>
            </w:pPr>
            <w:r>
              <w:rPr>
                <w:rFonts w:hint="eastAsia" w:ascii="宋体" w:hAnsi="宋体" w:cs="宋体"/>
                <w:color w:val="auto"/>
                <w:spacing w:val="-4"/>
                <w:sz w:val="24"/>
                <w:szCs w:val="24"/>
                <w:highlight w:val="none"/>
              </w:rPr>
              <w:t>联</w:t>
            </w:r>
            <w:r>
              <w:rPr>
                <w:rFonts w:hint="eastAsia" w:ascii="宋体" w:hAnsi="宋体" w:cs="宋体"/>
                <w:color w:val="auto"/>
                <w:spacing w:val="-2"/>
                <w:sz w:val="24"/>
                <w:szCs w:val="24"/>
                <w:highlight w:val="none"/>
              </w:rPr>
              <w:t>系方式</w:t>
            </w:r>
          </w:p>
        </w:tc>
        <w:tc>
          <w:tcPr>
            <w:tcW w:w="2704" w:type="dxa"/>
            <w:tcBorders>
              <w:top w:val="single" w:color="000000" w:sz="2" w:space="0"/>
              <w:bottom w:val="single" w:color="000000" w:sz="2" w:space="0"/>
            </w:tcBorders>
          </w:tcPr>
          <w:p w14:paraId="07BD3C1D">
            <w:pPr>
              <w:rPr>
                <w:rFonts w:ascii="宋体" w:hAnsi="宋体" w:cs="宋体"/>
                <w:color w:val="auto"/>
                <w:sz w:val="24"/>
                <w:szCs w:val="24"/>
                <w:highlight w:val="none"/>
              </w:rPr>
            </w:pPr>
          </w:p>
        </w:tc>
      </w:tr>
      <w:tr w14:paraId="68F5F0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2356" w:type="dxa"/>
            <w:tcBorders>
              <w:top w:val="single" w:color="000000" w:sz="2" w:space="0"/>
              <w:bottom w:val="single" w:color="000000" w:sz="2" w:space="0"/>
            </w:tcBorders>
          </w:tcPr>
          <w:p w14:paraId="7BE32DEF">
            <w:pPr>
              <w:spacing w:before="107" w:line="222" w:lineRule="auto"/>
              <w:ind w:left="232"/>
              <w:rPr>
                <w:rFonts w:ascii="宋体" w:hAnsi="宋体" w:cs="宋体"/>
                <w:color w:val="auto"/>
                <w:sz w:val="24"/>
                <w:szCs w:val="24"/>
                <w:highlight w:val="none"/>
              </w:rPr>
            </w:pPr>
            <w:r>
              <w:rPr>
                <w:rFonts w:hint="eastAsia" w:ascii="宋体" w:hAnsi="宋体" w:cs="宋体"/>
                <w:color w:val="auto"/>
                <w:spacing w:val="-4"/>
                <w:sz w:val="24"/>
                <w:szCs w:val="24"/>
                <w:highlight w:val="none"/>
              </w:rPr>
              <w:t>统</w:t>
            </w:r>
            <w:r>
              <w:rPr>
                <w:rFonts w:hint="eastAsia" w:ascii="宋体" w:hAnsi="宋体" w:cs="宋体"/>
                <w:color w:val="auto"/>
                <w:spacing w:val="-3"/>
                <w:sz w:val="24"/>
                <w:szCs w:val="24"/>
                <w:highlight w:val="none"/>
              </w:rPr>
              <w:t>一</w:t>
            </w:r>
            <w:r>
              <w:rPr>
                <w:rFonts w:hint="eastAsia" w:ascii="宋体" w:hAnsi="宋体" w:cs="宋体"/>
                <w:color w:val="auto"/>
                <w:spacing w:val="-2"/>
                <w:sz w:val="24"/>
                <w:szCs w:val="24"/>
                <w:highlight w:val="none"/>
              </w:rPr>
              <w:t>社会信用代码</w:t>
            </w:r>
          </w:p>
        </w:tc>
        <w:tc>
          <w:tcPr>
            <w:tcW w:w="2517" w:type="dxa"/>
            <w:tcBorders>
              <w:top w:val="single" w:color="000000" w:sz="2" w:space="0"/>
              <w:bottom w:val="single" w:color="000000" w:sz="2" w:space="0"/>
            </w:tcBorders>
          </w:tcPr>
          <w:p w14:paraId="0AA3A41E">
            <w:pPr>
              <w:rPr>
                <w:rFonts w:ascii="宋体" w:hAnsi="宋体" w:cs="宋体"/>
                <w:color w:val="auto"/>
                <w:sz w:val="24"/>
                <w:szCs w:val="24"/>
                <w:highlight w:val="none"/>
              </w:rPr>
            </w:pPr>
          </w:p>
        </w:tc>
        <w:tc>
          <w:tcPr>
            <w:tcW w:w="2162" w:type="dxa"/>
            <w:tcBorders>
              <w:top w:val="single" w:color="000000" w:sz="2" w:space="0"/>
              <w:bottom w:val="single" w:color="000000" w:sz="2" w:space="0"/>
            </w:tcBorders>
          </w:tcPr>
          <w:p w14:paraId="28009B29">
            <w:pPr>
              <w:spacing w:before="108" w:line="222" w:lineRule="auto"/>
              <w:ind w:left="140"/>
              <w:rPr>
                <w:rFonts w:ascii="宋体" w:hAnsi="宋体" w:cs="宋体"/>
                <w:color w:val="auto"/>
                <w:sz w:val="24"/>
                <w:szCs w:val="24"/>
                <w:highlight w:val="none"/>
              </w:rPr>
            </w:pPr>
            <w:r>
              <w:rPr>
                <w:rFonts w:hint="eastAsia" w:ascii="宋体" w:hAnsi="宋体" w:cs="宋体"/>
                <w:color w:val="auto"/>
                <w:spacing w:val="11"/>
                <w:sz w:val="24"/>
                <w:szCs w:val="24"/>
                <w:highlight w:val="none"/>
              </w:rPr>
              <w:t>注</w:t>
            </w:r>
            <w:r>
              <w:rPr>
                <w:rFonts w:hint="eastAsia" w:ascii="宋体" w:hAnsi="宋体" w:cs="宋体"/>
                <w:color w:val="auto"/>
                <w:spacing w:val="10"/>
                <w:sz w:val="24"/>
                <w:szCs w:val="24"/>
                <w:highlight w:val="none"/>
              </w:rPr>
              <w:t>册资本(万元)</w:t>
            </w:r>
          </w:p>
        </w:tc>
        <w:tc>
          <w:tcPr>
            <w:tcW w:w="2704" w:type="dxa"/>
            <w:tcBorders>
              <w:top w:val="single" w:color="000000" w:sz="2" w:space="0"/>
              <w:bottom w:val="single" w:color="000000" w:sz="2" w:space="0"/>
            </w:tcBorders>
          </w:tcPr>
          <w:p w14:paraId="2815D1C8">
            <w:pPr>
              <w:rPr>
                <w:rFonts w:ascii="宋体" w:hAnsi="宋体" w:cs="宋体"/>
                <w:color w:val="auto"/>
                <w:sz w:val="24"/>
                <w:szCs w:val="24"/>
                <w:highlight w:val="none"/>
              </w:rPr>
            </w:pPr>
          </w:p>
        </w:tc>
      </w:tr>
      <w:tr w14:paraId="66A731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2356" w:type="dxa"/>
            <w:tcBorders>
              <w:top w:val="single" w:color="000000" w:sz="2" w:space="0"/>
              <w:bottom w:val="single" w:color="000000" w:sz="2" w:space="0"/>
            </w:tcBorders>
          </w:tcPr>
          <w:p w14:paraId="049E49D3">
            <w:pPr>
              <w:spacing w:before="107" w:line="223" w:lineRule="auto"/>
              <w:ind w:left="711"/>
              <w:rPr>
                <w:rFonts w:ascii="宋体" w:hAnsi="宋体" w:cs="宋体"/>
                <w:color w:val="auto"/>
                <w:sz w:val="24"/>
                <w:szCs w:val="24"/>
                <w:highlight w:val="none"/>
              </w:rPr>
            </w:pPr>
            <w:r>
              <w:rPr>
                <w:rFonts w:hint="eastAsia" w:ascii="宋体" w:hAnsi="宋体" w:cs="宋体"/>
                <w:color w:val="auto"/>
                <w:spacing w:val="-6"/>
                <w:sz w:val="24"/>
                <w:szCs w:val="24"/>
                <w:highlight w:val="none"/>
              </w:rPr>
              <w:t>成</w:t>
            </w:r>
            <w:r>
              <w:rPr>
                <w:rFonts w:hint="eastAsia" w:ascii="宋体" w:hAnsi="宋体" w:cs="宋体"/>
                <w:color w:val="auto"/>
                <w:spacing w:val="-3"/>
                <w:sz w:val="24"/>
                <w:szCs w:val="24"/>
                <w:highlight w:val="none"/>
              </w:rPr>
              <w:t>立日期</w:t>
            </w:r>
          </w:p>
        </w:tc>
        <w:tc>
          <w:tcPr>
            <w:tcW w:w="2517" w:type="dxa"/>
            <w:tcBorders>
              <w:top w:val="single" w:color="000000" w:sz="2" w:space="0"/>
              <w:bottom w:val="single" w:color="000000" w:sz="2" w:space="0"/>
            </w:tcBorders>
          </w:tcPr>
          <w:p w14:paraId="07F78358">
            <w:pPr>
              <w:rPr>
                <w:rFonts w:ascii="宋体" w:hAnsi="宋体" w:cs="宋体"/>
                <w:color w:val="auto"/>
                <w:sz w:val="24"/>
                <w:szCs w:val="24"/>
                <w:highlight w:val="none"/>
              </w:rPr>
            </w:pPr>
          </w:p>
        </w:tc>
        <w:tc>
          <w:tcPr>
            <w:tcW w:w="2162" w:type="dxa"/>
            <w:tcBorders>
              <w:top w:val="single" w:color="000000" w:sz="2" w:space="0"/>
              <w:bottom w:val="single" w:color="000000" w:sz="2" w:space="0"/>
            </w:tcBorders>
          </w:tcPr>
          <w:p w14:paraId="54AE0E5F">
            <w:pPr>
              <w:spacing w:before="107" w:line="223" w:lineRule="auto"/>
              <w:ind w:left="618"/>
              <w:rPr>
                <w:rFonts w:ascii="宋体" w:hAnsi="宋体" w:cs="宋体"/>
                <w:color w:val="auto"/>
                <w:sz w:val="24"/>
                <w:szCs w:val="24"/>
                <w:highlight w:val="none"/>
              </w:rPr>
            </w:pPr>
            <w:r>
              <w:rPr>
                <w:rFonts w:hint="eastAsia" w:ascii="宋体" w:hAnsi="宋体" w:cs="宋体"/>
                <w:color w:val="auto"/>
                <w:spacing w:val="-4"/>
                <w:sz w:val="24"/>
                <w:szCs w:val="24"/>
                <w:highlight w:val="none"/>
              </w:rPr>
              <w:t>公司类型</w:t>
            </w:r>
          </w:p>
        </w:tc>
        <w:tc>
          <w:tcPr>
            <w:tcW w:w="2704" w:type="dxa"/>
            <w:tcBorders>
              <w:top w:val="single" w:color="000000" w:sz="2" w:space="0"/>
              <w:bottom w:val="single" w:color="000000" w:sz="2" w:space="0"/>
            </w:tcBorders>
          </w:tcPr>
          <w:p w14:paraId="6F763EF9">
            <w:pPr>
              <w:rPr>
                <w:rFonts w:ascii="宋体" w:hAnsi="宋体" w:cs="宋体"/>
                <w:color w:val="auto"/>
                <w:sz w:val="24"/>
                <w:szCs w:val="24"/>
                <w:highlight w:val="none"/>
              </w:rPr>
            </w:pPr>
          </w:p>
        </w:tc>
      </w:tr>
      <w:tr w14:paraId="3CAD2E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2356" w:type="dxa"/>
            <w:tcBorders>
              <w:top w:val="single" w:color="000000" w:sz="2" w:space="0"/>
              <w:bottom w:val="single" w:color="000000" w:sz="2" w:space="0"/>
            </w:tcBorders>
          </w:tcPr>
          <w:p w14:paraId="7C944CCC">
            <w:pPr>
              <w:spacing w:before="108" w:line="222" w:lineRule="auto"/>
              <w:ind w:left="474"/>
              <w:rPr>
                <w:rFonts w:ascii="宋体" w:hAnsi="宋体" w:cs="宋体"/>
                <w:color w:val="auto"/>
                <w:sz w:val="24"/>
                <w:szCs w:val="24"/>
                <w:highlight w:val="none"/>
              </w:rPr>
            </w:pPr>
            <w:r>
              <w:rPr>
                <w:rFonts w:hint="eastAsia" w:ascii="宋体" w:hAnsi="宋体" w:cs="宋体"/>
                <w:color w:val="auto"/>
                <w:spacing w:val="-4"/>
                <w:sz w:val="24"/>
                <w:szCs w:val="24"/>
                <w:highlight w:val="none"/>
              </w:rPr>
              <w:t>营</w:t>
            </w:r>
            <w:r>
              <w:rPr>
                <w:rFonts w:hint="eastAsia" w:ascii="宋体" w:hAnsi="宋体" w:cs="宋体"/>
                <w:color w:val="auto"/>
                <w:spacing w:val="-3"/>
                <w:sz w:val="24"/>
                <w:szCs w:val="24"/>
                <w:highlight w:val="none"/>
              </w:rPr>
              <w:t>业执照期限</w:t>
            </w:r>
          </w:p>
        </w:tc>
        <w:tc>
          <w:tcPr>
            <w:tcW w:w="7383" w:type="dxa"/>
            <w:gridSpan w:val="3"/>
            <w:tcBorders>
              <w:top w:val="single" w:color="000000" w:sz="2" w:space="0"/>
              <w:bottom w:val="single" w:color="000000" w:sz="2" w:space="0"/>
            </w:tcBorders>
          </w:tcPr>
          <w:p w14:paraId="632144FB">
            <w:pPr>
              <w:rPr>
                <w:rFonts w:ascii="宋体" w:hAnsi="宋体" w:cs="宋体"/>
                <w:color w:val="auto"/>
                <w:sz w:val="24"/>
                <w:szCs w:val="24"/>
                <w:highlight w:val="none"/>
              </w:rPr>
            </w:pPr>
          </w:p>
        </w:tc>
      </w:tr>
      <w:tr w14:paraId="74A952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7" w:hRule="atLeast"/>
        </w:trPr>
        <w:tc>
          <w:tcPr>
            <w:tcW w:w="2356" w:type="dxa"/>
            <w:tcBorders>
              <w:top w:val="single" w:color="000000" w:sz="2" w:space="0"/>
              <w:bottom w:val="single" w:color="000000" w:sz="2" w:space="0"/>
            </w:tcBorders>
          </w:tcPr>
          <w:p w14:paraId="0958C21F">
            <w:pPr>
              <w:spacing w:line="254" w:lineRule="auto"/>
              <w:rPr>
                <w:rFonts w:ascii="宋体" w:hAnsi="宋体" w:cs="宋体"/>
                <w:color w:val="auto"/>
                <w:sz w:val="24"/>
                <w:szCs w:val="24"/>
                <w:highlight w:val="none"/>
              </w:rPr>
            </w:pPr>
          </w:p>
          <w:p w14:paraId="644F911F">
            <w:pPr>
              <w:spacing w:line="254" w:lineRule="auto"/>
              <w:rPr>
                <w:rFonts w:ascii="宋体" w:hAnsi="宋体" w:cs="宋体"/>
                <w:color w:val="auto"/>
                <w:sz w:val="24"/>
                <w:szCs w:val="24"/>
                <w:highlight w:val="none"/>
              </w:rPr>
            </w:pPr>
          </w:p>
          <w:p w14:paraId="20785FAA">
            <w:pPr>
              <w:spacing w:line="255" w:lineRule="auto"/>
              <w:rPr>
                <w:rFonts w:ascii="宋体" w:hAnsi="宋体" w:cs="宋体"/>
                <w:color w:val="auto"/>
                <w:sz w:val="24"/>
                <w:szCs w:val="24"/>
                <w:highlight w:val="none"/>
              </w:rPr>
            </w:pPr>
          </w:p>
          <w:p w14:paraId="1298C888">
            <w:pPr>
              <w:spacing w:before="78" w:line="223" w:lineRule="auto"/>
              <w:ind w:left="707"/>
              <w:rPr>
                <w:rFonts w:ascii="宋体" w:hAnsi="宋体" w:cs="宋体"/>
                <w:color w:val="auto"/>
                <w:sz w:val="24"/>
                <w:szCs w:val="24"/>
                <w:highlight w:val="none"/>
              </w:rPr>
            </w:pPr>
            <w:r>
              <w:rPr>
                <w:rFonts w:hint="eastAsia" w:ascii="宋体" w:hAnsi="宋体" w:cs="宋体"/>
                <w:color w:val="auto"/>
                <w:spacing w:val="-3"/>
                <w:sz w:val="24"/>
                <w:szCs w:val="24"/>
                <w:highlight w:val="none"/>
              </w:rPr>
              <w:t>经营范围</w:t>
            </w:r>
          </w:p>
        </w:tc>
        <w:tc>
          <w:tcPr>
            <w:tcW w:w="7383" w:type="dxa"/>
            <w:gridSpan w:val="3"/>
            <w:tcBorders>
              <w:top w:val="single" w:color="000000" w:sz="2" w:space="0"/>
              <w:bottom w:val="single" w:color="000000" w:sz="2" w:space="0"/>
            </w:tcBorders>
          </w:tcPr>
          <w:p w14:paraId="430943DE">
            <w:pPr>
              <w:rPr>
                <w:rFonts w:ascii="宋体" w:hAnsi="宋体" w:cs="宋体"/>
                <w:color w:val="auto"/>
                <w:sz w:val="24"/>
                <w:szCs w:val="24"/>
                <w:highlight w:val="none"/>
              </w:rPr>
            </w:pPr>
          </w:p>
        </w:tc>
      </w:tr>
      <w:tr w14:paraId="74F64C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9739" w:type="dxa"/>
            <w:gridSpan w:val="4"/>
            <w:tcBorders>
              <w:top w:val="single" w:color="000000" w:sz="2" w:space="0"/>
              <w:bottom w:val="single" w:color="000000" w:sz="2" w:space="0"/>
            </w:tcBorders>
          </w:tcPr>
          <w:p w14:paraId="7460A416">
            <w:pPr>
              <w:spacing w:before="108" w:line="222" w:lineRule="auto"/>
              <w:ind w:left="1693"/>
              <w:rPr>
                <w:rFonts w:ascii="宋体" w:hAnsi="宋体" w:cs="宋体"/>
                <w:color w:val="auto"/>
                <w:sz w:val="24"/>
                <w:szCs w:val="24"/>
                <w:highlight w:val="none"/>
              </w:rPr>
            </w:pPr>
            <w:r>
              <w:rPr>
                <w:rFonts w:hint="eastAsia" w:ascii="宋体" w:hAnsi="宋体" w:cs="宋体"/>
                <w:color w:val="auto"/>
                <w:spacing w:val="3"/>
                <w:sz w:val="24"/>
                <w:szCs w:val="24"/>
                <w:highlight w:val="none"/>
              </w:rPr>
              <w:t>公司上一年度相关数据(无上一年度数据的新成立企业可不填</w:t>
            </w:r>
            <w:r>
              <w:rPr>
                <w:rFonts w:hint="eastAsia" w:ascii="宋体" w:hAnsi="宋体" w:cs="宋体"/>
                <w:color w:val="auto"/>
                <w:spacing w:val="2"/>
                <w:sz w:val="24"/>
                <w:szCs w:val="24"/>
                <w:highlight w:val="none"/>
              </w:rPr>
              <w:t>报</w:t>
            </w:r>
            <w:r>
              <w:rPr>
                <w:rFonts w:hint="eastAsia" w:ascii="宋体" w:hAnsi="宋体" w:cs="宋体"/>
                <w:color w:val="auto"/>
                <w:sz w:val="24"/>
                <w:szCs w:val="24"/>
                <w:highlight w:val="none"/>
              </w:rPr>
              <w:t>)</w:t>
            </w:r>
          </w:p>
        </w:tc>
      </w:tr>
      <w:tr w14:paraId="1AC133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2356" w:type="dxa"/>
            <w:tcBorders>
              <w:top w:val="single" w:color="000000" w:sz="2" w:space="0"/>
              <w:bottom w:val="single" w:color="000000" w:sz="2" w:space="0"/>
            </w:tcBorders>
          </w:tcPr>
          <w:p w14:paraId="77B9FF98">
            <w:pPr>
              <w:spacing w:before="108" w:line="223" w:lineRule="auto"/>
              <w:ind w:left="707"/>
              <w:rPr>
                <w:rFonts w:ascii="宋体" w:hAnsi="宋体" w:cs="宋体"/>
                <w:color w:val="auto"/>
                <w:sz w:val="24"/>
                <w:szCs w:val="24"/>
                <w:highlight w:val="none"/>
              </w:rPr>
            </w:pPr>
            <w:r>
              <w:rPr>
                <w:rFonts w:hint="eastAsia" w:ascii="宋体" w:hAnsi="宋体" w:cs="宋体"/>
                <w:color w:val="auto"/>
                <w:spacing w:val="-3"/>
                <w:sz w:val="24"/>
                <w:szCs w:val="24"/>
                <w:highlight w:val="none"/>
              </w:rPr>
              <w:t>从业人员</w:t>
            </w:r>
          </w:p>
        </w:tc>
        <w:tc>
          <w:tcPr>
            <w:tcW w:w="2517" w:type="dxa"/>
            <w:tcBorders>
              <w:top w:val="single" w:color="000000" w:sz="2" w:space="0"/>
              <w:bottom w:val="single" w:color="000000" w:sz="2" w:space="0"/>
            </w:tcBorders>
          </w:tcPr>
          <w:p w14:paraId="19188590">
            <w:pPr>
              <w:rPr>
                <w:rFonts w:ascii="宋体" w:hAnsi="宋体" w:cs="宋体"/>
                <w:color w:val="auto"/>
                <w:sz w:val="24"/>
                <w:szCs w:val="24"/>
                <w:highlight w:val="none"/>
              </w:rPr>
            </w:pPr>
          </w:p>
        </w:tc>
        <w:tc>
          <w:tcPr>
            <w:tcW w:w="2162" w:type="dxa"/>
            <w:tcBorders>
              <w:top w:val="single" w:color="000000" w:sz="2" w:space="0"/>
              <w:bottom w:val="single" w:color="000000" w:sz="2" w:space="0"/>
            </w:tcBorders>
          </w:tcPr>
          <w:p w14:paraId="2393E397">
            <w:pPr>
              <w:spacing w:before="108" w:line="223" w:lineRule="auto"/>
              <w:ind w:left="146"/>
              <w:rPr>
                <w:rFonts w:ascii="宋体" w:hAnsi="宋体" w:cs="宋体"/>
                <w:color w:val="auto"/>
                <w:sz w:val="24"/>
                <w:szCs w:val="24"/>
                <w:highlight w:val="none"/>
              </w:rPr>
            </w:pPr>
            <w:r>
              <w:rPr>
                <w:rFonts w:hint="eastAsia" w:ascii="宋体" w:hAnsi="宋体" w:cs="宋体"/>
                <w:color w:val="auto"/>
                <w:spacing w:val="13"/>
                <w:sz w:val="24"/>
                <w:szCs w:val="24"/>
                <w:highlight w:val="none"/>
              </w:rPr>
              <w:t>资</w:t>
            </w:r>
            <w:r>
              <w:rPr>
                <w:rFonts w:hint="eastAsia" w:ascii="宋体" w:hAnsi="宋体" w:cs="宋体"/>
                <w:color w:val="auto"/>
                <w:spacing w:val="9"/>
                <w:sz w:val="24"/>
                <w:szCs w:val="24"/>
                <w:highlight w:val="none"/>
              </w:rPr>
              <w:t>产总额(万元)</w:t>
            </w:r>
          </w:p>
        </w:tc>
        <w:tc>
          <w:tcPr>
            <w:tcW w:w="2704" w:type="dxa"/>
            <w:tcBorders>
              <w:top w:val="single" w:color="000000" w:sz="2" w:space="0"/>
              <w:bottom w:val="single" w:color="000000" w:sz="2" w:space="0"/>
            </w:tcBorders>
          </w:tcPr>
          <w:p w14:paraId="1125DFE6">
            <w:pPr>
              <w:rPr>
                <w:rFonts w:ascii="宋体" w:hAnsi="宋体" w:cs="宋体"/>
                <w:color w:val="auto"/>
                <w:sz w:val="24"/>
                <w:szCs w:val="24"/>
                <w:highlight w:val="none"/>
              </w:rPr>
            </w:pPr>
          </w:p>
        </w:tc>
      </w:tr>
      <w:tr w14:paraId="04EFBB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2356" w:type="dxa"/>
            <w:tcBorders>
              <w:top w:val="single" w:color="000000" w:sz="2" w:space="0"/>
              <w:bottom w:val="single" w:color="000000" w:sz="2" w:space="0"/>
            </w:tcBorders>
          </w:tcPr>
          <w:p w14:paraId="623D764A">
            <w:pPr>
              <w:spacing w:before="109" w:line="223" w:lineRule="auto"/>
              <w:ind w:left="234"/>
              <w:rPr>
                <w:rFonts w:ascii="宋体" w:hAnsi="宋体" w:cs="宋体"/>
                <w:color w:val="auto"/>
                <w:sz w:val="24"/>
                <w:szCs w:val="24"/>
                <w:highlight w:val="none"/>
              </w:rPr>
            </w:pPr>
            <w:r>
              <w:rPr>
                <w:rFonts w:hint="eastAsia" w:ascii="宋体" w:hAnsi="宋体" w:cs="宋体"/>
                <w:color w:val="auto"/>
                <w:spacing w:val="11"/>
                <w:sz w:val="24"/>
                <w:szCs w:val="24"/>
                <w:highlight w:val="none"/>
              </w:rPr>
              <w:t>营</w:t>
            </w:r>
            <w:r>
              <w:rPr>
                <w:rFonts w:hint="eastAsia" w:ascii="宋体" w:hAnsi="宋体" w:cs="宋体"/>
                <w:color w:val="auto"/>
                <w:spacing w:val="10"/>
                <w:sz w:val="24"/>
                <w:szCs w:val="24"/>
                <w:highlight w:val="none"/>
              </w:rPr>
              <w:t>业收入(万元)</w:t>
            </w:r>
          </w:p>
        </w:tc>
        <w:tc>
          <w:tcPr>
            <w:tcW w:w="2517" w:type="dxa"/>
            <w:tcBorders>
              <w:top w:val="single" w:color="000000" w:sz="2" w:space="0"/>
              <w:bottom w:val="single" w:color="000000" w:sz="2" w:space="0"/>
            </w:tcBorders>
          </w:tcPr>
          <w:p w14:paraId="18F1EFC4">
            <w:pPr>
              <w:rPr>
                <w:rFonts w:ascii="宋体" w:hAnsi="宋体" w:cs="宋体"/>
                <w:color w:val="auto"/>
                <w:sz w:val="24"/>
                <w:szCs w:val="24"/>
                <w:highlight w:val="none"/>
              </w:rPr>
            </w:pPr>
          </w:p>
        </w:tc>
        <w:tc>
          <w:tcPr>
            <w:tcW w:w="2162" w:type="dxa"/>
            <w:tcBorders>
              <w:top w:val="single" w:color="000000" w:sz="2" w:space="0"/>
              <w:bottom w:val="single" w:color="000000" w:sz="2" w:space="0"/>
            </w:tcBorders>
          </w:tcPr>
          <w:p w14:paraId="5E9BEC53">
            <w:pPr>
              <w:spacing w:before="110" w:line="222" w:lineRule="auto"/>
              <w:ind w:left="133"/>
              <w:rPr>
                <w:rFonts w:ascii="宋体" w:hAnsi="宋体" w:cs="宋体"/>
                <w:color w:val="auto"/>
                <w:sz w:val="24"/>
                <w:szCs w:val="24"/>
                <w:highlight w:val="none"/>
              </w:rPr>
            </w:pPr>
            <w:r>
              <w:rPr>
                <w:rFonts w:hint="eastAsia" w:ascii="宋体" w:hAnsi="宋体" w:cs="宋体"/>
                <w:color w:val="auto"/>
                <w:spacing w:val="12"/>
                <w:sz w:val="24"/>
                <w:szCs w:val="24"/>
                <w:highlight w:val="none"/>
              </w:rPr>
              <w:t>利</w:t>
            </w:r>
            <w:r>
              <w:rPr>
                <w:rFonts w:hint="eastAsia" w:ascii="宋体" w:hAnsi="宋体" w:cs="宋体"/>
                <w:color w:val="auto"/>
                <w:spacing w:val="11"/>
                <w:sz w:val="24"/>
                <w:szCs w:val="24"/>
                <w:highlight w:val="none"/>
              </w:rPr>
              <w:t>润总额(万元)</w:t>
            </w:r>
          </w:p>
        </w:tc>
        <w:tc>
          <w:tcPr>
            <w:tcW w:w="2704" w:type="dxa"/>
            <w:tcBorders>
              <w:top w:val="single" w:color="000000" w:sz="2" w:space="0"/>
              <w:bottom w:val="single" w:color="000000" w:sz="2" w:space="0"/>
            </w:tcBorders>
          </w:tcPr>
          <w:p w14:paraId="0E14BC39">
            <w:pPr>
              <w:rPr>
                <w:rFonts w:ascii="宋体" w:hAnsi="宋体" w:cs="宋体"/>
                <w:color w:val="auto"/>
                <w:sz w:val="24"/>
                <w:szCs w:val="24"/>
                <w:highlight w:val="none"/>
              </w:rPr>
            </w:pPr>
          </w:p>
        </w:tc>
      </w:tr>
      <w:tr w14:paraId="09624D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8" w:hRule="atLeast"/>
        </w:trPr>
        <w:tc>
          <w:tcPr>
            <w:tcW w:w="2356" w:type="dxa"/>
            <w:tcBorders>
              <w:top w:val="single" w:color="000000" w:sz="2" w:space="0"/>
              <w:bottom w:val="single" w:color="000000" w:sz="2" w:space="0"/>
            </w:tcBorders>
          </w:tcPr>
          <w:p w14:paraId="2D6D86DB">
            <w:pPr>
              <w:spacing w:before="40" w:line="359" w:lineRule="auto"/>
              <w:ind w:left="227" w:right="230" w:firstLine="244"/>
              <w:rPr>
                <w:rFonts w:ascii="宋体" w:hAnsi="宋体" w:cs="宋体"/>
                <w:color w:val="auto"/>
                <w:sz w:val="24"/>
                <w:szCs w:val="24"/>
                <w:highlight w:val="none"/>
              </w:rPr>
            </w:pPr>
            <w:r>
              <w:rPr>
                <w:rFonts w:hint="eastAsia" w:ascii="宋体" w:hAnsi="宋体" w:cs="宋体"/>
                <w:color w:val="auto"/>
                <w:spacing w:val="-6"/>
                <w:sz w:val="24"/>
                <w:szCs w:val="24"/>
                <w:highlight w:val="none"/>
              </w:rPr>
              <w:t>公</w:t>
            </w:r>
            <w:r>
              <w:rPr>
                <w:rFonts w:hint="eastAsia" w:ascii="宋体" w:hAnsi="宋体" w:cs="宋体"/>
                <w:color w:val="auto"/>
                <w:spacing w:val="-3"/>
                <w:sz w:val="24"/>
                <w:szCs w:val="24"/>
                <w:highlight w:val="none"/>
              </w:rPr>
              <w:t>司变更情况</w:t>
            </w:r>
            <w:r>
              <w:rPr>
                <w:rFonts w:hint="eastAsia" w:ascii="宋体" w:hAnsi="宋体" w:cs="宋体"/>
                <w:color w:val="auto"/>
                <w:sz w:val="24"/>
                <w:szCs w:val="24"/>
                <w:highlight w:val="none"/>
              </w:rPr>
              <w:t xml:space="preserve">  </w:t>
            </w:r>
            <w:r>
              <w:rPr>
                <w:rFonts w:hint="eastAsia" w:ascii="宋体" w:hAnsi="宋体" w:cs="宋体"/>
                <w:color w:val="auto"/>
                <w:spacing w:val="11"/>
                <w:sz w:val="24"/>
                <w:szCs w:val="24"/>
                <w:highlight w:val="none"/>
              </w:rPr>
              <w:t>(如供应商存在</w:t>
            </w:r>
            <w:r>
              <w:rPr>
                <w:rFonts w:hint="eastAsia" w:ascii="宋体" w:hAnsi="宋体" w:cs="宋体"/>
                <w:color w:val="auto"/>
                <w:spacing w:val="10"/>
                <w:sz w:val="24"/>
                <w:szCs w:val="24"/>
                <w:highlight w:val="none"/>
              </w:rPr>
              <w:t>企</w:t>
            </w:r>
            <w:r>
              <w:rPr>
                <w:rFonts w:hint="eastAsia" w:ascii="宋体" w:hAnsi="宋体" w:cs="宋体"/>
                <w:color w:val="auto"/>
                <w:spacing w:val="-2"/>
                <w:sz w:val="24"/>
                <w:szCs w:val="24"/>
                <w:highlight w:val="none"/>
              </w:rPr>
              <w:t>业名称或其他内容</w:t>
            </w:r>
            <w:r>
              <w:rPr>
                <w:rFonts w:hint="eastAsia" w:ascii="宋体" w:hAnsi="宋体" w:cs="宋体"/>
                <w:color w:val="auto"/>
                <w:sz w:val="24"/>
                <w:szCs w:val="24"/>
                <w:highlight w:val="none"/>
              </w:rPr>
              <w:t xml:space="preserve"> </w:t>
            </w:r>
            <w:r>
              <w:rPr>
                <w:rFonts w:hint="eastAsia" w:ascii="宋体" w:hAnsi="宋体" w:cs="宋体"/>
                <w:color w:val="auto"/>
                <w:spacing w:val="-23"/>
                <w:sz w:val="24"/>
                <w:szCs w:val="24"/>
                <w:highlight w:val="none"/>
              </w:rPr>
              <w:t>变</w:t>
            </w:r>
            <w:r>
              <w:rPr>
                <w:rFonts w:hint="eastAsia" w:ascii="宋体" w:hAnsi="宋体" w:cs="宋体"/>
                <w:color w:val="auto"/>
                <w:spacing w:val="-15"/>
                <w:sz w:val="24"/>
                <w:szCs w:val="24"/>
                <w:highlight w:val="none"/>
              </w:rPr>
              <w:t>更， 参与本项目投</w:t>
            </w:r>
            <w:r>
              <w:rPr>
                <w:rFonts w:hint="eastAsia" w:ascii="宋体" w:hAnsi="宋体" w:cs="宋体"/>
                <w:color w:val="auto"/>
                <w:spacing w:val="-23"/>
                <w:sz w:val="24"/>
                <w:szCs w:val="24"/>
                <w:highlight w:val="none"/>
              </w:rPr>
              <w:t>标</w:t>
            </w:r>
            <w:r>
              <w:rPr>
                <w:rFonts w:hint="eastAsia" w:ascii="宋体" w:hAnsi="宋体" w:cs="宋体"/>
                <w:color w:val="auto"/>
                <w:spacing w:val="-15"/>
                <w:sz w:val="24"/>
                <w:szCs w:val="24"/>
                <w:highlight w:val="none"/>
              </w:rPr>
              <w:t>时， 涉及变更前公</w:t>
            </w:r>
            <w:r>
              <w:rPr>
                <w:rFonts w:hint="eastAsia" w:ascii="宋体" w:hAnsi="宋体" w:cs="宋体"/>
                <w:color w:val="auto"/>
                <w:spacing w:val="-23"/>
                <w:sz w:val="24"/>
                <w:szCs w:val="24"/>
                <w:highlight w:val="none"/>
              </w:rPr>
              <w:t>司</w:t>
            </w:r>
            <w:r>
              <w:rPr>
                <w:rFonts w:hint="eastAsia" w:ascii="宋体" w:hAnsi="宋体" w:cs="宋体"/>
                <w:color w:val="auto"/>
                <w:spacing w:val="-15"/>
                <w:sz w:val="24"/>
                <w:szCs w:val="24"/>
                <w:highlight w:val="none"/>
              </w:rPr>
              <w:t>相关内容， 提供变</w:t>
            </w:r>
            <w:r>
              <w:rPr>
                <w:rFonts w:hint="eastAsia" w:ascii="宋体" w:hAnsi="宋体" w:cs="宋体"/>
                <w:color w:val="auto"/>
                <w:spacing w:val="-23"/>
                <w:sz w:val="24"/>
                <w:szCs w:val="24"/>
                <w:highlight w:val="none"/>
              </w:rPr>
              <w:t>更</w:t>
            </w:r>
            <w:r>
              <w:rPr>
                <w:rFonts w:hint="eastAsia" w:ascii="宋体" w:hAnsi="宋体" w:cs="宋体"/>
                <w:color w:val="auto"/>
                <w:spacing w:val="-15"/>
                <w:sz w:val="24"/>
                <w:szCs w:val="24"/>
                <w:highlight w:val="none"/>
              </w:rPr>
              <w:t>证明， 如不涉及可</w:t>
            </w:r>
            <w:r>
              <w:rPr>
                <w:rFonts w:hint="eastAsia" w:ascii="宋体" w:hAnsi="宋体" w:cs="宋体"/>
                <w:color w:val="auto"/>
                <w:spacing w:val="-10"/>
                <w:sz w:val="24"/>
                <w:szCs w:val="24"/>
                <w:highlight w:val="none"/>
              </w:rPr>
              <w:t>不</w:t>
            </w:r>
            <w:r>
              <w:rPr>
                <w:rFonts w:hint="eastAsia" w:ascii="宋体" w:hAnsi="宋体" w:cs="宋体"/>
                <w:color w:val="auto"/>
                <w:spacing w:val="-5"/>
                <w:sz w:val="24"/>
                <w:szCs w:val="24"/>
                <w:highlight w:val="none"/>
              </w:rPr>
              <w:t>必提供。)</w:t>
            </w:r>
          </w:p>
        </w:tc>
        <w:tc>
          <w:tcPr>
            <w:tcW w:w="7383" w:type="dxa"/>
            <w:gridSpan w:val="3"/>
            <w:tcBorders>
              <w:top w:val="single" w:color="000000" w:sz="2" w:space="0"/>
              <w:bottom w:val="single" w:color="000000" w:sz="2" w:space="0"/>
            </w:tcBorders>
          </w:tcPr>
          <w:p w14:paraId="766DE3CC">
            <w:pPr>
              <w:rPr>
                <w:rFonts w:ascii="宋体" w:hAnsi="宋体" w:cs="宋体"/>
                <w:color w:val="auto"/>
                <w:sz w:val="24"/>
                <w:szCs w:val="24"/>
                <w:highlight w:val="none"/>
              </w:rPr>
            </w:pPr>
          </w:p>
        </w:tc>
      </w:tr>
      <w:tr w14:paraId="0D014C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3" w:hRule="atLeast"/>
        </w:trPr>
        <w:tc>
          <w:tcPr>
            <w:tcW w:w="2356" w:type="dxa"/>
            <w:tcBorders>
              <w:top w:val="single" w:color="000000" w:sz="2" w:space="0"/>
              <w:bottom w:val="single" w:color="000000" w:sz="2" w:space="0"/>
            </w:tcBorders>
          </w:tcPr>
          <w:p w14:paraId="5367862F">
            <w:pPr>
              <w:spacing w:before="276" w:line="224" w:lineRule="auto"/>
              <w:ind w:left="949"/>
              <w:rPr>
                <w:rFonts w:ascii="宋体" w:hAnsi="宋体" w:cs="宋体"/>
                <w:color w:val="auto"/>
                <w:sz w:val="24"/>
                <w:szCs w:val="24"/>
                <w:highlight w:val="none"/>
              </w:rPr>
            </w:pPr>
            <w:r>
              <w:rPr>
                <w:rFonts w:hint="eastAsia" w:ascii="宋体" w:hAnsi="宋体" w:cs="宋体"/>
                <w:color w:val="auto"/>
                <w:spacing w:val="-5"/>
                <w:sz w:val="24"/>
                <w:szCs w:val="24"/>
                <w:highlight w:val="none"/>
              </w:rPr>
              <w:t>备</w:t>
            </w:r>
            <w:r>
              <w:rPr>
                <w:rFonts w:hint="eastAsia" w:ascii="宋体" w:hAnsi="宋体" w:cs="宋体"/>
                <w:color w:val="auto"/>
                <w:spacing w:val="-4"/>
                <w:sz w:val="24"/>
                <w:szCs w:val="24"/>
                <w:highlight w:val="none"/>
              </w:rPr>
              <w:t>注</w:t>
            </w:r>
          </w:p>
        </w:tc>
        <w:tc>
          <w:tcPr>
            <w:tcW w:w="7383" w:type="dxa"/>
            <w:gridSpan w:val="3"/>
            <w:tcBorders>
              <w:top w:val="single" w:color="000000" w:sz="2" w:space="0"/>
              <w:bottom w:val="single" w:color="000000" w:sz="2" w:space="0"/>
            </w:tcBorders>
          </w:tcPr>
          <w:p w14:paraId="3009CBF1">
            <w:pPr>
              <w:spacing w:before="42" w:line="467" w:lineRule="exact"/>
              <w:ind w:left="141"/>
              <w:rPr>
                <w:rFonts w:ascii="宋体" w:hAnsi="宋体" w:cs="宋体"/>
                <w:color w:val="auto"/>
                <w:sz w:val="24"/>
                <w:szCs w:val="24"/>
                <w:highlight w:val="none"/>
              </w:rPr>
            </w:pPr>
            <w:r>
              <w:rPr>
                <w:rFonts w:hint="eastAsia" w:ascii="宋体" w:hAnsi="宋体" w:cs="宋体"/>
                <w:color w:val="auto"/>
                <w:spacing w:val="-24"/>
                <w:position w:val="17"/>
                <w:sz w:val="24"/>
                <w:szCs w:val="24"/>
                <w:highlight w:val="none"/>
              </w:rPr>
              <w:t>以</w:t>
            </w:r>
            <w:r>
              <w:rPr>
                <w:rFonts w:hint="eastAsia" w:ascii="宋体" w:hAnsi="宋体" w:cs="宋体"/>
                <w:color w:val="auto"/>
                <w:spacing w:val="-18"/>
                <w:position w:val="17"/>
                <w:sz w:val="24"/>
                <w:szCs w:val="24"/>
                <w:highlight w:val="none"/>
              </w:rPr>
              <w:t>上</w:t>
            </w:r>
            <w:r>
              <w:rPr>
                <w:rFonts w:hint="eastAsia" w:ascii="宋体" w:hAnsi="宋体" w:cs="宋体"/>
                <w:color w:val="auto"/>
                <w:spacing w:val="-12"/>
                <w:position w:val="17"/>
                <w:sz w:val="24"/>
                <w:szCs w:val="24"/>
                <w:highlight w:val="none"/>
              </w:rPr>
              <w:t>内容信息， 供应商应保证数据的真实性， 如发现造假或不实， 供</w:t>
            </w:r>
          </w:p>
          <w:p w14:paraId="57245EDA">
            <w:pPr>
              <w:spacing w:before="1" w:line="220" w:lineRule="auto"/>
              <w:ind w:left="116"/>
              <w:rPr>
                <w:rFonts w:ascii="宋体" w:hAnsi="宋体" w:cs="宋体"/>
                <w:color w:val="auto"/>
                <w:sz w:val="24"/>
                <w:szCs w:val="24"/>
                <w:highlight w:val="none"/>
              </w:rPr>
            </w:pPr>
            <w:r>
              <w:rPr>
                <w:rFonts w:hint="eastAsia" w:ascii="宋体" w:hAnsi="宋体" w:cs="宋体"/>
                <w:color w:val="auto"/>
                <w:spacing w:val="-6"/>
                <w:sz w:val="24"/>
                <w:szCs w:val="24"/>
                <w:highlight w:val="none"/>
              </w:rPr>
              <w:t>应商</w:t>
            </w:r>
            <w:r>
              <w:rPr>
                <w:rFonts w:hint="eastAsia" w:ascii="宋体" w:hAnsi="宋体" w:cs="宋体"/>
                <w:color w:val="auto"/>
                <w:spacing w:val="-3"/>
                <w:sz w:val="24"/>
                <w:szCs w:val="24"/>
                <w:highlight w:val="none"/>
              </w:rPr>
              <w:t>自行承担相关法律后果。</w:t>
            </w:r>
          </w:p>
        </w:tc>
      </w:tr>
    </w:tbl>
    <w:p w14:paraId="1F704DCF">
      <w:pPr>
        <w:spacing w:before="159" w:line="330" w:lineRule="auto"/>
        <w:ind w:left="3423" w:right="1646" w:firstLine="15"/>
        <w:rPr>
          <w:rFonts w:ascii="宋体" w:hAnsi="宋体" w:cs="宋体"/>
          <w:color w:val="auto"/>
          <w:sz w:val="24"/>
          <w:szCs w:val="24"/>
          <w:highlight w:val="none"/>
        </w:rPr>
      </w:pPr>
      <w:r>
        <w:rPr>
          <w:rFonts w:hint="eastAsia" w:ascii="宋体" w:hAnsi="宋体" w:cs="宋体"/>
          <w:color w:val="auto"/>
          <w:spacing w:val="20"/>
          <w:sz w:val="24"/>
          <w:szCs w:val="24"/>
          <w:highlight w:val="none"/>
        </w:rPr>
        <w:t>供应商(电子签章)</w:t>
      </w:r>
      <w:r>
        <w:rPr>
          <w:rFonts w:hint="eastAsia" w:ascii="宋体" w:hAnsi="宋体" w:cs="宋体"/>
          <w:color w:val="auto"/>
          <w:spacing w:val="19"/>
          <w:sz w:val="24"/>
          <w:szCs w:val="24"/>
          <w:highlight w:val="none"/>
        </w:rPr>
        <w:t>：</w:t>
      </w:r>
    </w:p>
    <w:p w14:paraId="53135354">
      <w:pPr>
        <w:spacing w:before="159" w:line="330" w:lineRule="auto"/>
        <w:ind w:left="3423" w:right="1646" w:firstLine="15"/>
        <w:rPr>
          <w:rFonts w:ascii="宋体" w:hAnsi="宋体" w:cs="宋体"/>
          <w:color w:val="auto"/>
          <w:sz w:val="24"/>
          <w:szCs w:val="24"/>
          <w:highlight w:val="none"/>
        </w:rPr>
      </w:pPr>
      <w:r>
        <w:rPr>
          <w:rFonts w:hint="eastAsia" w:ascii="宋体" w:hAnsi="宋体" w:cs="宋体"/>
          <w:color w:val="auto"/>
          <w:spacing w:val="32"/>
          <w:sz w:val="24"/>
          <w:szCs w:val="24"/>
          <w:highlight w:val="none"/>
        </w:rPr>
        <w:t>法</w:t>
      </w:r>
      <w:r>
        <w:rPr>
          <w:rFonts w:hint="eastAsia" w:ascii="宋体" w:hAnsi="宋体" w:cs="宋体"/>
          <w:color w:val="auto"/>
          <w:spacing w:val="27"/>
          <w:sz w:val="24"/>
          <w:szCs w:val="24"/>
          <w:highlight w:val="none"/>
        </w:rPr>
        <w:t>定代表人(电子签名)：</w:t>
      </w:r>
      <w:r>
        <w:rPr>
          <w:rFonts w:hint="eastAsia" w:ascii="宋体" w:hAnsi="宋体" w:cs="宋体"/>
          <w:color w:val="auto"/>
          <w:sz w:val="24"/>
          <w:szCs w:val="24"/>
          <w:highlight w:val="none"/>
        </w:rPr>
        <w:t xml:space="preserve"> </w:t>
      </w:r>
    </w:p>
    <w:p w14:paraId="0E1F6005">
      <w:pPr>
        <w:autoSpaceDE w:val="0"/>
        <w:autoSpaceDN w:val="0"/>
        <w:adjustRightInd w:val="0"/>
        <w:spacing w:line="360" w:lineRule="auto"/>
        <w:ind w:firstLine="3328" w:firstLineChars="1300"/>
        <w:jc w:val="left"/>
        <w:rPr>
          <w:rFonts w:ascii="宋体" w:hAnsi="宋体" w:cs="宋体"/>
          <w:color w:val="auto"/>
          <w:sz w:val="24"/>
          <w:highlight w:val="none"/>
          <w:lang w:val="zh-CN"/>
        </w:rPr>
      </w:pPr>
      <w:r>
        <w:rPr>
          <w:rFonts w:hint="eastAsia" w:ascii="宋体" w:hAnsi="宋体" w:cs="宋体"/>
          <w:color w:val="auto"/>
          <w:spacing w:val="8"/>
          <w:sz w:val="24"/>
          <w:highlight w:val="none"/>
        </w:rPr>
        <w:t>日期 ：</w:t>
      </w:r>
      <w:r>
        <w:rPr>
          <w:rFonts w:hint="eastAsia" w:ascii="宋体" w:hAnsi="宋体" w:cs="宋体"/>
          <w:color w:val="auto"/>
          <w:sz w:val="24"/>
          <w:highlight w:val="none"/>
          <w:lang w:val="zh-CN"/>
        </w:rPr>
        <w:t xml:space="preserve">   年   月   日</w:t>
      </w:r>
    </w:p>
    <w:p w14:paraId="09B2C294">
      <w:pPr>
        <w:pStyle w:val="30"/>
        <w:ind w:firstLine="210"/>
        <w:rPr>
          <w:color w:val="auto"/>
          <w:highlight w:val="none"/>
        </w:rPr>
      </w:pPr>
    </w:p>
    <w:p w14:paraId="05A9C80A">
      <w:pPr>
        <w:widowControl w:val="0"/>
        <w:tabs>
          <w:tab w:val="left" w:pos="9365"/>
        </w:tabs>
        <w:snapToGrid w:val="0"/>
        <w:spacing w:after="56" w:line="560" w:lineRule="exact"/>
        <w:ind w:right="85"/>
        <w:jc w:val="center"/>
        <w:textAlignment w:val="top"/>
        <w:rPr>
          <w:rFonts w:ascii="宋体" w:hAnsi="宋体" w:cs="宋体"/>
          <w:b/>
          <w:color w:val="auto"/>
          <w:sz w:val="30"/>
          <w:szCs w:val="30"/>
          <w:highlight w:val="none"/>
        </w:rPr>
      </w:pPr>
      <w:r>
        <w:rPr>
          <w:rFonts w:hint="eastAsia" w:ascii="宋体" w:hAnsi="宋体" w:cs="宋体"/>
          <w:b/>
          <w:color w:val="auto"/>
          <w:sz w:val="30"/>
          <w:szCs w:val="30"/>
          <w:highlight w:val="none"/>
        </w:rPr>
        <w:t>近三年无重大违法记录的声明函</w:t>
      </w:r>
    </w:p>
    <w:p w14:paraId="19972475">
      <w:pPr>
        <w:tabs>
          <w:tab w:val="left" w:pos="9365"/>
        </w:tabs>
        <w:spacing w:before="57" w:after="57" w:line="586" w:lineRule="atLeast"/>
        <w:ind w:right="85"/>
        <w:jc w:val="left"/>
        <w:textAlignment w:val="top"/>
        <w:rPr>
          <w:rFonts w:ascii="宋体" w:hAnsi="宋体" w:cs="宋体"/>
          <w:color w:val="auto"/>
          <w:sz w:val="24"/>
          <w:szCs w:val="24"/>
          <w:highlight w:val="none"/>
        </w:rPr>
      </w:pPr>
    </w:p>
    <w:p w14:paraId="0B73E048">
      <w:pPr>
        <w:tabs>
          <w:tab w:val="left" w:pos="9365"/>
        </w:tabs>
        <w:spacing w:before="57" w:after="57" w:line="586" w:lineRule="atLeast"/>
        <w:ind w:right="85"/>
        <w:jc w:val="left"/>
        <w:textAlignment w:val="top"/>
        <w:rPr>
          <w:rFonts w:ascii="宋体" w:hAnsi="宋体" w:cs="宋体"/>
          <w:color w:val="auto"/>
          <w:sz w:val="24"/>
          <w:szCs w:val="24"/>
          <w:highlight w:val="none"/>
        </w:rPr>
      </w:pPr>
      <w:r>
        <w:rPr>
          <w:rFonts w:hint="eastAsia" w:ascii="宋体" w:hAnsi="宋体" w:cs="宋体"/>
          <w:color w:val="auto"/>
          <w:sz w:val="24"/>
          <w:highlight w:val="none"/>
          <w:lang w:eastAsia="zh-CN"/>
        </w:rPr>
        <w:t>诚安工程管理有限公司</w:t>
      </w:r>
      <w:r>
        <w:rPr>
          <w:rFonts w:hint="eastAsia" w:ascii="宋体" w:hAnsi="宋体" w:cs="宋体"/>
          <w:color w:val="auto"/>
          <w:sz w:val="24"/>
          <w:highlight w:val="none"/>
        </w:rPr>
        <w:t>：</w:t>
      </w:r>
    </w:p>
    <w:p w14:paraId="4AD6D5A4">
      <w:pPr>
        <w:tabs>
          <w:tab w:val="left" w:pos="9365"/>
        </w:tabs>
        <w:spacing w:before="57" w:after="57" w:line="586" w:lineRule="atLeast"/>
        <w:ind w:right="85" w:firstLine="600" w:firstLineChars="250"/>
        <w:jc w:val="left"/>
        <w:textAlignment w:val="top"/>
        <w:rPr>
          <w:rFonts w:ascii="宋体" w:hAnsi="宋体" w:cs="宋体"/>
          <w:color w:val="auto"/>
          <w:sz w:val="24"/>
          <w:szCs w:val="24"/>
          <w:highlight w:val="none"/>
        </w:rPr>
      </w:pPr>
      <w:r>
        <w:rPr>
          <w:rFonts w:hint="eastAsia" w:ascii="宋体" w:hAnsi="宋体" w:cs="宋体"/>
          <w:color w:val="auto"/>
          <w:sz w:val="24"/>
          <w:szCs w:val="24"/>
          <w:highlight w:val="none"/>
        </w:rPr>
        <w:t>我单位在参加政府采购活动前三年内，在经营活动中没有重大违法记录。</w:t>
      </w:r>
    </w:p>
    <w:p w14:paraId="6272E154">
      <w:pPr>
        <w:tabs>
          <w:tab w:val="left" w:pos="9365"/>
        </w:tabs>
        <w:spacing w:before="57" w:after="57" w:line="586" w:lineRule="atLeast"/>
        <w:ind w:right="85" w:firstLine="600" w:firstLineChars="250"/>
        <w:jc w:val="left"/>
        <w:textAlignment w:val="top"/>
        <w:rPr>
          <w:rFonts w:ascii="宋体" w:hAnsi="宋体" w:cs="宋体"/>
          <w:color w:val="auto"/>
          <w:sz w:val="24"/>
          <w:szCs w:val="24"/>
          <w:highlight w:val="none"/>
        </w:rPr>
      </w:pPr>
      <w:r>
        <w:rPr>
          <w:rFonts w:hint="eastAsia" w:ascii="宋体" w:hAnsi="宋体" w:cs="宋体"/>
          <w:color w:val="auto"/>
          <w:sz w:val="24"/>
          <w:szCs w:val="24"/>
          <w:highlight w:val="none"/>
        </w:rPr>
        <w:t>特此承诺。</w:t>
      </w:r>
    </w:p>
    <w:p w14:paraId="5E223B4D">
      <w:pPr>
        <w:tabs>
          <w:tab w:val="left" w:pos="9365"/>
        </w:tabs>
        <w:spacing w:before="57" w:after="57" w:line="586" w:lineRule="atLeast"/>
        <w:ind w:right="85"/>
        <w:jc w:val="left"/>
        <w:textAlignment w:val="top"/>
        <w:rPr>
          <w:rFonts w:ascii="宋体" w:hAnsi="宋体" w:cs="宋体"/>
          <w:color w:val="auto"/>
          <w:sz w:val="24"/>
          <w:szCs w:val="24"/>
          <w:highlight w:val="none"/>
        </w:rPr>
      </w:pPr>
    </w:p>
    <w:p w14:paraId="452DB6F8">
      <w:pPr>
        <w:tabs>
          <w:tab w:val="left" w:pos="9365"/>
        </w:tabs>
        <w:spacing w:before="57" w:after="57" w:line="586" w:lineRule="atLeast"/>
        <w:ind w:right="85"/>
        <w:jc w:val="left"/>
        <w:textAlignment w:val="top"/>
        <w:rPr>
          <w:rFonts w:ascii="宋体" w:hAnsi="宋体" w:cs="宋体"/>
          <w:color w:val="auto"/>
          <w:sz w:val="24"/>
          <w:szCs w:val="24"/>
          <w:highlight w:val="none"/>
        </w:rPr>
      </w:pPr>
    </w:p>
    <w:p w14:paraId="04EC9237">
      <w:pPr>
        <w:tabs>
          <w:tab w:val="left" w:pos="9365"/>
        </w:tabs>
        <w:spacing w:before="57" w:after="57" w:line="586" w:lineRule="atLeast"/>
        <w:ind w:right="85"/>
        <w:jc w:val="left"/>
        <w:textAlignment w:val="top"/>
        <w:rPr>
          <w:rFonts w:ascii="宋体" w:hAnsi="宋体" w:cs="宋体"/>
          <w:color w:val="auto"/>
          <w:sz w:val="24"/>
          <w:szCs w:val="24"/>
          <w:highlight w:val="none"/>
        </w:rPr>
      </w:pPr>
    </w:p>
    <w:p w14:paraId="247BD174">
      <w:pPr>
        <w:widowControl w:val="0"/>
        <w:snapToGrid w:val="0"/>
        <w:spacing w:line="360" w:lineRule="auto"/>
        <w:textAlignment w:val="top"/>
        <w:rPr>
          <w:rFonts w:ascii="宋体" w:hAnsi="宋体" w:cs="宋体"/>
          <w:color w:val="auto"/>
          <w:sz w:val="24"/>
          <w:szCs w:val="24"/>
          <w:highlight w:val="none"/>
        </w:rPr>
      </w:pPr>
      <w:r>
        <w:rPr>
          <w:rFonts w:hint="eastAsia" w:ascii="宋体" w:hAnsi="宋体" w:cs="宋体"/>
          <w:color w:val="auto"/>
          <w:sz w:val="24"/>
          <w:highlight w:val="none"/>
        </w:rPr>
        <w:t>供应商</w:t>
      </w:r>
      <w:r>
        <w:rPr>
          <w:rFonts w:hint="eastAsia" w:ascii="宋体" w:hAnsi="宋体" w:cs="宋体"/>
          <w:color w:val="auto"/>
          <w:sz w:val="24"/>
          <w:szCs w:val="24"/>
          <w:highlight w:val="none"/>
        </w:rPr>
        <w:t>（电子签章）：</w:t>
      </w:r>
    </w:p>
    <w:p w14:paraId="3BA600B9">
      <w:pPr>
        <w:widowControl w:val="0"/>
        <w:snapToGrid w:val="0"/>
        <w:spacing w:line="360" w:lineRule="auto"/>
        <w:textAlignment w:val="top"/>
        <w:rPr>
          <w:rFonts w:ascii="宋体" w:hAnsi="宋体" w:cs="宋体"/>
          <w:color w:val="auto"/>
          <w:sz w:val="24"/>
          <w:szCs w:val="24"/>
          <w:highlight w:val="none"/>
        </w:rPr>
      </w:pPr>
      <w:r>
        <w:rPr>
          <w:rFonts w:hint="eastAsia" w:ascii="宋体" w:hAnsi="宋体" w:cs="宋体"/>
          <w:color w:val="auto"/>
          <w:sz w:val="24"/>
          <w:szCs w:val="24"/>
          <w:highlight w:val="none"/>
        </w:rPr>
        <w:t>法定代表人（电子签名）：</w:t>
      </w:r>
    </w:p>
    <w:p w14:paraId="7CDE5333">
      <w:pPr>
        <w:widowControl w:val="0"/>
        <w:snapToGrid w:val="0"/>
        <w:spacing w:line="360" w:lineRule="auto"/>
        <w:textAlignment w:val="top"/>
        <w:rPr>
          <w:rFonts w:ascii="宋体" w:hAnsi="宋体" w:cs="宋体"/>
          <w:color w:val="auto"/>
          <w:sz w:val="24"/>
          <w:szCs w:val="24"/>
          <w:highlight w:val="none"/>
        </w:rPr>
      </w:pPr>
      <w:r>
        <w:rPr>
          <w:rFonts w:hint="eastAsia" w:ascii="宋体" w:hAnsi="宋体" w:cs="宋体"/>
          <w:color w:val="auto"/>
          <w:sz w:val="24"/>
          <w:szCs w:val="24"/>
          <w:highlight w:val="none"/>
        </w:rPr>
        <w:t>日期：  年   月   日</w:t>
      </w:r>
    </w:p>
    <w:p w14:paraId="2B11650E">
      <w:pPr>
        <w:snapToGrid w:val="0"/>
        <w:spacing w:line="560" w:lineRule="exact"/>
        <w:ind w:firstLine="555"/>
        <w:rPr>
          <w:rFonts w:ascii="宋体" w:hAnsi="宋体" w:cs="宋体"/>
          <w:color w:val="auto"/>
          <w:sz w:val="24"/>
          <w:highlight w:val="none"/>
        </w:rPr>
      </w:pPr>
      <w:r>
        <w:rPr>
          <w:rFonts w:hint="eastAsia" w:ascii="宋体" w:hAnsi="宋体" w:cs="宋体"/>
          <w:color w:val="auto"/>
          <w:sz w:val="24"/>
          <w:highlight w:val="none"/>
        </w:rPr>
        <w:t xml:space="preserve">        </w:t>
      </w:r>
    </w:p>
    <w:p w14:paraId="3295D139">
      <w:pPr>
        <w:snapToGrid w:val="0"/>
        <w:spacing w:line="560" w:lineRule="atLeast"/>
        <w:jc w:val="center"/>
        <w:rPr>
          <w:rFonts w:ascii="宋体" w:hAnsi="宋体" w:cs="宋体"/>
          <w:color w:val="auto"/>
          <w:sz w:val="24"/>
          <w:highlight w:val="none"/>
        </w:rPr>
      </w:pPr>
      <w:r>
        <w:rPr>
          <w:rFonts w:hint="eastAsia" w:ascii="宋体" w:hAnsi="宋体" w:cs="宋体"/>
          <w:color w:val="auto"/>
          <w:sz w:val="24"/>
          <w:highlight w:val="none"/>
        </w:rPr>
        <w:br w:type="page"/>
      </w:r>
    </w:p>
    <w:p w14:paraId="77064F9C">
      <w:pPr>
        <w:snapToGrid w:val="0"/>
        <w:spacing w:line="560" w:lineRule="atLeast"/>
        <w:jc w:val="center"/>
        <w:rPr>
          <w:rFonts w:ascii="宋体" w:hAnsi="宋体" w:cs="宋体"/>
          <w:b/>
          <w:color w:val="auto"/>
          <w:sz w:val="30"/>
          <w:szCs w:val="30"/>
          <w:highlight w:val="none"/>
        </w:rPr>
      </w:pPr>
      <w:r>
        <w:rPr>
          <w:rFonts w:hint="eastAsia" w:ascii="宋体" w:hAnsi="宋体" w:cs="宋体"/>
          <w:b/>
          <w:color w:val="auto"/>
          <w:sz w:val="30"/>
          <w:szCs w:val="30"/>
          <w:highlight w:val="none"/>
        </w:rPr>
        <w:t>供应商负责人控股、设计等相关承诺书</w:t>
      </w:r>
    </w:p>
    <w:p w14:paraId="3449F0DD">
      <w:pPr>
        <w:tabs>
          <w:tab w:val="left" w:pos="9365"/>
        </w:tabs>
        <w:spacing w:before="360" w:after="360" w:line="586" w:lineRule="atLeast"/>
        <w:ind w:right="85"/>
        <w:jc w:val="left"/>
        <w:textAlignment w:val="top"/>
        <w:rPr>
          <w:rFonts w:ascii="宋体" w:hAnsi="宋体" w:cs="宋体"/>
          <w:color w:val="auto"/>
          <w:sz w:val="24"/>
          <w:szCs w:val="24"/>
          <w:highlight w:val="none"/>
        </w:rPr>
      </w:pPr>
      <w:r>
        <w:rPr>
          <w:rFonts w:hint="eastAsia" w:ascii="宋体" w:hAnsi="宋体" w:cs="宋体"/>
          <w:color w:val="auto"/>
          <w:sz w:val="24"/>
          <w:szCs w:val="24"/>
          <w:highlight w:val="none"/>
        </w:rPr>
        <w:t>致：</w:t>
      </w:r>
      <w:r>
        <w:rPr>
          <w:rFonts w:hint="eastAsia" w:ascii="宋体" w:hAnsi="宋体" w:cs="宋体"/>
          <w:color w:val="auto"/>
          <w:sz w:val="24"/>
          <w:szCs w:val="24"/>
          <w:highlight w:val="none"/>
          <w:u w:val="single"/>
        </w:rPr>
        <w:t xml:space="preserve">    </w:t>
      </w:r>
      <w:r>
        <w:rPr>
          <w:rFonts w:hint="eastAsia" w:ascii="宋体" w:hAnsi="宋体" w:cs="宋体"/>
          <w:color w:val="auto"/>
          <w:spacing w:val="11"/>
          <w:sz w:val="24"/>
          <w:szCs w:val="24"/>
          <w:highlight w:val="none"/>
          <w:u w:val="single"/>
        </w:rPr>
        <w:t xml:space="preserve">(采购人名称）    </w:t>
      </w:r>
    </w:p>
    <w:p w14:paraId="723FD77D">
      <w:pPr>
        <w:tabs>
          <w:tab w:val="left" w:pos="65"/>
        </w:tabs>
        <w:spacing w:line="7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在项目编号为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的</w:t>
      </w:r>
      <w:r>
        <w:rPr>
          <w:rFonts w:hint="eastAsia" w:ascii="宋体" w:hAnsi="宋体" w:cs="宋体"/>
          <w:color w:val="auto"/>
          <w:sz w:val="24"/>
          <w:szCs w:val="24"/>
          <w:highlight w:val="none"/>
          <w:u w:val="single"/>
        </w:rPr>
        <w:t xml:space="preserve">    （项目名称）  </w:t>
      </w:r>
      <w:r>
        <w:rPr>
          <w:rFonts w:hint="eastAsia" w:ascii="宋体" w:hAnsi="宋体" w:cs="宋体"/>
          <w:color w:val="auto"/>
          <w:sz w:val="24"/>
          <w:szCs w:val="24"/>
          <w:highlight w:val="none"/>
        </w:rPr>
        <w:t>采购活动中，我单位承诺满足以下要求：</w:t>
      </w:r>
    </w:p>
    <w:p w14:paraId="3815ABB4">
      <w:pPr>
        <w:tabs>
          <w:tab w:val="left" w:pos="65"/>
        </w:tabs>
        <w:spacing w:line="7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一、单位负责人为同一人或者存在直接控股、管理关系的不同供应商，不参加同一合同项下的政府采购活动。</w:t>
      </w:r>
    </w:p>
    <w:p w14:paraId="5924A25A">
      <w:pPr>
        <w:tabs>
          <w:tab w:val="left" w:pos="65"/>
        </w:tabs>
        <w:spacing w:line="7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二、没有为本项目提供整体设计、规范编制或者项目管理、监理、检测等服务。</w:t>
      </w:r>
    </w:p>
    <w:p w14:paraId="0AACA6E5">
      <w:pPr>
        <w:tabs>
          <w:tab w:val="left" w:pos="9365"/>
        </w:tabs>
        <w:spacing w:before="57" w:after="57" w:line="586" w:lineRule="atLeast"/>
        <w:ind w:right="85" w:firstLine="480" w:firstLineChars="200"/>
        <w:jc w:val="left"/>
        <w:textAlignment w:val="top"/>
        <w:rPr>
          <w:rFonts w:ascii="宋体" w:hAnsi="宋体" w:cs="宋体"/>
          <w:color w:val="auto"/>
          <w:sz w:val="24"/>
          <w:szCs w:val="24"/>
          <w:highlight w:val="none"/>
        </w:rPr>
      </w:pPr>
      <w:r>
        <w:rPr>
          <w:rFonts w:hint="eastAsia" w:ascii="宋体" w:hAnsi="宋体" w:cs="宋体"/>
          <w:color w:val="auto"/>
          <w:sz w:val="24"/>
          <w:szCs w:val="24"/>
          <w:highlight w:val="none"/>
        </w:rPr>
        <w:t>三、若出现上述行为，我单位确认投标无效、承诺书虚假，接受相关部门按照国家法律法规等有关规定对我单位虚假承诺所给予的处理。</w:t>
      </w:r>
    </w:p>
    <w:p w14:paraId="49B47060">
      <w:pPr>
        <w:tabs>
          <w:tab w:val="left" w:pos="9365"/>
        </w:tabs>
        <w:spacing w:before="57" w:after="57" w:line="586" w:lineRule="atLeast"/>
        <w:ind w:right="85"/>
        <w:jc w:val="left"/>
        <w:textAlignment w:val="top"/>
        <w:rPr>
          <w:rFonts w:ascii="宋体" w:hAnsi="宋体" w:cs="宋体"/>
          <w:color w:val="auto"/>
          <w:sz w:val="24"/>
          <w:szCs w:val="24"/>
          <w:highlight w:val="none"/>
        </w:rPr>
      </w:pPr>
      <w:r>
        <w:rPr>
          <w:rFonts w:hint="eastAsia" w:ascii="宋体" w:hAnsi="宋体" w:cs="宋体"/>
          <w:color w:val="auto"/>
          <w:sz w:val="24"/>
          <w:szCs w:val="24"/>
          <w:highlight w:val="none"/>
        </w:rPr>
        <w:t> </w:t>
      </w:r>
    </w:p>
    <w:p w14:paraId="1751E53A">
      <w:pPr>
        <w:snapToGrid w:val="0"/>
        <w:spacing w:before="100" w:beforeAutospacing="1" w:after="100" w:afterAutospacing="1" w:line="700" w:lineRule="exact"/>
        <w:ind w:right="641"/>
        <w:rPr>
          <w:rFonts w:ascii="宋体" w:hAnsi="宋体" w:cs="宋体"/>
          <w:color w:val="auto"/>
          <w:sz w:val="24"/>
          <w:szCs w:val="24"/>
          <w:highlight w:val="none"/>
        </w:rPr>
      </w:pPr>
      <w:r>
        <w:rPr>
          <w:rFonts w:hint="eastAsia" w:ascii="宋体" w:hAnsi="宋体" w:cs="宋体"/>
          <w:color w:val="auto"/>
          <w:sz w:val="24"/>
          <w:highlight w:val="none"/>
        </w:rPr>
        <w:t>供应商</w:t>
      </w:r>
      <w:r>
        <w:rPr>
          <w:rFonts w:hint="eastAsia" w:ascii="宋体" w:hAnsi="宋体" w:cs="宋体"/>
          <w:color w:val="auto"/>
          <w:sz w:val="24"/>
          <w:szCs w:val="24"/>
          <w:highlight w:val="none"/>
        </w:rPr>
        <w:t>（电子签章）：</w:t>
      </w:r>
    </w:p>
    <w:p w14:paraId="2E7C056A">
      <w:pPr>
        <w:snapToGrid w:val="0"/>
        <w:spacing w:before="100" w:beforeAutospacing="1" w:after="100" w:afterAutospacing="1" w:line="700" w:lineRule="exact"/>
        <w:ind w:right="641"/>
        <w:rPr>
          <w:rFonts w:ascii="宋体" w:hAnsi="宋体" w:cs="宋体"/>
          <w:color w:val="auto"/>
          <w:sz w:val="24"/>
          <w:szCs w:val="24"/>
          <w:highlight w:val="none"/>
        </w:rPr>
      </w:pPr>
      <w:r>
        <w:rPr>
          <w:rFonts w:hint="eastAsia" w:ascii="宋体" w:hAnsi="宋体" w:cs="宋体"/>
          <w:color w:val="auto"/>
          <w:sz w:val="24"/>
          <w:szCs w:val="24"/>
          <w:highlight w:val="none"/>
        </w:rPr>
        <w:t>法定代表人（电子签名）：</w:t>
      </w:r>
    </w:p>
    <w:p w14:paraId="0654C682">
      <w:pPr>
        <w:widowControl w:val="0"/>
        <w:tabs>
          <w:tab w:val="left" w:pos="9365"/>
        </w:tabs>
        <w:snapToGrid w:val="0"/>
        <w:spacing w:after="56" w:line="560" w:lineRule="exact"/>
        <w:ind w:right="85"/>
        <w:jc w:val="left"/>
        <w:textAlignment w:val="top"/>
        <w:rPr>
          <w:rFonts w:ascii="宋体" w:hAnsi="宋体" w:cs="宋体"/>
          <w:color w:val="auto"/>
          <w:sz w:val="24"/>
          <w:szCs w:val="24"/>
          <w:highlight w:val="none"/>
        </w:rPr>
      </w:pPr>
      <w:r>
        <w:rPr>
          <w:rFonts w:hint="eastAsia" w:ascii="宋体" w:hAnsi="宋体" w:cs="宋体"/>
          <w:color w:val="auto"/>
          <w:sz w:val="24"/>
          <w:szCs w:val="24"/>
          <w:highlight w:val="none"/>
        </w:rPr>
        <w:t>日期：</w:t>
      </w:r>
      <w:r>
        <w:rPr>
          <w:rFonts w:hint="eastAsia" w:ascii="宋体" w:hAnsi="宋体" w:cs="宋体"/>
          <w:color w:val="auto"/>
          <w:sz w:val="24"/>
          <w:highlight w:val="none"/>
          <w:lang w:val="zh-CN"/>
        </w:rPr>
        <w:t xml:space="preserve">  年   月   日</w:t>
      </w:r>
    </w:p>
    <w:p w14:paraId="2487A71F">
      <w:pPr>
        <w:autoSpaceDE w:val="0"/>
        <w:autoSpaceDN w:val="0"/>
        <w:adjustRightInd w:val="0"/>
        <w:spacing w:line="360" w:lineRule="auto"/>
        <w:jc w:val="center"/>
        <w:rPr>
          <w:rFonts w:ascii="宋体" w:hAnsi="宋体" w:cs="宋体"/>
          <w:color w:val="auto"/>
          <w:sz w:val="24"/>
          <w:szCs w:val="24"/>
          <w:highlight w:val="none"/>
        </w:rPr>
      </w:pPr>
    </w:p>
    <w:p w14:paraId="50938C86">
      <w:pPr>
        <w:autoSpaceDE w:val="0"/>
        <w:autoSpaceDN w:val="0"/>
        <w:adjustRightInd w:val="0"/>
        <w:spacing w:line="360" w:lineRule="auto"/>
        <w:jc w:val="center"/>
        <w:rPr>
          <w:rFonts w:ascii="宋体" w:hAnsi="宋体" w:cs="宋体"/>
          <w:color w:val="auto"/>
          <w:sz w:val="24"/>
          <w:szCs w:val="24"/>
          <w:highlight w:val="none"/>
        </w:rPr>
      </w:pPr>
    </w:p>
    <w:p w14:paraId="20E94A88">
      <w:pPr>
        <w:autoSpaceDE w:val="0"/>
        <w:autoSpaceDN w:val="0"/>
        <w:adjustRightInd w:val="0"/>
        <w:spacing w:line="360" w:lineRule="auto"/>
        <w:jc w:val="center"/>
        <w:rPr>
          <w:rFonts w:ascii="宋体" w:hAnsi="宋体" w:cs="宋体"/>
          <w:color w:val="auto"/>
          <w:sz w:val="24"/>
          <w:szCs w:val="24"/>
          <w:highlight w:val="none"/>
        </w:rPr>
      </w:pPr>
    </w:p>
    <w:p w14:paraId="633A3746">
      <w:pPr>
        <w:autoSpaceDE w:val="0"/>
        <w:autoSpaceDN w:val="0"/>
        <w:adjustRightInd w:val="0"/>
        <w:spacing w:line="360" w:lineRule="auto"/>
        <w:jc w:val="center"/>
        <w:rPr>
          <w:rFonts w:ascii="宋体" w:hAnsi="宋体" w:cs="宋体"/>
          <w:color w:val="auto"/>
          <w:sz w:val="24"/>
          <w:szCs w:val="24"/>
          <w:highlight w:val="none"/>
        </w:rPr>
      </w:pPr>
    </w:p>
    <w:p w14:paraId="528C251E">
      <w:pPr>
        <w:autoSpaceDE w:val="0"/>
        <w:autoSpaceDN w:val="0"/>
        <w:adjustRightInd w:val="0"/>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br w:type="page"/>
      </w:r>
    </w:p>
    <w:p w14:paraId="66B923F1">
      <w:pPr>
        <w:autoSpaceDE w:val="0"/>
        <w:autoSpaceDN w:val="0"/>
        <w:adjustRightInd w:val="0"/>
        <w:spacing w:line="360" w:lineRule="auto"/>
        <w:jc w:val="center"/>
        <w:rPr>
          <w:rFonts w:ascii="宋体" w:hAnsi="宋体" w:cs="宋体"/>
          <w:b/>
          <w:color w:val="auto"/>
          <w:sz w:val="30"/>
          <w:szCs w:val="30"/>
          <w:highlight w:val="none"/>
        </w:rPr>
      </w:pPr>
      <w:r>
        <w:rPr>
          <w:rFonts w:hint="eastAsia" w:ascii="宋体" w:hAnsi="宋体" w:cs="宋体"/>
          <w:b/>
          <w:color w:val="auto"/>
          <w:sz w:val="30"/>
          <w:szCs w:val="30"/>
          <w:highlight w:val="none"/>
        </w:rPr>
        <w:t>投标承诺函</w:t>
      </w:r>
    </w:p>
    <w:p w14:paraId="75D2F9DA">
      <w:pPr>
        <w:widowControl w:val="0"/>
        <w:autoSpaceDE w:val="0"/>
        <w:autoSpaceDN w:val="0"/>
        <w:adjustRightInd w:val="0"/>
        <w:spacing w:line="240" w:lineRule="auto"/>
        <w:jc w:val="center"/>
        <w:textAlignment w:val="auto"/>
        <w:rPr>
          <w:rFonts w:ascii="宋体" w:hAnsi="宋体" w:cs="宋体"/>
          <w:b/>
          <w:color w:val="auto"/>
          <w:sz w:val="30"/>
          <w:szCs w:val="30"/>
          <w:highlight w:val="none"/>
        </w:rPr>
      </w:pPr>
      <w:r>
        <w:rPr>
          <w:rFonts w:hint="eastAsia" w:ascii="宋体" w:hAnsi="宋体" w:cs="宋体"/>
          <w:b/>
          <w:color w:val="auto"/>
          <w:sz w:val="30"/>
          <w:szCs w:val="30"/>
          <w:highlight w:val="none"/>
        </w:rPr>
        <w:t>（以投标承诺函形式，替代投标保证金的相关承诺事项）</w:t>
      </w:r>
    </w:p>
    <w:p w14:paraId="17997CC1">
      <w:pPr>
        <w:widowControl w:val="0"/>
        <w:tabs>
          <w:tab w:val="left" w:pos="9365"/>
        </w:tabs>
        <w:spacing w:before="360" w:after="360" w:line="360" w:lineRule="auto"/>
        <w:ind w:right="85"/>
        <w:jc w:val="left"/>
        <w:textAlignment w:val="top"/>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致：</w:t>
      </w:r>
      <w:r>
        <w:rPr>
          <w:rFonts w:hint="eastAsia" w:ascii="宋体" w:hAnsi="宋体" w:cs="宋体"/>
          <w:color w:val="auto"/>
          <w:sz w:val="24"/>
          <w:szCs w:val="24"/>
          <w:highlight w:val="none"/>
          <w:u w:val="single"/>
        </w:rPr>
        <w:t xml:space="preserve">    </w:t>
      </w:r>
      <w:r>
        <w:rPr>
          <w:rFonts w:hint="eastAsia" w:ascii="宋体" w:hAnsi="宋体" w:cs="宋体"/>
          <w:color w:val="auto"/>
          <w:spacing w:val="11"/>
          <w:sz w:val="24"/>
          <w:szCs w:val="24"/>
          <w:highlight w:val="none"/>
          <w:u w:val="single"/>
        </w:rPr>
        <w:t>(采购人名称） 、</w:t>
      </w:r>
      <w:r>
        <w:rPr>
          <w:rFonts w:hint="eastAsia" w:ascii="宋体" w:hAnsi="宋体" w:cs="宋体"/>
          <w:color w:val="auto"/>
          <w:sz w:val="24"/>
          <w:szCs w:val="24"/>
          <w:highlight w:val="none"/>
          <w:lang w:eastAsia="zh-CN"/>
        </w:rPr>
        <w:t>诚安工程管理有限公司</w:t>
      </w:r>
    </w:p>
    <w:p w14:paraId="670A9186">
      <w:pPr>
        <w:widowControl w:val="0"/>
        <w:tabs>
          <w:tab w:val="left" w:pos="65"/>
        </w:tabs>
        <w:spacing w:line="460" w:lineRule="atLeast"/>
        <w:ind w:firstLine="480" w:firstLineChars="200"/>
        <w:textAlignment w:val="auto"/>
        <w:rPr>
          <w:rFonts w:ascii="宋体" w:hAnsi="宋体" w:cs="宋体"/>
          <w:color w:val="auto"/>
          <w:sz w:val="24"/>
          <w:szCs w:val="24"/>
          <w:highlight w:val="none"/>
          <w:lang w:val="zh-CN"/>
        </w:rPr>
      </w:pPr>
      <w:r>
        <w:rPr>
          <w:rFonts w:hint="eastAsia" w:ascii="宋体" w:hAnsi="宋体" w:cs="宋体"/>
          <w:color w:val="auto"/>
          <w:sz w:val="24"/>
          <w:szCs w:val="24"/>
          <w:highlight w:val="none"/>
        </w:rPr>
        <w:t>在项目编号为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的</w:t>
      </w:r>
      <w:r>
        <w:rPr>
          <w:rFonts w:hint="eastAsia" w:ascii="宋体" w:hAnsi="宋体" w:cs="宋体"/>
          <w:color w:val="auto"/>
          <w:sz w:val="24"/>
          <w:szCs w:val="24"/>
          <w:highlight w:val="none"/>
          <w:u w:val="single"/>
        </w:rPr>
        <w:t xml:space="preserve">    （项目名称）  </w:t>
      </w:r>
      <w:r>
        <w:rPr>
          <w:rFonts w:hint="eastAsia" w:ascii="宋体" w:hAnsi="宋体" w:cs="宋体"/>
          <w:color w:val="auto"/>
          <w:sz w:val="24"/>
          <w:szCs w:val="24"/>
          <w:highlight w:val="none"/>
        </w:rPr>
        <w:t>采购活动中，我</w:t>
      </w:r>
      <w:r>
        <w:rPr>
          <w:rFonts w:hint="eastAsia" w:ascii="宋体" w:hAnsi="宋体" w:cs="宋体"/>
          <w:color w:val="auto"/>
          <w:sz w:val="24"/>
          <w:highlight w:val="none"/>
        </w:rPr>
        <w:t>单位</w:t>
      </w:r>
      <w:r>
        <w:rPr>
          <w:rFonts w:hint="eastAsia" w:ascii="宋体" w:hAnsi="宋体" w:cs="宋体"/>
          <w:color w:val="auto"/>
          <w:sz w:val="24"/>
          <w:szCs w:val="24"/>
          <w:highlight w:val="none"/>
        </w:rPr>
        <w:t>承诺：</w:t>
      </w:r>
    </w:p>
    <w:p w14:paraId="75CA23A3">
      <w:pPr>
        <w:widowControl w:val="0"/>
        <w:tabs>
          <w:tab w:val="left" w:pos="65"/>
        </w:tabs>
        <w:spacing w:line="460" w:lineRule="atLeas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一、遵循公开、公平、公正和</w:t>
      </w:r>
      <w:r>
        <w:rPr>
          <w:color w:val="auto"/>
          <w:highlight w:val="none"/>
        </w:rPr>
        <w:fldChar w:fldCharType="begin"/>
      </w:r>
      <w:r>
        <w:rPr>
          <w:color w:val="auto"/>
          <w:highlight w:val="none"/>
        </w:rPr>
        <w:instrText xml:space="preserve"> HYPERLINK "http://www.so.com/s?q=%E8%AF%9A%E5%AE%9E%E4%BF%A1%E7%94%A8&amp;ie=utf-8&amp;src=internal_wenda_recommend_textn" \t "https://wenda.so.com/q/_blank" </w:instrText>
      </w:r>
      <w:r>
        <w:rPr>
          <w:color w:val="auto"/>
          <w:highlight w:val="none"/>
        </w:rPr>
        <w:fldChar w:fldCharType="separate"/>
      </w:r>
      <w:r>
        <w:rPr>
          <w:rFonts w:hint="eastAsia" w:ascii="宋体" w:hAnsi="宋体" w:cs="宋体"/>
          <w:color w:val="auto"/>
          <w:sz w:val="24"/>
          <w:szCs w:val="24"/>
          <w:highlight w:val="none"/>
        </w:rPr>
        <w:t>诚实信用</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t>的原则自愿参加本项目投标；</w:t>
      </w:r>
    </w:p>
    <w:p w14:paraId="1A4DFC1C">
      <w:pPr>
        <w:widowControl w:val="0"/>
        <w:tabs>
          <w:tab w:val="left" w:pos="65"/>
        </w:tabs>
        <w:spacing w:line="460" w:lineRule="atLeas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 xml:space="preserve">    二、在政府采购活动中提供真实、准确、有效、合法的材料，不</w:t>
      </w:r>
      <w:r>
        <w:rPr>
          <w:rFonts w:hint="eastAsia" w:ascii="宋体" w:hAnsi="宋体" w:cs="宋体"/>
          <w:color w:val="auto"/>
          <w:sz w:val="24"/>
          <w:szCs w:val="24"/>
          <w:highlight w:val="none"/>
          <w:lang w:val="zh-CN"/>
        </w:rPr>
        <w:t>提供虚假材料；</w:t>
      </w:r>
    </w:p>
    <w:p w14:paraId="1A4B1470">
      <w:pPr>
        <w:widowControl w:val="0"/>
        <w:tabs>
          <w:tab w:val="left" w:pos="65"/>
        </w:tabs>
        <w:spacing w:line="460" w:lineRule="atLeast"/>
        <w:ind w:firstLine="480" w:firstLineChars="200"/>
        <w:textAlignment w:val="auto"/>
        <w:rPr>
          <w:rFonts w:ascii="宋体" w:hAnsi="宋体" w:cs="宋体"/>
          <w:color w:val="auto"/>
          <w:sz w:val="24"/>
          <w:szCs w:val="24"/>
          <w:highlight w:val="none"/>
          <w:lang w:val="zh-CN"/>
        </w:rPr>
      </w:pPr>
      <w:r>
        <w:rPr>
          <w:rFonts w:hint="eastAsia" w:ascii="宋体" w:hAnsi="宋体" w:cs="宋体"/>
          <w:color w:val="auto"/>
          <w:sz w:val="24"/>
          <w:szCs w:val="24"/>
          <w:highlight w:val="none"/>
        </w:rPr>
        <w:t>三、</w:t>
      </w:r>
      <w:r>
        <w:rPr>
          <w:rFonts w:hint="eastAsia" w:ascii="宋体" w:hAnsi="宋体" w:cs="宋体"/>
          <w:color w:val="auto"/>
          <w:sz w:val="24"/>
          <w:szCs w:val="24"/>
          <w:highlight w:val="none"/>
          <w:lang w:val="zh-CN"/>
        </w:rPr>
        <w:t>按照</w:t>
      </w:r>
      <w:r>
        <w:rPr>
          <w:rFonts w:hint="eastAsia" w:ascii="宋体" w:hAnsi="宋体" w:cs="宋体"/>
          <w:color w:val="auto"/>
          <w:sz w:val="24"/>
          <w:szCs w:val="24"/>
          <w:highlight w:val="none"/>
        </w:rPr>
        <w:t>磋商</w:t>
      </w:r>
      <w:r>
        <w:rPr>
          <w:rFonts w:hint="eastAsia" w:ascii="宋体" w:hAnsi="宋体" w:cs="宋体"/>
          <w:color w:val="auto"/>
          <w:sz w:val="24"/>
          <w:szCs w:val="24"/>
          <w:highlight w:val="none"/>
          <w:lang w:val="zh-CN"/>
        </w:rPr>
        <w:t>文件规定，在提交响应文件截止时间后，在</w:t>
      </w:r>
      <w:r>
        <w:rPr>
          <w:rFonts w:hint="eastAsia" w:ascii="宋体" w:hAnsi="宋体" w:cs="宋体"/>
          <w:color w:val="auto"/>
          <w:sz w:val="24"/>
          <w:szCs w:val="24"/>
          <w:highlight w:val="none"/>
        </w:rPr>
        <w:t>磋商</w:t>
      </w:r>
      <w:r>
        <w:rPr>
          <w:rFonts w:hint="eastAsia" w:ascii="宋体" w:hAnsi="宋体" w:cs="宋体"/>
          <w:color w:val="auto"/>
          <w:sz w:val="24"/>
          <w:szCs w:val="24"/>
          <w:highlight w:val="none"/>
          <w:lang w:val="zh-CN"/>
        </w:rPr>
        <w:t>文件规定的投标有效期限内不撤回响应文件；</w:t>
      </w:r>
    </w:p>
    <w:p w14:paraId="0A852F58">
      <w:pPr>
        <w:widowControl w:val="0"/>
        <w:tabs>
          <w:tab w:val="left" w:pos="65"/>
        </w:tabs>
        <w:spacing w:line="460" w:lineRule="atLeast"/>
        <w:ind w:firstLine="480" w:firstLineChars="200"/>
        <w:textAlignment w:val="auto"/>
        <w:rPr>
          <w:rFonts w:ascii="宋体" w:hAnsi="宋体" w:cs="宋体"/>
          <w:color w:val="auto"/>
          <w:sz w:val="24"/>
          <w:szCs w:val="24"/>
          <w:highlight w:val="none"/>
          <w:lang w:val="zh-CN"/>
        </w:rPr>
      </w:pPr>
      <w:r>
        <w:rPr>
          <w:rFonts w:hint="eastAsia" w:ascii="宋体" w:hAnsi="宋体" w:cs="宋体"/>
          <w:color w:val="auto"/>
          <w:sz w:val="24"/>
          <w:szCs w:val="24"/>
          <w:highlight w:val="none"/>
        </w:rPr>
        <w:t>四、不</w:t>
      </w:r>
      <w:r>
        <w:rPr>
          <w:rFonts w:hint="eastAsia" w:ascii="宋体" w:hAnsi="宋体" w:cs="宋体"/>
          <w:color w:val="auto"/>
          <w:sz w:val="24"/>
          <w:szCs w:val="24"/>
          <w:highlight w:val="none"/>
          <w:lang w:val="zh-CN"/>
        </w:rPr>
        <w:t>与其他供应商、采购人或采购代理机构串通或恶意串通。</w:t>
      </w:r>
    </w:p>
    <w:p w14:paraId="3C4DAFA9">
      <w:pPr>
        <w:widowControl w:val="0"/>
        <w:tabs>
          <w:tab w:val="left" w:pos="65"/>
        </w:tabs>
        <w:spacing w:line="460" w:lineRule="atLeast"/>
        <w:ind w:firstLine="480" w:firstLineChars="200"/>
        <w:textAlignment w:val="auto"/>
        <w:rPr>
          <w:rFonts w:ascii="宋体" w:hAnsi="宋体" w:cs="宋体"/>
          <w:color w:val="auto"/>
          <w:sz w:val="24"/>
          <w:szCs w:val="24"/>
          <w:highlight w:val="none"/>
          <w:lang w:val="zh-CN"/>
        </w:rPr>
      </w:pPr>
      <w:r>
        <w:rPr>
          <w:rFonts w:hint="eastAsia" w:ascii="宋体" w:hAnsi="宋体" w:cs="宋体"/>
          <w:color w:val="auto"/>
          <w:sz w:val="24"/>
          <w:szCs w:val="24"/>
          <w:highlight w:val="none"/>
        </w:rPr>
        <w:t>五、如我单位中标，</w:t>
      </w:r>
      <w:r>
        <w:rPr>
          <w:rFonts w:hint="eastAsia" w:ascii="宋体" w:hAnsi="宋体" w:cs="宋体"/>
          <w:color w:val="auto"/>
          <w:sz w:val="24"/>
          <w:szCs w:val="24"/>
          <w:highlight w:val="none"/>
          <w:lang w:val="zh-CN"/>
        </w:rPr>
        <w:t>除不可抗拒力或</w:t>
      </w:r>
      <w:r>
        <w:rPr>
          <w:rFonts w:hint="eastAsia" w:ascii="宋体" w:hAnsi="宋体" w:cs="宋体"/>
          <w:color w:val="auto"/>
          <w:sz w:val="24"/>
          <w:szCs w:val="24"/>
          <w:highlight w:val="none"/>
        </w:rPr>
        <w:t>磋商</w:t>
      </w:r>
      <w:r>
        <w:rPr>
          <w:rFonts w:hint="eastAsia" w:ascii="宋体" w:hAnsi="宋体" w:cs="宋体"/>
          <w:color w:val="auto"/>
          <w:sz w:val="24"/>
          <w:szCs w:val="24"/>
          <w:highlight w:val="none"/>
          <w:lang w:val="zh-CN"/>
        </w:rPr>
        <w:t>文件认可的情形外</w:t>
      </w:r>
      <w:r>
        <w:rPr>
          <w:rFonts w:hint="eastAsia" w:ascii="宋体" w:hAnsi="宋体" w:cs="宋体"/>
          <w:color w:val="auto"/>
          <w:sz w:val="24"/>
          <w:szCs w:val="24"/>
          <w:highlight w:val="none"/>
        </w:rPr>
        <w:t>，我单位承诺及时领取中标通知书，</w:t>
      </w:r>
      <w:r>
        <w:rPr>
          <w:rFonts w:hint="eastAsia" w:ascii="宋体" w:hAnsi="宋体" w:cs="宋体"/>
          <w:color w:val="auto"/>
          <w:sz w:val="24"/>
          <w:szCs w:val="24"/>
          <w:highlight w:val="none"/>
          <w:lang w:val="zh-CN"/>
        </w:rPr>
        <w:t>在成交通知书规定时间、地点与采购人签订合同；</w:t>
      </w:r>
    </w:p>
    <w:p w14:paraId="50D7E587">
      <w:pPr>
        <w:widowControl w:val="0"/>
        <w:tabs>
          <w:tab w:val="left" w:pos="65"/>
        </w:tabs>
        <w:spacing w:line="460" w:lineRule="atLeas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 xml:space="preserve">    六、</w:t>
      </w:r>
      <w:r>
        <w:rPr>
          <w:rFonts w:hint="eastAsia" w:ascii="宋体" w:hAnsi="宋体" w:cs="宋体"/>
          <w:color w:val="auto"/>
          <w:sz w:val="24"/>
          <w:szCs w:val="24"/>
          <w:highlight w:val="none"/>
          <w:lang w:val="zh-CN"/>
        </w:rPr>
        <w:t>遵守法律法规及</w:t>
      </w:r>
      <w:r>
        <w:rPr>
          <w:rFonts w:hint="eastAsia" w:ascii="宋体" w:hAnsi="宋体" w:cs="宋体"/>
          <w:color w:val="auto"/>
          <w:sz w:val="24"/>
          <w:szCs w:val="24"/>
          <w:highlight w:val="none"/>
        </w:rPr>
        <w:t>磋商</w:t>
      </w:r>
      <w:r>
        <w:rPr>
          <w:rFonts w:hint="eastAsia" w:ascii="宋体" w:hAnsi="宋体" w:cs="宋体"/>
          <w:color w:val="auto"/>
          <w:sz w:val="24"/>
          <w:szCs w:val="24"/>
          <w:highlight w:val="none"/>
          <w:lang w:val="zh-CN"/>
        </w:rPr>
        <w:t>文件规定的其他情况；</w:t>
      </w:r>
    </w:p>
    <w:p w14:paraId="1BC6E4DD">
      <w:pPr>
        <w:widowControl w:val="0"/>
        <w:tabs>
          <w:tab w:val="left" w:pos="65"/>
        </w:tabs>
        <w:spacing w:line="460" w:lineRule="atLeas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七、按磋商文件规定及时缴纳中标服务费。</w:t>
      </w:r>
    </w:p>
    <w:p w14:paraId="6B35156C">
      <w:pPr>
        <w:widowControl w:val="0"/>
        <w:tabs>
          <w:tab w:val="left" w:pos="65"/>
        </w:tabs>
        <w:spacing w:line="460" w:lineRule="atLeas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八、违背上述承诺事项的，我单位无条件接受以下责任追究：</w:t>
      </w:r>
    </w:p>
    <w:p w14:paraId="5D6819FF">
      <w:pPr>
        <w:widowControl w:val="0"/>
        <w:tabs>
          <w:tab w:val="left" w:pos="65"/>
        </w:tabs>
        <w:spacing w:line="460" w:lineRule="atLeast"/>
        <w:ind w:firstLine="480" w:firstLineChars="200"/>
        <w:textAlignment w:val="auto"/>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（一）法定责任：</w:t>
      </w:r>
      <w:r>
        <w:rPr>
          <w:rFonts w:hint="eastAsia" w:ascii="宋体" w:hAnsi="宋体" w:cs="宋体"/>
          <w:color w:val="auto"/>
          <w:sz w:val="24"/>
          <w:szCs w:val="24"/>
          <w:highlight w:val="none"/>
        </w:rPr>
        <w:t>按照政府采购相关法规，</w:t>
      </w:r>
      <w:r>
        <w:rPr>
          <w:rFonts w:hint="eastAsia" w:ascii="宋体" w:hAnsi="宋体" w:cs="宋体"/>
          <w:color w:val="auto"/>
          <w:sz w:val="24"/>
          <w:szCs w:val="24"/>
          <w:highlight w:val="none"/>
          <w:lang w:val="zh-CN"/>
        </w:rPr>
        <w:t>处以罚款，列入不良行为记录名单，在一至三年内禁止参加政府采购活动，有违法所得的，并处没收违法所得，情节严重的，由工商行政管理机关（市场监督机关）吊销营业执照；构成犯罪的，依法追究刑事责任。</w:t>
      </w:r>
    </w:p>
    <w:p w14:paraId="73663B3C">
      <w:pPr>
        <w:widowControl w:val="0"/>
        <w:tabs>
          <w:tab w:val="left" w:pos="65"/>
        </w:tabs>
        <w:spacing w:line="460" w:lineRule="atLeast"/>
        <w:ind w:firstLine="480" w:firstLineChars="200"/>
        <w:textAlignment w:val="auto"/>
        <w:rPr>
          <w:rFonts w:ascii="宋体" w:hAnsi="宋体" w:cs="宋体"/>
          <w:color w:val="auto"/>
          <w:sz w:val="24"/>
          <w:szCs w:val="24"/>
          <w:highlight w:val="none"/>
          <w:lang w:val="zh-CN"/>
        </w:rPr>
      </w:pPr>
      <w:r>
        <w:rPr>
          <w:rFonts w:hint="eastAsia" w:ascii="宋体" w:hAnsi="宋体" w:cs="宋体"/>
          <w:color w:val="auto"/>
          <w:sz w:val="24"/>
          <w:szCs w:val="24"/>
          <w:highlight w:val="none"/>
        </w:rPr>
        <w:t>给采购人及他人造成损失的，愿承担相应的赔偿责任。</w:t>
      </w:r>
    </w:p>
    <w:p w14:paraId="718989D6">
      <w:pPr>
        <w:widowControl w:val="0"/>
        <w:tabs>
          <w:tab w:val="left" w:pos="65"/>
        </w:tabs>
        <w:spacing w:line="460" w:lineRule="atLeas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lang w:val="zh-CN"/>
        </w:rPr>
        <w:t>（二）违约责任：</w:t>
      </w:r>
      <w:r>
        <w:rPr>
          <w:rFonts w:hint="eastAsia" w:ascii="宋体" w:hAnsi="宋体" w:cs="宋体"/>
          <w:color w:val="auto"/>
          <w:sz w:val="24"/>
          <w:szCs w:val="24"/>
          <w:highlight w:val="none"/>
        </w:rPr>
        <w:t xml:space="preserve"> </w:t>
      </w:r>
    </w:p>
    <w:p w14:paraId="47C8C840">
      <w:pPr>
        <w:widowControl w:val="0"/>
        <w:tabs>
          <w:tab w:val="left" w:pos="65"/>
        </w:tabs>
        <w:spacing w:line="460" w:lineRule="atLeas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1、已中标的，中标（成交）无效；</w:t>
      </w:r>
    </w:p>
    <w:p w14:paraId="02E113C0">
      <w:pPr>
        <w:widowControl w:val="0"/>
        <w:tabs>
          <w:tab w:val="left" w:pos="65"/>
        </w:tabs>
        <w:spacing w:line="460" w:lineRule="atLeas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2、支付采购人违约标的预算金额2%的</w:t>
      </w:r>
      <w:r>
        <w:rPr>
          <w:rFonts w:hint="eastAsia" w:ascii="宋体" w:hAnsi="宋体" w:cs="宋体"/>
          <w:color w:val="auto"/>
          <w:sz w:val="24"/>
          <w:szCs w:val="24"/>
          <w:highlight w:val="none"/>
          <w:lang w:val="zh-CN"/>
        </w:rPr>
        <w:t>违约金</w:t>
      </w:r>
      <w:r>
        <w:rPr>
          <w:rFonts w:hint="eastAsia" w:ascii="宋体" w:hAnsi="宋体" w:cs="宋体"/>
          <w:color w:val="auto"/>
          <w:sz w:val="24"/>
          <w:szCs w:val="24"/>
          <w:highlight w:val="none"/>
        </w:rPr>
        <w:t>；</w:t>
      </w:r>
    </w:p>
    <w:p w14:paraId="5EDF01C5">
      <w:pPr>
        <w:widowControl w:val="0"/>
        <w:tabs>
          <w:tab w:val="left" w:pos="65"/>
        </w:tabs>
        <w:spacing w:line="460" w:lineRule="atLeast"/>
        <w:ind w:firstLine="480" w:firstLineChars="200"/>
        <w:textAlignment w:val="auto"/>
        <w:rPr>
          <w:rFonts w:ascii="宋体" w:hAnsi="宋体" w:cs="宋体"/>
          <w:color w:val="auto"/>
          <w:sz w:val="24"/>
          <w:szCs w:val="24"/>
          <w:highlight w:val="none"/>
          <w:lang w:val="zh-CN"/>
        </w:rPr>
      </w:pPr>
      <w:r>
        <w:rPr>
          <w:rFonts w:hint="eastAsia" w:ascii="宋体" w:hAnsi="宋体" w:cs="宋体"/>
          <w:color w:val="auto"/>
          <w:sz w:val="24"/>
          <w:szCs w:val="24"/>
          <w:highlight w:val="none"/>
        </w:rPr>
        <w:t>3、中标后未缴中标服务费的，作为违约及违背</w:t>
      </w:r>
      <w:r>
        <w:rPr>
          <w:color w:val="auto"/>
          <w:highlight w:val="none"/>
        </w:rPr>
        <w:fldChar w:fldCharType="begin"/>
      </w:r>
      <w:r>
        <w:rPr>
          <w:color w:val="auto"/>
          <w:highlight w:val="none"/>
        </w:rPr>
        <w:instrText xml:space="preserve"> HYPERLINK "http://www.so.com/s?q=%E8%AF%9A%E5%AE%9E%E4%BF%A1%E7%94%A8&amp;ie=utf-8&amp;src=internal_wenda_recommend_textn" \t "https://wenda.so.com/q/_blank" </w:instrText>
      </w:r>
      <w:r>
        <w:rPr>
          <w:color w:val="auto"/>
          <w:highlight w:val="none"/>
        </w:rPr>
        <w:fldChar w:fldCharType="separate"/>
      </w:r>
      <w:r>
        <w:rPr>
          <w:rFonts w:hint="eastAsia" w:ascii="宋体" w:hAnsi="宋体" w:cs="宋体"/>
          <w:color w:val="auto"/>
          <w:sz w:val="24"/>
          <w:szCs w:val="24"/>
          <w:highlight w:val="none"/>
        </w:rPr>
        <w:t>诚实信用</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t>原则，在履行承诺前，代理机构将视我单位为失信企业、不予办理其后相关业务。</w:t>
      </w:r>
    </w:p>
    <w:p w14:paraId="7054A0DE">
      <w:pPr>
        <w:widowControl w:val="0"/>
        <w:autoSpaceDE w:val="0"/>
        <w:autoSpaceDN w:val="0"/>
        <w:adjustRightInd w:val="0"/>
        <w:spacing w:line="460" w:lineRule="atLeast"/>
        <w:ind w:left="-2" w:right="-817" w:hanging="149"/>
        <w:textAlignment w:val="auto"/>
        <w:rPr>
          <w:rFonts w:ascii="宋体" w:hAnsi="宋体" w:cs="宋体"/>
          <w:color w:val="auto"/>
          <w:sz w:val="24"/>
          <w:highlight w:val="none"/>
          <w:lang w:val="zh-CN"/>
        </w:rPr>
      </w:pPr>
    </w:p>
    <w:p w14:paraId="10F00C1B">
      <w:pPr>
        <w:widowControl w:val="0"/>
        <w:tabs>
          <w:tab w:val="left" w:pos="9365"/>
        </w:tabs>
        <w:snapToGrid w:val="0"/>
        <w:spacing w:after="56" w:line="560" w:lineRule="exact"/>
        <w:ind w:right="85"/>
        <w:jc w:val="left"/>
        <w:textAlignment w:val="top"/>
        <w:rPr>
          <w:rFonts w:ascii="宋体" w:hAnsi="宋体" w:cs="宋体"/>
          <w:color w:val="auto"/>
          <w:sz w:val="24"/>
          <w:szCs w:val="24"/>
          <w:highlight w:val="none"/>
        </w:rPr>
      </w:pPr>
      <w:r>
        <w:rPr>
          <w:rFonts w:hint="eastAsia" w:ascii="宋体" w:hAnsi="宋体" w:cs="宋体"/>
          <w:color w:val="auto"/>
          <w:sz w:val="24"/>
          <w:highlight w:val="none"/>
        </w:rPr>
        <w:t>供应商</w:t>
      </w:r>
      <w:r>
        <w:rPr>
          <w:rFonts w:hint="eastAsia" w:ascii="宋体" w:hAnsi="宋体" w:cs="宋体"/>
          <w:color w:val="auto"/>
          <w:sz w:val="24"/>
          <w:szCs w:val="24"/>
          <w:highlight w:val="none"/>
        </w:rPr>
        <w:t>（电子签章）：</w:t>
      </w:r>
    </w:p>
    <w:p w14:paraId="3926682F">
      <w:pPr>
        <w:widowControl w:val="0"/>
        <w:tabs>
          <w:tab w:val="left" w:pos="9365"/>
        </w:tabs>
        <w:snapToGrid w:val="0"/>
        <w:spacing w:after="56" w:line="560" w:lineRule="exact"/>
        <w:ind w:right="85"/>
        <w:jc w:val="left"/>
        <w:textAlignment w:val="top"/>
        <w:rPr>
          <w:rFonts w:ascii="宋体" w:hAnsi="宋体" w:cs="宋体"/>
          <w:color w:val="auto"/>
          <w:sz w:val="24"/>
          <w:szCs w:val="24"/>
          <w:highlight w:val="none"/>
        </w:rPr>
      </w:pPr>
      <w:r>
        <w:rPr>
          <w:rFonts w:hint="eastAsia" w:ascii="宋体" w:hAnsi="宋体" w:cs="宋体"/>
          <w:color w:val="auto"/>
          <w:sz w:val="24"/>
          <w:szCs w:val="24"/>
          <w:highlight w:val="none"/>
        </w:rPr>
        <w:t xml:space="preserve">法定代表人（签字）：            </w:t>
      </w:r>
    </w:p>
    <w:p w14:paraId="4252B0DD">
      <w:pPr>
        <w:widowControl w:val="0"/>
        <w:autoSpaceDE w:val="0"/>
        <w:autoSpaceDN w:val="0"/>
        <w:adjustRightInd w:val="0"/>
        <w:spacing w:line="240" w:lineRule="auto"/>
        <w:ind w:right="-816"/>
        <w:textAlignment w:val="auto"/>
        <w:rPr>
          <w:rFonts w:ascii="宋体" w:hAnsi="宋体" w:cs="宋体"/>
          <w:color w:val="auto"/>
          <w:sz w:val="24"/>
          <w:szCs w:val="24"/>
          <w:highlight w:val="none"/>
          <w:lang w:val="zh-CN"/>
        </w:rPr>
      </w:pPr>
      <w:r>
        <w:rPr>
          <w:rFonts w:hint="eastAsia" w:ascii="宋体" w:hAnsi="宋体" w:cs="宋体"/>
          <w:color w:val="auto"/>
          <w:sz w:val="24"/>
          <w:highlight w:val="none"/>
          <w:lang w:val="zh-CN"/>
        </w:rPr>
        <w:t>日期：   年   月   日</w:t>
      </w:r>
    </w:p>
    <w:p w14:paraId="2A1D9AE8">
      <w:pPr>
        <w:autoSpaceDE w:val="0"/>
        <w:autoSpaceDN w:val="0"/>
        <w:adjustRightInd w:val="0"/>
        <w:spacing w:line="360" w:lineRule="auto"/>
        <w:jc w:val="center"/>
        <w:rPr>
          <w:rFonts w:ascii="宋体" w:hAnsi="宋体" w:cs="宋体"/>
          <w:color w:val="auto"/>
          <w:sz w:val="24"/>
          <w:szCs w:val="24"/>
          <w:highlight w:val="none"/>
        </w:rPr>
      </w:pPr>
    </w:p>
    <w:p w14:paraId="1AAF85FE">
      <w:pPr>
        <w:autoSpaceDE w:val="0"/>
        <w:autoSpaceDN w:val="0"/>
        <w:adjustRightInd w:val="0"/>
        <w:spacing w:line="360" w:lineRule="auto"/>
        <w:jc w:val="center"/>
        <w:rPr>
          <w:rFonts w:ascii="宋体" w:hAnsi="宋体" w:cs="宋体"/>
          <w:color w:val="auto"/>
          <w:sz w:val="24"/>
          <w:szCs w:val="24"/>
          <w:highlight w:val="none"/>
        </w:rPr>
      </w:pPr>
    </w:p>
    <w:p w14:paraId="7CE348D0">
      <w:pPr>
        <w:autoSpaceDE w:val="0"/>
        <w:autoSpaceDN w:val="0"/>
        <w:adjustRightInd w:val="0"/>
        <w:spacing w:line="360" w:lineRule="auto"/>
        <w:jc w:val="center"/>
        <w:rPr>
          <w:rFonts w:ascii="宋体" w:hAnsi="宋体" w:cs="宋体"/>
          <w:color w:val="auto"/>
          <w:sz w:val="24"/>
          <w:szCs w:val="24"/>
          <w:highlight w:val="none"/>
        </w:rPr>
      </w:pPr>
    </w:p>
    <w:p w14:paraId="4F15773B">
      <w:pPr>
        <w:autoSpaceDE w:val="0"/>
        <w:autoSpaceDN w:val="0"/>
        <w:adjustRightInd w:val="0"/>
        <w:spacing w:line="360" w:lineRule="auto"/>
        <w:rPr>
          <w:rFonts w:ascii="宋体" w:hAnsi="宋体" w:cs="宋体"/>
          <w:b/>
          <w:color w:val="auto"/>
          <w:sz w:val="30"/>
          <w:szCs w:val="30"/>
          <w:highlight w:val="none"/>
        </w:rPr>
      </w:pPr>
      <w:r>
        <w:rPr>
          <w:rFonts w:hint="eastAsia" w:ascii="宋体" w:hAnsi="宋体" w:cs="宋体"/>
          <w:b/>
          <w:color w:val="auto"/>
          <w:sz w:val="30"/>
          <w:szCs w:val="30"/>
          <w:highlight w:val="none"/>
        </w:rPr>
        <w:t>十二、采购项目及技术服务要求所需的其他材料</w:t>
      </w:r>
    </w:p>
    <w:p w14:paraId="4E1720DB">
      <w:pPr>
        <w:widowControl w:val="0"/>
        <w:snapToGrid w:val="0"/>
        <w:spacing w:line="560" w:lineRule="exact"/>
        <w:ind w:firstLine="555"/>
        <w:rPr>
          <w:rFonts w:ascii="宋体" w:hAnsi="宋体" w:cs="宋体"/>
          <w:color w:val="auto"/>
          <w:sz w:val="24"/>
          <w:szCs w:val="24"/>
          <w:highlight w:val="none"/>
        </w:rPr>
      </w:pPr>
      <w:r>
        <w:rPr>
          <w:rFonts w:hint="eastAsia" w:ascii="宋体" w:hAnsi="宋体" w:cs="宋体"/>
          <w:color w:val="auto"/>
          <w:sz w:val="24"/>
          <w:szCs w:val="24"/>
          <w:highlight w:val="none"/>
        </w:rPr>
        <w:t>（按条款需要填列；并按条款要求电子签名&lt;签章&gt;。条款中对电子签名&lt;签章&gt;未作明确要求的，由法定代表人电子签名或供应商电子签章）</w:t>
      </w:r>
    </w:p>
    <w:p w14:paraId="0925FDF3">
      <w:pPr>
        <w:widowControl w:val="0"/>
        <w:snapToGrid w:val="0"/>
        <w:spacing w:line="560" w:lineRule="exact"/>
        <w:ind w:firstLine="555"/>
        <w:rPr>
          <w:rFonts w:ascii="宋体" w:hAnsi="宋体" w:cs="宋体"/>
          <w:color w:val="auto"/>
          <w:sz w:val="24"/>
          <w:szCs w:val="24"/>
          <w:highlight w:val="none"/>
        </w:rPr>
      </w:pPr>
      <w:r>
        <w:rPr>
          <w:rFonts w:hint="eastAsia" w:ascii="宋体" w:hAnsi="宋体" w:cs="宋体"/>
          <w:color w:val="auto"/>
          <w:sz w:val="24"/>
          <w:szCs w:val="24"/>
          <w:highlight w:val="none"/>
        </w:rPr>
        <w:t>如采购产品属于政府强制采购品目清单的，响应文件中应当提供相应的认证证书，认证证书应当为国家确定的认证机构出具、且应处于有效期之内。不符合的、为无效投标。</w:t>
      </w:r>
    </w:p>
    <w:p w14:paraId="447F6A95">
      <w:pPr>
        <w:widowControl w:val="0"/>
        <w:snapToGrid w:val="0"/>
        <w:spacing w:line="560" w:lineRule="exact"/>
        <w:ind w:firstLine="555"/>
        <w:rPr>
          <w:rFonts w:ascii="宋体" w:hAnsi="宋体" w:cs="宋体"/>
          <w:color w:val="auto"/>
          <w:sz w:val="24"/>
          <w:szCs w:val="24"/>
          <w:highlight w:val="none"/>
        </w:rPr>
      </w:pPr>
    </w:p>
    <w:p w14:paraId="5CAB8FAE">
      <w:pPr>
        <w:widowControl w:val="0"/>
        <w:snapToGrid w:val="0"/>
        <w:spacing w:line="560" w:lineRule="exact"/>
        <w:ind w:firstLine="555"/>
        <w:rPr>
          <w:rFonts w:ascii="宋体" w:hAnsi="宋体" w:cs="宋体"/>
          <w:color w:val="auto"/>
          <w:sz w:val="24"/>
          <w:szCs w:val="24"/>
          <w:highlight w:val="none"/>
        </w:rPr>
      </w:pPr>
    </w:p>
    <w:p w14:paraId="4C256173">
      <w:pPr>
        <w:autoSpaceDE w:val="0"/>
        <w:autoSpaceDN w:val="0"/>
        <w:adjustRightInd w:val="0"/>
        <w:spacing w:line="360" w:lineRule="auto"/>
        <w:jc w:val="center"/>
        <w:rPr>
          <w:rFonts w:ascii="宋体" w:hAnsi="宋体" w:cs="宋体"/>
          <w:b/>
          <w:color w:val="auto"/>
          <w:sz w:val="30"/>
          <w:szCs w:val="30"/>
          <w:highlight w:val="none"/>
        </w:rPr>
      </w:pPr>
    </w:p>
    <w:p w14:paraId="2252EA76">
      <w:pPr>
        <w:autoSpaceDE w:val="0"/>
        <w:autoSpaceDN w:val="0"/>
        <w:adjustRightInd w:val="0"/>
        <w:spacing w:line="360" w:lineRule="auto"/>
        <w:rPr>
          <w:rFonts w:ascii="宋体" w:hAnsi="宋体" w:cs="宋体"/>
          <w:b/>
          <w:color w:val="auto"/>
          <w:sz w:val="30"/>
          <w:szCs w:val="30"/>
          <w:highlight w:val="none"/>
        </w:rPr>
      </w:pPr>
      <w:r>
        <w:rPr>
          <w:rFonts w:hint="eastAsia" w:ascii="宋体" w:hAnsi="宋体" w:cs="宋体"/>
          <w:b/>
          <w:color w:val="auto"/>
          <w:sz w:val="30"/>
          <w:szCs w:val="30"/>
          <w:highlight w:val="none"/>
        </w:rPr>
        <w:t>十三、供应商须知所需的其他材料</w:t>
      </w:r>
    </w:p>
    <w:p w14:paraId="7612688A">
      <w:pPr>
        <w:widowControl w:val="0"/>
        <w:snapToGrid w:val="0"/>
        <w:spacing w:line="560" w:lineRule="exact"/>
        <w:ind w:firstLine="555"/>
        <w:rPr>
          <w:rFonts w:ascii="宋体" w:hAnsi="宋体" w:cs="宋体"/>
          <w:color w:val="auto"/>
          <w:sz w:val="24"/>
          <w:szCs w:val="24"/>
          <w:highlight w:val="none"/>
        </w:rPr>
      </w:pPr>
      <w:r>
        <w:rPr>
          <w:rFonts w:hint="eastAsia" w:ascii="宋体" w:hAnsi="宋体" w:cs="宋体"/>
          <w:color w:val="auto"/>
          <w:sz w:val="24"/>
          <w:szCs w:val="24"/>
          <w:highlight w:val="none"/>
        </w:rPr>
        <w:t>（按条款需要填列；并按条款要求</w:t>
      </w:r>
      <w:r>
        <w:rPr>
          <w:rFonts w:hint="eastAsia" w:ascii="宋体" w:hAnsi="宋体" w:cs="宋体"/>
          <w:color w:val="auto"/>
          <w:sz w:val="24"/>
          <w:highlight w:val="none"/>
          <w:lang w:val="zh-CN"/>
        </w:rPr>
        <w:t>电子签名&lt;签</w:t>
      </w:r>
      <w:r>
        <w:rPr>
          <w:rFonts w:hint="eastAsia" w:ascii="宋体" w:hAnsi="宋体" w:cs="宋体"/>
          <w:color w:val="auto"/>
          <w:sz w:val="24"/>
          <w:szCs w:val="24"/>
          <w:highlight w:val="none"/>
        </w:rPr>
        <w:t>章&gt;。条款中对</w:t>
      </w:r>
      <w:r>
        <w:rPr>
          <w:rFonts w:hint="eastAsia" w:ascii="宋体" w:hAnsi="宋体" w:cs="宋体"/>
          <w:color w:val="auto"/>
          <w:sz w:val="24"/>
          <w:highlight w:val="none"/>
          <w:lang w:val="zh-CN"/>
        </w:rPr>
        <w:t>电子签名&lt;签</w:t>
      </w:r>
      <w:r>
        <w:rPr>
          <w:rFonts w:hint="eastAsia" w:ascii="宋体" w:hAnsi="宋体" w:cs="宋体"/>
          <w:color w:val="auto"/>
          <w:sz w:val="24"/>
          <w:szCs w:val="24"/>
          <w:highlight w:val="none"/>
        </w:rPr>
        <w:t>章&gt;未作明确要求的，由法定代表人</w:t>
      </w:r>
      <w:r>
        <w:rPr>
          <w:rFonts w:hint="eastAsia" w:ascii="宋体" w:hAnsi="宋体" w:cs="宋体"/>
          <w:color w:val="auto"/>
          <w:sz w:val="24"/>
          <w:highlight w:val="none"/>
          <w:lang w:val="zh-CN"/>
        </w:rPr>
        <w:t>电子签名</w:t>
      </w:r>
      <w:r>
        <w:rPr>
          <w:rFonts w:hint="eastAsia" w:ascii="宋体" w:hAnsi="宋体" w:cs="宋体"/>
          <w:color w:val="auto"/>
          <w:sz w:val="24"/>
          <w:szCs w:val="24"/>
          <w:highlight w:val="none"/>
        </w:rPr>
        <w:t>或供应商</w:t>
      </w:r>
      <w:r>
        <w:rPr>
          <w:rFonts w:hint="eastAsia" w:ascii="宋体" w:hAnsi="宋体" w:cs="宋体"/>
          <w:color w:val="auto"/>
          <w:sz w:val="24"/>
          <w:highlight w:val="none"/>
          <w:lang w:val="zh-CN"/>
        </w:rPr>
        <w:t>电子签</w:t>
      </w:r>
      <w:r>
        <w:rPr>
          <w:rFonts w:hint="eastAsia" w:ascii="宋体" w:hAnsi="宋体" w:cs="宋体"/>
          <w:color w:val="auto"/>
          <w:sz w:val="24"/>
          <w:szCs w:val="24"/>
          <w:highlight w:val="none"/>
        </w:rPr>
        <w:t>章）</w:t>
      </w:r>
    </w:p>
    <w:p w14:paraId="6FC3D91D">
      <w:pPr>
        <w:autoSpaceDE w:val="0"/>
        <w:autoSpaceDN w:val="0"/>
        <w:adjustRightInd w:val="0"/>
        <w:spacing w:line="360" w:lineRule="auto"/>
        <w:jc w:val="center"/>
        <w:rPr>
          <w:rFonts w:ascii="宋体" w:hAnsi="宋体" w:cs="宋体"/>
          <w:color w:val="auto"/>
          <w:sz w:val="24"/>
          <w:szCs w:val="24"/>
          <w:highlight w:val="none"/>
        </w:rPr>
      </w:pPr>
    </w:p>
    <w:p w14:paraId="49FA8746">
      <w:pPr>
        <w:autoSpaceDE w:val="0"/>
        <w:autoSpaceDN w:val="0"/>
        <w:adjustRightInd w:val="0"/>
        <w:spacing w:line="360" w:lineRule="auto"/>
        <w:jc w:val="center"/>
        <w:rPr>
          <w:rFonts w:ascii="宋体" w:hAnsi="宋体" w:cs="宋体"/>
          <w:color w:val="auto"/>
          <w:sz w:val="24"/>
          <w:szCs w:val="24"/>
          <w:highlight w:val="none"/>
        </w:rPr>
      </w:pPr>
    </w:p>
    <w:p w14:paraId="7B4314D1">
      <w:pPr>
        <w:autoSpaceDE w:val="0"/>
        <w:autoSpaceDN w:val="0"/>
        <w:adjustRightInd w:val="0"/>
        <w:spacing w:line="360" w:lineRule="auto"/>
        <w:jc w:val="center"/>
        <w:rPr>
          <w:rFonts w:ascii="宋体" w:hAnsi="宋体" w:cs="宋体"/>
          <w:color w:val="auto"/>
          <w:sz w:val="24"/>
          <w:szCs w:val="24"/>
          <w:highlight w:val="none"/>
        </w:rPr>
      </w:pPr>
    </w:p>
    <w:p w14:paraId="1612361C">
      <w:pPr>
        <w:autoSpaceDE w:val="0"/>
        <w:autoSpaceDN w:val="0"/>
        <w:adjustRightInd w:val="0"/>
        <w:spacing w:line="360" w:lineRule="auto"/>
        <w:jc w:val="center"/>
        <w:rPr>
          <w:rFonts w:ascii="宋体" w:hAnsi="宋体" w:cs="宋体"/>
          <w:b/>
          <w:color w:val="auto"/>
          <w:sz w:val="30"/>
          <w:szCs w:val="30"/>
          <w:highlight w:val="none"/>
        </w:rPr>
      </w:pPr>
    </w:p>
    <w:p w14:paraId="69620609">
      <w:pPr>
        <w:autoSpaceDE w:val="0"/>
        <w:autoSpaceDN w:val="0"/>
        <w:adjustRightInd w:val="0"/>
        <w:spacing w:line="360" w:lineRule="auto"/>
        <w:rPr>
          <w:rFonts w:ascii="宋体" w:hAnsi="宋体" w:cs="宋体"/>
          <w:b/>
          <w:color w:val="auto"/>
          <w:sz w:val="30"/>
          <w:szCs w:val="30"/>
          <w:highlight w:val="none"/>
        </w:rPr>
      </w:pPr>
      <w:r>
        <w:rPr>
          <w:rFonts w:hint="eastAsia" w:ascii="宋体" w:hAnsi="宋体" w:cs="宋体"/>
          <w:b/>
          <w:color w:val="auto"/>
          <w:sz w:val="30"/>
          <w:szCs w:val="30"/>
          <w:highlight w:val="none"/>
        </w:rPr>
        <w:t>十四、评审办法所需的其他材料</w:t>
      </w:r>
    </w:p>
    <w:p w14:paraId="03046F0A">
      <w:pPr>
        <w:widowControl w:val="0"/>
        <w:snapToGrid w:val="0"/>
        <w:spacing w:line="560" w:lineRule="exact"/>
        <w:ind w:firstLine="555"/>
        <w:rPr>
          <w:rFonts w:ascii="宋体" w:hAnsi="宋体" w:cs="宋体"/>
          <w:color w:val="auto"/>
          <w:sz w:val="24"/>
          <w:szCs w:val="24"/>
          <w:highlight w:val="none"/>
        </w:rPr>
      </w:pPr>
      <w:r>
        <w:rPr>
          <w:rFonts w:hint="eastAsia" w:ascii="宋体" w:hAnsi="宋体" w:cs="宋体"/>
          <w:color w:val="auto"/>
          <w:sz w:val="24"/>
          <w:szCs w:val="24"/>
          <w:highlight w:val="none"/>
        </w:rPr>
        <w:t>（按条款需要填列；并按条款要求</w:t>
      </w:r>
      <w:r>
        <w:rPr>
          <w:rFonts w:hint="eastAsia" w:ascii="宋体" w:hAnsi="宋体" w:cs="宋体"/>
          <w:color w:val="auto"/>
          <w:sz w:val="24"/>
          <w:highlight w:val="none"/>
          <w:lang w:val="zh-CN"/>
        </w:rPr>
        <w:t>电子签名&lt;签</w:t>
      </w:r>
      <w:r>
        <w:rPr>
          <w:rFonts w:hint="eastAsia" w:ascii="宋体" w:hAnsi="宋体" w:cs="宋体"/>
          <w:color w:val="auto"/>
          <w:sz w:val="24"/>
          <w:szCs w:val="24"/>
          <w:highlight w:val="none"/>
        </w:rPr>
        <w:t>章&gt;。条款中对</w:t>
      </w:r>
      <w:r>
        <w:rPr>
          <w:rFonts w:hint="eastAsia" w:ascii="宋体" w:hAnsi="宋体" w:cs="宋体"/>
          <w:color w:val="auto"/>
          <w:sz w:val="24"/>
          <w:highlight w:val="none"/>
          <w:lang w:val="zh-CN"/>
        </w:rPr>
        <w:t>电子签名&lt;签</w:t>
      </w:r>
      <w:r>
        <w:rPr>
          <w:rFonts w:hint="eastAsia" w:ascii="宋体" w:hAnsi="宋体" w:cs="宋体"/>
          <w:color w:val="auto"/>
          <w:sz w:val="24"/>
          <w:szCs w:val="24"/>
          <w:highlight w:val="none"/>
        </w:rPr>
        <w:t>章&gt;未作明确要求的，由法定代表人</w:t>
      </w:r>
      <w:r>
        <w:rPr>
          <w:rFonts w:hint="eastAsia" w:ascii="宋体" w:hAnsi="宋体" w:cs="宋体"/>
          <w:color w:val="auto"/>
          <w:sz w:val="24"/>
          <w:highlight w:val="none"/>
          <w:lang w:val="zh-CN"/>
        </w:rPr>
        <w:t>电子签名</w:t>
      </w:r>
      <w:r>
        <w:rPr>
          <w:rFonts w:hint="eastAsia" w:ascii="宋体" w:hAnsi="宋体" w:cs="宋体"/>
          <w:color w:val="auto"/>
          <w:sz w:val="24"/>
          <w:szCs w:val="24"/>
          <w:highlight w:val="none"/>
        </w:rPr>
        <w:t>或供应商</w:t>
      </w:r>
      <w:r>
        <w:rPr>
          <w:rFonts w:hint="eastAsia" w:ascii="宋体" w:hAnsi="宋体" w:cs="宋体"/>
          <w:color w:val="auto"/>
          <w:sz w:val="24"/>
          <w:highlight w:val="none"/>
          <w:lang w:val="zh-CN"/>
        </w:rPr>
        <w:t>电子签</w:t>
      </w:r>
      <w:r>
        <w:rPr>
          <w:rFonts w:hint="eastAsia" w:ascii="宋体" w:hAnsi="宋体" w:cs="宋体"/>
          <w:color w:val="auto"/>
          <w:sz w:val="24"/>
          <w:szCs w:val="24"/>
          <w:highlight w:val="none"/>
        </w:rPr>
        <w:t>章）</w:t>
      </w:r>
    </w:p>
    <w:p w14:paraId="724169DE">
      <w:pPr>
        <w:adjustRightInd w:val="0"/>
        <w:snapToGrid w:val="0"/>
        <w:spacing w:line="300" w:lineRule="auto"/>
        <w:textAlignment w:val="top"/>
        <w:rPr>
          <w:rFonts w:ascii="宋体" w:hAnsi="宋体" w:cs="宋体"/>
          <w:color w:val="auto"/>
          <w:sz w:val="24"/>
          <w:szCs w:val="24"/>
          <w:highlight w:val="none"/>
        </w:rPr>
      </w:pPr>
    </w:p>
    <w:p w14:paraId="330A88B7">
      <w:pPr>
        <w:adjustRightInd w:val="0"/>
        <w:snapToGrid w:val="0"/>
        <w:spacing w:line="300" w:lineRule="auto"/>
        <w:textAlignment w:val="top"/>
        <w:rPr>
          <w:rFonts w:ascii="宋体" w:hAnsi="宋体" w:cs="宋体"/>
          <w:color w:val="auto"/>
          <w:sz w:val="24"/>
          <w:szCs w:val="24"/>
          <w:highlight w:val="none"/>
        </w:rPr>
      </w:pPr>
    </w:p>
    <w:p w14:paraId="544E7090">
      <w:pPr>
        <w:adjustRightInd w:val="0"/>
        <w:snapToGrid w:val="0"/>
        <w:spacing w:line="300" w:lineRule="auto"/>
        <w:textAlignment w:val="top"/>
        <w:rPr>
          <w:rFonts w:ascii="宋体" w:hAnsi="宋体" w:cs="宋体"/>
          <w:color w:val="auto"/>
          <w:sz w:val="24"/>
          <w:szCs w:val="24"/>
          <w:highlight w:val="none"/>
        </w:rPr>
      </w:pPr>
    </w:p>
    <w:p w14:paraId="65600AF1">
      <w:pPr>
        <w:adjustRightInd w:val="0"/>
        <w:snapToGrid w:val="0"/>
        <w:spacing w:line="300" w:lineRule="auto"/>
        <w:textAlignment w:val="top"/>
        <w:rPr>
          <w:rFonts w:ascii="宋体" w:hAnsi="宋体" w:cs="宋体"/>
          <w:color w:val="auto"/>
          <w:sz w:val="24"/>
          <w:szCs w:val="24"/>
          <w:highlight w:val="none"/>
        </w:rPr>
      </w:pPr>
    </w:p>
    <w:p w14:paraId="352C3CEB">
      <w:pPr>
        <w:adjustRightInd w:val="0"/>
        <w:snapToGrid w:val="0"/>
        <w:spacing w:line="300" w:lineRule="auto"/>
        <w:textAlignment w:val="top"/>
        <w:rPr>
          <w:rFonts w:ascii="宋体" w:hAnsi="宋体" w:cs="宋体"/>
          <w:color w:val="auto"/>
          <w:sz w:val="24"/>
          <w:szCs w:val="24"/>
          <w:highlight w:val="none"/>
        </w:rPr>
      </w:pPr>
    </w:p>
    <w:p w14:paraId="6A87433E">
      <w:pPr>
        <w:adjustRightInd w:val="0"/>
        <w:snapToGrid w:val="0"/>
        <w:spacing w:line="300" w:lineRule="auto"/>
        <w:textAlignment w:val="top"/>
        <w:rPr>
          <w:rFonts w:ascii="宋体" w:hAnsi="宋体" w:cs="宋体"/>
          <w:color w:val="auto"/>
          <w:sz w:val="24"/>
          <w:szCs w:val="24"/>
          <w:highlight w:val="none"/>
        </w:rPr>
      </w:pPr>
    </w:p>
    <w:p w14:paraId="4639FFF3">
      <w:pPr>
        <w:adjustRightInd w:val="0"/>
        <w:snapToGrid w:val="0"/>
        <w:spacing w:line="300" w:lineRule="auto"/>
        <w:textAlignment w:val="top"/>
        <w:rPr>
          <w:rFonts w:ascii="宋体" w:hAnsi="宋体" w:cs="宋体"/>
          <w:color w:val="auto"/>
          <w:sz w:val="24"/>
          <w:szCs w:val="24"/>
          <w:highlight w:val="none"/>
        </w:rPr>
      </w:pPr>
      <w:r>
        <w:rPr>
          <w:rFonts w:hint="eastAsia" w:ascii="宋体" w:hAnsi="宋体" w:cs="宋体"/>
          <w:b/>
          <w:color w:val="auto"/>
          <w:sz w:val="30"/>
          <w:szCs w:val="30"/>
          <w:highlight w:val="none"/>
        </w:rPr>
        <w:t>十五、供应商认为有必要提交的其它材料</w:t>
      </w:r>
    </w:p>
    <w:p w14:paraId="2C1AC594">
      <w:pPr>
        <w:widowControl w:val="0"/>
        <w:snapToGrid w:val="0"/>
        <w:spacing w:line="560" w:lineRule="exact"/>
        <w:ind w:firstLine="555"/>
        <w:rPr>
          <w:rFonts w:ascii="宋体" w:hAnsi="宋体" w:cs="宋体"/>
          <w:color w:val="auto"/>
          <w:sz w:val="24"/>
          <w:szCs w:val="24"/>
          <w:highlight w:val="none"/>
        </w:rPr>
      </w:pPr>
      <w:r>
        <w:rPr>
          <w:rFonts w:hint="eastAsia" w:ascii="宋体" w:hAnsi="宋体" w:cs="宋体"/>
          <w:color w:val="auto"/>
          <w:sz w:val="24"/>
          <w:szCs w:val="24"/>
          <w:highlight w:val="none"/>
        </w:rPr>
        <w:t>（由法定代表人</w:t>
      </w:r>
      <w:r>
        <w:rPr>
          <w:rFonts w:hint="eastAsia" w:ascii="宋体" w:hAnsi="宋体" w:cs="宋体"/>
          <w:color w:val="auto"/>
          <w:sz w:val="24"/>
          <w:highlight w:val="none"/>
          <w:lang w:val="zh-CN"/>
        </w:rPr>
        <w:t>电子签名</w:t>
      </w:r>
      <w:r>
        <w:rPr>
          <w:rFonts w:hint="eastAsia" w:ascii="宋体" w:hAnsi="宋体" w:cs="宋体"/>
          <w:color w:val="auto"/>
          <w:sz w:val="24"/>
          <w:szCs w:val="24"/>
          <w:highlight w:val="none"/>
        </w:rPr>
        <w:t>或供应商</w:t>
      </w:r>
      <w:r>
        <w:rPr>
          <w:rFonts w:hint="eastAsia" w:ascii="宋体" w:hAnsi="宋体" w:cs="宋体"/>
          <w:color w:val="auto"/>
          <w:sz w:val="24"/>
          <w:highlight w:val="none"/>
          <w:lang w:val="zh-CN"/>
        </w:rPr>
        <w:t>电子签</w:t>
      </w:r>
      <w:r>
        <w:rPr>
          <w:rFonts w:hint="eastAsia" w:ascii="宋体" w:hAnsi="宋体" w:cs="宋体"/>
          <w:color w:val="auto"/>
          <w:sz w:val="24"/>
          <w:szCs w:val="24"/>
          <w:highlight w:val="none"/>
        </w:rPr>
        <w:t>章）</w:t>
      </w:r>
    </w:p>
    <w:p w14:paraId="73BE20C1">
      <w:pPr>
        <w:autoSpaceDE w:val="0"/>
        <w:autoSpaceDN w:val="0"/>
        <w:adjustRightInd w:val="0"/>
        <w:spacing w:line="360" w:lineRule="auto"/>
        <w:ind w:left="-2" w:right="-817" w:hanging="149"/>
        <w:rPr>
          <w:rFonts w:ascii="宋体" w:hAnsi="宋体" w:cs="宋体"/>
          <w:color w:val="auto"/>
          <w:sz w:val="24"/>
          <w:highlight w:val="none"/>
        </w:rPr>
      </w:pPr>
    </w:p>
    <w:p w14:paraId="72552364">
      <w:pPr>
        <w:spacing w:line="588" w:lineRule="exact"/>
        <w:jc w:val="center"/>
        <w:rPr>
          <w:rFonts w:ascii="宋体" w:hAnsi="宋体" w:cs="宋体"/>
          <w:b/>
          <w:color w:val="auto"/>
          <w:sz w:val="30"/>
          <w:szCs w:val="30"/>
          <w:highlight w:val="none"/>
        </w:rPr>
      </w:pPr>
      <w:r>
        <w:rPr>
          <w:rFonts w:hint="eastAsia" w:ascii="宋体" w:hAnsi="宋体" w:cs="宋体"/>
          <w:b/>
          <w:color w:val="auto"/>
          <w:sz w:val="30"/>
          <w:szCs w:val="30"/>
          <w:highlight w:val="none"/>
        </w:rPr>
        <w:br w:type="page"/>
      </w:r>
    </w:p>
    <w:p w14:paraId="1FFA6385">
      <w:pPr>
        <w:spacing w:line="588" w:lineRule="exact"/>
        <w:jc w:val="both"/>
        <w:rPr>
          <w:rFonts w:hint="default" w:ascii="宋体" w:hAnsi="宋体" w:eastAsia="宋体" w:cs="宋体"/>
          <w:b/>
          <w:color w:val="auto"/>
          <w:sz w:val="28"/>
          <w:szCs w:val="28"/>
          <w:highlight w:val="none"/>
          <w:lang w:val="en-US" w:eastAsia="zh-CN"/>
        </w:rPr>
      </w:pPr>
      <w:r>
        <w:rPr>
          <w:rFonts w:hint="eastAsia" w:ascii="宋体" w:hAnsi="宋体" w:cs="宋体"/>
          <w:b/>
          <w:color w:val="auto"/>
          <w:sz w:val="28"/>
          <w:szCs w:val="28"/>
          <w:highlight w:val="none"/>
          <w:lang w:val="en-US" w:eastAsia="zh-CN"/>
        </w:rPr>
        <w:t>附件1：</w:t>
      </w:r>
    </w:p>
    <w:p w14:paraId="7C36BFFB">
      <w:pPr>
        <w:spacing w:line="588" w:lineRule="exact"/>
        <w:jc w:val="center"/>
        <w:rPr>
          <w:rFonts w:ascii="宋体" w:hAnsi="宋体" w:cs="宋体"/>
          <w:b/>
          <w:color w:val="auto"/>
          <w:sz w:val="28"/>
          <w:szCs w:val="28"/>
          <w:highlight w:val="none"/>
        </w:rPr>
      </w:pPr>
      <w:r>
        <w:rPr>
          <w:rFonts w:hint="eastAsia" w:ascii="宋体" w:hAnsi="宋体" w:cs="宋体"/>
          <w:b/>
          <w:color w:val="auto"/>
          <w:sz w:val="28"/>
          <w:szCs w:val="28"/>
          <w:highlight w:val="none"/>
        </w:rPr>
        <w:t>中小企业声明函（如符合条件时填写）</w:t>
      </w:r>
    </w:p>
    <w:p w14:paraId="1C464167">
      <w:pPr>
        <w:spacing w:line="588" w:lineRule="exact"/>
        <w:ind w:firstLine="504" w:firstLineChars="200"/>
        <w:rPr>
          <w:rFonts w:ascii="宋体" w:hAnsi="宋体" w:cs="宋体"/>
          <w:color w:val="auto"/>
          <w:spacing w:val="6"/>
          <w:sz w:val="24"/>
          <w:szCs w:val="24"/>
          <w:highlight w:val="none"/>
        </w:rPr>
      </w:pPr>
      <w:r>
        <w:rPr>
          <w:rFonts w:hint="eastAsia" w:ascii="宋体" w:hAnsi="宋体" w:cs="宋体"/>
          <w:color w:val="auto"/>
          <w:spacing w:val="6"/>
          <w:sz w:val="24"/>
          <w:szCs w:val="24"/>
          <w:highlight w:val="none"/>
        </w:rPr>
        <w:t>本公司（联合体）郑重声明，根据《政府采购促进中小企业发展管理办法》（财库〔2020〕46号）的规定，本公司(联合体）参加</w:t>
      </w:r>
      <w:r>
        <w:rPr>
          <w:rFonts w:hint="eastAsia" w:ascii="宋体" w:hAnsi="宋体" w:cs="宋体"/>
          <w:color w:val="auto"/>
          <w:spacing w:val="6"/>
          <w:sz w:val="24"/>
          <w:szCs w:val="24"/>
          <w:highlight w:val="none"/>
          <w:u w:val="single"/>
        </w:rPr>
        <w:t>（单位名称）</w:t>
      </w:r>
      <w:r>
        <w:rPr>
          <w:rFonts w:hint="eastAsia" w:ascii="宋体" w:hAnsi="宋体" w:cs="宋体"/>
          <w:color w:val="auto"/>
          <w:spacing w:val="6"/>
          <w:sz w:val="24"/>
          <w:szCs w:val="24"/>
          <w:highlight w:val="none"/>
        </w:rPr>
        <w:t>的</w:t>
      </w:r>
      <w:r>
        <w:rPr>
          <w:rFonts w:hint="eastAsia" w:ascii="宋体" w:hAnsi="宋体" w:cs="宋体"/>
          <w:color w:val="auto"/>
          <w:spacing w:val="6"/>
          <w:sz w:val="24"/>
          <w:szCs w:val="24"/>
          <w:highlight w:val="none"/>
          <w:u w:val="single"/>
        </w:rPr>
        <w:t>（项目名称）</w:t>
      </w:r>
      <w:r>
        <w:rPr>
          <w:rFonts w:hint="eastAsia" w:ascii="宋体" w:hAnsi="宋体" w:cs="宋体"/>
          <w:color w:val="auto"/>
          <w:spacing w:val="6"/>
          <w:sz w:val="24"/>
          <w:szCs w:val="24"/>
          <w:highlight w:val="none"/>
        </w:rPr>
        <w:t>采购活动，提供的货物全部由符合政策要求的中小企业制造。相关企业 (含联合体中的中小企业、签订分包意向协议的中小企业）的具体情况如下：</w:t>
      </w:r>
    </w:p>
    <w:p w14:paraId="54491782">
      <w:pPr>
        <w:spacing w:line="588" w:lineRule="exact"/>
        <w:ind w:firstLine="504" w:firstLineChars="200"/>
        <w:rPr>
          <w:rFonts w:ascii="宋体" w:hAnsi="宋体" w:cs="宋体"/>
          <w:color w:val="auto"/>
          <w:spacing w:val="6"/>
          <w:sz w:val="24"/>
          <w:szCs w:val="24"/>
          <w:highlight w:val="none"/>
        </w:rPr>
      </w:pPr>
      <w:r>
        <w:rPr>
          <w:rFonts w:hint="eastAsia" w:ascii="宋体" w:hAnsi="宋体" w:cs="宋体"/>
          <w:color w:val="auto"/>
          <w:spacing w:val="6"/>
          <w:sz w:val="24"/>
          <w:szCs w:val="24"/>
          <w:highlight w:val="none"/>
        </w:rPr>
        <w:t>1.</w:t>
      </w:r>
      <w:r>
        <w:rPr>
          <w:rFonts w:hint="eastAsia" w:ascii="宋体" w:hAnsi="宋体" w:cs="宋体"/>
          <w:color w:val="auto"/>
          <w:spacing w:val="6"/>
          <w:sz w:val="24"/>
          <w:szCs w:val="24"/>
          <w:highlight w:val="none"/>
          <w:u w:val="single"/>
        </w:rPr>
        <w:t>(标的名称)</w:t>
      </w:r>
      <w:r>
        <w:rPr>
          <w:rFonts w:hint="eastAsia" w:ascii="宋体" w:hAnsi="宋体" w:cs="宋体"/>
          <w:color w:val="auto"/>
          <w:spacing w:val="6"/>
          <w:sz w:val="24"/>
          <w:szCs w:val="24"/>
          <w:highlight w:val="none"/>
        </w:rPr>
        <w:t>，属于</w:t>
      </w:r>
      <w:r>
        <w:rPr>
          <w:rFonts w:hint="eastAsia" w:ascii="宋体" w:hAnsi="宋体" w:cs="宋体"/>
          <w:color w:val="auto"/>
          <w:spacing w:val="6"/>
          <w:sz w:val="24"/>
          <w:szCs w:val="24"/>
          <w:highlight w:val="none"/>
          <w:u w:val="single"/>
        </w:rPr>
        <w:t>（采购文件中明确的所属行业)</w:t>
      </w:r>
      <w:r>
        <w:rPr>
          <w:rFonts w:hint="eastAsia" w:ascii="宋体" w:hAnsi="宋体" w:cs="宋体"/>
          <w:color w:val="auto"/>
          <w:spacing w:val="6"/>
          <w:sz w:val="24"/>
          <w:szCs w:val="24"/>
          <w:highlight w:val="none"/>
        </w:rPr>
        <w:t>行业， 制造商为</w:t>
      </w:r>
      <w:r>
        <w:rPr>
          <w:rFonts w:hint="eastAsia" w:ascii="宋体" w:hAnsi="宋体" w:cs="宋体"/>
          <w:color w:val="auto"/>
          <w:spacing w:val="6"/>
          <w:sz w:val="24"/>
          <w:szCs w:val="24"/>
          <w:highlight w:val="none"/>
          <w:u w:val="single"/>
        </w:rPr>
        <w:t>（企业名称)</w:t>
      </w:r>
      <w:r>
        <w:rPr>
          <w:rFonts w:hint="eastAsia" w:ascii="宋体" w:hAnsi="宋体" w:cs="宋体"/>
          <w:color w:val="auto"/>
          <w:spacing w:val="6"/>
          <w:sz w:val="24"/>
          <w:szCs w:val="24"/>
          <w:highlight w:val="none"/>
        </w:rPr>
        <w:t>，从业人员</w:t>
      </w:r>
      <w:r>
        <w:rPr>
          <w:rFonts w:hint="eastAsia" w:ascii="宋体" w:hAnsi="宋体" w:cs="宋体"/>
          <w:color w:val="auto"/>
          <w:spacing w:val="6"/>
          <w:sz w:val="24"/>
          <w:szCs w:val="24"/>
          <w:highlight w:val="none"/>
          <w:u w:val="single"/>
        </w:rPr>
        <w:t xml:space="preserve">    </w:t>
      </w:r>
      <w:r>
        <w:rPr>
          <w:rFonts w:hint="eastAsia" w:ascii="宋体" w:hAnsi="宋体" w:cs="宋体"/>
          <w:color w:val="auto"/>
          <w:spacing w:val="6"/>
          <w:sz w:val="24"/>
          <w:szCs w:val="24"/>
          <w:highlight w:val="none"/>
        </w:rPr>
        <w:t>人，营业收入为</w:t>
      </w:r>
      <w:r>
        <w:rPr>
          <w:rFonts w:hint="eastAsia" w:ascii="宋体" w:hAnsi="宋体" w:cs="宋体"/>
          <w:color w:val="auto"/>
          <w:spacing w:val="6"/>
          <w:sz w:val="24"/>
          <w:szCs w:val="24"/>
          <w:highlight w:val="none"/>
          <w:u w:val="single"/>
        </w:rPr>
        <w:t xml:space="preserve">_  </w:t>
      </w:r>
      <w:r>
        <w:rPr>
          <w:rFonts w:hint="eastAsia" w:ascii="宋体" w:hAnsi="宋体" w:cs="宋体"/>
          <w:color w:val="auto"/>
          <w:spacing w:val="6"/>
          <w:sz w:val="24"/>
          <w:szCs w:val="24"/>
          <w:highlight w:val="none"/>
        </w:rPr>
        <w:t>万元，资产总额为</w:t>
      </w:r>
      <w:r>
        <w:rPr>
          <w:rFonts w:hint="eastAsia" w:ascii="宋体" w:hAnsi="宋体" w:cs="宋体"/>
          <w:color w:val="auto"/>
          <w:spacing w:val="6"/>
          <w:sz w:val="24"/>
          <w:szCs w:val="24"/>
          <w:highlight w:val="none"/>
          <w:u w:val="single"/>
        </w:rPr>
        <w:t xml:space="preserve"> _</w:t>
      </w:r>
      <w:r>
        <w:rPr>
          <w:rFonts w:hint="eastAsia" w:ascii="宋体" w:hAnsi="宋体" w:cs="宋体"/>
          <w:color w:val="auto"/>
          <w:spacing w:val="6"/>
          <w:sz w:val="24"/>
          <w:szCs w:val="24"/>
          <w:highlight w:val="none"/>
        </w:rPr>
        <w:t>万元</w:t>
      </w:r>
      <w:r>
        <w:rPr>
          <w:rFonts w:hint="eastAsia" w:ascii="宋体" w:hAnsi="宋体" w:cs="宋体"/>
          <w:color w:val="auto"/>
          <w:spacing w:val="6"/>
          <w:sz w:val="24"/>
          <w:szCs w:val="24"/>
          <w:highlight w:val="none"/>
          <w:vertAlign w:val="superscript"/>
        </w:rPr>
        <w:t>1</w:t>
      </w:r>
      <w:r>
        <w:rPr>
          <w:rFonts w:hint="eastAsia" w:ascii="宋体" w:hAnsi="宋体" w:cs="宋体"/>
          <w:color w:val="auto"/>
          <w:spacing w:val="6"/>
          <w:sz w:val="24"/>
          <w:szCs w:val="24"/>
          <w:highlight w:val="none"/>
        </w:rPr>
        <w:t>，属于</w:t>
      </w:r>
      <w:r>
        <w:rPr>
          <w:rFonts w:hint="eastAsia" w:ascii="宋体" w:hAnsi="宋体" w:cs="宋体"/>
          <w:color w:val="auto"/>
          <w:spacing w:val="6"/>
          <w:sz w:val="24"/>
          <w:szCs w:val="24"/>
          <w:highlight w:val="none"/>
          <w:u w:val="single"/>
        </w:rPr>
        <w:t>（中型企业、小 型企业、微型企业）</w:t>
      </w:r>
      <w:r>
        <w:rPr>
          <w:rFonts w:hint="eastAsia" w:ascii="宋体" w:hAnsi="宋体" w:cs="宋体"/>
          <w:color w:val="auto"/>
          <w:spacing w:val="6"/>
          <w:sz w:val="24"/>
          <w:szCs w:val="24"/>
          <w:highlight w:val="none"/>
        </w:rPr>
        <w:t>；</w:t>
      </w:r>
    </w:p>
    <w:p w14:paraId="0F7B3538">
      <w:pPr>
        <w:spacing w:line="588" w:lineRule="exact"/>
        <w:ind w:firstLine="504" w:firstLineChars="200"/>
        <w:rPr>
          <w:rFonts w:ascii="宋体" w:hAnsi="宋体" w:cs="宋体"/>
          <w:color w:val="auto"/>
          <w:spacing w:val="6"/>
          <w:sz w:val="24"/>
          <w:szCs w:val="24"/>
          <w:highlight w:val="none"/>
        </w:rPr>
      </w:pPr>
      <w:r>
        <w:rPr>
          <w:rFonts w:hint="eastAsia" w:ascii="宋体" w:hAnsi="宋体" w:cs="宋体"/>
          <w:color w:val="auto"/>
          <w:spacing w:val="6"/>
          <w:sz w:val="24"/>
          <w:szCs w:val="24"/>
          <w:highlight w:val="none"/>
        </w:rPr>
        <w:t xml:space="preserve">2. </w:t>
      </w:r>
      <w:r>
        <w:rPr>
          <w:rFonts w:hint="eastAsia" w:ascii="宋体" w:hAnsi="宋体" w:cs="宋体"/>
          <w:color w:val="auto"/>
          <w:spacing w:val="6"/>
          <w:sz w:val="24"/>
          <w:szCs w:val="24"/>
          <w:highlight w:val="none"/>
          <w:u w:val="single"/>
        </w:rPr>
        <w:t>(标的名称)</w:t>
      </w:r>
      <w:r>
        <w:rPr>
          <w:rFonts w:hint="eastAsia" w:ascii="宋体" w:hAnsi="宋体" w:cs="宋体"/>
          <w:color w:val="auto"/>
          <w:spacing w:val="6"/>
          <w:sz w:val="24"/>
          <w:szCs w:val="24"/>
          <w:highlight w:val="none"/>
        </w:rPr>
        <w:t>，属于</w:t>
      </w:r>
      <w:r>
        <w:rPr>
          <w:rFonts w:hint="eastAsia" w:ascii="宋体" w:hAnsi="宋体" w:cs="宋体"/>
          <w:color w:val="auto"/>
          <w:spacing w:val="6"/>
          <w:sz w:val="24"/>
          <w:szCs w:val="24"/>
          <w:highlight w:val="none"/>
          <w:u w:val="single"/>
        </w:rPr>
        <w:t>（采购文件中明确的所属行业)</w:t>
      </w:r>
      <w:r>
        <w:rPr>
          <w:rFonts w:hint="eastAsia" w:ascii="宋体" w:hAnsi="宋体" w:cs="宋体"/>
          <w:color w:val="auto"/>
          <w:spacing w:val="6"/>
          <w:sz w:val="24"/>
          <w:szCs w:val="24"/>
          <w:highlight w:val="none"/>
        </w:rPr>
        <w:t>行业， 制造商为</w:t>
      </w:r>
      <w:r>
        <w:rPr>
          <w:rFonts w:hint="eastAsia" w:ascii="宋体" w:hAnsi="宋体" w:cs="宋体"/>
          <w:color w:val="auto"/>
          <w:spacing w:val="6"/>
          <w:sz w:val="24"/>
          <w:szCs w:val="24"/>
          <w:highlight w:val="none"/>
          <w:u w:val="single"/>
        </w:rPr>
        <w:t>（企业名称)</w:t>
      </w:r>
      <w:r>
        <w:rPr>
          <w:rFonts w:hint="eastAsia" w:ascii="宋体" w:hAnsi="宋体" w:cs="宋体"/>
          <w:color w:val="auto"/>
          <w:spacing w:val="6"/>
          <w:sz w:val="24"/>
          <w:szCs w:val="24"/>
          <w:highlight w:val="none"/>
        </w:rPr>
        <w:t>，从业人员</w:t>
      </w:r>
      <w:r>
        <w:rPr>
          <w:rFonts w:hint="eastAsia" w:ascii="宋体" w:hAnsi="宋体" w:cs="宋体"/>
          <w:color w:val="auto"/>
          <w:spacing w:val="6"/>
          <w:sz w:val="24"/>
          <w:szCs w:val="24"/>
          <w:highlight w:val="none"/>
          <w:u w:val="single"/>
        </w:rPr>
        <w:t xml:space="preserve">    </w:t>
      </w:r>
      <w:r>
        <w:rPr>
          <w:rFonts w:hint="eastAsia" w:ascii="宋体" w:hAnsi="宋体" w:cs="宋体"/>
          <w:color w:val="auto"/>
          <w:spacing w:val="6"/>
          <w:sz w:val="24"/>
          <w:szCs w:val="24"/>
          <w:highlight w:val="none"/>
        </w:rPr>
        <w:t>人，营业收入为</w:t>
      </w:r>
      <w:r>
        <w:rPr>
          <w:rFonts w:hint="eastAsia" w:ascii="宋体" w:hAnsi="宋体" w:cs="宋体"/>
          <w:color w:val="auto"/>
          <w:spacing w:val="6"/>
          <w:sz w:val="24"/>
          <w:szCs w:val="24"/>
          <w:highlight w:val="none"/>
          <w:u w:val="single"/>
        </w:rPr>
        <w:t xml:space="preserve">_  </w:t>
      </w:r>
      <w:r>
        <w:rPr>
          <w:rFonts w:hint="eastAsia" w:ascii="宋体" w:hAnsi="宋体" w:cs="宋体"/>
          <w:color w:val="auto"/>
          <w:spacing w:val="6"/>
          <w:sz w:val="24"/>
          <w:szCs w:val="24"/>
          <w:highlight w:val="none"/>
        </w:rPr>
        <w:t xml:space="preserve">万元，资产总额为 </w:t>
      </w:r>
      <w:r>
        <w:rPr>
          <w:rFonts w:hint="eastAsia" w:ascii="宋体" w:hAnsi="宋体" w:cs="宋体"/>
          <w:color w:val="auto"/>
          <w:spacing w:val="6"/>
          <w:sz w:val="24"/>
          <w:szCs w:val="24"/>
          <w:highlight w:val="none"/>
          <w:u w:val="single"/>
        </w:rPr>
        <w:t xml:space="preserve"> _</w:t>
      </w:r>
      <w:r>
        <w:rPr>
          <w:rFonts w:hint="eastAsia" w:ascii="宋体" w:hAnsi="宋体" w:cs="宋体"/>
          <w:color w:val="auto"/>
          <w:spacing w:val="6"/>
          <w:sz w:val="24"/>
          <w:szCs w:val="24"/>
          <w:highlight w:val="none"/>
        </w:rPr>
        <w:t>万元，属于</w:t>
      </w:r>
      <w:r>
        <w:rPr>
          <w:rFonts w:hint="eastAsia" w:ascii="宋体" w:hAnsi="宋体" w:cs="宋体"/>
          <w:color w:val="auto"/>
          <w:spacing w:val="6"/>
          <w:sz w:val="24"/>
          <w:szCs w:val="24"/>
          <w:highlight w:val="none"/>
          <w:u w:val="single"/>
        </w:rPr>
        <w:t>（中型企业、小 型企业、微型企业）</w:t>
      </w:r>
      <w:r>
        <w:rPr>
          <w:rFonts w:hint="eastAsia" w:ascii="宋体" w:hAnsi="宋体" w:cs="宋体"/>
          <w:color w:val="auto"/>
          <w:spacing w:val="6"/>
          <w:sz w:val="24"/>
          <w:szCs w:val="24"/>
          <w:highlight w:val="none"/>
        </w:rPr>
        <w:t>；</w:t>
      </w:r>
    </w:p>
    <w:p w14:paraId="2FCD5867">
      <w:pPr>
        <w:spacing w:line="588" w:lineRule="exact"/>
        <w:ind w:firstLine="504" w:firstLineChars="200"/>
        <w:rPr>
          <w:rFonts w:ascii="宋体" w:hAnsi="宋体" w:cs="宋体"/>
          <w:color w:val="auto"/>
          <w:spacing w:val="6"/>
          <w:sz w:val="24"/>
          <w:szCs w:val="24"/>
          <w:highlight w:val="none"/>
        </w:rPr>
      </w:pPr>
      <w:r>
        <w:rPr>
          <w:rFonts w:hint="eastAsia" w:ascii="宋体" w:hAnsi="宋体" w:cs="宋体"/>
          <w:color w:val="auto"/>
          <w:spacing w:val="6"/>
          <w:sz w:val="24"/>
          <w:szCs w:val="24"/>
          <w:highlight w:val="none"/>
        </w:rPr>
        <w:t>……</w:t>
      </w:r>
    </w:p>
    <w:p w14:paraId="5E0D0425">
      <w:pPr>
        <w:spacing w:line="588" w:lineRule="exact"/>
        <w:ind w:firstLine="504" w:firstLineChars="200"/>
        <w:rPr>
          <w:rFonts w:ascii="宋体" w:hAnsi="宋体" w:cs="宋体"/>
          <w:color w:val="auto"/>
          <w:spacing w:val="6"/>
          <w:sz w:val="24"/>
          <w:szCs w:val="24"/>
          <w:highlight w:val="none"/>
        </w:rPr>
      </w:pPr>
      <w:r>
        <w:rPr>
          <w:rFonts w:hint="eastAsia" w:ascii="宋体" w:hAnsi="宋体" w:cs="宋体"/>
          <w:color w:val="auto"/>
          <w:spacing w:val="6"/>
          <w:sz w:val="24"/>
          <w:szCs w:val="24"/>
          <w:highlight w:val="none"/>
        </w:rPr>
        <w:t>以上企业，不属于大企业的分支机构，不存在控股股东为大企业的情形，也不存在与大企业的负责人为同一人的情形。</w:t>
      </w:r>
    </w:p>
    <w:p w14:paraId="60421311">
      <w:pPr>
        <w:spacing w:line="588" w:lineRule="exact"/>
        <w:ind w:firstLine="504" w:firstLineChars="200"/>
        <w:rPr>
          <w:rFonts w:ascii="宋体" w:hAnsi="宋体" w:cs="宋体"/>
          <w:color w:val="auto"/>
          <w:spacing w:val="6"/>
          <w:sz w:val="24"/>
          <w:szCs w:val="24"/>
          <w:highlight w:val="none"/>
        </w:rPr>
      </w:pPr>
      <w:r>
        <w:rPr>
          <w:rFonts w:hint="eastAsia" w:ascii="宋体" w:hAnsi="宋体" w:cs="宋体"/>
          <w:color w:val="auto"/>
          <w:spacing w:val="6"/>
          <w:sz w:val="24"/>
          <w:szCs w:val="24"/>
          <w:highlight w:val="none"/>
        </w:rPr>
        <w:t>本企业对上述声明内容的真实性负责。如有虚假，将依法承担相应责任。</w:t>
      </w:r>
    </w:p>
    <w:p w14:paraId="613DE539">
      <w:pPr>
        <w:spacing w:line="588" w:lineRule="exact"/>
        <w:rPr>
          <w:rFonts w:ascii="宋体" w:hAnsi="宋体" w:cs="宋体"/>
          <w:color w:val="auto"/>
          <w:spacing w:val="6"/>
          <w:sz w:val="24"/>
          <w:szCs w:val="24"/>
          <w:highlight w:val="none"/>
        </w:rPr>
      </w:pPr>
    </w:p>
    <w:p w14:paraId="0D5954FB">
      <w:pPr>
        <w:spacing w:line="588" w:lineRule="exact"/>
        <w:rPr>
          <w:rFonts w:ascii="宋体" w:hAnsi="宋体" w:cs="宋体"/>
          <w:color w:val="auto"/>
          <w:spacing w:val="6"/>
          <w:sz w:val="24"/>
          <w:szCs w:val="24"/>
          <w:highlight w:val="none"/>
        </w:rPr>
      </w:pPr>
    </w:p>
    <w:p w14:paraId="726B8035">
      <w:pPr>
        <w:pStyle w:val="72"/>
        <w:shd w:val="clear" w:color="auto" w:fill="auto"/>
        <w:spacing w:after="228" w:line="300" w:lineRule="exact"/>
        <w:ind w:firstLine="4536" w:firstLineChars="151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企业名称（盖章</w:t>
      </w:r>
      <w:r>
        <w:rPr>
          <w:rFonts w:hint="eastAsia" w:ascii="宋体" w:hAnsi="宋体" w:eastAsia="宋体" w:cs="宋体"/>
          <w:color w:val="auto"/>
          <w:sz w:val="24"/>
          <w:szCs w:val="24"/>
          <w:highlight w:val="none"/>
          <w:lang w:bidi="en-US"/>
        </w:rPr>
        <w:t>）</w:t>
      </w:r>
    </w:p>
    <w:p w14:paraId="7F636A32">
      <w:pPr>
        <w:autoSpaceDE w:val="0"/>
        <w:autoSpaceDN w:val="0"/>
        <w:adjustRightInd w:val="0"/>
        <w:spacing w:line="360" w:lineRule="auto"/>
        <w:ind w:firstLine="4536" w:firstLineChars="1890"/>
        <w:jc w:val="left"/>
        <w:rPr>
          <w:rFonts w:ascii="宋体" w:hAnsi="宋体" w:cs="宋体"/>
          <w:color w:val="auto"/>
          <w:spacing w:val="6"/>
          <w:sz w:val="24"/>
          <w:szCs w:val="24"/>
          <w:highlight w:val="none"/>
        </w:rPr>
      </w:pPr>
      <w:r>
        <w:rPr>
          <w:rFonts w:hint="eastAsia" w:ascii="宋体" w:hAnsi="宋体" w:cs="宋体"/>
          <w:color w:val="auto"/>
          <w:sz w:val="24"/>
          <w:szCs w:val="24"/>
          <w:highlight w:val="none"/>
        </w:rPr>
        <w:t>日 期：</w:t>
      </w:r>
    </w:p>
    <w:p w14:paraId="64CB62AC">
      <w:pPr>
        <w:spacing w:line="240" w:lineRule="auto"/>
        <w:jc w:val="center"/>
        <w:textAlignment w:val="auto"/>
        <w:rPr>
          <w:rFonts w:ascii="宋体" w:hAnsi="宋体" w:cs="宋体"/>
          <w:b/>
          <w:color w:val="auto"/>
          <w:sz w:val="30"/>
          <w:szCs w:val="30"/>
          <w:highlight w:val="none"/>
        </w:rPr>
      </w:pPr>
    </w:p>
    <w:p w14:paraId="170FB5AA">
      <w:pPr>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注：</w:t>
      </w:r>
    </w:p>
    <w:p w14:paraId="40FD41F3">
      <w:pPr>
        <w:spacing w:line="360" w:lineRule="auto"/>
        <w:rPr>
          <w:rStyle w:val="71"/>
          <w:rFonts w:ascii="宋体" w:hAnsi="宋体" w:eastAsia="宋体" w:cs="宋体"/>
          <w:color w:val="auto"/>
          <w:sz w:val="21"/>
          <w:szCs w:val="21"/>
          <w:highlight w:val="none"/>
        </w:rPr>
      </w:pPr>
      <w:r>
        <w:rPr>
          <w:rFonts w:hint="eastAsia" w:ascii="宋体" w:hAnsi="宋体" w:cs="宋体"/>
          <w:color w:val="auto"/>
          <w:sz w:val="21"/>
          <w:szCs w:val="21"/>
          <w:highlight w:val="none"/>
        </w:rPr>
        <w:t>1、</w:t>
      </w:r>
      <w:r>
        <w:rPr>
          <w:rStyle w:val="70"/>
          <w:rFonts w:hint="eastAsia" w:ascii="宋体" w:hAnsi="宋体" w:eastAsia="宋体" w:cs="宋体"/>
          <w:color w:val="auto"/>
          <w:sz w:val="21"/>
          <w:szCs w:val="21"/>
          <w:highlight w:val="none"/>
          <w:vertAlign w:val="superscript"/>
        </w:rPr>
        <w:t>1</w:t>
      </w:r>
      <w:r>
        <w:rPr>
          <w:rStyle w:val="71"/>
          <w:rFonts w:hint="eastAsia" w:ascii="宋体" w:hAnsi="宋体" w:eastAsia="宋体" w:cs="宋体"/>
          <w:color w:val="auto"/>
          <w:sz w:val="21"/>
          <w:szCs w:val="21"/>
          <w:highlight w:val="none"/>
        </w:rPr>
        <w:t>从业人员、营业收入、资产总额填报上一年度数据，无上一年度数据的新成立企业可不填报。</w:t>
      </w:r>
    </w:p>
    <w:p w14:paraId="0ABCA936">
      <w:pPr>
        <w:spacing w:line="588" w:lineRule="exact"/>
        <w:jc w:val="center"/>
        <w:rPr>
          <w:rFonts w:ascii="宋体" w:hAnsi="宋体" w:cs="宋体"/>
          <w:b/>
          <w:color w:val="auto"/>
          <w:sz w:val="30"/>
          <w:szCs w:val="30"/>
          <w:highlight w:val="none"/>
        </w:rPr>
      </w:pPr>
      <w:r>
        <w:rPr>
          <w:rFonts w:hint="eastAsia" w:ascii="宋体" w:hAnsi="宋体" w:cs="宋体"/>
          <w:b/>
          <w:color w:val="auto"/>
          <w:sz w:val="30"/>
          <w:szCs w:val="30"/>
          <w:highlight w:val="none"/>
        </w:rPr>
        <w:br w:type="page"/>
      </w:r>
    </w:p>
    <w:p w14:paraId="79DB2094">
      <w:pPr>
        <w:spacing w:line="360" w:lineRule="auto"/>
        <w:jc w:val="both"/>
        <w:textAlignment w:val="auto"/>
        <w:rPr>
          <w:rFonts w:hint="default" w:ascii="宋体" w:hAnsi="宋体" w:eastAsia="宋体" w:cs="宋体"/>
          <w:b/>
          <w:color w:val="auto"/>
          <w:sz w:val="30"/>
          <w:szCs w:val="30"/>
          <w:highlight w:val="none"/>
          <w:lang w:val="en-US" w:eastAsia="zh-CN"/>
        </w:rPr>
      </w:pPr>
      <w:r>
        <w:rPr>
          <w:rFonts w:hint="eastAsia" w:ascii="宋体" w:hAnsi="宋体" w:cs="宋体"/>
          <w:b/>
          <w:color w:val="auto"/>
          <w:sz w:val="30"/>
          <w:szCs w:val="30"/>
          <w:highlight w:val="none"/>
          <w:lang w:val="en-US" w:eastAsia="zh-CN"/>
        </w:rPr>
        <w:t>附件2：</w:t>
      </w:r>
    </w:p>
    <w:p w14:paraId="773D8F31">
      <w:pPr>
        <w:spacing w:line="360" w:lineRule="auto"/>
        <w:jc w:val="center"/>
        <w:textAlignment w:val="auto"/>
        <w:rPr>
          <w:rFonts w:ascii="宋体" w:hAnsi="宋体" w:cs="宋体"/>
          <w:b/>
          <w:color w:val="auto"/>
          <w:sz w:val="30"/>
          <w:szCs w:val="30"/>
          <w:highlight w:val="none"/>
        </w:rPr>
      </w:pPr>
      <w:r>
        <w:rPr>
          <w:rFonts w:hint="eastAsia" w:ascii="宋体" w:hAnsi="宋体" w:cs="宋体"/>
          <w:b/>
          <w:color w:val="auto"/>
          <w:sz w:val="30"/>
          <w:szCs w:val="30"/>
          <w:highlight w:val="none"/>
        </w:rPr>
        <w:t>残疾人福利性单位声明函</w:t>
      </w:r>
      <w:r>
        <w:rPr>
          <w:rFonts w:hint="eastAsia" w:ascii="宋体" w:hAnsi="宋体" w:eastAsia="宋体" w:cs="宋体"/>
          <w:b/>
          <w:color w:val="auto"/>
          <w:sz w:val="30"/>
          <w:szCs w:val="30"/>
          <w:highlight w:val="none"/>
        </w:rPr>
        <w:t>（如符合条件时填写）</w:t>
      </w:r>
    </w:p>
    <w:p w14:paraId="6CD03D41">
      <w:pPr>
        <w:spacing w:line="588" w:lineRule="exact"/>
        <w:rPr>
          <w:rFonts w:ascii="宋体" w:hAnsi="宋体" w:cs="宋体"/>
          <w:b/>
          <w:color w:val="auto"/>
          <w:spacing w:val="6"/>
          <w:sz w:val="30"/>
          <w:szCs w:val="30"/>
          <w:highlight w:val="none"/>
        </w:rPr>
      </w:pPr>
    </w:p>
    <w:p w14:paraId="23E5CA5C">
      <w:pPr>
        <w:spacing w:line="588" w:lineRule="exact"/>
        <w:ind w:firstLine="504" w:firstLineChars="200"/>
        <w:rPr>
          <w:rFonts w:ascii="宋体" w:hAnsi="宋体" w:cs="宋体"/>
          <w:color w:val="auto"/>
          <w:spacing w:val="6"/>
          <w:sz w:val="24"/>
          <w:szCs w:val="24"/>
          <w:highlight w:val="none"/>
        </w:rPr>
      </w:pPr>
      <w:r>
        <w:rPr>
          <w:rFonts w:hint="eastAsia" w:ascii="宋体" w:hAnsi="宋体" w:cs="宋体"/>
          <w:color w:val="auto"/>
          <w:spacing w:val="6"/>
          <w:sz w:val="24"/>
          <w:szCs w:val="24"/>
          <w:highlight w:val="none"/>
        </w:rPr>
        <w:t>本单位郑重声明，根据《财政部 民政部 中国残疾人联合会关于促进残疾人就业政府采购政策的通知》（财库</w:t>
      </w:r>
      <w:r>
        <w:rPr>
          <w:rFonts w:hint="eastAsia" w:ascii="宋体" w:hAnsi="宋体" w:cs="宋体"/>
          <w:color w:val="auto"/>
          <w:sz w:val="24"/>
          <w:szCs w:val="24"/>
          <w:highlight w:val="none"/>
        </w:rPr>
        <w:t>〔2017〕141</w:t>
      </w:r>
      <w:r>
        <w:rPr>
          <w:rFonts w:hint="eastAsia" w:ascii="宋体" w:hAnsi="宋体" w:cs="宋体"/>
          <w:color w:val="auto"/>
          <w:spacing w:val="6"/>
          <w:sz w:val="24"/>
          <w:szCs w:val="24"/>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34849189">
      <w:pPr>
        <w:spacing w:line="588" w:lineRule="exact"/>
        <w:ind w:firstLine="504" w:firstLineChars="200"/>
        <w:rPr>
          <w:rFonts w:ascii="宋体" w:hAnsi="宋体" w:cs="宋体"/>
          <w:color w:val="auto"/>
          <w:spacing w:val="6"/>
          <w:sz w:val="24"/>
          <w:szCs w:val="24"/>
          <w:highlight w:val="none"/>
        </w:rPr>
      </w:pPr>
      <w:r>
        <w:rPr>
          <w:rFonts w:hint="eastAsia" w:ascii="宋体" w:hAnsi="宋体" w:cs="宋体"/>
          <w:color w:val="auto"/>
          <w:spacing w:val="6"/>
          <w:sz w:val="24"/>
          <w:szCs w:val="24"/>
          <w:highlight w:val="none"/>
        </w:rPr>
        <w:t>本单位对上述声明的真实性负责。如有虚假，将依法承担相应责任。</w:t>
      </w:r>
    </w:p>
    <w:p w14:paraId="0AC00919">
      <w:pPr>
        <w:spacing w:line="588" w:lineRule="exact"/>
        <w:ind w:firstLine="504" w:firstLineChars="200"/>
        <w:rPr>
          <w:rFonts w:ascii="宋体" w:hAnsi="宋体" w:cs="宋体"/>
          <w:color w:val="auto"/>
          <w:spacing w:val="6"/>
          <w:sz w:val="24"/>
          <w:szCs w:val="24"/>
          <w:highlight w:val="none"/>
        </w:rPr>
      </w:pPr>
    </w:p>
    <w:p w14:paraId="7C1AEEFF">
      <w:pPr>
        <w:spacing w:line="588" w:lineRule="exact"/>
        <w:ind w:firstLine="504" w:firstLineChars="200"/>
        <w:rPr>
          <w:rFonts w:ascii="宋体" w:hAnsi="宋体" w:cs="宋体"/>
          <w:color w:val="auto"/>
          <w:spacing w:val="6"/>
          <w:sz w:val="24"/>
          <w:szCs w:val="24"/>
          <w:highlight w:val="none"/>
        </w:rPr>
      </w:pPr>
    </w:p>
    <w:p w14:paraId="762AE4CD">
      <w:pPr>
        <w:spacing w:line="588" w:lineRule="exact"/>
        <w:ind w:firstLine="504" w:firstLineChars="200"/>
        <w:rPr>
          <w:rFonts w:ascii="宋体" w:hAnsi="宋体" w:cs="宋体"/>
          <w:color w:val="auto"/>
          <w:spacing w:val="6"/>
          <w:sz w:val="24"/>
          <w:szCs w:val="24"/>
          <w:highlight w:val="none"/>
        </w:rPr>
      </w:pPr>
    </w:p>
    <w:p w14:paraId="4FF5DF1F">
      <w:pPr>
        <w:snapToGrid w:val="0"/>
        <w:spacing w:before="100" w:beforeAutospacing="1" w:after="100" w:afterAutospacing="1" w:line="700" w:lineRule="exact"/>
        <w:ind w:right="641" w:firstLine="4960" w:firstLineChars="2067"/>
        <w:rPr>
          <w:rFonts w:ascii="宋体" w:hAnsi="宋体" w:cs="宋体"/>
          <w:color w:val="auto"/>
          <w:sz w:val="24"/>
          <w:szCs w:val="24"/>
          <w:highlight w:val="none"/>
        </w:rPr>
      </w:pPr>
      <w:r>
        <w:rPr>
          <w:rFonts w:hint="eastAsia" w:ascii="宋体" w:hAnsi="宋体" w:cs="宋体"/>
          <w:color w:val="auto"/>
          <w:sz w:val="24"/>
          <w:szCs w:val="24"/>
          <w:highlight w:val="none"/>
        </w:rPr>
        <w:t>单位名称（盖章</w:t>
      </w:r>
      <w:r>
        <w:rPr>
          <w:rFonts w:hint="eastAsia" w:ascii="宋体" w:hAnsi="宋体" w:cs="宋体"/>
          <w:color w:val="auto"/>
          <w:sz w:val="24"/>
          <w:szCs w:val="24"/>
          <w:highlight w:val="none"/>
          <w:lang w:bidi="en-US"/>
        </w:rPr>
        <w:t>）</w:t>
      </w:r>
      <w:r>
        <w:rPr>
          <w:rFonts w:hint="eastAsia" w:ascii="宋体" w:hAnsi="宋体" w:cs="宋体"/>
          <w:color w:val="auto"/>
          <w:sz w:val="24"/>
          <w:szCs w:val="24"/>
          <w:highlight w:val="none"/>
        </w:rPr>
        <w:t>：</w:t>
      </w:r>
    </w:p>
    <w:p w14:paraId="17C9F378">
      <w:pPr>
        <w:snapToGrid w:val="0"/>
        <w:spacing w:before="100" w:beforeAutospacing="1" w:after="100" w:afterAutospacing="1" w:line="540" w:lineRule="exact"/>
        <w:ind w:right="85" w:firstLine="5016" w:firstLineChars="2090"/>
        <w:jc w:val="left"/>
        <w:textAlignment w:val="top"/>
        <w:rPr>
          <w:rFonts w:ascii="宋体" w:hAnsi="宋体" w:cs="宋体"/>
          <w:color w:val="auto"/>
          <w:sz w:val="24"/>
          <w:szCs w:val="24"/>
          <w:highlight w:val="none"/>
        </w:rPr>
      </w:pPr>
      <w:r>
        <w:rPr>
          <w:rFonts w:hint="eastAsia" w:ascii="宋体" w:hAnsi="宋体" w:cs="宋体"/>
          <w:color w:val="auto"/>
          <w:sz w:val="24"/>
          <w:szCs w:val="24"/>
          <w:highlight w:val="none"/>
        </w:rPr>
        <w:t>日 期：</w:t>
      </w:r>
    </w:p>
    <w:p w14:paraId="0C4B613F">
      <w:pPr>
        <w:snapToGrid w:val="0"/>
        <w:spacing w:before="100" w:beforeAutospacing="1" w:after="100" w:afterAutospacing="1" w:line="540" w:lineRule="exact"/>
        <w:ind w:right="85"/>
        <w:jc w:val="left"/>
        <w:textAlignment w:val="top"/>
        <w:rPr>
          <w:rFonts w:ascii="宋体" w:hAnsi="宋体" w:cs="宋体"/>
          <w:color w:val="auto"/>
          <w:sz w:val="24"/>
          <w:szCs w:val="24"/>
          <w:highlight w:val="none"/>
        </w:rPr>
      </w:pPr>
    </w:p>
    <w:p w14:paraId="2949568D">
      <w:pPr>
        <w:pStyle w:val="30"/>
        <w:rPr>
          <w:color w:val="auto"/>
          <w:highlight w:val="none"/>
        </w:rPr>
      </w:pPr>
    </w:p>
    <w:p w14:paraId="30CEF670">
      <w:pPr>
        <w:shd w:val="clear" w:color="auto" w:fill="FFFFFF"/>
        <w:spacing w:line="360" w:lineRule="auto"/>
        <w:rPr>
          <w:rFonts w:ascii="宋体" w:hAnsi="宋体" w:cs="宋体"/>
          <w:color w:val="auto"/>
          <w:sz w:val="21"/>
          <w:szCs w:val="21"/>
          <w:highlight w:val="none"/>
        </w:rPr>
      </w:pPr>
      <w:r>
        <w:rPr>
          <w:rFonts w:hint="eastAsia" w:ascii="宋体" w:hAnsi="宋体" w:cs="宋体"/>
          <w:color w:val="auto"/>
          <w:sz w:val="21"/>
          <w:szCs w:val="21"/>
          <w:highlight w:val="none"/>
        </w:rPr>
        <w:t>注：1、按政策规定：符合条件的残疾人福利性单位视同小型、微型企业，享受评审价格扣除等促进中小企业发展的政府采购政策。残疾人福利性单位属于小型、微型企业的，不重复享受政策。</w:t>
      </w:r>
    </w:p>
    <w:p w14:paraId="62A5601B">
      <w:pPr>
        <w:spacing w:line="360" w:lineRule="auto"/>
        <w:ind w:firstLine="525" w:firstLineChars="250"/>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b/>
          <w:color w:val="auto"/>
          <w:spacing w:val="6"/>
          <w:sz w:val="21"/>
          <w:szCs w:val="21"/>
          <w:highlight w:val="none"/>
          <w:vertAlign w:val="superscript"/>
        </w:rPr>
        <w:t>*</w:t>
      </w:r>
      <w:r>
        <w:rPr>
          <w:rFonts w:hint="eastAsia" w:ascii="宋体" w:hAnsi="宋体" w:cs="宋体"/>
          <w:color w:val="auto"/>
          <w:sz w:val="21"/>
          <w:szCs w:val="21"/>
          <w:highlight w:val="none"/>
        </w:rPr>
        <w:t>本格式在残疾人福利性单位申请报价格扣除时填写，未填写不享受小微价格扣除，但不作为无效投标。</w:t>
      </w:r>
    </w:p>
    <w:p w14:paraId="2FDADF01">
      <w:pPr>
        <w:spacing w:line="360" w:lineRule="auto"/>
        <w:ind w:firstLine="525" w:firstLineChars="250"/>
        <w:rPr>
          <w:rFonts w:ascii="宋体" w:hAnsi="宋体" w:cs="宋体"/>
          <w:color w:val="auto"/>
          <w:sz w:val="21"/>
          <w:szCs w:val="21"/>
          <w:highlight w:val="none"/>
        </w:rPr>
      </w:pPr>
      <w:r>
        <w:rPr>
          <w:rFonts w:hint="eastAsia" w:ascii="宋体" w:hAnsi="宋体" w:cs="宋体"/>
          <w:color w:val="auto"/>
          <w:sz w:val="21"/>
          <w:szCs w:val="21"/>
          <w:highlight w:val="none"/>
        </w:rPr>
        <w:t>残疾人福利性单位属于小型、微型企业的，可只填写“ 中小企业声明函”，不再填写“残疾人福利性单位声明函”。</w:t>
      </w:r>
    </w:p>
    <w:p w14:paraId="07671B90">
      <w:pPr>
        <w:numPr>
          <w:ilvl w:val="0"/>
          <w:numId w:val="21"/>
        </w:numPr>
        <w:spacing w:line="360" w:lineRule="auto"/>
        <w:ind w:firstLine="525" w:firstLineChars="250"/>
        <w:rPr>
          <w:rFonts w:hint="eastAsia" w:ascii="宋体" w:hAnsi="宋体" w:cs="宋体"/>
          <w:color w:val="auto"/>
          <w:sz w:val="21"/>
          <w:szCs w:val="21"/>
          <w:highlight w:val="none"/>
        </w:rPr>
      </w:pPr>
      <w:r>
        <w:rPr>
          <w:rFonts w:hint="eastAsia" w:ascii="宋体" w:hAnsi="宋体" w:cs="宋体"/>
          <w:color w:val="auto"/>
          <w:sz w:val="21"/>
          <w:szCs w:val="21"/>
          <w:highlight w:val="none"/>
        </w:rPr>
        <w:t>残疾人福利性单位填写“残疾人福利性单位声明函”后，仍需同时填写“中小企业声明函”、可在“中小企业声明函”注明“属于符合条件的残疾人福利性单位、视同小型、微型企业”。</w:t>
      </w:r>
    </w:p>
    <w:p w14:paraId="071647D4">
      <w:pPr>
        <w:pStyle w:val="29"/>
        <w:numPr>
          <w:ilvl w:val="0"/>
          <w:numId w:val="0"/>
        </w:numPr>
        <w:rPr>
          <w:color w:val="auto"/>
          <w:highlight w:val="none"/>
          <w:lang w:val="zh-CN"/>
        </w:rPr>
      </w:pPr>
    </w:p>
    <w:p w14:paraId="221C354A">
      <w:pPr>
        <w:pStyle w:val="29"/>
        <w:numPr>
          <w:ilvl w:val="0"/>
          <w:numId w:val="0"/>
        </w:numPr>
        <w:rPr>
          <w:color w:val="auto"/>
          <w:highlight w:val="none"/>
          <w:lang w:val="zh-CN"/>
        </w:rPr>
      </w:pPr>
    </w:p>
    <w:p w14:paraId="2CBB67B7">
      <w:pPr>
        <w:rPr>
          <w:rFonts w:ascii="宋体" w:hAnsi="宋体" w:eastAsia="黑体" w:cs="宋体"/>
          <w:color w:val="auto"/>
          <w:sz w:val="28"/>
          <w:szCs w:val="28"/>
          <w:highlight w:val="none"/>
        </w:rPr>
      </w:pPr>
      <w:bookmarkStart w:id="49" w:name="_Toc898079186_WPSOffice_Level3"/>
      <w:r>
        <w:rPr>
          <w:rFonts w:ascii="宋体" w:hAnsi="宋体" w:cs="宋体"/>
          <w:b/>
          <w:bCs/>
          <w:color w:val="auto"/>
          <w:sz w:val="32"/>
          <w:szCs w:val="32"/>
          <w:highlight w:val="none"/>
        </w:rPr>
        <w:t>附：</w:t>
      </w:r>
      <w:bookmarkEnd w:id="49"/>
    </w:p>
    <w:p w14:paraId="6BF5F949">
      <w:pPr>
        <w:jc w:val="center"/>
        <w:rPr>
          <w:rFonts w:ascii="宋体" w:hAnsi="宋体" w:cs="宋体"/>
          <w:b/>
          <w:bCs/>
          <w:color w:val="auto"/>
          <w:sz w:val="32"/>
          <w:szCs w:val="32"/>
          <w:highlight w:val="none"/>
        </w:rPr>
      </w:pPr>
      <w:bookmarkStart w:id="50" w:name="_Toc853194655"/>
      <w:bookmarkStart w:id="51" w:name="_Toc1587242122"/>
      <w:bookmarkStart w:id="52" w:name="_Toc658018444_WPSOffice_Level2"/>
      <w:bookmarkStart w:id="53" w:name="_Toc347624563"/>
      <w:r>
        <w:rPr>
          <w:rFonts w:ascii="宋体" w:hAnsi="宋体" w:cs="宋体"/>
          <w:b/>
          <w:bCs/>
          <w:color w:val="auto"/>
          <w:sz w:val="32"/>
          <w:szCs w:val="32"/>
          <w:highlight w:val="none"/>
        </w:rPr>
        <w:t>关于印发中小企业划型标准规定的通知</w:t>
      </w:r>
      <w:bookmarkEnd w:id="50"/>
      <w:bookmarkEnd w:id="51"/>
      <w:bookmarkEnd w:id="52"/>
      <w:bookmarkEnd w:id="53"/>
    </w:p>
    <w:p w14:paraId="307E5714">
      <w:pPr>
        <w:pStyle w:val="18"/>
        <w:spacing w:line="480" w:lineRule="exact"/>
        <w:jc w:val="center"/>
        <w:rPr>
          <w:rFonts w:hint="eastAsia" w:ascii="仿宋_GB2312" w:hAnsi="仿宋_GB2312" w:eastAsia="仿宋_GB2312" w:cs="仿宋_GB2312"/>
          <w:color w:val="auto"/>
          <w:sz w:val="28"/>
          <w:szCs w:val="28"/>
          <w:highlight w:val="none"/>
        </w:rPr>
      </w:pPr>
      <w:bookmarkStart w:id="54" w:name="_Toc1413325678_WPSOffice_Level3"/>
      <w:r>
        <w:rPr>
          <w:rFonts w:hint="eastAsia" w:ascii="仿宋_GB2312" w:hAnsi="仿宋_GB2312" w:eastAsia="仿宋_GB2312" w:cs="仿宋_GB2312"/>
          <w:color w:val="auto"/>
          <w:sz w:val="28"/>
          <w:szCs w:val="28"/>
          <w:highlight w:val="none"/>
        </w:rPr>
        <w:t>工信部联企业[2011]300号</w:t>
      </w:r>
      <w:bookmarkEnd w:id="54"/>
    </w:p>
    <w:p w14:paraId="269470C9">
      <w:pPr>
        <w:pStyle w:val="18"/>
        <w:spacing w:line="480" w:lineRule="exac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各省、自治区、直辖市人民政府，国务院各部委、各直属机构及有关单位：</w:t>
      </w:r>
      <w:r>
        <w:rPr>
          <w:rFonts w:hint="eastAsia" w:ascii="仿宋_GB2312" w:hAnsi="仿宋_GB2312" w:eastAsia="仿宋_GB2312" w:cs="仿宋_GB2312"/>
          <w:color w:val="auto"/>
          <w:sz w:val="28"/>
          <w:szCs w:val="28"/>
          <w:highlight w:val="none"/>
        </w:rPr>
        <w:br w:type="textWrapping"/>
      </w:r>
      <w:r>
        <w:rPr>
          <w:rFonts w:hint="eastAsia" w:ascii="仿宋_GB2312" w:hAnsi="仿宋_GB2312" w:eastAsia="仿宋_GB2312" w:cs="仿宋_GB2312"/>
          <w:color w:val="auto"/>
          <w:sz w:val="28"/>
          <w:szCs w:val="28"/>
          <w:highlight w:val="none"/>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7F3FE142">
      <w:pPr>
        <w:pStyle w:val="18"/>
        <w:spacing w:line="480" w:lineRule="exact"/>
        <w:jc w:val="righ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工业和信息化部　国家统计局</w:t>
      </w:r>
      <w:r>
        <w:rPr>
          <w:rFonts w:hint="eastAsia" w:ascii="仿宋_GB2312" w:hAnsi="仿宋_GB2312" w:eastAsia="仿宋_GB2312" w:cs="仿宋_GB2312"/>
          <w:color w:val="auto"/>
          <w:sz w:val="28"/>
          <w:szCs w:val="28"/>
          <w:highlight w:val="none"/>
        </w:rPr>
        <w:br w:type="textWrapping"/>
      </w:r>
      <w:r>
        <w:rPr>
          <w:rFonts w:hint="eastAsia" w:ascii="仿宋_GB2312" w:hAnsi="仿宋_GB2312" w:eastAsia="仿宋_GB2312" w:cs="仿宋_GB2312"/>
          <w:color w:val="auto"/>
          <w:sz w:val="28"/>
          <w:szCs w:val="28"/>
          <w:highlight w:val="none"/>
        </w:rPr>
        <w:t>　　　　　　　　　　　　　　　　　　　国家发展和改革委员会　财政部</w:t>
      </w:r>
      <w:r>
        <w:rPr>
          <w:rFonts w:hint="eastAsia" w:ascii="仿宋_GB2312" w:hAnsi="仿宋_GB2312" w:eastAsia="仿宋_GB2312" w:cs="仿宋_GB2312"/>
          <w:color w:val="auto"/>
          <w:sz w:val="28"/>
          <w:szCs w:val="28"/>
          <w:highlight w:val="none"/>
        </w:rPr>
        <w:br w:type="textWrapping"/>
      </w:r>
      <w:r>
        <w:rPr>
          <w:rFonts w:hint="eastAsia" w:ascii="仿宋_GB2312" w:hAnsi="仿宋_GB2312" w:eastAsia="仿宋_GB2312" w:cs="仿宋_GB2312"/>
          <w:color w:val="auto"/>
          <w:sz w:val="28"/>
          <w:szCs w:val="28"/>
          <w:highlight w:val="none"/>
        </w:rPr>
        <w:t>　　　　　　　　　　　　　　　　　　　二〇一一年六月十八日</w:t>
      </w:r>
    </w:p>
    <w:p w14:paraId="35C6A71E">
      <w:pPr>
        <w:pStyle w:val="18"/>
        <w:spacing w:line="480" w:lineRule="exac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附件： </w:t>
      </w:r>
    </w:p>
    <w:p w14:paraId="736177B6">
      <w:pPr>
        <w:pStyle w:val="18"/>
        <w:spacing w:line="480" w:lineRule="exact"/>
        <w:jc w:val="center"/>
        <w:rPr>
          <w:rFonts w:hint="eastAsia" w:ascii="仿宋_GB2312" w:hAnsi="仿宋_GB2312" w:eastAsia="仿宋_GB2312" w:cs="仿宋_GB2312"/>
          <w:color w:val="auto"/>
          <w:sz w:val="28"/>
          <w:szCs w:val="28"/>
          <w:highlight w:val="none"/>
        </w:rPr>
      </w:pPr>
      <w:bookmarkStart w:id="55" w:name="_Toc1817875417_WPSOffice_Level2"/>
      <w:r>
        <w:rPr>
          <w:rStyle w:val="25"/>
          <w:rFonts w:hint="eastAsia" w:ascii="仿宋_GB2312" w:hAnsi="仿宋_GB2312" w:eastAsia="仿宋_GB2312" w:cs="仿宋_GB2312"/>
          <w:color w:val="auto"/>
          <w:sz w:val="28"/>
          <w:szCs w:val="28"/>
          <w:highlight w:val="none"/>
        </w:rPr>
        <w:t>中小企业划型标准规定</w:t>
      </w:r>
      <w:bookmarkEnd w:id="55"/>
    </w:p>
    <w:p w14:paraId="1B414056">
      <w:pPr>
        <w:pStyle w:val="18"/>
        <w:spacing w:line="480" w:lineRule="exac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    一、根据《中华人民共和国中小企业促进法》和《国务院关于进一步促进中小企业发展的若干意见》(国发〔2009〕36号)，制定本规定。</w:t>
      </w:r>
      <w:r>
        <w:rPr>
          <w:rFonts w:hint="eastAsia" w:ascii="仿宋_GB2312" w:hAnsi="仿宋_GB2312" w:eastAsia="仿宋_GB2312" w:cs="仿宋_GB2312"/>
          <w:color w:val="auto"/>
          <w:sz w:val="28"/>
          <w:szCs w:val="28"/>
          <w:highlight w:val="none"/>
        </w:rPr>
        <w:br w:type="textWrapping"/>
      </w:r>
      <w:r>
        <w:rPr>
          <w:rFonts w:hint="eastAsia" w:ascii="仿宋_GB2312" w:hAnsi="仿宋_GB2312" w:eastAsia="仿宋_GB2312" w:cs="仿宋_GB2312"/>
          <w:color w:val="auto"/>
          <w:sz w:val="28"/>
          <w:szCs w:val="28"/>
          <w:highlight w:val="none"/>
        </w:rPr>
        <w:t>　　二、中小企业划分为中型、小型、微型三种类型，具体标准根据企业从业人员、营业收入、资产总额等指标，结合行业特点制定。</w:t>
      </w:r>
      <w:r>
        <w:rPr>
          <w:rFonts w:hint="eastAsia" w:ascii="仿宋_GB2312" w:hAnsi="仿宋_GB2312" w:eastAsia="仿宋_GB2312" w:cs="仿宋_GB2312"/>
          <w:color w:val="auto"/>
          <w:sz w:val="28"/>
          <w:szCs w:val="28"/>
          <w:highlight w:val="none"/>
        </w:rPr>
        <w:br w:type="textWrapping"/>
      </w:r>
      <w:r>
        <w:rPr>
          <w:rFonts w:hint="eastAsia" w:ascii="仿宋_GB2312" w:hAnsi="仿宋_GB2312" w:eastAsia="仿宋_GB2312" w:cs="仿宋_GB2312"/>
          <w:color w:val="auto"/>
          <w:sz w:val="28"/>
          <w:szCs w:val="28"/>
          <w:highlight w:val="none"/>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hint="eastAsia" w:ascii="仿宋_GB2312" w:hAnsi="仿宋_GB2312" w:eastAsia="仿宋_GB2312" w:cs="仿宋_GB2312"/>
          <w:color w:val="auto"/>
          <w:sz w:val="28"/>
          <w:szCs w:val="28"/>
          <w:highlight w:val="none"/>
        </w:rPr>
        <w:br w:type="textWrapping"/>
      </w:r>
      <w:r>
        <w:rPr>
          <w:rFonts w:hint="eastAsia" w:ascii="仿宋_GB2312" w:hAnsi="仿宋_GB2312" w:eastAsia="仿宋_GB2312" w:cs="仿宋_GB2312"/>
          <w:color w:val="auto"/>
          <w:sz w:val="28"/>
          <w:szCs w:val="28"/>
          <w:highlight w:val="none"/>
        </w:rPr>
        <w:t>　　四、各行业划型标准为：</w:t>
      </w:r>
      <w:r>
        <w:rPr>
          <w:rFonts w:hint="eastAsia" w:ascii="仿宋_GB2312" w:hAnsi="仿宋_GB2312" w:eastAsia="仿宋_GB2312" w:cs="仿宋_GB2312"/>
          <w:color w:val="auto"/>
          <w:sz w:val="28"/>
          <w:szCs w:val="28"/>
          <w:highlight w:val="none"/>
        </w:rPr>
        <w:br w:type="textWrapping"/>
      </w:r>
      <w:r>
        <w:rPr>
          <w:rFonts w:hint="eastAsia" w:ascii="仿宋_GB2312" w:hAnsi="仿宋_GB2312" w:eastAsia="仿宋_GB2312" w:cs="仿宋_GB2312"/>
          <w:color w:val="auto"/>
          <w:sz w:val="28"/>
          <w:szCs w:val="28"/>
          <w:highlight w:val="none"/>
        </w:rPr>
        <w:t>　　（一）农、林、牧、渔业。营业收入20000万元以下的为中小微型企业。其中，营业收入500万元及以上的为中型企业，营业收入50万元及以上的为小型企业，营业收入50万元以下的为微型企业。</w:t>
      </w:r>
      <w:r>
        <w:rPr>
          <w:rFonts w:hint="eastAsia" w:ascii="仿宋_GB2312" w:hAnsi="仿宋_GB2312" w:eastAsia="仿宋_GB2312" w:cs="仿宋_GB2312"/>
          <w:color w:val="auto"/>
          <w:sz w:val="28"/>
          <w:szCs w:val="28"/>
          <w:highlight w:val="none"/>
        </w:rPr>
        <w:br w:type="textWrapping"/>
      </w:r>
      <w:r>
        <w:rPr>
          <w:rFonts w:hint="eastAsia" w:ascii="仿宋_GB2312" w:hAnsi="仿宋_GB2312" w:eastAsia="仿宋_GB2312" w:cs="仿宋_GB2312"/>
          <w:color w:val="auto"/>
          <w:sz w:val="28"/>
          <w:szCs w:val="28"/>
          <w:highlight w:val="none"/>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int="eastAsia" w:ascii="仿宋_GB2312" w:hAnsi="仿宋_GB2312" w:eastAsia="仿宋_GB2312" w:cs="仿宋_GB2312"/>
          <w:color w:val="auto"/>
          <w:sz w:val="28"/>
          <w:szCs w:val="28"/>
          <w:highlight w:val="none"/>
        </w:rPr>
        <w:br w:type="textWrapping"/>
      </w:r>
      <w:r>
        <w:rPr>
          <w:rFonts w:hint="eastAsia" w:ascii="仿宋_GB2312" w:hAnsi="仿宋_GB2312" w:eastAsia="仿宋_GB2312" w:cs="仿宋_GB2312"/>
          <w:color w:val="auto"/>
          <w:sz w:val="28"/>
          <w:szCs w:val="28"/>
          <w:highlight w:val="none"/>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hint="eastAsia" w:ascii="仿宋_GB2312" w:hAnsi="仿宋_GB2312" w:eastAsia="仿宋_GB2312" w:cs="仿宋_GB2312"/>
          <w:color w:val="auto"/>
          <w:sz w:val="28"/>
          <w:szCs w:val="28"/>
          <w:highlight w:val="none"/>
        </w:rPr>
        <w:br w:type="textWrapping"/>
      </w:r>
      <w:r>
        <w:rPr>
          <w:rFonts w:hint="eastAsia" w:ascii="仿宋_GB2312" w:hAnsi="仿宋_GB2312" w:eastAsia="仿宋_GB2312" w:cs="仿宋_GB2312"/>
          <w:color w:val="auto"/>
          <w:sz w:val="28"/>
          <w:szCs w:val="28"/>
          <w:highlight w:val="none"/>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hint="eastAsia" w:ascii="仿宋_GB2312" w:hAnsi="仿宋_GB2312" w:eastAsia="仿宋_GB2312" w:cs="仿宋_GB2312"/>
          <w:color w:val="auto"/>
          <w:sz w:val="28"/>
          <w:szCs w:val="28"/>
          <w:highlight w:val="none"/>
        </w:rPr>
        <w:br w:type="textWrapping"/>
      </w:r>
      <w:r>
        <w:rPr>
          <w:rFonts w:hint="eastAsia" w:ascii="仿宋_GB2312" w:hAnsi="仿宋_GB2312" w:eastAsia="仿宋_GB2312" w:cs="仿宋_GB2312"/>
          <w:color w:val="auto"/>
          <w:sz w:val="28"/>
          <w:szCs w:val="28"/>
          <w:highlight w:val="none"/>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Pr>
          <w:rFonts w:hint="eastAsia" w:ascii="仿宋_GB2312" w:hAnsi="仿宋_GB2312" w:eastAsia="仿宋_GB2312" w:cs="仿宋_GB2312"/>
          <w:color w:val="auto"/>
          <w:sz w:val="28"/>
          <w:szCs w:val="28"/>
          <w:highlight w:val="none"/>
        </w:rPr>
        <w:br w:type="textWrapping"/>
      </w:r>
      <w:r>
        <w:rPr>
          <w:rFonts w:hint="eastAsia" w:ascii="仿宋_GB2312" w:hAnsi="仿宋_GB2312" w:eastAsia="仿宋_GB2312" w:cs="仿宋_GB2312"/>
          <w:color w:val="auto"/>
          <w:sz w:val="28"/>
          <w:szCs w:val="28"/>
          <w:highlight w:val="none"/>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hint="eastAsia" w:ascii="仿宋_GB2312" w:hAnsi="仿宋_GB2312" w:eastAsia="仿宋_GB2312" w:cs="仿宋_GB2312"/>
          <w:color w:val="auto"/>
          <w:sz w:val="28"/>
          <w:szCs w:val="28"/>
          <w:highlight w:val="none"/>
        </w:rPr>
        <w:br w:type="textWrapping"/>
      </w:r>
      <w:r>
        <w:rPr>
          <w:rFonts w:hint="eastAsia" w:ascii="仿宋_GB2312" w:hAnsi="仿宋_GB2312" w:eastAsia="仿宋_GB2312" w:cs="仿宋_GB2312"/>
          <w:color w:val="auto"/>
          <w:sz w:val="28"/>
          <w:szCs w:val="28"/>
          <w:highlight w:val="none"/>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hint="eastAsia" w:ascii="仿宋_GB2312" w:hAnsi="仿宋_GB2312" w:eastAsia="仿宋_GB2312" w:cs="仿宋_GB2312"/>
          <w:color w:val="auto"/>
          <w:sz w:val="28"/>
          <w:szCs w:val="28"/>
          <w:highlight w:val="none"/>
        </w:rPr>
        <w:br w:type="textWrapping"/>
      </w:r>
      <w:r>
        <w:rPr>
          <w:rFonts w:hint="eastAsia" w:ascii="仿宋_GB2312" w:hAnsi="仿宋_GB2312" w:eastAsia="仿宋_GB2312" w:cs="仿宋_GB2312"/>
          <w:color w:val="auto"/>
          <w:sz w:val="28"/>
          <w:szCs w:val="28"/>
          <w:highlight w:val="none"/>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hint="eastAsia" w:ascii="仿宋_GB2312" w:hAnsi="仿宋_GB2312" w:eastAsia="仿宋_GB2312" w:cs="仿宋_GB2312"/>
          <w:color w:val="auto"/>
          <w:sz w:val="28"/>
          <w:szCs w:val="28"/>
          <w:highlight w:val="none"/>
        </w:rPr>
        <w:br w:type="textWrapping"/>
      </w:r>
      <w:r>
        <w:rPr>
          <w:rFonts w:hint="eastAsia" w:ascii="仿宋_GB2312" w:hAnsi="仿宋_GB2312" w:eastAsia="仿宋_GB2312" w:cs="仿宋_GB2312"/>
          <w:color w:val="auto"/>
          <w:sz w:val="28"/>
          <w:szCs w:val="28"/>
          <w:highlight w:val="none"/>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ascii="仿宋_GB2312" w:hAnsi="仿宋_GB2312" w:eastAsia="仿宋_GB2312" w:cs="仿宋_GB2312"/>
          <w:color w:val="auto"/>
          <w:sz w:val="28"/>
          <w:szCs w:val="28"/>
          <w:highlight w:val="none"/>
        </w:rPr>
        <w:br w:type="textWrapping"/>
      </w:r>
      <w:r>
        <w:rPr>
          <w:rFonts w:hint="eastAsia" w:ascii="仿宋_GB2312" w:hAnsi="仿宋_GB2312" w:eastAsia="仿宋_GB2312" w:cs="仿宋_GB2312"/>
          <w:color w:val="auto"/>
          <w:sz w:val="28"/>
          <w:szCs w:val="28"/>
          <w:highlight w:val="none"/>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ascii="仿宋_GB2312" w:hAnsi="仿宋_GB2312" w:eastAsia="仿宋_GB2312" w:cs="仿宋_GB2312"/>
          <w:color w:val="auto"/>
          <w:sz w:val="28"/>
          <w:szCs w:val="28"/>
          <w:highlight w:val="none"/>
        </w:rPr>
        <w:br w:type="textWrapping"/>
      </w:r>
      <w:r>
        <w:rPr>
          <w:rFonts w:hint="eastAsia" w:ascii="仿宋_GB2312" w:hAnsi="仿宋_GB2312" w:eastAsia="仿宋_GB2312" w:cs="仿宋_GB2312"/>
          <w:color w:val="auto"/>
          <w:sz w:val="28"/>
          <w:szCs w:val="28"/>
          <w:highlight w:val="none"/>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hint="eastAsia" w:ascii="仿宋_GB2312" w:hAnsi="仿宋_GB2312" w:eastAsia="仿宋_GB2312" w:cs="仿宋_GB2312"/>
          <w:color w:val="auto"/>
          <w:sz w:val="28"/>
          <w:szCs w:val="28"/>
          <w:highlight w:val="none"/>
        </w:rPr>
        <w:br w:type="textWrapping"/>
      </w:r>
      <w:r>
        <w:rPr>
          <w:rFonts w:hint="eastAsia" w:ascii="仿宋_GB2312" w:hAnsi="仿宋_GB2312" w:eastAsia="仿宋_GB2312" w:cs="仿宋_GB2312"/>
          <w:color w:val="auto"/>
          <w:sz w:val="28"/>
          <w:szCs w:val="28"/>
          <w:highlight w:val="none"/>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hint="eastAsia" w:ascii="仿宋_GB2312" w:hAnsi="仿宋_GB2312" w:eastAsia="仿宋_GB2312" w:cs="仿宋_GB2312"/>
          <w:color w:val="auto"/>
          <w:sz w:val="28"/>
          <w:szCs w:val="28"/>
          <w:highlight w:val="none"/>
        </w:rPr>
        <w:br w:type="textWrapping"/>
      </w:r>
      <w:r>
        <w:rPr>
          <w:rFonts w:hint="eastAsia" w:ascii="仿宋_GB2312" w:hAnsi="仿宋_GB2312" w:eastAsia="仿宋_GB2312" w:cs="仿宋_GB2312"/>
          <w:color w:val="auto"/>
          <w:sz w:val="28"/>
          <w:szCs w:val="28"/>
          <w:highlight w:val="none"/>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hint="eastAsia" w:ascii="仿宋_GB2312" w:hAnsi="仿宋_GB2312" w:eastAsia="仿宋_GB2312" w:cs="仿宋_GB2312"/>
          <w:color w:val="auto"/>
          <w:sz w:val="28"/>
          <w:szCs w:val="28"/>
          <w:highlight w:val="none"/>
        </w:rPr>
        <w:br w:type="textWrapping"/>
      </w:r>
      <w:r>
        <w:rPr>
          <w:rFonts w:hint="eastAsia" w:ascii="仿宋_GB2312" w:hAnsi="仿宋_GB2312" w:eastAsia="仿宋_GB2312" w:cs="仿宋_GB2312"/>
          <w:color w:val="auto"/>
          <w:sz w:val="28"/>
          <w:szCs w:val="28"/>
          <w:highlight w:val="none"/>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hint="eastAsia" w:ascii="仿宋_GB2312" w:hAnsi="仿宋_GB2312" w:eastAsia="仿宋_GB2312" w:cs="仿宋_GB2312"/>
          <w:color w:val="auto"/>
          <w:sz w:val="28"/>
          <w:szCs w:val="28"/>
          <w:highlight w:val="none"/>
        </w:rPr>
        <w:br w:type="textWrapping"/>
      </w:r>
      <w:r>
        <w:rPr>
          <w:rFonts w:hint="eastAsia" w:ascii="仿宋_GB2312" w:hAnsi="仿宋_GB2312" w:eastAsia="仿宋_GB2312" w:cs="仿宋_GB2312"/>
          <w:color w:val="auto"/>
          <w:sz w:val="28"/>
          <w:szCs w:val="28"/>
          <w:highlight w:val="none"/>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hint="eastAsia" w:ascii="仿宋_GB2312" w:hAnsi="仿宋_GB2312" w:eastAsia="仿宋_GB2312" w:cs="仿宋_GB2312"/>
          <w:color w:val="auto"/>
          <w:sz w:val="28"/>
          <w:szCs w:val="28"/>
          <w:highlight w:val="none"/>
        </w:rPr>
        <w:br w:type="textWrapping"/>
      </w:r>
      <w:r>
        <w:rPr>
          <w:rFonts w:hint="eastAsia" w:ascii="仿宋_GB2312" w:hAnsi="仿宋_GB2312" w:eastAsia="仿宋_GB2312" w:cs="仿宋_GB2312"/>
          <w:color w:val="auto"/>
          <w:sz w:val="28"/>
          <w:szCs w:val="28"/>
          <w:highlight w:val="none"/>
        </w:rPr>
        <w:t>　　（十六）其他未列明行业。从业人员300人以下的为中小微型企业。其中，从业人员100人及以上的为中型企业；从业人员10人及以上的为小型企业；从业人员10人以下的为微型企业。</w:t>
      </w:r>
      <w:r>
        <w:rPr>
          <w:rFonts w:hint="eastAsia" w:ascii="仿宋_GB2312" w:hAnsi="仿宋_GB2312" w:eastAsia="仿宋_GB2312" w:cs="仿宋_GB2312"/>
          <w:color w:val="auto"/>
          <w:sz w:val="28"/>
          <w:szCs w:val="28"/>
          <w:highlight w:val="none"/>
        </w:rPr>
        <w:br w:type="textWrapping"/>
      </w:r>
      <w:r>
        <w:rPr>
          <w:rFonts w:hint="eastAsia" w:ascii="仿宋_GB2312" w:hAnsi="仿宋_GB2312" w:eastAsia="仿宋_GB2312" w:cs="仿宋_GB2312"/>
          <w:color w:val="auto"/>
          <w:sz w:val="28"/>
          <w:szCs w:val="28"/>
          <w:highlight w:val="none"/>
        </w:rPr>
        <w:t>　　五、企业类型的划分以统计部门的统计数据为依据。</w:t>
      </w:r>
      <w:r>
        <w:rPr>
          <w:rFonts w:hint="eastAsia" w:ascii="仿宋_GB2312" w:hAnsi="仿宋_GB2312" w:eastAsia="仿宋_GB2312" w:cs="仿宋_GB2312"/>
          <w:color w:val="auto"/>
          <w:sz w:val="28"/>
          <w:szCs w:val="28"/>
          <w:highlight w:val="none"/>
        </w:rPr>
        <w:br w:type="textWrapping"/>
      </w:r>
      <w:r>
        <w:rPr>
          <w:rFonts w:hint="eastAsia" w:ascii="仿宋_GB2312" w:hAnsi="仿宋_GB2312" w:eastAsia="仿宋_GB2312" w:cs="仿宋_GB2312"/>
          <w:color w:val="auto"/>
          <w:sz w:val="28"/>
          <w:szCs w:val="28"/>
          <w:highlight w:val="none"/>
        </w:rPr>
        <w:t>　　六、本规定适用于在中华人民共和国境内依法设立的各类所有制和各种组织形式的企业。个体工商户和本规定以外的行业，参照本规定进行划型。</w:t>
      </w:r>
      <w:r>
        <w:rPr>
          <w:rFonts w:hint="eastAsia" w:ascii="仿宋_GB2312" w:hAnsi="仿宋_GB2312" w:eastAsia="仿宋_GB2312" w:cs="仿宋_GB2312"/>
          <w:color w:val="auto"/>
          <w:sz w:val="28"/>
          <w:szCs w:val="28"/>
          <w:highlight w:val="none"/>
        </w:rPr>
        <w:br w:type="textWrapping"/>
      </w:r>
      <w:r>
        <w:rPr>
          <w:rFonts w:hint="eastAsia" w:ascii="仿宋_GB2312" w:hAnsi="仿宋_GB2312" w:eastAsia="仿宋_GB2312" w:cs="仿宋_GB2312"/>
          <w:color w:val="auto"/>
          <w:sz w:val="28"/>
          <w:szCs w:val="28"/>
          <w:highlight w:val="none"/>
        </w:rPr>
        <w:t>　　七、本规定的中型企业标准上限即为大型企业标准的下限，国家统计部门据此制定大中小微型企业的统计分类。国务院有关部门据此进行相关数据分析，不得制定与本规定不一致的企业划型标准。</w:t>
      </w:r>
      <w:r>
        <w:rPr>
          <w:rFonts w:hint="eastAsia" w:ascii="仿宋_GB2312" w:hAnsi="仿宋_GB2312" w:eastAsia="仿宋_GB2312" w:cs="仿宋_GB2312"/>
          <w:color w:val="auto"/>
          <w:sz w:val="28"/>
          <w:szCs w:val="28"/>
          <w:highlight w:val="none"/>
        </w:rPr>
        <w:br w:type="textWrapping"/>
      </w:r>
      <w:r>
        <w:rPr>
          <w:rFonts w:hint="eastAsia" w:ascii="仿宋_GB2312" w:hAnsi="仿宋_GB2312" w:eastAsia="仿宋_GB2312" w:cs="仿宋_GB2312"/>
          <w:color w:val="auto"/>
          <w:sz w:val="28"/>
          <w:szCs w:val="28"/>
          <w:highlight w:val="none"/>
        </w:rPr>
        <w:t>　　八、本规定由工业和信息化部、国家统计局会同有关部门根据《国民经济行业分类》修订情况和企业发展变化情况适时修订。</w:t>
      </w:r>
      <w:r>
        <w:rPr>
          <w:rFonts w:hint="eastAsia" w:ascii="仿宋_GB2312" w:hAnsi="仿宋_GB2312" w:eastAsia="仿宋_GB2312" w:cs="仿宋_GB2312"/>
          <w:color w:val="auto"/>
          <w:sz w:val="28"/>
          <w:szCs w:val="28"/>
          <w:highlight w:val="none"/>
        </w:rPr>
        <w:br w:type="textWrapping"/>
      </w:r>
      <w:r>
        <w:rPr>
          <w:rFonts w:hint="eastAsia" w:ascii="仿宋_GB2312" w:hAnsi="仿宋_GB2312" w:eastAsia="仿宋_GB2312" w:cs="仿宋_GB2312"/>
          <w:color w:val="auto"/>
          <w:sz w:val="28"/>
          <w:szCs w:val="28"/>
          <w:highlight w:val="none"/>
        </w:rPr>
        <w:t>　　九、本规定由工业和信息化部、国家统计局会同有关部门负责解释。</w:t>
      </w:r>
      <w:r>
        <w:rPr>
          <w:rFonts w:hint="eastAsia" w:ascii="仿宋_GB2312" w:hAnsi="仿宋_GB2312" w:eastAsia="仿宋_GB2312" w:cs="仿宋_GB2312"/>
          <w:color w:val="auto"/>
          <w:sz w:val="28"/>
          <w:szCs w:val="28"/>
          <w:highlight w:val="none"/>
        </w:rPr>
        <w:br w:type="textWrapping"/>
      </w:r>
      <w:r>
        <w:rPr>
          <w:rFonts w:hint="eastAsia" w:ascii="仿宋_GB2312" w:hAnsi="仿宋_GB2312" w:eastAsia="仿宋_GB2312" w:cs="仿宋_GB2312"/>
          <w:color w:val="auto"/>
          <w:sz w:val="28"/>
          <w:szCs w:val="28"/>
          <w:highlight w:val="none"/>
        </w:rPr>
        <w:t>　　十、本规定自发布之日起执行，原国家经贸委、原国家计委、财政部和国家统计局2003年颁布的《中小企业标准暂行规定》同时废止。</w:t>
      </w:r>
    </w:p>
    <w:p w14:paraId="6AE428BB">
      <w:pPr>
        <w:spacing w:line="440" w:lineRule="exact"/>
        <w:rPr>
          <w:rFonts w:ascii="方正小标宋_GBK" w:hAnsi="方正小标宋_GBK" w:eastAsia="方正小标宋_GBK" w:cs="方正小标宋_GBK"/>
          <w:bCs/>
          <w:color w:val="auto"/>
          <w:sz w:val="28"/>
          <w:szCs w:val="28"/>
          <w:highlight w:val="none"/>
        </w:rPr>
      </w:pPr>
    </w:p>
    <w:p w14:paraId="639E9E58">
      <w:pPr>
        <w:pStyle w:val="18"/>
        <w:shd w:val="clear" w:color="auto" w:fill="FFFFFF"/>
        <w:spacing w:before="0" w:beforeAutospacing="0" w:after="0" w:afterAutospacing="0" w:line="440" w:lineRule="exact"/>
        <w:jc w:val="center"/>
        <w:rPr>
          <w:rFonts w:hint="eastAsia"/>
          <w:color w:val="auto"/>
          <w:highlight w:val="none"/>
        </w:rPr>
      </w:pPr>
      <w:bookmarkStart w:id="56" w:name="_Toc2135351082_WPSOffice_Level2"/>
      <w:r>
        <w:rPr>
          <w:rFonts w:hint="eastAsia"/>
          <w:b/>
          <w:color w:val="auto"/>
          <w:sz w:val="36"/>
          <w:szCs w:val="36"/>
          <w:highlight w:val="none"/>
          <w:shd w:val="clear" w:color="auto" w:fill="FFFFFF"/>
        </w:rPr>
        <w:t>财政部 工业和信息化部关于印发</w:t>
      </w:r>
      <w:bookmarkEnd w:id="56"/>
    </w:p>
    <w:p w14:paraId="72AAE5A2">
      <w:pPr>
        <w:pStyle w:val="18"/>
        <w:shd w:val="clear" w:color="auto" w:fill="FFFFFF"/>
        <w:spacing w:before="0" w:beforeAutospacing="0" w:after="0" w:afterAutospacing="0" w:line="440" w:lineRule="exact"/>
        <w:jc w:val="center"/>
        <w:rPr>
          <w:rFonts w:hint="eastAsia"/>
          <w:color w:val="auto"/>
          <w:highlight w:val="none"/>
        </w:rPr>
      </w:pPr>
      <w:bookmarkStart w:id="57" w:name="_Toc873032375_WPSOffice_Level2"/>
      <w:r>
        <w:rPr>
          <w:rFonts w:hint="eastAsia"/>
          <w:b/>
          <w:color w:val="auto"/>
          <w:sz w:val="36"/>
          <w:szCs w:val="36"/>
          <w:highlight w:val="none"/>
          <w:shd w:val="clear" w:color="auto" w:fill="FFFFFF"/>
        </w:rPr>
        <w:t>《政府采购促进中小企业发展管理办法》的通知</w:t>
      </w:r>
      <w:bookmarkEnd w:id="57"/>
    </w:p>
    <w:p w14:paraId="076C4B94">
      <w:pPr>
        <w:pStyle w:val="18"/>
        <w:shd w:val="clear" w:color="auto" w:fill="FFFFFF"/>
        <w:spacing w:before="0" w:beforeAutospacing="0" w:after="0" w:afterAutospacing="0" w:line="440" w:lineRule="exact"/>
        <w:jc w:val="right"/>
        <w:rPr>
          <w:rFonts w:hint="eastAsia" w:ascii="仿宋_GB2312" w:hAnsi="仿宋_GB2312" w:eastAsia="仿宋_GB2312" w:cs="仿宋_GB2312"/>
          <w:color w:val="auto"/>
          <w:highlight w:val="none"/>
        </w:rPr>
      </w:pPr>
      <w:bookmarkStart w:id="58" w:name="_Toc353305560_WPSOffice_Level3"/>
      <w:r>
        <w:rPr>
          <w:rFonts w:hint="eastAsia" w:ascii="仿宋_GB2312" w:hAnsi="仿宋_GB2312" w:eastAsia="仿宋_GB2312" w:cs="仿宋_GB2312"/>
          <w:color w:val="auto"/>
          <w:highlight w:val="none"/>
          <w:shd w:val="clear" w:color="auto" w:fill="FFFFFF"/>
        </w:rPr>
        <w:t>财库〔2020〕46号</w:t>
      </w:r>
      <w:bookmarkEnd w:id="58"/>
    </w:p>
    <w:p w14:paraId="003D60AE">
      <w:pPr>
        <w:spacing w:line="440" w:lineRule="exact"/>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各中央预算单位办公厅（室），各省、自治区、直辖市、计划单列市财政厅（局）、工业和信息化主管部门，新疆生产建设兵团财政局、工业和信息化主管部门：</w:t>
      </w:r>
    </w:p>
    <w:p w14:paraId="6B12D17E">
      <w:pPr>
        <w:spacing w:line="440" w:lineRule="exact"/>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为贯彻落实《关于促进中小企业健康发展的指导意见》，发挥政府采购政策功能，促进中小企业发展，根据《中华人民共和国政府采购法》、《中华人民共和国中小企业促进法》等法律法规，财政部、工业和信息化部制定了《政府采购促进中小企业发展管理办法》。现印发给你们，请遵照执行。</w:t>
      </w:r>
    </w:p>
    <w:p w14:paraId="4A84F789">
      <w:pPr>
        <w:spacing w:line="440" w:lineRule="exact"/>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附件：政府采购促进中小企业发展管理办法</w:t>
      </w:r>
    </w:p>
    <w:p w14:paraId="2FC9F4C6">
      <w:pPr>
        <w:spacing w:line="440" w:lineRule="exact"/>
        <w:jc w:val="right"/>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财　　政　　部</w:t>
      </w:r>
    </w:p>
    <w:p w14:paraId="794AC81A">
      <w:pPr>
        <w:spacing w:line="440" w:lineRule="exact"/>
        <w:jc w:val="right"/>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工业和信息化部</w:t>
      </w:r>
    </w:p>
    <w:p w14:paraId="70291900">
      <w:pPr>
        <w:spacing w:line="440" w:lineRule="exact"/>
        <w:jc w:val="right"/>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2020年12月18日</w:t>
      </w:r>
    </w:p>
    <w:p w14:paraId="32868E38">
      <w:pPr>
        <w:spacing w:line="440" w:lineRule="exact"/>
        <w:rPr>
          <w:rFonts w:ascii="宋体" w:hAnsi="宋体" w:cs="宋体"/>
          <w:color w:val="auto"/>
          <w:sz w:val="24"/>
          <w:highlight w:val="none"/>
        </w:rPr>
      </w:pPr>
    </w:p>
    <w:p w14:paraId="7F8C3D6E">
      <w:pPr>
        <w:tabs>
          <w:tab w:val="left" w:pos="720"/>
        </w:tabs>
        <w:spacing w:line="440" w:lineRule="exact"/>
        <w:jc w:val="center"/>
        <w:rPr>
          <w:rFonts w:ascii="仿宋" w:hAnsi="仿宋" w:eastAsia="仿宋" w:cs="仿宋"/>
          <w:b/>
          <w:bCs/>
          <w:color w:val="auto"/>
          <w:sz w:val="36"/>
          <w:szCs w:val="36"/>
          <w:highlight w:val="none"/>
        </w:rPr>
      </w:pPr>
      <w:bookmarkStart w:id="59" w:name="_Toc22277130_WPSOffice_Level2"/>
      <w:r>
        <w:rPr>
          <w:rFonts w:ascii="仿宋" w:hAnsi="仿宋" w:eastAsia="仿宋" w:cs="仿宋"/>
          <w:b/>
          <w:bCs/>
          <w:color w:val="auto"/>
          <w:sz w:val="36"/>
          <w:szCs w:val="36"/>
          <w:highlight w:val="none"/>
        </w:rPr>
        <w:t>政府采购促进中小企业发展管理办法</w:t>
      </w:r>
      <w:bookmarkEnd w:id="59"/>
    </w:p>
    <w:p w14:paraId="29F7E2B0">
      <w:pPr>
        <w:pStyle w:val="18"/>
        <w:shd w:val="clear" w:color="auto" w:fill="FFFFFF"/>
        <w:spacing w:before="0" w:beforeAutospacing="0" w:after="0" w:afterAutospacing="0" w:line="440" w:lineRule="exact"/>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color w:val="auto"/>
          <w:sz w:val="28"/>
          <w:szCs w:val="28"/>
          <w:highlight w:val="none"/>
          <w:shd w:val="clear" w:color="auto" w:fill="FFFFFF"/>
        </w:rPr>
        <w:t xml:space="preserve">    第一条</w:t>
      </w:r>
      <w:r>
        <w:rPr>
          <w:rFonts w:hint="eastAsia" w:ascii="仿宋_GB2312" w:hAnsi="仿宋_GB2312" w:eastAsia="仿宋_GB2312" w:cs="仿宋_GB2312"/>
          <w:color w:val="auto"/>
          <w:sz w:val="28"/>
          <w:szCs w:val="28"/>
          <w:highlight w:val="none"/>
          <w:shd w:val="clear" w:color="auto" w:fill="FFFFFF"/>
        </w:rPr>
        <w:t>　为了发挥政府采购的政策功能，促进中小企业健康发展，根据《中华人民共和国政府采购法》、《中华人民共和国中小企业促进法》等有关法律法规，制定本办法。</w:t>
      </w:r>
    </w:p>
    <w:p w14:paraId="212506EA">
      <w:pPr>
        <w:pStyle w:val="18"/>
        <w:shd w:val="clear" w:color="auto" w:fill="FFFFFF"/>
        <w:spacing w:before="0" w:beforeAutospacing="0" w:after="0" w:afterAutospacing="0" w:line="440" w:lineRule="exact"/>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color w:val="auto"/>
          <w:sz w:val="28"/>
          <w:szCs w:val="28"/>
          <w:highlight w:val="none"/>
          <w:shd w:val="clear" w:color="auto" w:fill="FFFFFF"/>
        </w:rPr>
        <w:t xml:space="preserve">    第二条</w:t>
      </w:r>
      <w:r>
        <w:rPr>
          <w:rFonts w:hint="eastAsia" w:ascii="仿宋_GB2312" w:hAnsi="仿宋_GB2312" w:eastAsia="仿宋_GB2312" w:cs="仿宋_GB2312"/>
          <w:color w:val="auto"/>
          <w:sz w:val="28"/>
          <w:szCs w:val="28"/>
          <w:highlight w:val="none"/>
          <w:shd w:val="clear" w:color="auto" w:fill="FFFFFF"/>
        </w:rPr>
        <w:t>　本办法所称中小企业，是指在中华人民共和国境内依法设立，依据国务院批准的中小企业划分标准确定的中型企业、小型企业和微型企业，但与大企业的负责人为同一人，或者与大企业存在直接控股、管理关系的除外。</w:t>
      </w:r>
    </w:p>
    <w:p w14:paraId="70B2C97C">
      <w:pPr>
        <w:pStyle w:val="18"/>
        <w:shd w:val="clear" w:color="auto" w:fill="FFFFFF"/>
        <w:spacing w:before="0" w:beforeAutospacing="0" w:after="0" w:afterAutospacing="0" w:line="440" w:lineRule="exact"/>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shd w:val="clear" w:color="auto" w:fill="FFFFFF"/>
        </w:rPr>
        <w:t xml:space="preserve">    符合中小企业划分标准的个体工商户，在政府采购活动中视同中小企业。</w:t>
      </w:r>
    </w:p>
    <w:p w14:paraId="302882A2">
      <w:pPr>
        <w:pStyle w:val="18"/>
        <w:shd w:val="clear" w:color="auto" w:fill="FFFFFF"/>
        <w:spacing w:before="0" w:beforeAutospacing="0" w:after="0" w:afterAutospacing="0" w:line="440" w:lineRule="exact"/>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color w:val="auto"/>
          <w:sz w:val="28"/>
          <w:szCs w:val="28"/>
          <w:highlight w:val="none"/>
          <w:shd w:val="clear" w:color="auto" w:fill="FFFFFF"/>
        </w:rPr>
        <w:t xml:space="preserve">    第三条</w:t>
      </w:r>
      <w:r>
        <w:rPr>
          <w:rFonts w:hint="eastAsia" w:ascii="仿宋_GB2312" w:hAnsi="仿宋_GB2312" w:eastAsia="仿宋_GB2312" w:cs="仿宋_GB2312"/>
          <w:color w:val="auto"/>
          <w:sz w:val="28"/>
          <w:szCs w:val="28"/>
          <w:highlight w:val="none"/>
          <w:shd w:val="clear" w:color="auto" w:fill="FFFFFF"/>
        </w:rPr>
        <w:t>　采购人在政府采购活动中应当通过加强采购需求管理，落实预留采购份额、价格评审优惠、优先采购等措施，提高中小企业在政府采购中的份额，支持中小企业发展。</w:t>
      </w:r>
    </w:p>
    <w:p w14:paraId="7D36488E">
      <w:pPr>
        <w:pStyle w:val="18"/>
        <w:shd w:val="clear" w:color="auto" w:fill="FFFFFF"/>
        <w:spacing w:before="0" w:beforeAutospacing="0" w:after="0" w:afterAutospacing="0" w:line="440" w:lineRule="exact"/>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color w:val="auto"/>
          <w:sz w:val="28"/>
          <w:szCs w:val="28"/>
          <w:highlight w:val="none"/>
          <w:shd w:val="clear" w:color="auto" w:fill="FFFFFF"/>
        </w:rPr>
        <w:t xml:space="preserve">    第四条</w:t>
      </w:r>
      <w:r>
        <w:rPr>
          <w:rFonts w:hint="eastAsia" w:ascii="仿宋_GB2312" w:hAnsi="仿宋_GB2312" w:eastAsia="仿宋_GB2312" w:cs="仿宋_GB2312"/>
          <w:color w:val="auto"/>
          <w:sz w:val="28"/>
          <w:szCs w:val="28"/>
          <w:highlight w:val="none"/>
          <w:shd w:val="clear" w:color="auto" w:fill="FFFFFF"/>
        </w:rPr>
        <w:t>　在政府采购活动中，供应商提供的货物、工程或者服务符合下列情形的，享受本办法规定的中小企业扶持政策：</w:t>
      </w:r>
    </w:p>
    <w:p w14:paraId="16C4089F">
      <w:pPr>
        <w:pStyle w:val="18"/>
        <w:shd w:val="clear" w:color="auto" w:fill="FFFFFF"/>
        <w:spacing w:before="0" w:beforeAutospacing="0" w:after="0" w:afterAutospacing="0" w:line="440" w:lineRule="exact"/>
        <w:ind w:firstLine="420"/>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shd w:val="clear" w:color="auto" w:fill="FFFFFF"/>
        </w:rPr>
        <w:t>（一）在货物采购项目中，货物由中小企业制造，即货物由中小企业生产且使用该中小企业商号或者注册商标；</w:t>
      </w:r>
    </w:p>
    <w:p w14:paraId="1A9EDBD1">
      <w:pPr>
        <w:pStyle w:val="18"/>
        <w:shd w:val="clear" w:color="auto" w:fill="FFFFFF"/>
        <w:spacing w:before="0" w:beforeAutospacing="0" w:after="0" w:afterAutospacing="0" w:line="440" w:lineRule="exact"/>
        <w:ind w:firstLine="420"/>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shd w:val="clear" w:color="auto" w:fill="FFFFFF"/>
        </w:rPr>
        <w:t>（二）在工程采购项目中，工程由中小企业承建，即工程施工单位为中小企业；</w:t>
      </w:r>
    </w:p>
    <w:p w14:paraId="3FBC834D">
      <w:pPr>
        <w:pStyle w:val="18"/>
        <w:shd w:val="clear" w:color="auto" w:fill="FFFFFF"/>
        <w:spacing w:before="0" w:beforeAutospacing="0" w:after="0" w:afterAutospacing="0" w:line="440" w:lineRule="exact"/>
        <w:ind w:firstLine="420"/>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shd w:val="clear" w:color="auto" w:fill="FFFFFF"/>
        </w:rPr>
        <w:t>（三）在服务采购项目中，服务由中小企业承接，即提供服务的人员为中小企业依照《中华人民共和国劳动合同法》订立劳动合同的从业人员。</w:t>
      </w:r>
    </w:p>
    <w:p w14:paraId="3EEB24C1">
      <w:pPr>
        <w:pStyle w:val="18"/>
        <w:shd w:val="clear" w:color="auto" w:fill="FFFFFF"/>
        <w:spacing w:before="0" w:beforeAutospacing="0" w:after="0" w:afterAutospacing="0" w:line="440" w:lineRule="exact"/>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shd w:val="clear" w:color="auto" w:fill="FFFFFF"/>
        </w:rPr>
        <w:t xml:space="preserve">    在货物采购项目中，供应商提供的货物既有中小企业制造货物，也有大型企业制造货物的，不享受本办法规定的中小企业扶持政策。</w:t>
      </w:r>
    </w:p>
    <w:p w14:paraId="43FE8DFB">
      <w:pPr>
        <w:pStyle w:val="18"/>
        <w:shd w:val="clear" w:color="auto" w:fill="FFFFFF"/>
        <w:spacing w:before="0" w:beforeAutospacing="0" w:after="0" w:afterAutospacing="0" w:line="440" w:lineRule="exact"/>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shd w:val="clear" w:color="auto" w:fill="FFFFFF"/>
        </w:rPr>
        <w:t xml:space="preserve">    以联合体形式参加政府采购活动，联合体各方均为中小企业的，联合体视同中小企业。其中，联合体各方均为小微企业的，联合体视同小微企业。</w:t>
      </w:r>
    </w:p>
    <w:p w14:paraId="07277731">
      <w:pPr>
        <w:pStyle w:val="18"/>
        <w:shd w:val="clear" w:color="auto" w:fill="FFFFFF"/>
        <w:spacing w:before="0" w:beforeAutospacing="0" w:after="0" w:afterAutospacing="0" w:line="440" w:lineRule="exact"/>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color w:val="auto"/>
          <w:sz w:val="28"/>
          <w:szCs w:val="28"/>
          <w:highlight w:val="none"/>
          <w:shd w:val="clear" w:color="auto" w:fill="FFFFFF"/>
        </w:rPr>
        <w:t xml:space="preserve">    第五条</w:t>
      </w:r>
      <w:r>
        <w:rPr>
          <w:rFonts w:hint="eastAsia" w:ascii="仿宋_GB2312" w:hAnsi="仿宋_GB2312" w:eastAsia="仿宋_GB2312" w:cs="仿宋_GB2312"/>
          <w:color w:val="auto"/>
          <w:sz w:val="28"/>
          <w:szCs w:val="28"/>
          <w:highlight w:val="none"/>
          <w:shd w:val="clear" w:color="auto" w:fill="FFFFFF"/>
        </w:rPr>
        <w:t>　采购人在政府采购活动中应当合理确定采购项目的采购需求，不得以企业注册资本、资产总额、营业收入、从业人员、利润、纳税额等规模条件和财务指标作为供应商的资格要求或者评审因素，不得在企业股权结构、经营年限等方面对中小企业实行差别待遇或者歧视待遇。</w:t>
      </w:r>
    </w:p>
    <w:p w14:paraId="1D7B22FC">
      <w:pPr>
        <w:pStyle w:val="18"/>
        <w:shd w:val="clear" w:color="auto" w:fill="FFFFFF"/>
        <w:spacing w:before="0" w:beforeAutospacing="0" w:after="0" w:afterAutospacing="0" w:line="440" w:lineRule="exact"/>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color w:val="auto"/>
          <w:sz w:val="28"/>
          <w:szCs w:val="28"/>
          <w:highlight w:val="none"/>
          <w:shd w:val="clear" w:color="auto" w:fill="FFFFFF"/>
        </w:rPr>
        <w:t xml:space="preserve">    第六条</w:t>
      </w:r>
      <w:r>
        <w:rPr>
          <w:rFonts w:hint="eastAsia" w:ascii="仿宋_GB2312" w:hAnsi="仿宋_GB2312" w:eastAsia="仿宋_GB2312" w:cs="仿宋_GB2312"/>
          <w:color w:val="auto"/>
          <w:sz w:val="28"/>
          <w:szCs w:val="28"/>
          <w:highlight w:val="none"/>
          <w:shd w:val="clear" w:color="auto" w:fill="FFFFFF"/>
        </w:rPr>
        <w:t>　主管预算单位应当组织评估本部门及所属单位政府采购项目，统筹制定面向中小企业预留采购份额的具体方案，对适宜由中小企业提供的采购项目和采购包，预留采购份额专门面向中小企业采购，并在政府采购预算中单独列示。</w:t>
      </w:r>
    </w:p>
    <w:p w14:paraId="4ADF618C">
      <w:pPr>
        <w:pStyle w:val="18"/>
        <w:shd w:val="clear" w:color="auto" w:fill="FFFFFF"/>
        <w:spacing w:before="0" w:beforeAutospacing="0" w:after="0" w:afterAutospacing="0" w:line="440" w:lineRule="exact"/>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shd w:val="clear" w:color="auto" w:fill="FFFFFF"/>
        </w:rPr>
        <w:t xml:space="preserve">    符合下列情形之一的，可不专门面向中小企业预留采购份额：</w:t>
      </w:r>
    </w:p>
    <w:p w14:paraId="5E014D84">
      <w:pPr>
        <w:pStyle w:val="18"/>
        <w:shd w:val="clear" w:color="auto" w:fill="FFFFFF"/>
        <w:spacing w:before="0" w:beforeAutospacing="0" w:after="0" w:afterAutospacing="0" w:line="440" w:lineRule="exact"/>
        <w:ind w:firstLine="420"/>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shd w:val="clear" w:color="auto" w:fill="FFFFFF"/>
        </w:rPr>
        <w:t>（一）法律法规和国家有关政策明确规定优先或者应当面向事业单位、社会组织等非企业主体采购的；</w:t>
      </w:r>
    </w:p>
    <w:p w14:paraId="1CEC63DE">
      <w:pPr>
        <w:pStyle w:val="18"/>
        <w:shd w:val="clear" w:color="auto" w:fill="FFFFFF"/>
        <w:spacing w:before="0" w:beforeAutospacing="0" w:after="0" w:afterAutospacing="0" w:line="440" w:lineRule="exact"/>
        <w:ind w:firstLine="420"/>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shd w:val="clear" w:color="auto" w:fill="FFFFFF"/>
        </w:rPr>
        <w:t>（二）因确需使用不可替代的专利、专有技术，基础设施限制，或者提供特定公共服务等原因，只能从中小企业之外的供应商处采购的；</w:t>
      </w:r>
    </w:p>
    <w:p w14:paraId="1D2BFA36">
      <w:pPr>
        <w:pStyle w:val="18"/>
        <w:shd w:val="clear" w:color="auto" w:fill="FFFFFF"/>
        <w:spacing w:before="0" w:beforeAutospacing="0" w:after="0" w:afterAutospacing="0" w:line="440" w:lineRule="exact"/>
        <w:ind w:firstLine="420"/>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shd w:val="clear" w:color="auto" w:fill="FFFFFF"/>
        </w:rPr>
        <w:t>（三）按照本办法规定预留采购份额无法确保充分供应、充分竞争，或者存在可能影响政府采购目标实现的情形；</w:t>
      </w:r>
    </w:p>
    <w:p w14:paraId="06E0C392">
      <w:pPr>
        <w:pStyle w:val="18"/>
        <w:shd w:val="clear" w:color="auto" w:fill="FFFFFF"/>
        <w:spacing w:before="0" w:beforeAutospacing="0" w:after="0" w:afterAutospacing="0" w:line="440" w:lineRule="exact"/>
        <w:ind w:firstLine="420"/>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shd w:val="clear" w:color="auto" w:fill="FFFFFF"/>
        </w:rPr>
        <w:t>（四）框架协议采购项目；</w:t>
      </w:r>
    </w:p>
    <w:p w14:paraId="071E9FCF">
      <w:pPr>
        <w:pStyle w:val="18"/>
        <w:shd w:val="clear" w:color="auto" w:fill="FFFFFF"/>
        <w:spacing w:before="0" w:beforeAutospacing="0" w:after="0" w:afterAutospacing="0" w:line="440" w:lineRule="exact"/>
        <w:ind w:firstLine="420"/>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shd w:val="clear" w:color="auto" w:fill="FFFFFF"/>
        </w:rPr>
        <w:t>（五）省级以上人民政府财政部门规定的其他情形。</w:t>
      </w:r>
    </w:p>
    <w:p w14:paraId="3E4E528F">
      <w:pPr>
        <w:pStyle w:val="18"/>
        <w:shd w:val="clear" w:color="auto" w:fill="FFFFFF"/>
        <w:spacing w:before="0" w:beforeAutospacing="0" w:after="0" w:afterAutospacing="0" w:line="440" w:lineRule="exact"/>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shd w:val="clear" w:color="auto" w:fill="FFFFFF"/>
        </w:rPr>
        <w:t xml:space="preserve">    除上述情形外，其他均为适宜由中小企业提供的情形。</w:t>
      </w:r>
    </w:p>
    <w:p w14:paraId="153703DF">
      <w:pPr>
        <w:pStyle w:val="18"/>
        <w:shd w:val="clear" w:color="auto" w:fill="FFFFFF"/>
        <w:spacing w:before="0" w:beforeAutospacing="0" w:after="0" w:afterAutospacing="0" w:line="440" w:lineRule="exact"/>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color w:val="auto"/>
          <w:sz w:val="28"/>
          <w:szCs w:val="28"/>
          <w:highlight w:val="none"/>
          <w:shd w:val="clear" w:color="auto" w:fill="FFFFFF"/>
        </w:rPr>
        <w:t xml:space="preserve">    第七条</w:t>
      </w:r>
      <w:r>
        <w:rPr>
          <w:rFonts w:hint="eastAsia" w:ascii="仿宋_GB2312" w:hAnsi="仿宋_GB2312" w:eastAsia="仿宋_GB2312" w:cs="仿宋_GB2312"/>
          <w:color w:val="auto"/>
          <w:sz w:val="28"/>
          <w:szCs w:val="28"/>
          <w:highlight w:val="none"/>
          <w:shd w:val="clear" w:color="auto" w:fill="FFFFFF"/>
        </w:rPr>
        <w:t>　采购限额标准以上，200万元以下的货物和服务采购项目、400万元以下的工程采购项目，适宜由中小企业提供的，采购人应当专门面向中小企业采购。</w:t>
      </w:r>
    </w:p>
    <w:p w14:paraId="61105CA9">
      <w:pPr>
        <w:pStyle w:val="18"/>
        <w:shd w:val="clear" w:color="auto" w:fill="FFFFFF"/>
        <w:spacing w:before="0" w:beforeAutospacing="0" w:after="0" w:afterAutospacing="0" w:line="440" w:lineRule="exact"/>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color w:val="auto"/>
          <w:sz w:val="28"/>
          <w:szCs w:val="28"/>
          <w:highlight w:val="none"/>
          <w:shd w:val="clear" w:color="auto" w:fill="FFFFFF"/>
        </w:rPr>
        <w:t xml:space="preserve">    第八条</w:t>
      </w:r>
      <w:r>
        <w:rPr>
          <w:rFonts w:hint="eastAsia" w:ascii="仿宋_GB2312" w:hAnsi="仿宋_GB2312" w:eastAsia="仿宋_GB2312" w:cs="仿宋_GB2312"/>
          <w:color w:val="auto"/>
          <w:sz w:val="28"/>
          <w:szCs w:val="28"/>
          <w:highlight w:val="none"/>
          <w:shd w:val="clear" w:color="auto" w:fill="FFFFFF"/>
        </w:rPr>
        <w:t>　超过200万元的货物和服务采购项目、超过400万元的工程采购项目中适宜由中小企业提供的，预留该部分采购项目预算总额的30%以上专门面向中小企业采购，其中预留给小微企业的比例不低于60%。预留份额通过下列措施进行：</w:t>
      </w:r>
    </w:p>
    <w:p w14:paraId="1FD089D7">
      <w:pPr>
        <w:pStyle w:val="18"/>
        <w:shd w:val="clear" w:color="auto" w:fill="FFFFFF"/>
        <w:spacing w:before="0" w:beforeAutospacing="0" w:after="0" w:afterAutospacing="0" w:line="440" w:lineRule="exact"/>
        <w:ind w:firstLine="420"/>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shd w:val="clear" w:color="auto" w:fill="FFFFFF"/>
        </w:rPr>
        <w:t>（一）将采购项目整体或者设置采购包专门面向中小企业采购；</w:t>
      </w:r>
    </w:p>
    <w:p w14:paraId="7B0A1091">
      <w:pPr>
        <w:pStyle w:val="18"/>
        <w:shd w:val="clear" w:color="auto" w:fill="FFFFFF"/>
        <w:spacing w:before="0" w:beforeAutospacing="0" w:after="0" w:afterAutospacing="0" w:line="440" w:lineRule="exact"/>
        <w:ind w:firstLine="420"/>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shd w:val="clear" w:color="auto" w:fill="FFFFFF"/>
        </w:rPr>
        <w:t>（二）要求供应商以联合体形式参加采购活动，且联合体中中小企业承担的部分达到一定比例；</w:t>
      </w:r>
    </w:p>
    <w:p w14:paraId="16399B22">
      <w:pPr>
        <w:pStyle w:val="18"/>
        <w:shd w:val="clear" w:color="auto" w:fill="FFFFFF"/>
        <w:spacing w:before="0" w:beforeAutospacing="0" w:after="0" w:afterAutospacing="0" w:line="440" w:lineRule="exact"/>
        <w:ind w:firstLine="420"/>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shd w:val="clear" w:color="auto" w:fill="FFFFFF"/>
        </w:rPr>
        <w:t>（三）要求获得采购合同的供应商将采购项目中的一定比例分包给一家或者多家中小企业。</w:t>
      </w:r>
    </w:p>
    <w:p w14:paraId="327A1A39">
      <w:pPr>
        <w:pStyle w:val="18"/>
        <w:shd w:val="clear" w:color="auto" w:fill="FFFFFF"/>
        <w:spacing w:before="0" w:beforeAutospacing="0" w:after="0" w:afterAutospacing="0" w:line="440" w:lineRule="exact"/>
        <w:ind w:firstLine="420"/>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shd w:val="clear" w:color="auto" w:fill="FFFFFF"/>
        </w:rPr>
        <w:t>组成联合体或者接受分包合同的中小企业与联合体内其他企业、分包企业之间不得存在直接控股、管理关系。</w:t>
      </w:r>
    </w:p>
    <w:p w14:paraId="7AC8480B">
      <w:pPr>
        <w:pStyle w:val="18"/>
        <w:shd w:val="clear" w:color="auto" w:fill="FFFFFF"/>
        <w:spacing w:before="0" w:beforeAutospacing="0" w:after="0" w:afterAutospacing="0" w:line="440" w:lineRule="exact"/>
        <w:ind w:firstLine="420"/>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color w:val="auto"/>
          <w:sz w:val="28"/>
          <w:szCs w:val="28"/>
          <w:highlight w:val="none"/>
          <w:shd w:val="clear" w:color="auto" w:fill="FFFFFF"/>
        </w:rPr>
        <w:t>第九条</w:t>
      </w:r>
      <w:r>
        <w:rPr>
          <w:rFonts w:hint="eastAsia" w:ascii="仿宋_GB2312" w:hAnsi="仿宋_GB2312" w:eastAsia="仿宋_GB2312" w:cs="仿宋_GB2312"/>
          <w:color w:val="auto"/>
          <w:sz w:val="28"/>
          <w:szCs w:val="28"/>
          <w:highlight w:val="none"/>
          <w:shd w:val="clear" w:color="auto" w:fill="FFFFFF"/>
        </w:rPr>
        <w:t>　对于经主管预算单位统筹后未预留份额专门面向中小企业采购的采购项目，以及预留份额项目中的非预留部分采购包，采购人、采购代理机构应当对符合本办法规定的小微企业报价给予6%—10%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10FAEC89">
      <w:pPr>
        <w:pStyle w:val="18"/>
        <w:shd w:val="clear" w:color="auto" w:fill="FFFFFF"/>
        <w:spacing w:before="0" w:beforeAutospacing="0" w:after="0" w:afterAutospacing="0" w:line="440" w:lineRule="exact"/>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shd w:val="clear" w:color="auto" w:fill="FFFFFF"/>
        </w:rPr>
        <w:t xml:space="preserve">    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2%-3%（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组成联合体或者接受分包的小微企业与联合体内其他企业、分包企业之间存在直接控股、管理关系的，不享受价格扣除优惠政策。</w:t>
      </w:r>
    </w:p>
    <w:p w14:paraId="771ECD9C">
      <w:pPr>
        <w:pStyle w:val="18"/>
        <w:shd w:val="clear" w:color="auto" w:fill="FFFFFF"/>
        <w:spacing w:before="0" w:beforeAutospacing="0" w:after="0" w:afterAutospacing="0" w:line="440" w:lineRule="exact"/>
        <w:ind w:firstLine="420"/>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shd w:val="clear" w:color="auto" w:fill="FFFFFF"/>
        </w:rPr>
        <w:t>价格扣除比例或者价格分加分比例对小型企业和微型企业同等对待，不作区分。具体采购项目的价格扣除比例或者价格分加分比例，由采购人根据采购标的相关行业平均利润率、市场竞争状况等，在本办法规定的幅度内确定。</w:t>
      </w:r>
    </w:p>
    <w:p w14:paraId="6F9A2734">
      <w:pPr>
        <w:pStyle w:val="18"/>
        <w:shd w:val="clear" w:color="auto" w:fill="FFFFFF"/>
        <w:spacing w:before="0" w:beforeAutospacing="0" w:after="0" w:afterAutospacing="0" w:line="440" w:lineRule="exact"/>
        <w:ind w:firstLine="420"/>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color w:val="auto"/>
          <w:sz w:val="28"/>
          <w:szCs w:val="28"/>
          <w:highlight w:val="none"/>
          <w:shd w:val="clear" w:color="auto" w:fill="FFFFFF"/>
        </w:rPr>
        <w:t>第十条</w:t>
      </w:r>
      <w:r>
        <w:rPr>
          <w:rFonts w:hint="eastAsia" w:ascii="仿宋_GB2312" w:hAnsi="仿宋_GB2312" w:eastAsia="仿宋_GB2312" w:cs="仿宋_GB2312"/>
          <w:color w:val="auto"/>
          <w:sz w:val="28"/>
          <w:szCs w:val="28"/>
          <w:highlight w:val="none"/>
          <w:shd w:val="clear" w:color="auto" w:fill="FFFFFF"/>
        </w:rPr>
        <w:t>　采购人应当严格按照本办法规定和主管预算单位制定的预留采购份额具体方案开展采购活动。预留份额的采购项目或者采购包，通过发布公告方式邀请供应商后，符合资格条件的中小企业数量不足3家的，应当中止采购活动，视同未预留份额的采购项目或者采购包，按照本办法第九条有关规定重新组织采购活动。</w:t>
      </w:r>
    </w:p>
    <w:p w14:paraId="0087E470">
      <w:pPr>
        <w:pStyle w:val="18"/>
        <w:shd w:val="clear" w:color="auto" w:fill="FFFFFF"/>
        <w:spacing w:before="0" w:beforeAutospacing="0" w:after="0" w:afterAutospacing="0" w:line="440" w:lineRule="exact"/>
        <w:ind w:firstLine="420"/>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color w:val="auto"/>
          <w:sz w:val="28"/>
          <w:szCs w:val="28"/>
          <w:highlight w:val="none"/>
          <w:shd w:val="clear" w:color="auto" w:fill="FFFFFF"/>
        </w:rPr>
        <w:t>第十一条</w:t>
      </w:r>
      <w:r>
        <w:rPr>
          <w:rFonts w:hint="eastAsia" w:ascii="仿宋_GB2312" w:hAnsi="仿宋_GB2312" w:eastAsia="仿宋_GB2312" w:cs="仿宋_GB2312"/>
          <w:color w:val="auto"/>
          <w:sz w:val="28"/>
          <w:szCs w:val="28"/>
          <w:highlight w:val="none"/>
          <w:shd w:val="clear" w:color="auto" w:fill="FFFFFF"/>
        </w:rPr>
        <w:t>　中小企业参加政府采购活动，应当出具本办法规定的《中小企业声明函》（附1），否则不得享受相关中小企业扶持政策。任何单位和个人不得要求供应商提供《中小企业声明函》之外的中小企业身份证明文件。</w:t>
      </w:r>
    </w:p>
    <w:p w14:paraId="3DFAD2F6">
      <w:pPr>
        <w:pStyle w:val="18"/>
        <w:shd w:val="clear" w:color="auto" w:fill="FFFFFF"/>
        <w:spacing w:before="0" w:beforeAutospacing="0" w:after="0" w:afterAutospacing="0" w:line="440" w:lineRule="exact"/>
        <w:ind w:firstLine="420"/>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color w:val="auto"/>
          <w:sz w:val="28"/>
          <w:szCs w:val="28"/>
          <w:highlight w:val="none"/>
          <w:shd w:val="clear" w:color="auto" w:fill="FFFFFF"/>
        </w:rPr>
        <w:t>第十二条</w:t>
      </w:r>
      <w:r>
        <w:rPr>
          <w:rFonts w:hint="eastAsia" w:ascii="仿宋_GB2312" w:hAnsi="仿宋_GB2312" w:eastAsia="仿宋_GB2312" w:cs="仿宋_GB2312"/>
          <w:color w:val="auto"/>
          <w:sz w:val="28"/>
          <w:szCs w:val="28"/>
          <w:highlight w:val="none"/>
          <w:shd w:val="clear" w:color="auto" w:fill="FFFFFF"/>
        </w:rPr>
        <w:t>　采购项目涉及中小企业采购的，采购文件应当明确以下内容：</w:t>
      </w:r>
    </w:p>
    <w:p w14:paraId="230447F2">
      <w:pPr>
        <w:pStyle w:val="18"/>
        <w:shd w:val="clear" w:color="auto" w:fill="FFFFFF"/>
        <w:spacing w:before="0" w:beforeAutospacing="0" w:after="0" w:afterAutospacing="0" w:line="440" w:lineRule="exact"/>
        <w:ind w:firstLine="420"/>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shd w:val="clear" w:color="auto" w:fill="FFFFFF"/>
        </w:rPr>
        <w:t>（一）预留份额的采购项目或者采购包，明确该项目或相关采购包专门面向中小企业采购，以及相关标的及预算金额；</w:t>
      </w:r>
    </w:p>
    <w:p w14:paraId="75F24095">
      <w:pPr>
        <w:pStyle w:val="18"/>
        <w:shd w:val="clear" w:color="auto" w:fill="FFFFFF"/>
        <w:spacing w:before="0" w:beforeAutospacing="0" w:after="0" w:afterAutospacing="0" w:line="440" w:lineRule="exact"/>
        <w:ind w:firstLine="420"/>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shd w:val="clear" w:color="auto" w:fill="FFFFFF"/>
        </w:rPr>
        <w:t>（二）要求以联合体形式参加或者合同分包的，明确联合协议或者分包意向协议中中小企业合同金额应当达到的比例，并作为供应商资格条件；</w:t>
      </w:r>
    </w:p>
    <w:p w14:paraId="0D8CA356">
      <w:pPr>
        <w:pStyle w:val="18"/>
        <w:shd w:val="clear" w:color="auto" w:fill="FFFFFF"/>
        <w:spacing w:before="0" w:beforeAutospacing="0" w:after="0" w:afterAutospacing="0" w:line="440" w:lineRule="exact"/>
        <w:ind w:firstLine="420"/>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shd w:val="clear" w:color="auto" w:fill="FFFFFF"/>
        </w:rPr>
        <w:t>（三）非预留份额的采购项目或者采购包，明确有关价格扣除比例或者价格分加分比例；</w:t>
      </w:r>
    </w:p>
    <w:p w14:paraId="080BB463">
      <w:pPr>
        <w:pStyle w:val="18"/>
        <w:shd w:val="clear" w:color="auto" w:fill="FFFFFF"/>
        <w:spacing w:before="0" w:beforeAutospacing="0" w:after="0" w:afterAutospacing="0" w:line="440" w:lineRule="exact"/>
        <w:ind w:firstLine="420"/>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shd w:val="clear" w:color="auto" w:fill="FFFFFF"/>
        </w:rPr>
        <w:t>（四）规定依据本办法规定享受扶持政策获得政府采购合同的，小微企业不得将合同分包给大中型企业，中型企业不得将合同分包给大型企业；</w:t>
      </w:r>
    </w:p>
    <w:p w14:paraId="1666B409">
      <w:pPr>
        <w:pStyle w:val="18"/>
        <w:shd w:val="clear" w:color="auto" w:fill="FFFFFF"/>
        <w:spacing w:before="0" w:beforeAutospacing="0" w:after="0" w:afterAutospacing="0" w:line="440" w:lineRule="exact"/>
        <w:ind w:firstLine="420"/>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shd w:val="clear" w:color="auto" w:fill="FFFFFF"/>
        </w:rPr>
        <w:t>（五）采购人认为具备相关条件的，明确对中小企业在资金支付期限、预付款比例等方面的优惠措施；</w:t>
      </w:r>
    </w:p>
    <w:p w14:paraId="501CFB33">
      <w:pPr>
        <w:pStyle w:val="18"/>
        <w:shd w:val="clear" w:color="auto" w:fill="FFFFFF"/>
        <w:spacing w:before="0" w:beforeAutospacing="0" w:after="0" w:afterAutospacing="0" w:line="440" w:lineRule="exact"/>
        <w:ind w:firstLine="420"/>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shd w:val="clear" w:color="auto" w:fill="FFFFFF"/>
        </w:rPr>
        <w:t>（六）明确采购标的对应的中小企业划分标准所属行业；</w:t>
      </w:r>
    </w:p>
    <w:p w14:paraId="7F98CD22">
      <w:pPr>
        <w:pStyle w:val="18"/>
        <w:shd w:val="clear" w:color="auto" w:fill="FFFFFF"/>
        <w:spacing w:before="0" w:beforeAutospacing="0" w:after="0" w:afterAutospacing="0" w:line="440" w:lineRule="exact"/>
        <w:ind w:firstLine="420"/>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shd w:val="clear" w:color="auto" w:fill="FFFFFF"/>
        </w:rPr>
        <w:t>（七）法律法规和省级以上人民政府财政部门规定的其他事项。</w:t>
      </w:r>
    </w:p>
    <w:p w14:paraId="0508FAD4">
      <w:pPr>
        <w:pStyle w:val="18"/>
        <w:shd w:val="clear" w:color="auto" w:fill="FFFFFF"/>
        <w:spacing w:before="0" w:beforeAutospacing="0" w:after="0" w:afterAutospacing="0" w:line="440" w:lineRule="exact"/>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color w:val="auto"/>
          <w:sz w:val="28"/>
          <w:szCs w:val="28"/>
          <w:highlight w:val="none"/>
          <w:shd w:val="clear" w:color="auto" w:fill="FFFFFF"/>
        </w:rPr>
        <w:t xml:space="preserve">    第十三条</w:t>
      </w:r>
      <w:r>
        <w:rPr>
          <w:rFonts w:hint="eastAsia" w:ascii="仿宋_GB2312" w:hAnsi="仿宋_GB2312" w:eastAsia="仿宋_GB2312" w:cs="仿宋_GB2312"/>
          <w:color w:val="auto"/>
          <w:sz w:val="28"/>
          <w:szCs w:val="28"/>
          <w:highlight w:val="none"/>
          <w:shd w:val="clear" w:color="auto" w:fill="FFFFFF"/>
        </w:rPr>
        <w:t>　中标、成交供应商享受本办法规定的中小企业扶持政策的，采购人、采购代理机构应当随中标、成交结果公开中标、成交供应商的《中小企业声明函》。</w:t>
      </w:r>
    </w:p>
    <w:p w14:paraId="3A753033">
      <w:pPr>
        <w:pStyle w:val="18"/>
        <w:shd w:val="clear" w:color="auto" w:fill="FFFFFF"/>
        <w:spacing w:before="0" w:beforeAutospacing="0" w:after="0" w:afterAutospacing="0" w:line="440" w:lineRule="exact"/>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shd w:val="clear" w:color="auto" w:fill="FFFFFF"/>
        </w:rPr>
        <w:t xml:space="preserve">    适用招标投标法的政府采购工程建设项目，应当在公示中标候选人时公开中标候选人的《中小企业声明函》。</w:t>
      </w:r>
    </w:p>
    <w:p w14:paraId="41E7499F">
      <w:pPr>
        <w:pStyle w:val="18"/>
        <w:shd w:val="clear" w:color="auto" w:fill="FFFFFF"/>
        <w:spacing w:before="0" w:beforeAutospacing="0" w:after="0" w:afterAutospacing="0" w:line="440" w:lineRule="exact"/>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color w:val="auto"/>
          <w:sz w:val="28"/>
          <w:szCs w:val="28"/>
          <w:highlight w:val="none"/>
          <w:shd w:val="clear" w:color="auto" w:fill="FFFFFF"/>
        </w:rPr>
        <w:t xml:space="preserve">    第十四条</w:t>
      </w:r>
      <w:r>
        <w:rPr>
          <w:rFonts w:hint="eastAsia" w:ascii="仿宋_GB2312" w:hAnsi="仿宋_GB2312" w:eastAsia="仿宋_GB2312" w:cs="仿宋_GB2312"/>
          <w:color w:val="auto"/>
          <w:sz w:val="28"/>
          <w:szCs w:val="28"/>
          <w:highlight w:val="none"/>
          <w:shd w:val="clear" w:color="auto" w:fill="FFFFFF"/>
        </w:rPr>
        <w:t>　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14:paraId="1839866E">
      <w:pPr>
        <w:pStyle w:val="18"/>
        <w:shd w:val="clear" w:color="auto" w:fill="FFFFFF"/>
        <w:spacing w:before="0" w:beforeAutospacing="0" w:after="0" w:afterAutospacing="0" w:line="440" w:lineRule="exact"/>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color w:val="auto"/>
          <w:sz w:val="28"/>
          <w:szCs w:val="28"/>
          <w:highlight w:val="none"/>
          <w:shd w:val="clear" w:color="auto" w:fill="FFFFFF"/>
        </w:rPr>
        <w:t xml:space="preserve">    第十五条</w:t>
      </w:r>
      <w:r>
        <w:rPr>
          <w:rFonts w:hint="eastAsia" w:ascii="仿宋_GB2312" w:hAnsi="仿宋_GB2312" w:eastAsia="仿宋_GB2312" w:cs="仿宋_GB2312"/>
          <w:color w:val="auto"/>
          <w:sz w:val="28"/>
          <w:szCs w:val="28"/>
          <w:highlight w:val="none"/>
          <w:shd w:val="clear" w:color="auto" w:fill="FFFFFF"/>
        </w:rPr>
        <w:t>　鼓励各地区、各部门在采购活动中允许中小企业引入信用担保手段，为中小企业在投标（响应）保证、履约保证等方面提供专业化服务。鼓励中小企业依法合规通过政府采购合同融资。</w:t>
      </w:r>
    </w:p>
    <w:p w14:paraId="6C62A95C">
      <w:pPr>
        <w:pStyle w:val="18"/>
        <w:shd w:val="clear" w:color="auto" w:fill="FFFFFF"/>
        <w:spacing w:before="0" w:beforeAutospacing="0" w:after="0" w:afterAutospacing="0" w:line="440" w:lineRule="exact"/>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color w:val="auto"/>
          <w:sz w:val="28"/>
          <w:szCs w:val="28"/>
          <w:highlight w:val="none"/>
          <w:shd w:val="clear" w:color="auto" w:fill="FFFFFF"/>
        </w:rPr>
        <w:t xml:space="preserve">    第十六条</w:t>
      </w:r>
      <w:r>
        <w:rPr>
          <w:rFonts w:hint="eastAsia" w:ascii="仿宋_GB2312" w:hAnsi="仿宋_GB2312" w:eastAsia="仿宋_GB2312" w:cs="仿宋_GB2312"/>
          <w:color w:val="auto"/>
          <w:sz w:val="28"/>
          <w:szCs w:val="28"/>
          <w:highlight w:val="none"/>
          <w:shd w:val="clear" w:color="auto" w:fill="FFFFFF"/>
        </w:rPr>
        <w:t>　政府采购监督检查、投诉处理及政府采购行政处罚中对中小企业的认定，由货物制造商或者工程、服务供应商注册登记所在地的县级以上人民政府中小企业主管部门负责。</w:t>
      </w:r>
    </w:p>
    <w:p w14:paraId="794D32C4">
      <w:pPr>
        <w:pStyle w:val="18"/>
        <w:shd w:val="clear" w:color="auto" w:fill="FFFFFF"/>
        <w:spacing w:before="0" w:beforeAutospacing="0" w:after="0" w:afterAutospacing="0" w:line="440" w:lineRule="exact"/>
        <w:ind w:firstLine="420"/>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shd w:val="clear" w:color="auto" w:fill="FFFFFF"/>
        </w:rPr>
        <w:t>中小企业主管部门应当在收到财政部门或者有关招标投标行政监督部门关于协助开展中小企业认定函后10个工作日内做出书面答复。</w:t>
      </w:r>
    </w:p>
    <w:p w14:paraId="47A5CCDB">
      <w:pPr>
        <w:pStyle w:val="18"/>
        <w:shd w:val="clear" w:color="auto" w:fill="FFFFFF"/>
        <w:spacing w:before="0" w:beforeAutospacing="0" w:after="0" w:afterAutospacing="0" w:line="440" w:lineRule="exact"/>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color w:val="auto"/>
          <w:sz w:val="28"/>
          <w:szCs w:val="28"/>
          <w:highlight w:val="none"/>
          <w:shd w:val="clear" w:color="auto" w:fill="FFFFFF"/>
        </w:rPr>
        <w:t xml:space="preserve">    第十七条</w:t>
      </w:r>
      <w:r>
        <w:rPr>
          <w:rFonts w:hint="eastAsia" w:ascii="仿宋_GB2312" w:hAnsi="仿宋_GB2312" w:eastAsia="仿宋_GB2312" w:cs="仿宋_GB2312"/>
          <w:color w:val="auto"/>
          <w:sz w:val="28"/>
          <w:szCs w:val="28"/>
          <w:highlight w:val="none"/>
          <w:shd w:val="clear" w:color="auto" w:fill="FFFFFF"/>
        </w:rPr>
        <w:t>　各地区、各部门应当对涉及中小企业采购的预算项目实施全过程绩效管理，合理设置绩效目标和指标，落实扶持中小企业有关政策要求，定期开展绩效监控和评价，强化绩效评价结果应用。</w:t>
      </w:r>
    </w:p>
    <w:p w14:paraId="67F63A90">
      <w:pPr>
        <w:pStyle w:val="18"/>
        <w:shd w:val="clear" w:color="auto" w:fill="FFFFFF"/>
        <w:spacing w:before="0" w:beforeAutospacing="0" w:after="0" w:afterAutospacing="0" w:line="440" w:lineRule="exact"/>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color w:val="auto"/>
          <w:sz w:val="28"/>
          <w:szCs w:val="28"/>
          <w:highlight w:val="none"/>
          <w:shd w:val="clear" w:color="auto" w:fill="FFFFFF"/>
        </w:rPr>
        <w:t xml:space="preserve">    第十八条</w:t>
      </w:r>
      <w:r>
        <w:rPr>
          <w:rFonts w:hint="eastAsia" w:ascii="仿宋_GB2312" w:hAnsi="仿宋_GB2312" w:eastAsia="仿宋_GB2312" w:cs="仿宋_GB2312"/>
          <w:color w:val="auto"/>
          <w:sz w:val="28"/>
          <w:szCs w:val="28"/>
          <w:highlight w:val="none"/>
          <w:shd w:val="clear" w:color="auto" w:fill="FFFFFF"/>
        </w:rPr>
        <w:t>　主管预算单位应当自2022年起向同级财政部门报告本部门上一年度面向中小企业预留份额和采购的具体情况，并在中国政府采购网公开预留项目执行情况（附2）。未达到本办法规定的预留份额比例的，应当作出说明。</w:t>
      </w:r>
    </w:p>
    <w:p w14:paraId="47DBCA05">
      <w:pPr>
        <w:pStyle w:val="18"/>
        <w:shd w:val="clear" w:color="auto" w:fill="FFFFFF"/>
        <w:spacing w:before="0" w:beforeAutospacing="0" w:after="0" w:afterAutospacing="0" w:line="440" w:lineRule="exact"/>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color w:val="auto"/>
          <w:sz w:val="28"/>
          <w:szCs w:val="28"/>
          <w:highlight w:val="none"/>
          <w:shd w:val="clear" w:color="auto" w:fill="FFFFFF"/>
        </w:rPr>
        <w:t xml:space="preserve">    第十九条</w:t>
      </w:r>
      <w:r>
        <w:rPr>
          <w:rFonts w:hint="eastAsia" w:ascii="仿宋_GB2312" w:hAnsi="仿宋_GB2312" w:eastAsia="仿宋_GB2312" w:cs="仿宋_GB2312"/>
          <w:color w:val="auto"/>
          <w:sz w:val="28"/>
          <w:szCs w:val="28"/>
          <w:highlight w:val="none"/>
          <w:shd w:val="clear" w:color="auto" w:fill="FFFFFF"/>
        </w:rPr>
        <w:t>　采购人未按本办法规定为中小企业预留采购份额，采购人、采购代理机构未按照本办法规定要求实施价格扣除或者价格分加分的，属于未按照规定执行政府采购政策，依照《中华人民共和国政府采购法》等国家有关规定追究法律责任。</w:t>
      </w:r>
    </w:p>
    <w:p w14:paraId="44D24666">
      <w:pPr>
        <w:pStyle w:val="18"/>
        <w:shd w:val="clear" w:color="auto" w:fill="FFFFFF"/>
        <w:spacing w:before="0" w:beforeAutospacing="0" w:after="0" w:afterAutospacing="0" w:line="440" w:lineRule="exact"/>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color w:val="auto"/>
          <w:sz w:val="28"/>
          <w:szCs w:val="28"/>
          <w:highlight w:val="none"/>
          <w:shd w:val="clear" w:color="auto" w:fill="FFFFFF"/>
        </w:rPr>
        <w:t xml:space="preserve">    第二十条</w:t>
      </w:r>
      <w:r>
        <w:rPr>
          <w:rFonts w:hint="eastAsia" w:ascii="仿宋_GB2312" w:hAnsi="仿宋_GB2312" w:eastAsia="仿宋_GB2312" w:cs="仿宋_GB2312"/>
          <w:color w:val="auto"/>
          <w:sz w:val="28"/>
          <w:szCs w:val="28"/>
          <w:highlight w:val="none"/>
          <w:shd w:val="clear" w:color="auto" w:fill="FFFFFF"/>
        </w:rPr>
        <w:t>　供应商按照本办法规定提供声明函内容不实的，属于提供虚假材料谋取中标、成交，依照《中华人民共和国政府采购法》等国家有关规定追究相应责任。</w:t>
      </w:r>
    </w:p>
    <w:p w14:paraId="7E0FCF3F">
      <w:pPr>
        <w:pStyle w:val="18"/>
        <w:shd w:val="clear" w:color="auto" w:fill="FFFFFF"/>
        <w:spacing w:before="0" w:beforeAutospacing="0" w:after="0" w:afterAutospacing="0" w:line="440" w:lineRule="exact"/>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shd w:val="clear" w:color="auto" w:fill="FFFFFF"/>
        </w:rPr>
        <w:t xml:space="preserve">    适用招标投标法的政府采购工程建设项目，投标人按照本办法规定提供声明函内容不实的，属于弄虚作假骗取中标，依照《中华人民共和国招标投标法》等国家有关规定追究相应责任。</w:t>
      </w:r>
    </w:p>
    <w:p w14:paraId="662EDB81">
      <w:pPr>
        <w:pStyle w:val="18"/>
        <w:shd w:val="clear" w:color="auto" w:fill="FFFFFF"/>
        <w:spacing w:before="0" w:beforeAutospacing="0" w:after="0" w:afterAutospacing="0" w:line="440" w:lineRule="exact"/>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color w:val="auto"/>
          <w:sz w:val="28"/>
          <w:szCs w:val="28"/>
          <w:highlight w:val="none"/>
          <w:shd w:val="clear" w:color="auto" w:fill="FFFFFF"/>
        </w:rPr>
        <w:t xml:space="preserve">    第二十一条</w:t>
      </w:r>
      <w:r>
        <w:rPr>
          <w:rFonts w:hint="eastAsia" w:ascii="仿宋_GB2312" w:hAnsi="仿宋_GB2312" w:eastAsia="仿宋_GB2312" w:cs="仿宋_GB2312"/>
          <w:color w:val="auto"/>
          <w:sz w:val="28"/>
          <w:szCs w:val="28"/>
          <w:highlight w:val="none"/>
          <w:shd w:val="clear" w:color="auto" w:fill="FFFFFF"/>
        </w:rPr>
        <w:t>　财政部门、中小企业主管部门及其工作人员在履行职责中违反本办法规定及存在其他滥用职权、玩忽职守、徇私舞弊等违法违纪行为的，依照《中华人民共和国政府采购法》、《中华人民共和国公务员法》、《中华人民共和国监察法》、《中华人民共和国政府采购法实施条例》等国家有关规定追究相应责任；涉嫌犯罪的，依法移送有关国家机关处理。</w:t>
      </w:r>
    </w:p>
    <w:p w14:paraId="40D8D393">
      <w:pPr>
        <w:pStyle w:val="18"/>
        <w:shd w:val="clear" w:color="auto" w:fill="FFFFFF"/>
        <w:spacing w:before="0" w:beforeAutospacing="0" w:after="0" w:afterAutospacing="0" w:line="440" w:lineRule="exact"/>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color w:val="auto"/>
          <w:sz w:val="28"/>
          <w:szCs w:val="28"/>
          <w:highlight w:val="none"/>
          <w:shd w:val="clear" w:color="auto" w:fill="FFFFFF"/>
        </w:rPr>
        <w:t xml:space="preserve">    第二十二条</w:t>
      </w:r>
      <w:r>
        <w:rPr>
          <w:rFonts w:hint="eastAsia" w:ascii="仿宋_GB2312" w:hAnsi="仿宋_GB2312" w:eastAsia="仿宋_GB2312" w:cs="仿宋_GB2312"/>
          <w:color w:val="auto"/>
          <w:sz w:val="28"/>
          <w:szCs w:val="28"/>
          <w:highlight w:val="none"/>
          <w:shd w:val="clear" w:color="auto" w:fill="FFFFFF"/>
        </w:rPr>
        <w:t>　对外援助项目、国家相关资格或者资质管理制度另有规定的项目，不适用本办法。</w:t>
      </w:r>
    </w:p>
    <w:p w14:paraId="60A7418A">
      <w:pPr>
        <w:pStyle w:val="18"/>
        <w:shd w:val="clear" w:color="auto" w:fill="FFFFFF"/>
        <w:spacing w:before="0" w:beforeAutospacing="0" w:after="0" w:afterAutospacing="0" w:line="440" w:lineRule="exact"/>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color w:val="auto"/>
          <w:sz w:val="28"/>
          <w:szCs w:val="28"/>
          <w:highlight w:val="none"/>
          <w:shd w:val="clear" w:color="auto" w:fill="FFFFFF"/>
        </w:rPr>
        <w:t xml:space="preserve">    第二十三条</w:t>
      </w:r>
      <w:r>
        <w:rPr>
          <w:rFonts w:hint="eastAsia" w:ascii="仿宋_GB2312" w:hAnsi="仿宋_GB2312" w:eastAsia="仿宋_GB2312" w:cs="仿宋_GB2312"/>
          <w:color w:val="auto"/>
          <w:sz w:val="28"/>
          <w:szCs w:val="28"/>
          <w:highlight w:val="none"/>
          <w:shd w:val="clear" w:color="auto" w:fill="FFFFFF"/>
        </w:rPr>
        <w:t>　关于视同中小企业的其他主体的政府采购扶持政策，由财政部会同有关部门另行规定。</w:t>
      </w:r>
    </w:p>
    <w:p w14:paraId="3426EA37">
      <w:pPr>
        <w:pStyle w:val="18"/>
        <w:shd w:val="clear" w:color="auto" w:fill="FFFFFF"/>
        <w:spacing w:before="0" w:beforeAutospacing="0" w:after="0" w:afterAutospacing="0" w:line="440" w:lineRule="exact"/>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color w:val="auto"/>
          <w:sz w:val="28"/>
          <w:szCs w:val="28"/>
          <w:highlight w:val="none"/>
          <w:shd w:val="clear" w:color="auto" w:fill="FFFFFF"/>
        </w:rPr>
        <w:t xml:space="preserve">    第二十四条</w:t>
      </w:r>
      <w:r>
        <w:rPr>
          <w:rFonts w:hint="eastAsia" w:ascii="仿宋_GB2312" w:hAnsi="仿宋_GB2312" w:eastAsia="仿宋_GB2312" w:cs="仿宋_GB2312"/>
          <w:color w:val="auto"/>
          <w:sz w:val="28"/>
          <w:szCs w:val="28"/>
          <w:highlight w:val="none"/>
          <w:shd w:val="clear" w:color="auto" w:fill="FFFFFF"/>
        </w:rPr>
        <w:t>　省级财政部门可以会同中小企业主管部门根据本办法的规定制定具体实施办法。</w:t>
      </w:r>
    </w:p>
    <w:p w14:paraId="2CB2BD14">
      <w:pPr>
        <w:pStyle w:val="18"/>
        <w:shd w:val="clear" w:color="auto" w:fill="FFFFFF"/>
        <w:spacing w:before="0" w:beforeAutospacing="0" w:after="0" w:afterAutospacing="0" w:line="440" w:lineRule="exact"/>
        <w:ind w:firstLine="42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color w:val="auto"/>
          <w:sz w:val="28"/>
          <w:szCs w:val="28"/>
          <w:highlight w:val="none"/>
          <w:shd w:val="clear" w:color="auto" w:fill="FFFFFF"/>
        </w:rPr>
        <w:t>第二十五条</w:t>
      </w:r>
      <w:r>
        <w:rPr>
          <w:rFonts w:hint="eastAsia" w:ascii="仿宋_GB2312" w:hAnsi="仿宋_GB2312" w:eastAsia="仿宋_GB2312" w:cs="仿宋_GB2312"/>
          <w:color w:val="auto"/>
          <w:sz w:val="28"/>
          <w:szCs w:val="28"/>
          <w:highlight w:val="none"/>
          <w:shd w:val="clear" w:color="auto" w:fill="FFFFFF"/>
        </w:rPr>
        <w:t>　本办法自2021年1月1日起施行。《财政部 工业和信息化部关于印发〈政府采购促进中小企业发展暂行办法〉的通知》（财库〔2011〕181号）同时废止。</w:t>
      </w:r>
    </w:p>
    <w:p w14:paraId="69B17749">
      <w:pPr>
        <w:snapToGrid w:val="0"/>
        <w:spacing w:line="360" w:lineRule="auto"/>
        <w:jc w:val="center"/>
        <w:rPr>
          <w:rFonts w:ascii="方正小标宋简体" w:hAnsi="方正小标宋简体" w:eastAsia="方正小标宋简体" w:cs="方正小标宋简体"/>
          <w:color w:val="auto"/>
          <w:sz w:val="32"/>
          <w:szCs w:val="32"/>
          <w:highlight w:val="none"/>
        </w:rPr>
      </w:pPr>
    </w:p>
    <w:p w14:paraId="1F627BFD">
      <w:pPr>
        <w:snapToGrid w:val="0"/>
        <w:spacing w:line="360" w:lineRule="auto"/>
        <w:jc w:val="center"/>
        <w:rPr>
          <w:rFonts w:ascii="方正小标宋简体" w:hAnsi="方正小标宋简体" w:eastAsia="方正小标宋简体" w:cs="方正小标宋简体"/>
          <w:color w:val="auto"/>
          <w:sz w:val="32"/>
          <w:szCs w:val="32"/>
          <w:highlight w:val="none"/>
        </w:rPr>
      </w:pPr>
    </w:p>
    <w:p w14:paraId="5EAA9DBD">
      <w:pPr>
        <w:pStyle w:val="18"/>
        <w:shd w:val="clear" w:color="auto" w:fill="FFFFFF"/>
        <w:spacing w:before="0" w:beforeAutospacing="0" w:after="225" w:afterAutospacing="0"/>
        <w:jc w:val="center"/>
        <w:rPr>
          <w:b/>
          <w:color w:val="auto"/>
          <w:sz w:val="36"/>
          <w:szCs w:val="36"/>
          <w:highlight w:val="none"/>
          <w:shd w:val="clear" w:color="auto" w:fill="FFFFFF"/>
        </w:rPr>
      </w:pPr>
      <w:r>
        <w:rPr>
          <w:rFonts w:hint="eastAsia"/>
          <w:b/>
          <w:color w:val="auto"/>
          <w:sz w:val="36"/>
          <w:szCs w:val="36"/>
          <w:highlight w:val="none"/>
          <w:shd w:val="clear" w:color="auto" w:fill="FFFFFF"/>
        </w:rPr>
        <w:t>关于进一步加大政府采购支持中小企业力度的通知</w:t>
      </w:r>
    </w:p>
    <w:p w14:paraId="1253A326">
      <w:pPr>
        <w:pStyle w:val="18"/>
        <w:shd w:val="clear" w:color="auto" w:fill="FFFFFF"/>
        <w:spacing w:before="0" w:beforeAutospacing="0" w:after="225" w:afterAutospacing="0"/>
        <w:jc w:val="center"/>
        <w:rPr>
          <w:color w:val="auto"/>
          <w:highlight w:val="none"/>
        </w:rPr>
      </w:pPr>
      <w:r>
        <w:rPr>
          <w:rFonts w:ascii="楷体" w:hAnsi="楷体" w:eastAsia="楷体" w:cs="楷体"/>
          <w:color w:val="auto"/>
          <w:highlight w:val="none"/>
          <w:shd w:val="clear" w:color="auto" w:fill="FFFFFF"/>
        </w:rPr>
        <w:t>财库〔2022〕19号</w:t>
      </w:r>
    </w:p>
    <w:p w14:paraId="1F419521">
      <w:pPr>
        <w:pStyle w:val="18"/>
        <w:shd w:val="clear" w:color="auto" w:fill="FFFFFF"/>
        <w:spacing w:before="0" w:beforeAutospacing="0" w:after="0" w:afterAutospacing="0" w:line="360" w:lineRule="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shd w:val="clear" w:color="auto" w:fill="FFFFFF"/>
        </w:rPr>
        <w:t>各中央预算单位，各省、自治区、直辖市、计划单列市财政厅（局），新疆生产建设兵团财政局：</w:t>
      </w:r>
    </w:p>
    <w:p w14:paraId="3AB82A79">
      <w:pPr>
        <w:pStyle w:val="18"/>
        <w:shd w:val="clear" w:color="auto" w:fill="FFFFFF"/>
        <w:spacing w:before="0" w:beforeAutospacing="0" w:after="0" w:afterAutospacing="0" w:line="360" w:lineRule="auto"/>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shd w:val="clear" w:color="auto" w:fill="FFFFFF"/>
        </w:rPr>
        <w:t>为贯彻落实《国务院关于印发扎实稳住经济一揽子政策措施的通知》（国发〔2022〕12号）有关要求，做好财政政策支持中小企业纾困解难工作，助力经济平稳健康发展，现就加大政府采购支持中小企业力度有关事项通知如下：</w:t>
      </w:r>
    </w:p>
    <w:p w14:paraId="0A98AC69">
      <w:pPr>
        <w:pStyle w:val="18"/>
        <w:shd w:val="clear" w:color="auto" w:fill="FFFFFF"/>
        <w:spacing w:before="0" w:beforeAutospacing="0" w:after="0" w:afterAutospacing="0" w:line="360" w:lineRule="auto"/>
        <w:ind w:firstLine="562"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b/>
          <w:color w:val="auto"/>
          <w:sz w:val="28"/>
          <w:szCs w:val="28"/>
          <w:highlight w:val="none"/>
          <w:shd w:val="clear" w:color="auto" w:fill="FFFFFF"/>
        </w:rPr>
        <w:t>一、严格落实支持中小企业政府采购政策。</w:t>
      </w:r>
      <w:r>
        <w:rPr>
          <w:rFonts w:hint="eastAsia" w:ascii="仿宋_GB2312" w:hAnsi="仿宋_GB2312" w:eastAsia="仿宋_GB2312" w:cs="仿宋_GB2312"/>
          <w:color w:val="auto"/>
          <w:sz w:val="28"/>
          <w:szCs w:val="28"/>
          <w:highlight w:val="none"/>
          <w:shd w:val="clear" w:color="auto" w:fill="FFFFFF"/>
        </w:rPr>
        <w:t>各地区、各部门要按照国务院的统一部署，认真落实《政府采购促进中小企业发展管理办法》（财库〔2020〕46号）的规定，规范资格条件设置，降低中小企业参与门槛，灵活采取项目整体预留、合理预留采购包、要求大企业与中小企业组成联合体、要求大企业向中小企业分包等形式，确保中小企业合同份额。要通过提高预付款比例、引入信用担保、支持中小企业开展合同融资、免费提供电子采购文件等方式，为中小企业参与采购活动提供便利。要严格按规定及时支付采购资金，不得收取没有法律法规依据的保证金，有效减轻中小企业资金压力。</w:t>
      </w:r>
    </w:p>
    <w:p w14:paraId="77FC4C5B">
      <w:pPr>
        <w:pStyle w:val="18"/>
        <w:shd w:val="clear" w:color="auto" w:fill="FFFFFF"/>
        <w:spacing w:before="0" w:beforeAutospacing="0" w:after="0" w:afterAutospacing="0" w:line="360" w:lineRule="auto"/>
        <w:ind w:firstLine="562"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b/>
          <w:color w:val="auto"/>
          <w:sz w:val="28"/>
          <w:szCs w:val="28"/>
          <w:highlight w:val="none"/>
          <w:shd w:val="clear" w:color="auto" w:fill="FFFFFF"/>
        </w:rPr>
        <w:t>二、调整对小微企业的价格评审优惠幅度。</w:t>
      </w:r>
      <w:r>
        <w:rPr>
          <w:rFonts w:hint="eastAsia" w:ascii="仿宋_GB2312" w:hAnsi="仿宋_GB2312" w:eastAsia="仿宋_GB2312" w:cs="仿宋_GB2312"/>
          <w:color w:val="auto"/>
          <w:sz w:val="28"/>
          <w:szCs w:val="28"/>
          <w:highlight w:val="none"/>
          <w:shd w:val="clear" w:color="auto" w:fill="FFFFFF"/>
        </w:rPr>
        <w:t>货物服务采购项目给予小微企业的价格扣除优惠，由财库〔2020〕46号文件规定的6%—10%提高至10%—20%。大中型企业与小微企业组成联合体或者大中型企业向小微企业分包的，评审优惠幅度由2%—3%提高至4%—6%。政府采购工程的价格评审优惠按照财库〔2020〕46号文件的规定执行。自本通知执行之日起发布采购公告或者发出采购邀请的货物服务采购项目，按照本通知规定的评审优惠幅度执行。</w:t>
      </w:r>
    </w:p>
    <w:p w14:paraId="4951104B">
      <w:pPr>
        <w:pStyle w:val="18"/>
        <w:shd w:val="clear" w:color="auto" w:fill="FFFFFF"/>
        <w:spacing w:before="0" w:beforeAutospacing="0" w:after="0" w:afterAutospacing="0" w:line="360" w:lineRule="auto"/>
        <w:ind w:firstLine="562"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b/>
          <w:color w:val="auto"/>
          <w:sz w:val="28"/>
          <w:szCs w:val="28"/>
          <w:highlight w:val="none"/>
          <w:shd w:val="clear" w:color="auto" w:fill="FFFFFF"/>
        </w:rPr>
        <w:t>三、提高政府采购工程面向中小企业预留份额。</w:t>
      </w:r>
      <w:r>
        <w:rPr>
          <w:rFonts w:hint="eastAsia" w:ascii="仿宋_GB2312" w:hAnsi="仿宋_GB2312" w:eastAsia="仿宋_GB2312" w:cs="仿宋_GB2312"/>
          <w:color w:val="auto"/>
          <w:sz w:val="28"/>
          <w:szCs w:val="28"/>
          <w:highlight w:val="none"/>
          <w:shd w:val="clear" w:color="auto" w:fill="FFFFFF"/>
        </w:rPr>
        <w:t>400万元以下的工程采购项目适宜由中小企业提供的，采购人应当专门面向中小企业采购。超过400万元的工程采购项目中适宜由中小企业提供的，在坚持公开公正、公平竞争原则和统一质量标准的前提下，2022年下半年面向中小企业的预留份额由30%以上阶段性提高至40%以上。发展改革委会同相关工程招投标行政监督部门完善工程招投标领域落实政府采购支持中小企业政策相关措施。省级财政部门要积极协调发展改革、工业和信息化、住房和城乡建设、交通、水利、商务、铁路、民航等部门调整完善工程招投标领域有关标准文本、评标制度等规定和做法，并于2022年6月30日前将落实情况汇总报财政部。</w:t>
      </w:r>
    </w:p>
    <w:p w14:paraId="7CC54090">
      <w:pPr>
        <w:pStyle w:val="18"/>
        <w:shd w:val="clear" w:color="auto" w:fill="FFFFFF"/>
        <w:spacing w:before="0" w:beforeAutospacing="0" w:after="0" w:afterAutospacing="0" w:line="360" w:lineRule="auto"/>
        <w:ind w:firstLine="562"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b/>
          <w:color w:val="auto"/>
          <w:sz w:val="28"/>
          <w:szCs w:val="28"/>
          <w:highlight w:val="none"/>
          <w:shd w:val="clear" w:color="auto" w:fill="FFFFFF"/>
        </w:rPr>
        <w:t>四、认真做好组织实施。</w:t>
      </w:r>
      <w:r>
        <w:rPr>
          <w:rFonts w:hint="eastAsia" w:ascii="仿宋_GB2312" w:hAnsi="仿宋_GB2312" w:eastAsia="仿宋_GB2312" w:cs="仿宋_GB2312"/>
          <w:color w:val="auto"/>
          <w:sz w:val="28"/>
          <w:szCs w:val="28"/>
          <w:highlight w:val="none"/>
          <w:shd w:val="clear" w:color="auto" w:fill="FFFFFF"/>
        </w:rPr>
        <w:t>各地区、各部门应当加强组织领导，明确工作责任，细化执行要求，强化监督检查，确保国务院部署落实到位，对通知执行中出现的问题要及时向财政部报告。</w:t>
      </w:r>
    </w:p>
    <w:p w14:paraId="334570AA">
      <w:pPr>
        <w:pStyle w:val="18"/>
        <w:shd w:val="clear" w:color="auto" w:fill="FFFFFF"/>
        <w:spacing w:before="0" w:beforeAutospacing="0" w:after="0" w:afterAutospacing="0" w:line="360" w:lineRule="auto"/>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shd w:val="clear" w:color="auto" w:fill="FFFFFF"/>
        </w:rPr>
        <w:t>本通知自2022年7月1日起执行。</w:t>
      </w:r>
    </w:p>
    <w:p w14:paraId="6AB4B842">
      <w:pPr>
        <w:pStyle w:val="18"/>
        <w:shd w:val="clear" w:color="auto" w:fill="FFFFFF"/>
        <w:spacing w:before="0" w:beforeAutospacing="0" w:after="0" w:afterAutospacing="0" w:line="360" w:lineRule="auto"/>
        <w:ind w:firstLine="560" w:firstLineChars="200"/>
        <w:jc w:val="center"/>
        <w:rPr>
          <w:rFonts w:ascii="仿宋_GB2312" w:hAnsi="仿宋_GB2312" w:eastAsia="仿宋_GB2312" w:cs="仿宋_GB2312"/>
          <w:color w:val="auto"/>
          <w:sz w:val="28"/>
          <w:szCs w:val="28"/>
          <w:highlight w:val="none"/>
          <w:shd w:val="clear" w:color="auto" w:fill="FFFFFF"/>
        </w:rPr>
      </w:pPr>
      <w:r>
        <w:rPr>
          <w:rFonts w:hint="eastAsia" w:ascii="仿宋_GB2312" w:hAnsi="仿宋_GB2312" w:eastAsia="仿宋_GB2312" w:cs="仿宋_GB2312"/>
          <w:color w:val="auto"/>
          <w:sz w:val="28"/>
          <w:szCs w:val="28"/>
          <w:highlight w:val="none"/>
          <w:shd w:val="clear" w:color="auto" w:fill="FFFFFF"/>
        </w:rPr>
        <w:t xml:space="preserve">                                  财政部</w:t>
      </w:r>
    </w:p>
    <w:p w14:paraId="70B33F5F">
      <w:pPr>
        <w:pStyle w:val="18"/>
        <w:shd w:val="clear" w:color="auto" w:fill="FFFFFF"/>
        <w:spacing w:before="0" w:beforeAutospacing="0" w:after="0" w:afterAutospacing="0" w:line="360" w:lineRule="auto"/>
        <w:ind w:firstLine="560" w:firstLineChars="200"/>
        <w:jc w:val="righ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shd w:val="clear" w:color="auto" w:fill="FFFFFF"/>
        </w:rPr>
        <w:t>2022年5月30日</w:t>
      </w:r>
    </w:p>
    <w:p w14:paraId="10A617C4">
      <w:pPr>
        <w:pStyle w:val="29"/>
        <w:numPr>
          <w:ilvl w:val="0"/>
          <w:numId w:val="0"/>
        </w:numPr>
        <w:rPr>
          <w:color w:val="auto"/>
          <w:highlight w:val="none"/>
          <w:lang w:val="zh-CN"/>
        </w:rPr>
      </w:pPr>
    </w:p>
    <w:p w14:paraId="55EDCAF1">
      <w:pPr>
        <w:spacing w:line="240" w:lineRule="auto"/>
        <w:jc w:val="left"/>
        <w:textAlignment w:val="auto"/>
        <w:rPr>
          <w:rFonts w:ascii="宋体" w:hAnsi="宋体" w:cs="宋体"/>
          <w:b/>
          <w:color w:val="auto"/>
          <w:sz w:val="30"/>
          <w:szCs w:val="30"/>
          <w:highlight w:val="none"/>
        </w:rPr>
      </w:pPr>
    </w:p>
    <w:sectPr>
      <w:headerReference r:id="rId10" w:type="default"/>
      <w:pgSz w:w="11905" w:h="16837"/>
      <w:pgMar w:top="1091" w:right="1106" w:bottom="993" w:left="1418" w:header="567" w:footer="567" w:gutter="0"/>
      <w:pgNumType w:fmt="numberInDash"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MingLiU">
    <w:altName w:val="Microsoft JhengHei"/>
    <w:panose1 w:val="02010609000101010101"/>
    <w:charset w:val="88"/>
    <w:family w:val="modern"/>
    <w:pitch w:val="default"/>
    <w:sig w:usb0="00000000" w:usb1="00000000" w:usb2="00000010" w:usb3="00000000" w:csb0="00100000" w:csb1="00000000"/>
  </w:font>
  <w:font w:name="Microsoft JhengHei">
    <w:panose1 w:val="020B0604030504040204"/>
    <w:charset w:val="88"/>
    <w:family w:val="auto"/>
    <w:pitch w:val="default"/>
    <w:sig w:usb0="000002A7" w:usb1="28CF4400" w:usb2="00000016" w:usb3="00000000" w:csb0="00100009"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汉仪书宋二S">
    <w:altName w:val="宋体"/>
    <w:panose1 w:val="00000000000000000000"/>
    <w:charset w:val="00"/>
    <w:family w:val="auto"/>
    <w:pitch w:val="default"/>
    <w:sig w:usb0="00000000" w:usb1="00000000" w:usb2="00000000" w:usb3="00000000" w:csb0="00040001" w:csb1="00000000"/>
  </w:font>
  <w:font w:name="方正小标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altName w:val="黑体"/>
    <w:panose1 w:val="02000000000000000000"/>
    <w:charset w:val="86"/>
    <w:family w:val="script"/>
    <w:pitch w:val="default"/>
    <w:sig w:usb0="00000000" w:usb1="00000000" w:usb2="00000012"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B4BD44">
    <w:pPr>
      <w:widowControl w:val="0"/>
      <w:snapToGrid w:val="0"/>
      <w:spacing w:line="240" w:lineRule="atLeast"/>
      <w:ind w:right="21"/>
      <w:jc w:val="left"/>
      <w:rPr>
        <w:rFonts w:ascii="宋体" w:hAnsi="宋体"/>
        <w:szCs w:val="21"/>
        <w:u w:val="single"/>
      </w:rPr>
    </w:pPr>
    <w:r>
      <w:rPr>
        <w:rFonts w:hint="eastAsia" w:ascii="宋体" w:hAnsi="宋体"/>
        <w:szCs w:val="21"/>
        <w:u w:val="single"/>
      </w:rPr>
      <w:t>《磋商文件》</w:t>
    </w:r>
    <w:r>
      <w:rPr>
        <w:rFonts w:ascii="宋体" w:hAnsi="宋体"/>
        <w:szCs w:val="21"/>
        <w:u w:val="single"/>
      </w:rPr>
      <w:t xml:space="preserve">                                                          </w:t>
    </w:r>
    <w:r>
      <w:rPr>
        <w:rFonts w:ascii="宋体" w:hAnsi="宋体"/>
        <w:szCs w:val="21"/>
        <w:u w:val="single"/>
      </w:rPr>
      <w:fldChar w:fldCharType="begin"/>
    </w:r>
    <w:r>
      <w:rPr>
        <w:rFonts w:ascii="宋体" w:hAnsi="宋体"/>
        <w:szCs w:val="21"/>
        <w:u w:val="single"/>
      </w:rPr>
      <w:instrText xml:space="preserve"> NUMPAGES-1 \* MERGEFORMAT </w:instrText>
    </w:r>
    <w:r>
      <w:rPr>
        <w:rFonts w:ascii="宋体" w:hAnsi="宋体"/>
        <w:szCs w:val="21"/>
        <w:u w:val="single"/>
      </w:rPr>
      <w:fldChar w:fldCharType="end"/>
    </w:r>
    <w:r>
      <w:rPr>
        <w:rFonts w:ascii="宋体" w:hAnsi="宋体"/>
        <w:szCs w:val="21"/>
        <w:u w:val="single"/>
      </w:rPr>
      <w:fldChar w:fldCharType="begin"/>
    </w:r>
    <w:r>
      <w:rPr>
        <w:rFonts w:ascii="宋体" w:hAnsi="宋体"/>
        <w:szCs w:val="21"/>
        <w:u w:val="single"/>
      </w:rPr>
      <w:instrText xml:space="preserve">NUMPAGES-1\* Arabic \* MERGEFORMAT</w:instrText>
    </w:r>
    <w:r>
      <w:rPr>
        <w:rFonts w:ascii="宋体" w:hAnsi="宋体"/>
        <w:szCs w:val="21"/>
        <w:u w:val="single"/>
      </w:rPr>
      <w:fldChar w:fldCharType="end"/>
    </w:r>
    <w:r>
      <w:rPr>
        <w:rFonts w:ascii="宋体" w:hAnsi="宋体"/>
        <w:szCs w:val="21"/>
        <w:u w:val="single"/>
      </w:rPr>
      <w:fldChar w:fldCharType="begin"/>
    </w:r>
    <w:r>
      <w:rPr>
        <w:rFonts w:ascii="宋体" w:hAnsi="宋体"/>
        <w:szCs w:val="21"/>
        <w:u w:val="single"/>
      </w:rPr>
      <w:instrText xml:space="preserve"> NUMPAGES-1   \* MERGEFORMAT </w:instrText>
    </w:r>
    <w:r>
      <w:rPr>
        <w:rFonts w:ascii="宋体" w:hAnsi="宋体"/>
        <w:szCs w:val="21"/>
        <w:u w:val="single"/>
      </w:rPr>
      <w:fldChar w:fldCharType="end"/>
    </w:r>
    <w:r>
      <w:rPr>
        <w:rStyle w:val="26"/>
        <w:rFonts w:ascii="宋体" w:hAnsi="宋体"/>
        <w:szCs w:val="21"/>
        <w:u w:val="single"/>
      </w:rPr>
      <w:fldChar w:fldCharType="begin"/>
    </w:r>
    <w:r>
      <w:rPr>
        <w:rStyle w:val="26"/>
        <w:rFonts w:ascii="宋体" w:hAnsi="宋体"/>
        <w:szCs w:val="21"/>
        <w:u w:val="single"/>
      </w:rPr>
      <w:instrText xml:space="preserve"> PAGE </w:instrText>
    </w:r>
    <w:r>
      <w:rPr>
        <w:rStyle w:val="26"/>
        <w:rFonts w:ascii="宋体" w:hAnsi="宋体"/>
        <w:szCs w:val="21"/>
        <w:u w:val="single"/>
      </w:rPr>
      <w:fldChar w:fldCharType="separate"/>
    </w:r>
    <w:r>
      <w:rPr>
        <w:rStyle w:val="26"/>
        <w:rFonts w:ascii="宋体" w:hAnsi="宋体"/>
        <w:szCs w:val="21"/>
        <w:u w:val="single"/>
      </w:rPr>
      <w:t>- 10 -</w:t>
    </w:r>
    <w:r>
      <w:rPr>
        <w:rStyle w:val="26"/>
        <w:rFonts w:ascii="宋体" w:hAnsi="宋体"/>
        <w:szCs w:val="21"/>
        <w:u w:val="single"/>
      </w:rPr>
      <w:fldChar w:fldCharType="end"/>
    </w:r>
    <w:r>
      <w:rPr>
        <w:rStyle w:val="26"/>
        <w:rFonts w:ascii="宋体" w:hAnsi="宋体"/>
        <w:szCs w:val="21"/>
        <w:u w:val="single"/>
      </w:rPr>
      <w:t xml:space="preserve"> </w:t>
    </w:r>
    <w:r>
      <w:rPr>
        <w:rStyle w:val="26"/>
        <w:rFonts w:hint="eastAsia" w:ascii="宋体" w:hAnsi="宋体"/>
        <w:szCs w:val="21"/>
        <w:u w:val="single"/>
      </w:rPr>
      <w:t>（</w:t>
    </w:r>
    <w:r>
      <w:rPr>
        <w:rFonts w:hint="eastAsia" w:ascii="宋体" w:hAnsi="宋体"/>
        <w:szCs w:val="21"/>
        <w:u w:val="single"/>
      </w:rPr>
      <w:t>共</w:t>
    </w:r>
    <w:r>
      <w:fldChar w:fldCharType="begin"/>
    </w:r>
    <w:r>
      <w:instrText xml:space="preserve"> SECTIONPAGES   \* MERGEFORMAT </w:instrText>
    </w:r>
    <w:r>
      <w:fldChar w:fldCharType="separate"/>
    </w:r>
    <w:r>
      <w:rPr>
        <w:rStyle w:val="26"/>
        <w:szCs w:val="21"/>
        <w:u w:val="single"/>
      </w:rPr>
      <w:t>81</w:t>
    </w:r>
    <w:r>
      <w:rPr>
        <w:rStyle w:val="26"/>
        <w:szCs w:val="21"/>
        <w:u w:val="single"/>
      </w:rPr>
      <w:fldChar w:fldCharType="end"/>
    </w:r>
    <w:r>
      <w:rPr>
        <w:rFonts w:hint="eastAsia" w:ascii="宋体" w:hAnsi="宋体"/>
        <w:szCs w:val="21"/>
        <w:u w:val="single"/>
      </w:rPr>
      <w:t>页</w:t>
    </w:r>
    <w:r>
      <w:rPr>
        <w:rFonts w:ascii="宋体" w:hAnsi="宋体"/>
        <w:szCs w:val="21"/>
        <w:u w:val="single"/>
      </w:rPr>
      <w:t>)</w:t>
    </w:r>
    <w:r>
      <w:rPr>
        <w:rFonts w:ascii="宋体" w:hAnsi="宋体"/>
      </w:rPr>
      <mc:AlternateContent>
        <mc:Choice Requires="wps">
          <w:drawing>
            <wp:anchor distT="0" distB="0" distL="114300" distR="114300" simplePos="0" relativeHeight="251660288" behindDoc="1" locked="0" layoutInCell="0" allowOverlap="1">
              <wp:simplePos x="0" y="0"/>
              <wp:positionH relativeFrom="page">
                <wp:posOffset>899795</wp:posOffset>
              </wp:positionH>
              <wp:positionV relativeFrom="page">
                <wp:posOffset>10151745</wp:posOffset>
              </wp:positionV>
              <wp:extent cx="5759450" cy="179705"/>
              <wp:effectExtent l="0" t="0" r="0" b="0"/>
              <wp:wrapNone/>
              <wp:docPr id="2" name="文本框 2"/>
              <wp:cNvGraphicFramePr/>
              <a:graphic xmlns:a="http://schemas.openxmlformats.org/drawingml/2006/main">
                <a:graphicData uri="http://schemas.microsoft.com/office/word/2010/wordprocessingShape">
                  <wps:wsp>
                    <wps:cNvSpPr txBox="1"/>
                    <wps:spPr>
                      <a:xfrm>
                        <a:off x="0" y="0"/>
                        <a:ext cx="5759450" cy="179705"/>
                      </a:xfrm>
                      <a:prstGeom prst="rect">
                        <a:avLst/>
                      </a:prstGeom>
                      <a:noFill/>
                      <a:ln>
                        <a:noFill/>
                      </a:ln>
                    </wps:spPr>
                    <wps:bodyPr upright="1"/>
                  </wps:wsp>
                </a:graphicData>
              </a:graphic>
            </wp:anchor>
          </w:drawing>
        </mc:Choice>
        <mc:Fallback>
          <w:pict>
            <v:shape id="_x0000_s1026" o:spid="_x0000_s1026" o:spt="202" type="#_x0000_t202" style="position:absolute;left:0pt;margin-left:70.85pt;margin-top:799.35pt;height:14.15pt;width:453.5pt;mso-position-horizontal-relative:page;mso-position-vertical-relative:page;z-index:-251656192;mso-width-relative:page;mso-height-relative:page;" filled="f" stroked="f" coordsize="21600,21600" o:allowincell="f" o:gfxdata="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rUISk1wAAAA4BAAAP&#10;AAAAAAAAAAEAIAAAACIAAABkcnMvZG93bnJldi54bWxQSwECFAAUAAAACACHTuJAc+3cIqcBAABD&#10;AwAADgAAAAAAAAABACAAAAAmAQAAZHJzL2Uyb0RvYy54bWxQSwUGAAAAAAYABgBZAQAAPwUAAAAA&#10;">
              <v:fill on="f" focussize="0,0"/>
              <v:stroke on="f"/>
              <v:imagedata o:title=""/>
              <o:lock v:ext="edit" aspectratio="f"/>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5B3460">
    <w:pPr>
      <w:pStyle w:val="13"/>
      <w:framePr w:wrap="around" w:vAnchor="text" w:hAnchor="margin" w:xAlign="right" w:y="1"/>
      <w:rPr>
        <w:rStyle w:val="26"/>
      </w:rPr>
    </w:pPr>
    <w:r>
      <w:rPr>
        <w:rStyle w:val="26"/>
      </w:rPr>
      <w:fldChar w:fldCharType="begin"/>
    </w:r>
    <w:r>
      <w:rPr>
        <w:rStyle w:val="26"/>
      </w:rPr>
      <w:instrText xml:space="preserve">PAGE  </w:instrText>
    </w:r>
    <w:r>
      <w:rPr>
        <w:rStyle w:val="26"/>
      </w:rPr>
      <w:fldChar w:fldCharType="end"/>
    </w:r>
  </w:p>
  <w:p w14:paraId="7D1256A8">
    <w:pPr>
      <w:pStyle w:val="1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122644">
    <w:pPr>
      <w:pStyle w:val="13"/>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52C43">
    <w:pPr>
      <w:pStyle w:val="13"/>
      <w:rPr>
        <w:rStyle w:val="26"/>
        <w:rFonts w:hint="eastAsia"/>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72B573A0">
                          <w:pPr>
                            <w:pStyle w:val="13"/>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sVhPrSAQAAow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xWE+tIBAACjAwAADgAAAAAAAAABACAAAAAi&#10;AQAAZHJzL2Uyb0RvYy54bWxQSwUGAAAAAAYABgBZAQAAZgUAAAAA&#10;">
              <v:fill on="f" focussize="0,0"/>
              <v:stroke on="f" weight="1.25pt"/>
              <v:imagedata o:title=""/>
              <o:lock v:ext="edit" aspectratio="f"/>
              <v:textbox inset="0mm,0mm,0mm,0mm" style="mso-fit-shape-to-text:t;">
                <w:txbxContent>
                  <w:p w14:paraId="72B573A0">
                    <w:pPr>
                      <w:pStyle w:val="13"/>
                    </w:pPr>
                    <w:r>
                      <w:fldChar w:fldCharType="begin"/>
                    </w:r>
                    <w:r>
                      <w:instrText xml:space="preserve"> PAGE  \* MERGEFORMAT </w:instrText>
                    </w:r>
                    <w:r>
                      <w:fldChar w:fldCharType="separate"/>
                    </w:r>
                    <w:r>
                      <w:t>2</w:t>
                    </w:r>
                    <w:r>
                      <w:fldChar w:fldCharType="end"/>
                    </w:r>
                  </w:p>
                </w:txbxContent>
              </v:textbox>
            </v:shape>
          </w:pict>
        </mc:Fallback>
      </mc:AlternateContent>
    </w:r>
    <w:r>
      <w:rPr>
        <w:rStyle w:val="26"/>
        <w:rFonts w:hint="eastAsia"/>
      </w:rPr>
      <w:t xml:space="preserve">     </w:t>
    </w:r>
  </w:p>
  <w:p w14:paraId="3857FC4C">
    <w:pPr>
      <w:widowControl w:val="0"/>
      <w:snapToGrid w:val="0"/>
      <w:spacing w:line="240" w:lineRule="atLeast"/>
      <w:ind w:right="21" w:firstLine="7665" w:firstLineChars="3650"/>
      <w:rPr>
        <w:rFonts w:hint="eastAsia"/>
        <w:sz w:val="21"/>
      </w:rPr>
    </w:pPr>
    <w:r>
      <w:rPr>
        <w:rFonts w:ascii="宋体" w:hAnsi="宋体"/>
        <w:u w:val="none" w:color="auto"/>
      </w:rPr>
      <mc:AlternateContent>
        <mc:Choice Requires="wps">
          <w:drawing>
            <wp:anchor distT="0" distB="0" distL="114300" distR="114300" simplePos="0" relativeHeight="251661312" behindDoc="1" locked="0" layoutInCell="0" allowOverlap="1">
              <wp:simplePos x="0" y="0"/>
              <wp:positionH relativeFrom="page">
                <wp:posOffset>899795</wp:posOffset>
              </wp:positionH>
              <wp:positionV relativeFrom="page">
                <wp:posOffset>10151745</wp:posOffset>
              </wp:positionV>
              <wp:extent cx="5759450" cy="179705"/>
              <wp:effectExtent l="0" t="0" r="0" b="0"/>
              <wp:wrapNone/>
              <wp:docPr id="28" name="文本框 28"/>
              <wp:cNvGraphicFramePr/>
              <a:graphic xmlns:a="http://schemas.openxmlformats.org/drawingml/2006/main">
                <a:graphicData uri="http://schemas.microsoft.com/office/word/2010/wordprocessingShape">
                  <wps:wsp>
                    <wps:cNvSpPr txBox="1">
                      <a:spLocks noChangeArrowheads="1"/>
                    </wps:cNvSpPr>
                    <wps:spPr bwMode="auto">
                      <a:xfrm>
                        <a:off x="0" y="0"/>
                        <a:ext cx="5759450" cy="179705"/>
                      </a:xfrm>
                      <a:prstGeom prst="rect">
                        <a:avLst/>
                      </a:prstGeom>
                      <a:noFill/>
                      <a:ln>
                        <a:noFill/>
                      </a:ln>
                      <a:effectLst/>
                    </wps:spPr>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70.85pt;margin-top:799.35pt;height:14.15pt;width:453.5pt;mso-position-horizontal-relative:page;mso-position-vertical-relative:page;z-index:-251655168;mso-width-relative:page;mso-height-relative:page;" filled="f" stroked="f" coordsize="21600,21600" o:allowincell="f" o:gfxdata="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Sd7nI2QAAAA4BAAAPAAAAAAAAAAEA&#10;IAAAACIAAABkcnMvZG93bnJldi54bWxQSwECFAAUAAAACACHTuJAtercJQ4CAAAKBAAADgAAAAAA&#10;AAABACAAAAAoAQAAZHJzL2Uyb0RvYy54bWxQSwUGAAAAAAYABgBZAQAAqAUAAAAA&#10;">
              <v:fill on="f" focussize="0,0"/>
              <v:stroke on="f"/>
              <v:imagedata o:title=""/>
              <o:lock v:ext="edit" aspectratio="f"/>
              <v:textbox inset="0mm,0mm,0mm,0mm"/>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79CE68">
    <w:pPr>
      <w:widowControl w:val="0"/>
      <w:snapToGrid w:val="0"/>
      <w:spacing w:line="240" w:lineRule="atLeast"/>
      <w:rPr>
        <w:rFonts w:ascii="宋体" w:hAnsi="宋体"/>
        <w:szCs w:val="21"/>
      </w:rPr>
    </w:pPr>
    <w:r>
      <w:rPr>
        <w:rFonts w:ascii="宋体" w:hAnsi="宋体"/>
      </w:rPr>
      <mc:AlternateContent>
        <mc:Choice Requires="wps">
          <w:drawing>
            <wp:anchor distT="0" distB="0" distL="114300" distR="114300" simplePos="0" relativeHeight="251659264" behindDoc="1" locked="0" layoutInCell="0" allowOverlap="1">
              <wp:simplePos x="0" y="0"/>
              <wp:positionH relativeFrom="page">
                <wp:posOffset>899795</wp:posOffset>
              </wp:positionH>
              <wp:positionV relativeFrom="page">
                <wp:posOffset>359410</wp:posOffset>
              </wp:positionV>
              <wp:extent cx="5759450" cy="179705"/>
              <wp:effectExtent l="0" t="0" r="0" b="0"/>
              <wp:wrapNone/>
              <wp:docPr id="1" name="Text Box 1"/>
              <wp:cNvGraphicFramePr/>
              <a:graphic xmlns:a="http://schemas.openxmlformats.org/drawingml/2006/main">
                <a:graphicData uri="http://schemas.microsoft.com/office/word/2010/wordprocessingShape">
                  <wps:wsp>
                    <wps:cNvSpPr txBox="1"/>
                    <wps:spPr>
                      <a:xfrm>
                        <a:off x="0" y="0"/>
                        <a:ext cx="5759450" cy="179705"/>
                      </a:xfrm>
                      <a:prstGeom prst="rect">
                        <a:avLst/>
                      </a:prstGeom>
                      <a:noFill/>
                      <a:ln>
                        <a:noFill/>
                      </a:ln>
                    </wps:spPr>
                    <wps:bodyPr upright="1"/>
                  </wps:wsp>
                </a:graphicData>
              </a:graphic>
            </wp:anchor>
          </w:drawing>
        </mc:Choice>
        <mc:Fallback>
          <w:pict>
            <v:shape id="Text Box 1" o:spid="_x0000_s1026" o:spt="202" type="#_x0000_t202" style="position:absolute;left:0pt;margin-left:70.85pt;margin-top:28.3pt;height:14.15pt;width:453.5pt;mso-position-horizontal-relative:page;mso-position-vertical-relative:page;z-index:-251657216;mso-width-relative:page;mso-height-relative:page;" filled="f" stroked="f" coordsize="21600,21600" o:allowincell="f" o:gfxdata="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">
              <v:fill on="f" focussize="0,0"/>
              <v:stroke on="f"/>
              <v:imagedata o:title=""/>
              <o:lock v:ext="edit" aspectratio="f"/>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96E39C">
    <w:pPr>
      <w:pStyle w:val="1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9E1EE2"/>
    <w:multiLevelType w:val="singleLevel"/>
    <w:tmpl w:val="979E1EE2"/>
    <w:lvl w:ilvl="0" w:tentative="0">
      <w:start w:val="1"/>
      <w:numFmt w:val="chineseCounting"/>
      <w:suff w:val="nothing"/>
      <w:lvlText w:val="（%1）"/>
      <w:lvlJc w:val="left"/>
      <w:rPr>
        <w:rFonts w:hint="eastAsia"/>
      </w:rPr>
    </w:lvl>
  </w:abstractNum>
  <w:abstractNum w:abstractNumId="1">
    <w:nsid w:val="AD74A6E4"/>
    <w:multiLevelType w:val="singleLevel"/>
    <w:tmpl w:val="AD74A6E4"/>
    <w:lvl w:ilvl="0" w:tentative="0">
      <w:start w:val="1"/>
      <w:numFmt w:val="decimal"/>
      <w:suff w:val="nothing"/>
      <w:lvlText w:val="%1、"/>
      <w:lvlJc w:val="left"/>
    </w:lvl>
  </w:abstractNum>
  <w:abstractNum w:abstractNumId="2">
    <w:nsid w:val="AEA5FCE5"/>
    <w:multiLevelType w:val="singleLevel"/>
    <w:tmpl w:val="AEA5FCE5"/>
    <w:lvl w:ilvl="0" w:tentative="0">
      <w:start w:val="6"/>
      <w:numFmt w:val="decimal"/>
      <w:suff w:val="nothing"/>
      <w:lvlText w:val="%1、"/>
      <w:lvlJc w:val="left"/>
    </w:lvl>
  </w:abstractNum>
  <w:abstractNum w:abstractNumId="3">
    <w:nsid w:val="AEC33732"/>
    <w:multiLevelType w:val="singleLevel"/>
    <w:tmpl w:val="AEC33732"/>
    <w:lvl w:ilvl="0" w:tentative="0">
      <w:start w:val="2"/>
      <w:numFmt w:val="decimal"/>
      <w:suff w:val="nothing"/>
      <w:lvlText w:val="%1、"/>
      <w:lvlJc w:val="left"/>
    </w:lvl>
  </w:abstractNum>
  <w:abstractNum w:abstractNumId="4">
    <w:nsid w:val="BF6BC116"/>
    <w:multiLevelType w:val="singleLevel"/>
    <w:tmpl w:val="BF6BC116"/>
    <w:lvl w:ilvl="0" w:tentative="0">
      <w:start w:val="16"/>
      <w:numFmt w:val="decimal"/>
      <w:suff w:val="space"/>
      <w:lvlText w:val="%1."/>
      <w:lvlJc w:val="left"/>
    </w:lvl>
  </w:abstractNum>
  <w:abstractNum w:abstractNumId="5">
    <w:nsid w:val="CFE7C3F8"/>
    <w:multiLevelType w:val="singleLevel"/>
    <w:tmpl w:val="CFE7C3F8"/>
    <w:lvl w:ilvl="0" w:tentative="0">
      <w:start w:val="1"/>
      <w:numFmt w:val="decimal"/>
      <w:suff w:val="nothing"/>
      <w:lvlText w:val="（%1）"/>
      <w:lvlJc w:val="left"/>
    </w:lvl>
  </w:abstractNum>
  <w:abstractNum w:abstractNumId="6">
    <w:nsid w:val="D663F68B"/>
    <w:multiLevelType w:val="singleLevel"/>
    <w:tmpl w:val="D663F68B"/>
    <w:lvl w:ilvl="0" w:tentative="0">
      <w:start w:val="1"/>
      <w:numFmt w:val="decimal"/>
      <w:suff w:val="nothing"/>
      <w:lvlText w:val="%1、"/>
      <w:lvlJc w:val="left"/>
    </w:lvl>
  </w:abstractNum>
  <w:abstractNum w:abstractNumId="7">
    <w:nsid w:val="DDECD3BC"/>
    <w:multiLevelType w:val="singleLevel"/>
    <w:tmpl w:val="DDECD3BC"/>
    <w:lvl w:ilvl="0" w:tentative="0">
      <w:start w:val="6"/>
      <w:numFmt w:val="decimal"/>
      <w:suff w:val="space"/>
      <w:lvlText w:val="%1."/>
      <w:lvlJc w:val="left"/>
    </w:lvl>
  </w:abstractNum>
  <w:abstractNum w:abstractNumId="8">
    <w:nsid w:val="DE759F4B"/>
    <w:multiLevelType w:val="singleLevel"/>
    <w:tmpl w:val="DE759F4B"/>
    <w:lvl w:ilvl="0" w:tentative="0">
      <w:start w:val="2"/>
      <w:numFmt w:val="decimal"/>
      <w:suff w:val="space"/>
      <w:lvlText w:val="%1."/>
      <w:lvlJc w:val="left"/>
    </w:lvl>
  </w:abstractNum>
  <w:abstractNum w:abstractNumId="9">
    <w:nsid w:val="DEABE1DB"/>
    <w:multiLevelType w:val="singleLevel"/>
    <w:tmpl w:val="DEABE1DB"/>
    <w:lvl w:ilvl="0" w:tentative="0">
      <w:start w:val="23"/>
      <w:numFmt w:val="decimal"/>
      <w:suff w:val="space"/>
      <w:lvlText w:val="%1."/>
      <w:lvlJc w:val="left"/>
    </w:lvl>
  </w:abstractNum>
  <w:abstractNum w:abstractNumId="10">
    <w:nsid w:val="F174B4AD"/>
    <w:multiLevelType w:val="singleLevel"/>
    <w:tmpl w:val="F174B4AD"/>
    <w:lvl w:ilvl="0" w:tentative="0">
      <w:start w:val="1"/>
      <w:numFmt w:val="decimal"/>
      <w:suff w:val="nothing"/>
      <w:lvlText w:val="%1、"/>
      <w:lvlJc w:val="left"/>
    </w:lvl>
  </w:abstractNum>
  <w:abstractNum w:abstractNumId="11">
    <w:nsid w:val="F3982781"/>
    <w:multiLevelType w:val="singleLevel"/>
    <w:tmpl w:val="F3982781"/>
    <w:lvl w:ilvl="0" w:tentative="0">
      <w:start w:val="1"/>
      <w:numFmt w:val="decimal"/>
      <w:suff w:val="nothing"/>
      <w:lvlText w:val="%1、"/>
      <w:lvlJc w:val="left"/>
    </w:lvl>
  </w:abstractNum>
  <w:abstractNum w:abstractNumId="12">
    <w:nsid w:val="FF90F652"/>
    <w:multiLevelType w:val="singleLevel"/>
    <w:tmpl w:val="FF90F652"/>
    <w:lvl w:ilvl="0" w:tentative="0">
      <w:start w:val="1"/>
      <w:numFmt w:val="decimal"/>
      <w:suff w:val="nothing"/>
      <w:lvlText w:val="%1、"/>
      <w:lvlJc w:val="left"/>
    </w:lvl>
  </w:abstractNum>
  <w:abstractNum w:abstractNumId="13">
    <w:nsid w:val="FFEFC674"/>
    <w:multiLevelType w:val="singleLevel"/>
    <w:tmpl w:val="FFEFC674"/>
    <w:lvl w:ilvl="0" w:tentative="0">
      <w:start w:val="1"/>
      <w:numFmt w:val="decimal"/>
      <w:suff w:val="nothing"/>
      <w:lvlText w:val="（%1）"/>
      <w:lvlJc w:val="left"/>
    </w:lvl>
  </w:abstractNum>
  <w:abstractNum w:abstractNumId="14">
    <w:nsid w:val="0000000A"/>
    <w:multiLevelType w:val="multilevel"/>
    <w:tmpl w:val="0000000A"/>
    <w:lvl w:ilvl="0" w:tentative="0">
      <w:start w:val="1"/>
      <w:numFmt w:val="decimal"/>
      <w:lvlText w:val="%1."/>
      <w:lvlJc w:val="left"/>
      <w:pPr>
        <w:tabs>
          <w:tab w:val="left" w:pos="1571"/>
        </w:tabs>
        <w:ind w:left="1571" w:hanging="851"/>
      </w:pPr>
      <w:rPr>
        <w:rFonts w:hint="eastAsia" w:eastAsia="宋体"/>
        <w:b/>
        <w:i w:val="0"/>
        <w:sz w:val="24"/>
      </w:rPr>
    </w:lvl>
    <w:lvl w:ilvl="1" w:tentative="0">
      <w:start w:val="1"/>
      <w:numFmt w:val="decimal"/>
      <w:lvlText w:val="（%2）"/>
      <w:lvlJc w:val="left"/>
      <w:pPr>
        <w:tabs>
          <w:tab w:val="left" w:pos="720"/>
        </w:tabs>
        <w:ind w:left="720" w:hanging="720"/>
      </w:pPr>
      <w:rPr>
        <w:rFonts w:hint="default"/>
        <w:b/>
        <w:i w:val="0"/>
        <w:sz w:val="24"/>
      </w:rPr>
    </w:lvl>
    <w:lvl w:ilvl="2" w:tentative="0">
      <w:start w:val="1"/>
      <w:numFmt w:val="decimal"/>
      <w:lvlText w:val="%1.%2.%3"/>
      <w:lvlJc w:val="left"/>
      <w:pPr>
        <w:tabs>
          <w:tab w:val="left" w:pos="720"/>
        </w:tabs>
        <w:ind w:left="720" w:hanging="720"/>
      </w:pPr>
      <w:rPr>
        <w:rFonts w:hint="eastAsia"/>
      </w:rPr>
    </w:lvl>
    <w:lvl w:ilvl="3" w:tentative="0">
      <w:start w:val="1"/>
      <w:numFmt w:val="decimal"/>
      <w:pStyle w:val="5"/>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15">
    <w:nsid w:val="375EC111"/>
    <w:multiLevelType w:val="singleLevel"/>
    <w:tmpl w:val="375EC111"/>
    <w:lvl w:ilvl="0" w:tentative="0">
      <w:start w:val="1"/>
      <w:numFmt w:val="decimal"/>
      <w:suff w:val="nothing"/>
      <w:lvlText w:val="%1、"/>
      <w:lvlJc w:val="left"/>
    </w:lvl>
  </w:abstractNum>
  <w:abstractNum w:abstractNumId="16">
    <w:nsid w:val="43F56402"/>
    <w:multiLevelType w:val="singleLevel"/>
    <w:tmpl w:val="43F56402"/>
    <w:lvl w:ilvl="0" w:tentative="0">
      <w:start w:val="3"/>
      <w:numFmt w:val="decimal"/>
      <w:suff w:val="nothing"/>
      <w:lvlText w:val="%1、"/>
      <w:lvlJc w:val="left"/>
    </w:lvl>
  </w:abstractNum>
  <w:abstractNum w:abstractNumId="17">
    <w:nsid w:val="66D60D42"/>
    <w:multiLevelType w:val="singleLevel"/>
    <w:tmpl w:val="66D60D42"/>
    <w:lvl w:ilvl="0" w:tentative="0">
      <w:start w:val="1"/>
      <w:numFmt w:val="decimal"/>
      <w:suff w:val="nothing"/>
      <w:lvlText w:val="%1、"/>
      <w:lvlJc w:val="left"/>
    </w:lvl>
  </w:abstractNum>
  <w:abstractNum w:abstractNumId="18">
    <w:nsid w:val="69E51709"/>
    <w:multiLevelType w:val="singleLevel"/>
    <w:tmpl w:val="69E51709"/>
    <w:lvl w:ilvl="0" w:tentative="0">
      <w:start w:val="1"/>
      <w:numFmt w:val="chineseCounting"/>
      <w:suff w:val="nothing"/>
      <w:lvlText w:val="%1、"/>
      <w:lvlJc w:val="left"/>
      <w:rPr>
        <w:rFonts w:hint="eastAsia"/>
      </w:rPr>
    </w:lvl>
  </w:abstractNum>
  <w:abstractNum w:abstractNumId="19">
    <w:nsid w:val="71507F6F"/>
    <w:multiLevelType w:val="singleLevel"/>
    <w:tmpl w:val="71507F6F"/>
    <w:lvl w:ilvl="0" w:tentative="0">
      <w:start w:val="1"/>
      <w:numFmt w:val="decimal"/>
      <w:suff w:val="nothing"/>
      <w:lvlText w:val="%1、"/>
      <w:lvlJc w:val="left"/>
    </w:lvl>
  </w:abstractNum>
  <w:abstractNum w:abstractNumId="20">
    <w:nsid w:val="7A0F6431"/>
    <w:multiLevelType w:val="singleLevel"/>
    <w:tmpl w:val="7A0F6431"/>
    <w:lvl w:ilvl="0" w:tentative="0">
      <w:start w:val="1"/>
      <w:numFmt w:val="decimal"/>
      <w:suff w:val="space"/>
      <w:lvlText w:val="%1."/>
      <w:lvlJc w:val="left"/>
    </w:lvl>
  </w:abstractNum>
  <w:num w:numId="1">
    <w:abstractNumId w:val="14"/>
  </w:num>
  <w:num w:numId="2">
    <w:abstractNumId w:val="3"/>
  </w:num>
  <w:num w:numId="3">
    <w:abstractNumId w:val="1"/>
  </w:num>
  <w:num w:numId="4">
    <w:abstractNumId w:val="17"/>
  </w:num>
  <w:num w:numId="5">
    <w:abstractNumId w:val="12"/>
  </w:num>
  <w:num w:numId="6">
    <w:abstractNumId w:val="2"/>
  </w:num>
  <w:num w:numId="7">
    <w:abstractNumId w:val="10"/>
  </w:num>
  <w:num w:numId="8">
    <w:abstractNumId w:val="19"/>
  </w:num>
  <w:num w:numId="9">
    <w:abstractNumId w:val="11"/>
  </w:num>
  <w:num w:numId="10">
    <w:abstractNumId w:val="6"/>
  </w:num>
  <w:num w:numId="11">
    <w:abstractNumId w:val="20"/>
  </w:num>
  <w:num w:numId="12">
    <w:abstractNumId w:val="5"/>
  </w:num>
  <w:num w:numId="13">
    <w:abstractNumId w:val="13"/>
  </w:num>
  <w:num w:numId="14">
    <w:abstractNumId w:val="8"/>
  </w:num>
  <w:num w:numId="15">
    <w:abstractNumId w:val="7"/>
  </w:num>
  <w:num w:numId="16">
    <w:abstractNumId w:val="4"/>
  </w:num>
  <w:num w:numId="17">
    <w:abstractNumId w:val="9"/>
  </w:num>
  <w:num w:numId="18">
    <w:abstractNumId w:val="18"/>
  </w:num>
  <w:num w:numId="19">
    <w:abstractNumId w:val="15"/>
  </w:num>
  <w:num w:numId="20">
    <w:abstractNumId w:val="0"/>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E4NDIxN2MzNWYxNmNiZGNlMGMyMTQxNWFjODM3OGMifQ=="/>
  </w:docVars>
  <w:rsids>
    <w:rsidRoot w:val="00172A27"/>
    <w:rsid w:val="00001D7A"/>
    <w:rsid w:val="00004B3A"/>
    <w:rsid w:val="00007E7D"/>
    <w:rsid w:val="0001069F"/>
    <w:rsid w:val="00013814"/>
    <w:rsid w:val="00013DB2"/>
    <w:rsid w:val="00017E1E"/>
    <w:rsid w:val="0002046F"/>
    <w:rsid w:val="00023676"/>
    <w:rsid w:val="00024608"/>
    <w:rsid w:val="00025F1E"/>
    <w:rsid w:val="0002622F"/>
    <w:rsid w:val="0002701F"/>
    <w:rsid w:val="0002739B"/>
    <w:rsid w:val="00032B3C"/>
    <w:rsid w:val="00032DB3"/>
    <w:rsid w:val="0003351F"/>
    <w:rsid w:val="000339BC"/>
    <w:rsid w:val="00033BB5"/>
    <w:rsid w:val="00035118"/>
    <w:rsid w:val="0003567F"/>
    <w:rsid w:val="00035BA8"/>
    <w:rsid w:val="00036AA4"/>
    <w:rsid w:val="00040BE7"/>
    <w:rsid w:val="00041891"/>
    <w:rsid w:val="00042CA8"/>
    <w:rsid w:val="00043821"/>
    <w:rsid w:val="00043CBA"/>
    <w:rsid w:val="0004440A"/>
    <w:rsid w:val="00044F84"/>
    <w:rsid w:val="00045982"/>
    <w:rsid w:val="00046A4B"/>
    <w:rsid w:val="0005420E"/>
    <w:rsid w:val="00054E34"/>
    <w:rsid w:val="00055755"/>
    <w:rsid w:val="00056F01"/>
    <w:rsid w:val="00057F78"/>
    <w:rsid w:val="000602CF"/>
    <w:rsid w:val="0006134B"/>
    <w:rsid w:val="00062821"/>
    <w:rsid w:val="00066F94"/>
    <w:rsid w:val="00067307"/>
    <w:rsid w:val="000673ED"/>
    <w:rsid w:val="00070FA8"/>
    <w:rsid w:val="00072083"/>
    <w:rsid w:val="00072834"/>
    <w:rsid w:val="0007390E"/>
    <w:rsid w:val="00073A45"/>
    <w:rsid w:val="00073DBF"/>
    <w:rsid w:val="00074766"/>
    <w:rsid w:val="00077629"/>
    <w:rsid w:val="00080AE9"/>
    <w:rsid w:val="00081801"/>
    <w:rsid w:val="00081C6C"/>
    <w:rsid w:val="000823AD"/>
    <w:rsid w:val="000829A8"/>
    <w:rsid w:val="00083034"/>
    <w:rsid w:val="00086B70"/>
    <w:rsid w:val="00086B8A"/>
    <w:rsid w:val="00090D6B"/>
    <w:rsid w:val="00090EB6"/>
    <w:rsid w:val="00091C5E"/>
    <w:rsid w:val="0009268E"/>
    <w:rsid w:val="00093A6B"/>
    <w:rsid w:val="00094FE1"/>
    <w:rsid w:val="00095619"/>
    <w:rsid w:val="000956CE"/>
    <w:rsid w:val="000A152E"/>
    <w:rsid w:val="000A18B4"/>
    <w:rsid w:val="000A1C72"/>
    <w:rsid w:val="000A3FE8"/>
    <w:rsid w:val="000A4640"/>
    <w:rsid w:val="000A55EE"/>
    <w:rsid w:val="000A62B8"/>
    <w:rsid w:val="000A6CD3"/>
    <w:rsid w:val="000A7CCE"/>
    <w:rsid w:val="000B0EC6"/>
    <w:rsid w:val="000B1334"/>
    <w:rsid w:val="000B1DA3"/>
    <w:rsid w:val="000B4758"/>
    <w:rsid w:val="000B53BD"/>
    <w:rsid w:val="000B5412"/>
    <w:rsid w:val="000B6571"/>
    <w:rsid w:val="000C2342"/>
    <w:rsid w:val="000C2A92"/>
    <w:rsid w:val="000C2AA6"/>
    <w:rsid w:val="000C4BA5"/>
    <w:rsid w:val="000C540C"/>
    <w:rsid w:val="000D2631"/>
    <w:rsid w:val="000D69FD"/>
    <w:rsid w:val="000E02FC"/>
    <w:rsid w:val="000E54A0"/>
    <w:rsid w:val="000E6D5E"/>
    <w:rsid w:val="000F01A2"/>
    <w:rsid w:val="000F108C"/>
    <w:rsid w:val="000F1C87"/>
    <w:rsid w:val="000F3188"/>
    <w:rsid w:val="000F3D46"/>
    <w:rsid w:val="000F4146"/>
    <w:rsid w:val="000F67D4"/>
    <w:rsid w:val="000F71A3"/>
    <w:rsid w:val="000F7917"/>
    <w:rsid w:val="00101EAB"/>
    <w:rsid w:val="001048C3"/>
    <w:rsid w:val="00106553"/>
    <w:rsid w:val="00107435"/>
    <w:rsid w:val="00110434"/>
    <w:rsid w:val="001118D4"/>
    <w:rsid w:val="001163D8"/>
    <w:rsid w:val="00117877"/>
    <w:rsid w:val="001215D2"/>
    <w:rsid w:val="00123128"/>
    <w:rsid w:val="001234C9"/>
    <w:rsid w:val="00125A47"/>
    <w:rsid w:val="00126132"/>
    <w:rsid w:val="001263CF"/>
    <w:rsid w:val="00131B13"/>
    <w:rsid w:val="00131CCB"/>
    <w:rsid w:val="00132364"/>
    <w:rsid w:val="001342A5"/>
    <w:rsid w:val="00135227"/>
    <w:rsid w:val="001378C9"/>
    <w:rsid w:val="001401E4"/>
    <w:rsid w:val="001439BF"/>
    <w:rsid w:val="001443E8"/>
    <w:rsid w:val="00144AD8"/>
    <w:rsid w:val="00144E92"/>
    <w:rsid w:val="001532B2"/>
    <w:rsid w:val="001537D5"/>
    <w:rsid w:val="00153A06"/>
    <w:rsid w:val="0016042E"/>
    <w:rsid w:val="001641D5"/>
    <w:rsid w:val="001667B4"/>
    <w:rsid w:val="00166938"/>
    <w:rsid w:val="0016693E"/>
    <w:rsid w:val="0016783C"/>
    <w:rsid w:val="001678FA"/>
    <w:rsid w:val="001708C3"/>
    <w:rsid w:val="00170AE1"/>
    <w:rsid w:val="00170E55"/>
    <w:rsid w:val="001719D7"/>
    <w:rsid w:val="00172A27"/>
    <w:rsid w:val="00172A7E"/>
    <w:rsid w:val="0017374F"/>
    <w:rsid w:val="001758EA"/>
    <w:rsid w:val="00175E3A"/>
    <w:rsid w:val="00183C38"/>
    <w:rsid w:val="001863F6"/>
    <w:rsid w:val="00194451"/>
    <w:rsid w:val="0019697C"/>
    <w:rsid w:val="001A1BB5"/>
    <w:rsid w:val="001A1D5B"/>
    <w:rsid w:val="001A6EC8"/>
    <w:rsid w:val="001A733E"/>
    <w:rsid w:val="001B2A9F"/>
    <w:rsid w:val="001B4914"/>
    <w:rsid w:val="001B5626"/>
    <w:rsid w:val="001B6072"/>
    <w:rsid w:val="001B7C99"/>
    <w:rsid w:val="001C050D"/>
    <w:rsid w:val="001C2D34"/>
    <w:rsid w:val="001C397C"/>
    <w:rsid w:val="001C3DAF"/>
    <w:rsid w:val="001C528B"/>
    <w:rsid w:val="001C6505"/>
    <w:rsid w:val="001D0DA4"/>
    <w:rsid w:val="001D14A1"/>
    <w:rsid w:val="001D17A7"/>
    <w:rsid w:val="001D22C4"/>
    <w:rsid w:val="001D2F63"/>
    <w:rsid w:val="001D3921"/>
    <w:rsid w:val="001D3B0B"/>
    <w:rsid w:val="001D4345"/>
    <w:rsid w:val="001D48B7"/>
    <w:rsid w:val="001D6398"/>
    <w:rsid w:val="001D67DD"/>
    <w:rsid w:val="001E04F2"/>
    <w:rsid w:val="001E0705"/>
    <w:rsid w:val="001E0A3F"/>
    <w:rsid w:val="001E1A46"/>
    <w:rsid w:val="001E1FAC"/>
    <w:rsid w:val="001E30AE"/>
    <w:rsid w:val="001E45BE"/>
    <w:rsid w:val="001E55A2"/>
    <w:rsid w:val="001E60A9"/>
    <w:rsid w:val="001F1D57"/>
    <w:rsid w:val="001F4C70"/>
    <w:rsid w:val="001F6921"/>
    <w:rsid w:val="00203DFD"/>
    <w:rsid w:val="00204738"/>
    <w:rsid w:val="002052BF"/>
    <w:rsid w:val="00205670"/>
    <w:rsid w:val="00205DC9"/>
    <w:rsid w:val="0020635B"/>
    <w:rsid w:val="002064E1"/>
    <w:rsid w:val="00210346"/>
    <w:rsid w:val="00212022"/>
    <w:rsid w:val="002146E7"/>
    <w:rsid w:val="00214DD7"/>
    <w:rsid w:val="00214F54"/>
    <w:rsid w:val="002155C5"/>
    <w:rsid w:val="002206D9"/>
    <w:rsid w:val="00221964"/>
    <w:rsid w:val="002228C6"/>
    <w:rsid w:val="002238AE"/>
    <w:rsid w:val="0023012A"/>
    <w:rsid w:val="00231508"/>
    <w:rsid w:val="00231D21"/>
    <w:rsid w:val="0023255F"/>
    <w:rsid w:val="002341A2"/>
    <w:rsid w:val="00237A15"/>
    <w:rsid w:val="00240733"/>
    <w:rsid w:val="00241D3A"/>
    <w:rsid w:val="0024269B"/>
    <w:rsid w:val="00244532"/>
    <w:rsid w:val="00244DC8"/>
    <w:rsid w:val="0024502A"/>
    <w:rsid w:val="0024541C"/>
    <w:rsid w:val="00247523"/>
    <w:rsid w:val="00247993"/>
    <w:rsid w:val="002511FE"/>
    <w:rsid w:val="00251A85"/>
    <w:rsid w:val="00254F6E"/>
    <w:rsid w:val="00255EDA"/>
    <w:rsid w:val="002574D7"/>
    <w:rsid w:val="00257581"/>
    <w:rsid w:val="00257B22"/>
    <w:rsid w:val="002602F6"/>
    <w:rsid w:val="00260704"/>
    <w:rsid w:val="00262D1F"/>
    <w:rsid w:val="00264999"/>
    <w:rsid w:val="002665E4"/>
    <w:rsid w:val="002673AF"/>
    <w:rsid w:val="0027067C"/>
    <w:rsid w:val="00270FE1"/>
    <w:rsid w:val="00271ABB"/>
    <w:rsid w:val="00272680"/>
    <w:rsid w:val="00272B6B"/>
    <w:rsid w:val="00272DEC"/>
    <w:rsid w:val="00273FB6"/>
    <w:rsid w:val="0027591C"/>
    <w:rsid w:val="00275945"/>
    <w:rsid w:val="002759A2"/>
    <w:rsid w:val="00276204"/>
    <w:rsid w:val="00280E45"/>
    <w:rsid w:val="002810F8"/>
    <w:rsid w:val="00281701"/>
    <w:rsid w:val="0028181D"/>
    <w:rsid w:val="00281F3D"/>
    <w:rsid w:val="0028291D"/>
    <w:rsid w:val="002836FF"/>
    <w:rsid w:val="00290D50"/>
    <w:rsid w:val="00292609"/>
    <w:rsid w:val="0029442F"/>
    <w:rsid w:val="00294947"/>
    <w:rsid w:val="0029595B"/>
    <w:rsid w:val="00295A34"/>
    <w:rsid w:val="00296060"/>
    <w:rsid w:val="00296448"/>
    <w:rsid w:val="00296501"/>
    <w:rsid w:val="002968C0"/>
    <w:rsid w:val="002975BF"/>
    <w:rsid w:val="002A01BA"/>
    <w:rsid w:val="002A0696"/>
    <w:rsid w:val="002A2037"/>
    <w:rsid w:val="002A25E8"/>
    <w:rsid w:val="002A2B5C"/>
    <w:rsid w:val="002A35F6"/>
    <w:rsid w:val="002A4898"/>
    <w:rsid w:val="002A4F6F"/>
    <w:rsid w:val="002A5411"/>
    <w:rsid w:val="002A6D86"/>
    <w:rsid w:val="002A7073"/>
    <w:rsid w:val="002A7814"/>
    <w:rsid w:val="002B0C83"/>
    <w:rsid w:val="002B1A64"/>
    <w:rsid w:val="002B3090"/>
    <w:rsid w:val="002B5D90"/>
    <w:rsid w:val="002B5E0D"/>
    <w:rsid w:val="002C00FF"/>
    <w:rsid w:val="002C11FF"/>
    <w:rsid w:val="002C3330"/>
    <w:rsid w:val="002C69C4"/>
    <w:rsid w:val="002D152F"/>
    <w:rsid w:val="002D1708"/>
    <w:rsid w:val="002D1EC7"/>
    <w:rsid w:val="002D2579"/>
    <w:rsid w:val="002D40A9"/>
    <w:rsid w:val="002D6349"/>
    <w:rsid w:val="002D6B6F"/>
    <w:rsid w:val="002D7628"/>
    <w:rsid w:val="002D7A77"/>
    <w:rsid w:val="002D7BE8"/>
    <w:rsid w:val="002E080D"/>
    <w:rsid w:val="002E098C"/>
    <w:rsid w:val="002E30EB"/>
    <w:rsid w:val="002E3E40"/>
    <w:rsid w:val="002E76EF"/>
    <w:rsid w:val="002E7E70"/>
    <w:rsid w:val="002F08C6"/>
    <w:rsid w:val="002F0A23"/>
    <w:rsid w:val="002F24F3"/>
    <w:rsid w:val="002F2754"/>
    <w:rsid w:val="002F32CA"/>
    <w:rsid w:val="002F37CB"/>
    <w:rsid w:val="002F4ADA"/>
    <w:rsid w:val="002F5465"/>
    <w:rsid w:val="002F7AD0"/>
    <w:rsid w:val="002F7EF3"/>
    <w:rsid w:val="002F7F3A"/>
    <w:rsid w:val="002F7FAF"/>
    <w:rsid w:val="0030169A"/>
    <w:rsid w:val="00306123"/>
    <w:rsid w:val="00307CF1"/>
    <w:rsid w:val="0031007D"/>
    <w:rsid w:val="003110D4"/>
    <w:rsid w:val="00311B9B"/>
    <w:rsid w:val="00314D22"/>
    <w:rsid w:val="003157D1"/>
    <w:rsid w:val="00316A48"/>
    <w:rsid w:val="00317222"/>
    <w:rsid w:val="00320DF9"/>
    <w:rsid w:val="003214B1"/>
    <w:rsid w:val="00322389"/>
    <w:rsid w:val="00322799"/>
    <w:rsid w:val="003241F1"/>
    <w:rsid w:val="0032688F"/>
    <w:rsid w:val="00331D60"/>
    <w:rsid w:val="00332C6F"/>
    <w:rsid w:val="00334CC7"/>
    <w:rsid w:val="003355B7"/>
    <w:rsid w:val="00336AAB"/>
    <w:rsid w:val="00342477"/>
    <w:rsid w:val="003426E6"/>
    <w:rsid w:val="0034283D"/>
    <w:rsid w:val="00343634"/>
    <w:rsid w:val="00343968"/>
    <w:rsid w:val="00343A1D"/>
    <w:rsid w:val="00343D9C"/>
    <w:rsid w:val="0035121B"/>
    <w:rsid w:val="003521AC"/>
    <w:rsid w:val="00352D4E"/>
    <w:rsid w:val="00354452"/>
    <w:rsid w:val="00356193"/>
    <w:rsid w:val="00356631"/>
    <w:rsid w:val="00356A9C"/>
    <w:rsid w:val="00357F64"/>
    <w:rsid w:val="0036067C"/>
    <w:rsid w:val="0036233D"/>
    <w:rsid w:val="0036276F"/>
    <w:rsid w:val="003634F4"/>
    <w:rsid w:val="00363B02"/>
    <w:rsid w:val="003642B6"/>
    <w:rsid w:val="003655E9"/>
    <w:rsid w:val="00365BD8"/>
    <w:rsid w:val="00367D22"/>
    <w:rsid w:val="00371760"/>
    <w:rsid w:val="00371C40"/>
    <w:rsid w:val="00371CE6"/>
    <w:rsid w:val="00376869"/>
    <w:rsid w:val="00377928"/>
    <w:rsid w:val="00377AE0"/>
    <w:rsid w:val="00380598"/>
    <w:rsid w:val="00381B01"/>
    <w:rsid w:val="003829D9"/>
    <w:rsid w:val="00383B17"/>
    <w:rsid w:val="00384A92"/>
    <w:rsid w:val="003854F3"/>
    <w:rsid w:val="00386518"/>
    <w:rsid w:val="003875CD"/>
    <w:rsid w:val="00387FBB"/>
    <w:rsid w:val="00391A61"/>
    <w:rsid w:val="00391FF0"/>
    <w:rsid w:val="00397B1C"/>
    <w:rsid w:val="00397E86"/>
    <w:rsid w:val="003A0C28"/>
    <w:rsid w:val="003A1388"/>
    <w:rsid w:val="003A1D20"/>
    <w:rsid w:val="003A258C"/>
    <w:rsid w:val="003A37AB"/>
    <w:rsid w:val="003A40E7"/>
    <w:rsid w:val="003A4472"/>
    <w:rsid w:val="003A72D8"/>
    <w:rsid w:val="003A78B7"/>
    <w:rsid w:val="003B2614"/>
    <w:rsid w:val="003B2F1E"/>
    <w:rsid w:val="003B4A06"/>
    <w:rsid w:val="003B5D7B"/>
    <w:rsid w:val="003B5F19"/>
    <w:rsid w:val="003B67A0"/>
    <w:rsid w:val="003B72E5"/>
    <w:rsid w:val="003C0E0B"/>
    <w:rsid w:val="003C1220"/>
    <w:rsid w:val="003C5626"/>
    <w:rsid w:val="003C6339"/>
    <w:rsid w:val="003C6B76"/>
    <w:rsid w:val="003D3B92"/>
    <w:rsid w:val="003D4056"/>
    <w:rsid w:val="003D415D"/>
    <w:rsid w:val="003D46D1"/>
    <w:rsid w:val="003D7EC2"/>
    <w:rsid w:val="003E1BD5"/>
    <w:rsid w:val="003E3AC3"/>
    <w:rsid w:val="003E58E5"/>
    <w:rsid w:val="003E58FF"/>
    <w:rsid w:val="003E5EE1"/>
    <w:rsid w:val="003E7C9B"/>
    <w:rsid w:val="003E7D25"/>
    <w:rsid w:val="003F0417"/>
    <w:rsid w:val="003F3249"/>
    <w:rsid w:val="003F688C"/>
    <w:rsid w:val="00400DD3"/>
    <w:rsid w:val="0040275F"/>
    <w:rsid w:val="00403958"/>
    <w:rsid w:val="004053E4"/>
    <w:rsid w:val="004073DB"/>
    <w:rsid w:val="004079FF"/>
    <w:rsid w:val="004137F3"/>
    <w:rsid w:val="00414F84"/>
    <w:rsid w:val="00415470"/>
    <w:rsid w:val="00415CFA"/>
    <w:rsid w:val="00416388"/>
    <w:rsid w:val="00417D4F"/>
    <w:rsid w:val="00421975"/>
    <w:rsid w:val="004223F4"/>
    <w:rsid w:val="004223F7"/>
    <w:rsid w:val="004237AF"/>
    <w:rsid w:val="00423C9D"/>
    <w:rsid w:val="00426990"/>
    <w:rsid w:val="004300B5"/>
    <w:rsid w:val="004342C9"/>
    <w:rsid w:val="00440412"/>
    <w:rsid w:val="00440804"/>
    <w:rsid w:val="00443935"/>
    <w:rsid w:val="00443963"/>
    <w:rsid w:val="004442B3"/>
    <w:rsid w:val="00444D59"/>
    <w:rsid w:val="00446551"/>
    <w:rsid w:val="00447654"/>
    <w:rsid w:val="004513F9"/>
    <w:rsid w:val="00451605"/>
    <w:rsid w:val="00451DAE"/>
    <w:rsid w:val="00452F36"/>
    <w:rsid w:val="00453130"/>
    <w:rsid w:val="0045394E"/>
    <w:rsid w:val="00454535"/>
    <w:rsid w:val="00454B5D"/>
    <w:rsid w:val="00455B44"/>
    <w:rsid w:val="00456782"/>
    <w:rsid w:val="00456FA3"/>
    <w:rsid w:val="0045715F"/>
    <w:rsid w:val="0045754E"/>
    <w:rsid w:val="00460E98"/>
    <w:rsid w:val="00461626"/>
    <w:rsid w:val="004640E1"/>
    <w:rsid w:val="00465462"/>
    <w:rsid w:val="00471684"/>
    <w:rsid w:val="0047305B"/>
    <w:rsid w:val="00473540"/>
    <w:rsid w:val="0047493D"/>
    <w:rsid w:val="00475A0F"/>
    <w:rsid w:val="004771A7"/>
    <w:rsid w:val="00477DF1"/>
    <w:rsid w:val="004805E1"/>
    <w:rsid w:val="0048194E"/>
    <w:rsid w:val="00481D33"/>
    <w:rsid w:val="00481EFC"/>
    <w:rsid w:val="0048481A"/>
    <w:rsid w:val="00485345"/>
    <w:rsid w:val="00486D4E"/>
    <w:rsid w:val="00487F50"/>
    <w:rsid w:val="0049352F"/>
    <w:rsid w:val="00495C88"/>
    <w:rsid w:val="00497B97"/>
    <w:rsid w:val="004A28E9"/>
    <w:rsid w:val="004A2F8D"/>
    <w:rsid w:val="004A4443"/>
    <w:rsid w:val="004A465C"/>
    <w:rsid w:val="004A5A5E"/>
    <w:rsid w:val="004A647D"/>
    <w:rsid w:val="004A6BB2"/>
    <w:rsid w:val="004A7816"/>
    <w:rsid w:val="004A791C"/>
    <w:rsid w:val="004B0A0E"/>
    <w:rsid w:val="004B10CD"/>
    <w:rsid w:val="004B125E"/>
    <w:rsid w:val="004B2765"/>
    <w:rsid w:val="004B6984"/>
    <w:rsid w:val="004C05F2"/>
    <w:rsid w:val="004C1E04"/>
    <w:rsid w:val="004C1EBB"/>
    <w:rsid w:val="004C407E"/>
    <w:rsid w:val="004C506F"/>
    <w:rsid w:val="004C7A15"/>
    <w:rsid w:val="004D11B7"/>
    <w:rsid w:val="004D2E6C"/>
    <w:rsid w:val="004D57A0"/>
    <w:rsid w:val="004D5F36"/>
    <w:rsid w:val="004E0791"/>
    <w:rsid w:val="004E44CC"/>
    <w:rsid w:val="004E50CC"/>
    <w:rsid w:val="004E5741"/>
    <w:rsid w:val="004E587A"/>
    <w:rsid w:val="004E5CA5"/>
    <w:rsid w:val="004E6F0E"/>
    <w:rsid w:val="004F02F2"/>
    <w:rsid w:val="004F16A1"/>
    <w:rsid w:val="004F1918"/>
    <w:rsid w:val="004F2DDA"/>
    <w:rsid w:val="004F4B65"/>
    <w:rsid w:val="004F6370"/>
    <w:rsid w:val="00502DF4"/>
    <w:rsid w:val="005034FC"/>
    <w:rsid w:val="00503795"/>
    <w:rsid w:val="00503CE9"/>
    <w:rsid w:val="00503F67"/>
    <w:rsid w:val="005044B9"/>
    <w:rsid w:val="005055E2"/>
    <w:rsid w:val="00507AFA"/>
    <w:rsid w:val="00510497"/>
    <w:rsid w:val="005106D5"/>
    <w:rsid w:val="005112F3"/>
    <w:rsid w:val="00517BF1"/>
    <w:rsid w:val="00520645"/>
    <w:rsid w:val="00520920"/>
    <w:rsid w:val="00522311"/>
    <w:rsid w:val="0052426A"/>
    <w:rsid w:val="00524C98"/>
    <w:rsid w:val="00524D6D"/>
    <w:rsid w:val="005252C0"/>
    <w:rsid w:val="00530CE7"/>
    <w:rsid w:val="005316A8"/>
    <w:rsid w:val="00535C65"/>
    <w:rsid w:val="0053682D"/>
    <w:rsid w:val="005402D9"/>
    <w:rsid w:val="00540FEC"/>
    <w:rsid w:val="005414D6"/>
    <w:rsid w:val="00541F83"/>
    <w:rsid w:val="005423C1"/>
    <w:rsid w:val="00542766"/>
    <w:rsid w:val="005430C7"/>
    <w:rsid w:val="00543809"/>
    <w:rsid w:val="00543CB6"/>
    <w:rsid w:val="00543EC9"/>
    <w:rsid w:val="00544584"/>
    <w:rsid w:val="005446B0"/>
    <w:rsid w:val="00546307"/>
    <w:rsid w:val="00546DF7"/>
    <w:rsid w:val="005475A9"/>
    <w:rsid w:val="00547E4F"/>
    <w:rsid w:val="00551DFC"/>
    <w:rsid w:val="0055211A"/>
    <w:rsid w:val="00554187"/>
    <w:rsid w:val="00555765"/>
    <w:rsid w:val="00555958"/>
    <w:rsid w:val="00556A12"/>
    <w:rsid w:val="00556F12"/>
    <w:rsid w:val="005605F8"/>
    <w:rsid w:val="005615D4"/>
    <w:rsid w:val="005633EE"/>
    <w:rsid w:val="005650C2"/>
    <w:rsid w:val="00565A8C"/>
    <w:rsid w:val="00573012"/>
    <w:rsid w:val="005731AA"/>
    <w:rsid w:val="00574068"/>
    <w:rsid w:val="00575709"/>
    <w:rsid w:val="005773BE"/>
    <w:rsid w:val="005804F3"/>
    <w:rsid w:val="00580954"/>
    <w:rsid w:val="005824F8"/>
    <w:rsid w:val="00583A5C"/>
    <w:rsid w:val="00584C19"/>
    <w:rsid w:val="005850D6"/>
    <w:rsid w:val="0058643C"/>
    <w:rsid w:val="005866BD"/>
    <w:rsid w:val="00586EDA"/>
    <w:rsid w:val="005927CD"/>
    <w:rsid w:val="0059343A"/>
    <w:rsid w:val="005949BF"/>
    <w:rsid w:val="005964EC"/>
    <w:rsid w:val="00596F16"/>
    <w:rsid w:val="005A0661"/>
    <w:rsid w:val="005A0EE1"/>
    <w:rsid w:val="005A1FDF"/>
    <w:rsid w:val="005A200A"/>
    <w:rsid w:val="005A2205"/>
    <w:rsid w:val="005A2BEB"/>
    <w:rsid w:val="005A39AF"/>
    <w:rsid w:val="005A4F1F"/>
    <w:rsid w:val="005A5D75"/>
    <w:rsid w:val="005A61BC"/>
    <w:rsid w:val="005A6732"/>
    <w:rsid w:val="005A6A8A"/>
    <w:rsid w:val="005A7272"/>
    <w:rsid w:val="005A7EC2"/>
    <w:rsid w:val="005B19C2"/>
    <w:rsid w:val="005B334E"/>
    <w:rsid w:val="005B3FB5"/>
    <w:rsid w:val="005B772C"/>
    <w:rsid w:val="005C1868"/>
    <w:rsid w:val="005C3B65"/>
    <w:rsid w:val="005C71EA"/>
    <w:rsid w:val="005D248A"/>
    <w:rsid w:val="005D2723"/>
    <w:rsid w:val="005D2C74"/>
    <w:rsid w:val="005D2CB5"/>
    <w:rsid w:val="005D386F"/>
    <w:rsid w:val="005D511D"/>
    <w:rsid w:val="005D72C1"/>
    <w:rsid w:val="005E3DC5"/>
    <w:rsid w:val="005E4813"/>
    <w:rsid w:val="005E6E82"/>
    <w:rsid w:val="005F6167"/>
    <w:rsid w:val="006031DC"/>
    <w:rsid w:val="006035CB"/>
    <w:rsid w:val="00604122"/>
    <w:rsid w:val="0060535C"/>
    <w:rsid w:val="00606709"/>
    <w:rsid w:val="00613D71"/>
    <w:rsid w:val="00613FD6"/>
    <w:rsid w:val="00615523"/>
    <w:rsid w:val="00615DBE"/>
    <w:rsid w:val="006160CA"/>
    <w:rsid w:val="006161C5"/>
    <w:rsid w:val="00625C51"/>
    <w:rsid w:val="00626E6E"/>
    <w:rsid w:val="00627347"/>
    <w:rsid w:val="00630D1F"/>
    <w:rsid w:val="006313EC"/>
    <w:rsid w:val="00631627"/>
    <w:rsid w:val="00633872"/>
    <w:rsid w:val="00634B02"/>
    <w:rsid w:val="0063507E"/>
    <w:rsid w:val="006369CC"/>
    <w:rsid w:val="006374EF"/>
    <w:rsid w:val="00643CAC"/>
    <w:rsid w:val="00643E16"/>
    <w:rsid w:val="00644710"/>
    <w:rsid w:val="00646631"/>
    <w:rsid w:val="00647F26"/>
    <w:rsid w:val="00651791"/>
    <w:rsid w:val="006536D6"/>
    <w:rsid w:val="00654B00"/>
    <w:rsid w:val="00655415"/>
    <w:rsid w:val="006555FF"/>
    <w:rsid w:val="006560FF"/>
    <w:rsid w:val="00657569"/>
    <w:rsid w:val="00661812"/>
    <w:rsid w:val="00662875"/>
    <w:rsid w:val="00663399"/>
    <w:rsid w:val="006635A7"/>
    <w:rsid w:val="006649C6"/>
    <w:rsid w:val="006656A2"/>
    <w:rsid w:val="00665738"/>
    <w:rsid w:val="00666247"/>
    <w:rsid w:val="006679EB"/>
    <w:rsid w:val="00671EEB"/>
    <w:rsid w:val="00671EF7"/>
    <w:rsid w:val="00672009"/>
    <w:rsid w:val="00674F5E"/>
    <w:rsid w:val="006763B3"/>
    <w:rsid w:val="006804E4"/>
    <w:rsid w:val="00682F0F"/>
    <w:rsid w:val="00683222"/>
    <w:rsid w:val="00685F1B"/>
    <w:rsid w:val="00686A7A"/>
    <w:rsid w:val="00686F46"/>
    <w:rsid w:val="00687B51"/>
    <w:rsid w:val="006900BC"/>
    <w:rsid w:val="006907CD"/>
    <w:rsid w:val="00691004"/>
    <w:rsid w:val="00692DDF"/>
    <w:rsid w:val="0069376A"/>
    <w:rsid w:val="00694554"/>
    <w:rsid w:val="00695074"/>
    <w:rsid w:val="006A077D"/>
    <w:rsid w:val="006A1725"/>
    <w:rsid w:val="006A211F"/>
    <w:rsid w:val="006A4311"/>
    <w:rsid w:val="006A5EAE"/>
    <w:rsid w:val="006A76FE"/>
    <w:rsid w:val="006B46DC"/>
    <w:rsid w:val="006B5CB6"/>
    <w:rsid w:val="006B666A"/>
    <w:rsid w:val="006B7F89"/>
    <w:rsid w:val="006C3846"/>
    <w:rsid w:val="006C3BF0"/>
    <w:rsid w:val="006C4725"/>
    <w:rsid w:val="006C782D"/>
    <w:rsid w:val="006C78A5"/>
    <w:rsid w:val="006D221B"/>
    <w:rsid w:val="006D4845"/>
    <w:rsid w:val="006D7839"/>
    <w:rsid w:val="006E02B1"/>
    <w:rsid w:val="006E1197"/>
    <w:rsid w:val="006E157D"/>
    <w:rsid w:val="006E3615"/>
    <w:rsid w:val="006E5D09"/>
    <w:rsid w:val="006E6DDB"/>
    <w:rsid w:val="006E7C2B"/>
    <w:rsid w:val="006F0AC4"/>
    <w:rsid w:val="006F2CEE"/>
    <w:rsid w:val="006F5195"/>
    <w:rsid w:val="006F5426"/>
    <w:rsid w:val="006F61C3"/>
    <w:rsid w:val="006F65DD"/>
    <w:rsid w:val="006F7546"/>
    <w:rsid w:val="00700495"/>
    <w:rsid w:val="00702286"/>
    <w:rsid w:val="00703660"/>
    <w:rsid w:val="0070375B"/>
    <w:rsid w:val="00704690"/>
    <w:rsid w:val="00705060"/>
    <w:rsid w:val="00705F0C"/>
    <w:rsid w:val="007064D1"/>
    <w:rsid w:val="00707007"/>
    <w:rsid w:val="00710F95"/>
    <w:rsid w:val="007132C1"/>
    <w:rsid w:val="00714445"/>
    <w:rsid w:val="00721314"/>
    <w:rsid w:val="0072283F"/>
    <w:rsid w:val="00722DD9"/>
    <w:rsid w:val="0072306E"/>
    <w:rsid w:val="007269A4"/>
    <w:rsid w:val="00731ED1"/>
    <w:rsid w:val="00732F8B"/>
    <w:rsid w:val="00733E60"/>
    <w:rsid w:val="00734BF0"/>
    <w:rsid w:val="007358D4"/>
    <w:rsid w:val="00735A2A"/>
    <w:rsid w:val="007362E1"/>
    <w:rsid w:val="007375A2"/>
    <w:rsid w:val="00737D3F"/>
    <w:rsid w:val="00742808"/>
    <w:rsid w:val="00743133"/>
    <w:rsid w:val="00745330"/>
    <w:rsid w:val="00745FC7"/>
    <w:rsid w:val="00746653"/>
    <w:rsid w:val="00746D3B"/>
    <w:rsid w:val="0075061D"/>
    <w:rsid w:val="007506CA"/>
    <w:rsid w:val="00753442"/>
    <w:rsid w:val="00754000"/>
    <w:rsid w:val="0075584E"/>
    <w:rsid w:val="00760447"/>
    <w:rsid w:val="00760C76"/>
    <w:rsid w:val="007616E0"/>
    <w:rsid w:val="007623A6"/>
    <w:rsid w:val="00765032"/>
    <w:rsid w:val="00771BDB"/>
    <w:rsid w:val="00773B85"/>
    <w:rsid w:val="007830DD"/>
    <w:rsid w:val="00783DE2"/>
    <w:rsid w:val="00784AE6"/>
    <w:rsid w:val="00784CA4"/>
    <w:rsid w:val="00784D51"/>
    <w:rsid w:val="0078521D"/>
    <w:rsid w:val="00787769"/>
    <w:rsid w:val="0079060C"/>
    <w:rsid w:val="007910EF"/>
    <w:rsid w:val="00791384"/>
    <w:rsid w:val="00794DD6"/>
    <w:rsid w:val="00797162"/>
    <w:rsid w:val="007973D9"/>
    <w:rsid w:val="00797A49"/>
    <w:rsid w:val="007A0227"/>
    <w:rsid w:val="007A1908"/>
    <w:rsid w:val="007A31E6"/>
    <w:rsid w:val="007A3201"/>
    <w:rsid w:val="007A3399"/>
    <w:rsid w:val="007A4951"/>
    <w:rsid w:val="007A5E21"/>
    <w:rsid w:val="007A69E3"/>
    <w:rsid w:val="007A7D92"/>
    <w:rsid w:val="007B1D8C"/>
    <w:rsid w:val="007B2424"/>
    <w:rsid w:val="007B39B5"/>
    <w:rsid w:val="007B62B0"/>
    <w:rsid w:val="007B677B"/>
    <w:rsid w:val="007B76CF"/>
    <w:rsid w:val="007C06DB"/>
    <w:rsid w:val="007C07F2"/>
    <w:rsid w:val="007C442F"/>
    <w:rsid w:val="007C4873"/>
    <w:rsid w:val="007C6E2F"/>
    <w:rsid w:val="007C7F1C"/>
    <w:rsid w:val="007D0693"/>
    <w:rsid w:val="007D26D0"/>
    <w:rsid w:val="007D2F6E"/>
    <w:rsid w:val="007D502C"/>
    <w:rsid w:val="007D53D2"/>
    <w:rsid w:val="007D542C"/>
    <w:rsid w:val="007D5FB6"/>
    <w:rsid w:val="007D6337"/>
    <w:rsid w:val="007D71B9"/>
    <w:rsid w:val="007E03DA"/>
    <w:rsid w:val="007E21C1"/>
    <w:rsid w:val="007E6B47"/>
    <w:rsid w:val="007E7CC7"/>
    <w:rsid w:val="007F12B7"/>
    <w:rsid w:val="007F25A9"/>
    <w:rsid w:val="007F33A7"/>
    <w:rsid w:val="007F35ED"/>
    <w:rsid w:val="007F6FD1"/>
    <w:rsid w:val="00800944"/>
    <w:rsid w:val="00801036"/>
    <w:rsid w:val="00801575"/>
    <w:rsid w:val="0080418D"/>
    <w:rsid w:val="00804A64"/>
    <w:rsid w:val="00804F81"/>
    <w:rsid w:val="00807160"/>
    <w:rsid w:val="00810E4C"/>
    <w:rsid w:val="00811C1B"/>
    <w:rsid w:val="00813D5B"/>
    <w:rsid w:val="00815D71"/>
    <w:rsid w:val="00820836"/>
    <w:rsid w:val="00821591"/>
    <w:rsid w:val="008231BA"/>
    <w:rsid w:val="008236C3"/>
    <w:rsid w:val="00824005"/>
    <w:rsid w:val="00824E2B"/>
    <w:rsid w:val="0082545A"/>
    <w:rsid w:val="00826779"/>
    <w:rsid w:val="00826980"/>
    <w:rsid w:val="008306DE"/>
    <w:rsid w:val="008313B2"/>
    <w:rsid w:val="00831E17"/>
    <w:rsid w:val="00832B98"/>
    <w:rsid w:val="00832BE4"/>
    <w:rsid w:val="008340FF"/>
    <w:rsid w:val="00835E18"/>
    <w:rsid w:val="00837F0A"/>
    <w:rsid w:val="00840199"/>
    <w:rsid w:val="008405A7"/>
    <w:rsid w:val="00842307"/>
    <w:rsid w:val="00842423"/>
    <w:rsid w:val="0084319C"/>
    <w:rsid w:val="00853B0C"/>
    <w:rsid w:val="00853B1B"/>
    <w:rsid w:val="00854838"/>
    <w:rsid w:val="00857361"/>
    <w:rsid w:val="008577D4"/>
    <w:rsid w:val="00860BCB"/>
    <w:rsid w:val="00860DDC"/>
    <w:rsid w:val="00861136"/>
    <w:rsid w:val="00862065"/>
    <w:rsid w:val="00862400"/>
    <w:rsid w:val="00863DB6"/>
    <w:rsid w:val="00863FD0"/>
    <w:rsid w:val="00867539"/>
    <w:rsid w:val="008720D8"/>
    <w:rsid w:val="0087325D"/>
    <w:rsid w:val="0087367F"/>
    <w:rsid w:val="00873A06"/>
    <w:rsid w:val="008743C8"/>
    <w:rsid w:val="00874D70"/>
    <w:rsid w:val="00875555"/>
    <w:rsid w:val="00876C81"/>
    <w:rsid w:val="0087789D"/>
    <w:rsid w:val="008838C7"/>
    <w:rsid w:val="00883E6C"/>
    <w:rsid w:val="008862B5"/>
    <w:rsid w:val="0088721E"/>
    <w:rsid w:val="0088740B"/>
    <w:rsid w:val="00887544"/>
    <w:rsid w:val="008908F5"/>
    <w:rsid w:val="00890A4C"/>
    <w:rsid w:val="00890DDA"/>
    <w:rsid w:val="00891736"/>
    <w:rsid w:val="00891914"/>
    <w:rsid w:val="008945FD"/>
    <w:rsid w:val="00894A72"/>
    <w:rsid w:val="008951AC"/>
    <w:rsid w:val="008961B7"/>
    <w:rsid w:val="0089677E"/>
    <w:rsid w:val="00897072"/>
    <w:rsid w:val="00897483"/>
    <w:rsid w:val="008978CC"/>
    <w:rsid w:val="008A072A"/>
    <w:rsid w:val="008A1053"/>
    <w:rsid w:val="008A1FED"/>
    <w:rsid w:val="008A227F"/>
    <w:rsid w:val="008A2418"/>
    <w:rsid w:val="008A5CB6"/>
    <w:rsid w:val="008A6931"/>
    <w:rsid w:val="008B5987"/>
    <w:rsid w:val="008C1F86"/>
    <w:rsid w:val="008C2A3C"/>
    <w:rsid w:val="008C2DAD"/>
    <w:rsid w:val="008C2E65"/>
    <w:rsid w:val="008C37C8"/>
    <w:rsid w:val="008C7F13"/>
    <w:rsid w:val="008D0652"/>
    <w:rsid w:val="008D0BF5"/>
    <w:rsid w:val="008D114B"/>
    <w:rsid w:val="008D2E88"/>
    <w:rsid w:val="008D45D9"/>
    <w:rsid w:val="008D7DDB"/>
    <w:rsid w:val="008E08F8"/>
    <w:rsid w:val="008E1F19"/>
    <w:rsid w:val="008E2631"/>
    <w:rsid w:val="008E5229"/>
    <w:rsid w:val="008E626A"/>
    <w:rsid w:val="008F11E2"/>
    <w:rsid w:val="008F3660"/>
    <w:rsid w:val="008F3F09"/>
    <w:rsid w:val="008F4326"/>
    <w:rsid w:val="008F599C"/>
    <w:rsid w:val="008F7B87"/>
    <w:rsid w:val="00902C55"/>
    <w:rsid w:val="00905989"/>
    <w:rsid w:val="00906098"/>
    <w:rsid w:val="00906F2C"/>
    <w:rsid w:val="00907206"/>
    <w:rsid w:val="0090744F"/>
    <w:rsid w:val="0090749A"/>
    <w:rsid w:val="00907611"/>
    <w:rsid w:val="00910DFD"/>
    <w:rsid w:val="00911C69"/>
    <w:rsid w:val="00911E72"/>
    <w:rsid w:val="009129DD"/>
    <w:rsid w:val="00912DEC"/>
    <w:rsid w:val="0091364C"/>
    <w:rsid w:val="009149A9"/>
    <w:rsid w:val="00914C10"/>
    <w:rsid w:val="00915D80"/>
    <w:rsid w:val="00917556"/>
    <w:rsid w:val="009205BD"/>
    <w:rsid w:val="009209E2"/>
    <w:rsid w:val="00921779"/>
    <w:rsid w:val="00924B22"/>
    <w:rsid w:val="009258F6"/>
    <w:rsid w:val="00927F3E"/>
    <w:rsid w:val="00930730"/>
    <w:rsid w:val="00930A46"/>
    <w:rsid w:val="00930D8F"/>
    <w:rsid w:val="0093437E"/>
    <w:rsid w:val="00934A69"/>
    <w:rsid w:val="00936103"/>
    <w:rsid w:val="00936722"/>
    <w:rsid w:val="009376A3"/>
    <w:rsid w:val="009405F0"/>
    <w:rsid w:val="00945087"/>
    <w:rsid w:val="009451C2"/>
    <w:rsid w:val="0095018E"/>
    <w:rsid w:val="0095022F"/>
    <w:rsid w:val="00950C28"/>
    <w:rsid w:val="00951685"/>
    <w:rsid w:val="009528ED"/>
    <w:rsid w:val="009548FE"/>
    <w:rsid w:val="00954B36"/>
    <w:rsid w:val="00955EB2"/>
    <w:rsid w:val="009565C1"/>
    <w:rsid w:val="00960E55"/>
    <w:rsid w:val="009614C5"/>
    <w:rsid w:val="009639F8"/>
    <w:rsid w:val="00964509"/>
    <w:rsid w:val="00965A62"/>
    <w:rsid w:val="00965A8D"/>
    <w:rsid w:val="00966C54"/>
    <w:rsid w:val="009678FD"/>
    <w:rsid w:val="0097037F"/>
    <w:rsid w:val="0097171D"/>
    <w:rsid w:val="009725E8"/>
    <w:rsid w:val="00972CB3"/>
    <w:rsid w:val="00975828"/>
    <w:rsid w:val="00975DA4"/>
    <w:rsid w:val="0097649D"/>
    <w:rsid w:val="00976EC3"/>
    <w:rsid w:val="00977466"/>
    <w:rsid w:val="00977987"/>
    <w:rsid w:val="0098169D"/>
    <w:rsid w:val="0098287F"/>
    <w:rsid w:val="00984F86"/>
    <w:rsid w:val="00985126"/>
    <w:rsid w:val="009853EE"/>
    <w:rsid w:val="009862FF"/>
    <w:rsid w:val="00986463"/>
    <w:rsid w:val="009872D8"/>
    <w:rsid w:val="00990627"/>
    <w:rsid w:val="00990D29"/>
    <w:rsid w:val="009916C7"/>
    <w:rsid w:val="00991914"/>
    <w:rsid w:val="00992128"/>
    <w:rsid w:val="009937E4"/>
    <w:rsid w:val="00993BB2"/>
    <w:rsid w:val="009944E0"/>
    <w:rsid w:val="009946A0"/>
    <w:rsid w:val="009A1A69"/>
    <w:rsid w:val="009A32F5"/>
    <w:rsid w:val="009A4397"/>
    <w:rsid w:val="009A5102"/>
    <w:rsid w:val="009A5462"/>
    <w:rsid w:val="009A58EC"/>
    <w:rsid w:val="009A5BBB"/>
    <w:rsid w:val="009A7DF7"/>
    <w:rsid w:val="009B0310"/>
    <w:rsid w:val="009B09C6"/>
    <w:rsid w:val="009B0F05"/>
    <w:rsid w:val="009B13D3"/>
    <w:rsid w:val="009B1ACA"/>
    <w:rsid w:val="009B31FA"/>
    <w:rsid w:val="009B4A2A"/>
    <w:rsid w:val="009C0A02"/>
    <w:rsid w:val="009C3782"/>
    <w:rsid w:val="009C4B02"/>
    <w:rsid w:val="009C595A"/>
    <w:rsid w:val="009D182C"/>
    <w:rsid w:val="009D4ED5"/>
    <w:rsid w:val="009D5869"/>
    <w:rsid w:val="009D7CE9"/>
    <w:rsid w:val="009E04B8"/>
    <w:rsid w:val="009E0EE1"/>
    <w:rsid w:val="009E3979"/>
    <w:rsid w:val="009E40DD"/>
    <w:rsid w:val="009E56B5"/>
    <w:rsid w:val="009E6BFC"/>
    <w:rsid w:val="009E74C5"/>
    <w:rsid w:val="009E776F"/>
    <w:rsid w:val="009E7D0D"/>
    <w:rsid w:val="009F0DB1"/>
    <w:rsid w:val="009F11A1"/>
    <w:rsid w:val="009F1A5D"/>
    <w:rsid w:val="009F2104"/>
    <w:rsid w:val="009F2584"/>
    <w:rsid w:val="009F2800"/>
    <w:rsid w:val="009F6808"/>
    <w:rsid w:val="009F775D"/>
    <w:rsid w:val="00A00951"/>
    <w:rsid w:val="00A00B8C"/>
    <w:rsid w:val="00A034E8"/>
    <w:rsid w:val="00A03BF8"/>
    <w:rsid w:val="00A10C86"/>
    <w:rsid w:val="00A13326"/>
    <w:rsid w:val="00A17053"/>
    <w:rsid w:val="00A17418"/>
    <w:rsid w:val="00A179C6"/>
    <w:rsid w:val="00A22797"/>
    <w:rsid w:val="00A2594E"/>
    <w:rsid w:val="00A2690A"/>
    <w:rsid w:val="00A26A38"/>
    <w:rsid w:val="00A3056D"/>
    <w:rsid w:val="00A30F8F"/>
    <w:rsid w:val="00A32C0E"/>
    <w:rsid w:val="00A32EFD"/>
    <w:rsid w:val="00A3358B"/>
    <w:rsid w:val="00A34FE8"/>
    <w:rsid w:val="00A35F40"/>
    <w:rsid w:val="00A4131F"/>
    <w:rsid w:val="00A42B4F"/>
    <w:rsid w:val="00A46E4B"/>
    <w:rsid w:val="00A5201F"/>
    <w:rsid w:val="00A52609"/>
    <w:rsid w:val="00A52796"/>
    <w:rsid w:val="00A52E90"/>
    <w:rsid w:val="00A603FA"/>
    <w:rsid w:val="00A60D25"/>
    <w:rsid w:val="00A63BEB"/>
    <w:rsid w:val="00A6519F"/>
    <w:rsid w:val="00A6575E"/>
    <w:rsid w:val="00A65E12"/>
    <w:rsid w:val="00A66FC6"/>
    <w:rsid w:val="00A67467"/>
    <w:rsid w:val="00A70275"/>
    <w:rsid w:val="00A7101A"/>
    <w:rsid w:val="00A71215"/>
    <w:rsid w:val="00A7196F"/>
    <w:rsid w:val="00A72E2B"/>
    <w:rsid w:val="00A74B2E"/>
    <w:rsid w:val="00A758F4"/>
    <w:rsid w:val="00A84169"/>
    <w:rsid w:val="00A866E0"/>
    <w:rsid w:val="00A87CEA"/>
    <w:rsid w:val="00A91AF2"/>
    <w:rsid w:val="00A93155"/>
    <w:rsid w:val="00A93B9A"/>
    <w:rsid w:val="00A9411B"/>
    <w:rsid w:val="00A943CA"/>
    <w:rsid w:val="00A94A12"/>
    <w:rsid w:val="00A9789C"/>
    <w:rsid w:val="00AA347C"/>
    <w:rsid w:val="00AA51FF"/>
    <w:rsid w:val="00AA66A4"/>
    <w:rsid w:val="00AA6CAA"/>
    <w:rsid w:val="00AB1D4D"/>
    <w:rsid w:val="00AB3041"/>
    <w:rsid w:val="00AB3D2E"/>
    <w:rsid w:val="00AB4415"/>
    <w:rsid w:val="00AB479F"/>
    <w:rsid w:val="00AB5211"/>
    <w:rsid w:val="00AB6C79"/>
    <w:rsid w:val="00AB7B74"/>
    <w:rsid w:val="00AC1289"/>
    <w:rsid w:val="00AC298F"/>
    <w:rsid w:val="00AC324F"/>
    <w:rsid w:val="00AD067A"/>
    <w:rsid w:val="00AD5870"/>
    <w:rsid w:val="00AD5C4D"/>
    <w:rsid w:val="00AD5E53"/>
    <w:rsid w:val="00AD6254"/>
    <w:rsid w:val="00AD7497"/>
    <w:rsid w:val="00AE13D3"/>
    <w:rsid w:val="00AE35E2"/>
    <w:rsid w:val="00AE407C"/>
    <w:rsid w:val="00AE4B00"/>
    <w:rsid w:val="00AE4E6C"/>
    <w:rsid w:val="00AE5259"/>
    <w:rsid w:val="00AE5F33"/>
    <w:rsid w:val="00AE68AF"/>
    <w:rsid w:val="00AE6B15"/>
    <w:rsid w:val="00AE6FD6"/>
    <w:rsid w:val="00AF07B6"/>
    <w:rsid w:val="00AF0B6C"/>
    <w:rsid w:val="00AF1B23"/>
    <w:rsid w:val="00AF2763"/>
    <w:rsid w:val="00AF27C9"/>
    <w:rsid w:val="00AF3745"/>
    <w:rsid w:val="00AF4175"/>
    <w:rsid w:val="00AF4FF5"/>
    <w:rsid w:val="00B00AB4"/>
    <w:rsid w:val="00B0328B"/>
    <w:rsid w:val="00B03E26"/>
    <w:rsid w:val="00B04257"/>
    <w:rsid w:val="00B0583F"/>
    <w:rsid w:val="00B0669C"/>
    <w:rsid w:val="00B06911"/>
    <w:rsid w:val="00B07FCB"/>
    <w:rsid w:val="00B10D13"/>
    <w:rsid w:val="00B10E2C"/>
    <w:rsid w:val="00B11C68"/>
    <w:rsid w:val="00B11E69"/>
    <w:rsid w:val="00B12E1D"/>
    <w:rsid w:val="00B13366"/>
    <w:rsid w:val="00B13F72"/>
    <w:rsid w:val="00B141B7"/>
    <w:rsid w:val="00B1532B"/>
    <w:rsid w:val="00B15AE4"/>
    <w:rsid w:val="00B20DFF"/>
    <w:rsid w:val="00B222C9"/>
    <w:rsid w:val="00B2438A"/>
    <w:rsid w:val="00B26011"/>
    <w:rsid w:val="00B308A3"/>
    <w:rsid w:val="00B31161"/>
    <w:rsid w:val="00B31DA0"/>
    <w:rsid w:val="00B33815"/>
    <w:rsid w:val="00B347DC"/>
    <w:rsid w:val="00B35E7F"/>
    <w:rsid w:val="00B36561"/>
    <w:rsid w:val="00B400EA"/>
    <w:rsid w:val="00B40306"/>
    <w:rsid w:val="00B41904"/>
    <w:rsid w:val="00B46129"/>
    <w:rsid w:val="00B46ADD"/>
    <w:rsid w:val="00B50649"/>
    <w:rsid w:val="00B535E8"/>
    <w:rsid w:val="00B57631"/>
    <w:rsid w:val="00B57DB6"/>
    <w:rsid w:val="00B60169"/>
    <w:rsid w:val="00B603F8"/>
    <w:rsid w:val="00B630CF"/>
    <w:rsid w:val="00B63F49"/>
    <w:rsid w:val="00B644F7"/>
    <w:rsid w:val="00B647CD"/>
    <w:rsid w:val="00B65358"/>
    <w:rsid w:val="00B65ACE"/>
    <w:rsid w:val="00B65C97"/>
    <w:rsid w:val="00B65EC2"/>
    <w:rsid w:val="00B660A5"/>
    <w:rsid w:val="00B6616F"/>
    <w:rsid w:val="00B66FE1"/>
    <w:rsid w:val="00B7007B"/>
    <w:rsid w:val="00B73982"/>
    <w:rsid w:val="00B73D85"/>
    <w:rsid w:val="00B73ECE"/>
    <w:rsid w:val="00B75D74"/>
    <w:rsid w:val="00B77029"/>
    <w:rsid w:val="00B77183"/>
    <w:rsid w:val="00B817E0"/>
    <w:rsid w:val="00B81DA2"/>
    <w:rsid w:val="00B82115"/>
    <w:rsid w:val="00B83416"/>
    <w:rsid w:val="00B83D81"/>
    <w:rsid w:val="00B843CD"/>
    <w:rsid w:val="00B86B09"/>
    <w:rsid w:val="00B86B7A"/>
    <w:rsid w:val="00B86BB3"/>
    <w:rsid w:val="00B876EF"/>
    <w:rsid w:val="00B909FE"/>
    <w:rsid w:val="00B92014"/>
    <w:rsid w:val="00B92F0C"/>
    <w:rsid w:val="00B933D6"/>
    <w:rsid w:val="00B94616"/>
    <w:rsid w:val="00B96979"/>
    <w:rsid w:val="00BA19EC"/>
    <w:rsid w:val="00BA21B7"/>
    <w:rsid w:val="00BA2225"/>
    <w:rsid w:val="00BA39C4"/>
    <w:rsid w:val="00BA3BB4"/>
    <w:rsid w:val="00BA474B"/>
    <w:rsid w:val="00BA5629"/>
    <w:rsid w:val="00BA68B8"/>
    <w:rsid w:val="00BB091F"/>
    <w:rsid w:val="00BB3AEE"/>
    <w:rsid w:val="00BB5EC0"/>
    <w:rsid w:val="00BB6334"/>
    <w:rsid w:val="00BB7050"/>
    <w:rsid w:val="00BB7973"/>
    <w:rsid w:val="00BC08FD"/>
    <w:rsid w:val="00BC1CEE"/>
    <w:rsid w:val="00BC2AA4"/>
    <w:rsid w:val="00BC375A"/>
    <w:rsid w:val="00BC464D"/>
    <w:rsid w:val="00BC55A1"/>
    <w:rsid w:val="00BC5BE9"/>
    <w:rsid w:val="00BC645B"/>
    <w:rsid w:val="00BC7E57"/>
    <w:rsid w:val="00BD25BF"/>
    <w:rsid w:val="00BD32FA"/>
    <w:rsid w:val="00BD43D4"/>
    <w:rsid w:val="00BD47D3"/>
    <w:rsid w:val="00BD5769"/>
    <w:rsid w:val="00BD5CC5"/>
    <w:rsid w:val="00BD6549"/>
    <w:rsid w:val="00BE0054"/>
    <w:rsid w:val="00BE0F2C"/>
    <w:rsid w:val="00BE0F82"/>
    <w:rsid w:val="00BE11EF"/>
    <w:rsid w:val="00BE309E"/>
    <w:rsid w:val="00BE51FD"/>
    <w:rsid w:val="00BE5D49"/>
    <w:rsid w:val="00BE7CAC"/>
    <w:rsid w:val="00BF041A"/>
    <w:rsid w:val="00BF0778"/>
    <w:rsid w:val="00BF13A5"/>
    <w:rsid w:val="00BF243B"/>
    <w:rsid w:val="00BF2441"/>
    <w:rsid w:val="00BF2689"/>
    <w:rsid w:val="00BF2EFF"/>
    <w:rsid w:val="00BF3213"/>
    <w:rsid w:val="00BF44BF"/>
    <w:rsid w:val="00BF760E"/>
    <w:rsid w:val="00BF7F06"/>
    <w:rsid w:val="00C00872"/>
    <w:rsid w:val="00C0489E"/>
    <w:rsid w:val="00C04E48"/>
    <w:rsid w:val="00C0725D"/>
    <w:rsid w:val="00C10437"/>
    <w:rsid w:val="00C116D2"/>
    <w:rsid w:val="00C126FA"/>
    <w:rsid w:val="00C12952"/>
    <w:rsid w:val="00C12F61"/>
    <w:rsid w:val="00C14091"/>
    <w:rsid w:val="00C14230"/>
    <w:rsid w:val="00C167AC"/>
    <w:rsid w:val="00C20335"/>
    <w:rsid w:val="00C203A0"/>
    <w:rsid w:val="00C22776"/>
    <w:rsid w:val="00C2476B"/>
    <w:rsid w:val="00C250DA"/>
    <w:rsid w:val="00C25E5D"/>
    <w:rsid w:val="00C27F5E"/>
    <w:rsid w:val="00C3000A"/>
    <w:rsid w:val="00C31010"/>
    <w:rsid w:val="00C32997"/>
    <w:rsid w:val="00C3697F"/>
    <w:rsid w:val="00C374B1"/>
    <w:rsid w:val="00C374F3"/>
    <w:rsid w:val="00C40725"/>
    <w:rsid w:val="00C42C0F"/>
    <w:rsid w:val="00C430E3"/>
    <w:rsid w:val="00C43CD6"/>
    <w:rsid w:val="00C45F57"/>
    <w:rsid w:val="00C46500"/>
    <w:rsid w:val="00C50250"/>
    <w:rsid w:val="00C51BF2"/>
    <w:rsid w:val="00C51EDF"/>
    <w:rsid w:val="00C5250C"/>
    <w:rsid w:val="00C525D0"/>
    <w:rsid w:val="00C56380"/>
    <w:rsid w:val="00C56AAF"/>
    <w:rsid w:val="00C62CB0"/>
    <w:rsid w:val="00C65011"/>
    <w:rsid w:val="00C66105"/>
    <w:rsid w:val="00C671F1"/>
    <w:rsid w:val="00C6752D"/>
    <w:rsid w:val="00C67644"/>
    <w:rsid w:val="00C67E09"/>
    <w:rsid w:val="00C700AE"/>
    <w:rsid w:val="00C7247D"/>
    <w:rsid w:val="00C72DC4"/>
    <w:rsid w:val="00C81411"/>
    <w:rsid w:val="00C8145D"/>
    <w:rsid w:val="00C8592B"/>
    <w:rsid w:val="00C90508"/>
    <w:rsid w:val="00C90D9A"/>
    <w:rsid w:val="00C94481"/>
    <w:rsid w:val="00C9508F"/>
    <w:rsid w:val="00C96E35"/>
    <w:rsid w:val="00CA279F"/>
    <w:rsid w:val="00CA46B8"/>
    <w:rsid w:val="00CA536F"/>
    <w:rsid w:val="00CA63E8"/>
    <w:rsid w:val="00CA652B"/>
    <w:rsid w:val="00CA6FFD"/>
    <w:rsid w:val="00CA7199"/>
    <w:rsid w:val="00CB290E"/>
    <w:rsid w:val="00CB2E26"/>
    <w:rsid w:val="00CB2F0D"/>
    <w:rsid w:val="00CB303B"/>
    <w:rsid w:val="00CB6EAC"/>
    <w:rsid w:val="00CB7F74"/>
    <w:rsid w:val="00CC14C1"/>
    <w:rsid w:val="00CC157B"/>
    <w:rsid w:val="00CC1909"/>
    <w:rsid w:val="00CC25EB"/>
    <w:rsid w:val="00CC4269"/>
    <w:rsid w:val="00CC550F"/>
    <w:rsid w:val="00CC56A1"/>
    <w:rsid w:val="00CC7A70"/>
    <w:rsid w:val="00CC7CE2"/>
    <w:rsid w:val="00CD127C"/>
    <w:rsid w:val="00CD1819"/>
    <w:rsid w:val="00CD2896"/>
    <w:rsid w:val="00CD4E39"/>
    <w:rsid w:val="00CD5611"/>
    <w:rsid w:val="00CD57D3"/>
    <w:rsid w:val="00CD5B38"/>
    <w:rsid w:val="00CD6149"/>
    <w:rsid w:val="00CD69B2"/>
    <w:rsid w:val="00CD6FD1"/>
    <w:rsid w:val="00CD7D98"/>
    <w:rsid w:val="00CE06EC"/>
    <w:rsid w:val="00CE1EEB"/>
    <w:rsid w:val="00CE3598"/>
    <w:rsid w:val="00CE45C2"/>
    <w:rsid w:val="00CE5DBB"/>
    <w:rsid w:val="00CE6963"/>
    <w:rsid w:val="00CE6A45"/>
    <w:rsid w:val="00CF0E0A"/>
    <w:rsid w:val="00CF23E3"/>
    <w:rsid w:val="00CF328E"/>
    <w:rsid w:val="00CF47C2"/>
    <w:rsid w:val="00CF6310"/>
    <w:rsid w:val="00D00C66"/>
    <w:rsid w:val="00D01398"/>
    <w:rsid w:val="00D0357C"/>
    <w:rsid w:val="00D03688"/>
    <w:rsid w:val="00D055EB"/>
    <w:rsid w:val="00D06DA1"/>
    <w:rsid w:val="00D11F0D"/>
    <w:rsid w:val="00D14E9B"/>
    <w:rsid w:val="00D1593D"/>
    <w:rsid w:val="00D20263"/>
    <w:rsid w:val="00D21F09"/>
    <w:rsid w:val="00D24A23"/>
    <w:rsid w:val="00D250A8"/>
    <w:rsid w:val="00D25CA2"/>
    <w:rsid w:val="00D268CF"/>
    <w:rsid w:val="00D27C47"/>
    <w:rsid w:val="00D27F87"/>
    <w:rsid w:val="00D33262"/>
    <w:rsid w:val="00D33B13"/>
    <w:rsid w:val="00D363F6"/>
    <w:rsid w:val="00D37B8E"/>
    <w:rsid w:val="00D404F4"/>
    <w:rsid w:val="00D4118C"/>
    <w:rsid w:val="00D419A2"/>
    <w:rsid w:val="00D44FF9"/>
    <w:rsid w:val="00D45C5C"/>
    <w:rsid w:val="00D4654C"/>
    <w:rsid w:val="00D46DF1"/>
    <w:rsid w:val="00D46EAC"/>
    <w:rsid w:val="00D51C9A"/>
    <w:rsid w:val="00D541DC"/>
    <w:rsid w:val="00D56035"/>
    <w:rsid w:val="00D56AFD"/>
    <w:rsid w:val="00D5743F"/>
    <w:rsid w:val="00D619EB"/>
    <w:rsid w:val="00D61DCC"/>
    <w:rsid w:val="00D6227C"/>
    <w:rsid w:val="00D62745"/>
    <w:rsid w:val="00D63C60"/>
    <w:rsid w:val="00D64231"/>
    <w:rsid w:val="00D651DD"/>
    <w:rsid w:val="00D653B6"/>
    <w:rsid w:val="00D70171"/>
    <w:rsid w:val="00D70BC5"/>
    <w:rsid w:val="00D727D0"/>
    <w:rsid w:val="00D72999"/>
    <w:rsid w:val="00D75E58"/>
    <w:rsid w:val="00D7649C"/>
    <w:rsid w:val="00D76A53"/>
    <w:rsid w:val="00D82AD9"/>
    <w:rsid w:val="00D83165"/>
    <w:rsid w:val="00D8376F"/>
    <w:rsid w:val="00D87E6F"/>
    <w:rsid w:val="00D91DBA"/>
    <w:rsid w:val="00D9279B"/>
    <w:rsid w:val="00D94630"/>
    <w:rsid w:val="00D9472B"/>
    <w:rsid w:val="00D94E6E"/>
    <w:rsid w:val="00D96227"/>
    <w:rsid w:val="00D96679"/>
    <w:rsid w:val="00D97347"/>
    <w:rsid w:val="00D97D15"/>
    <w:rsid w:val="00DA123A"/>
    <w:rsid w:val="00DA19BC"/>
    <w:rsid w:val="00DA27D9"/>
    <w:rsid w:val="00DA2952"/>
    <w:rsid w:val="00DA5380"/>
    <w:rsid w:val="00DA5B16"/>
    <w:rsid w:val="00DA6ACF"/>
    <w:rsid w:val="00DB0246"/>
    <w:rsid w:val="00DB11F4"/>
    <w:rsid w:val="00DB4E9C"/>
    <w:rsid w:val="00DB6685"/>
    <w:rsid w:val="00DB6C15"/>
    <w:rsid w:val="00DB74DE"/>
    <w:rsid w:val="00DC1CA3"/>
    <w:rsid w:val="00DC25CB"/>
    <w:rsid w:val="00DC26C4"/>
    <w:rsid w:val="00DC393D"/>
    <w:rsid w:val="00DC3DF5"/>
    <w:rsid w:val="00DC4C3D"/>
    <w:rsid w:val="00DC511E"/>
    <w:rsid w:val="00DC5DD9"/>
    <w:rsid w:val="00DC72D6"/>
    <w:rsid w:val="00DD091C"/>
    <w:rsid w:val="00DD2292"/>
    <w:rsid w:val="00DD2BCF"/>
    <w:rsid w:val="00DD427D"/>
    <w:rsid w:val="00DD468D"/>
    <w:rsid w:val="00DD4D95"/>
    <w:rsid w:val="00DE2EF4"/>
    <w:rsid w:val="00DE358D"/>
    <w:rsid w:val="00DE3DFD"/>
    <w:rsid w:val="00DE584B"/>
    <w:rsid w:val="00DE6A19"/>
    <w:rsid w:val="00DF1E92"/>
    <w:rsid w:val="00DF45B0"/>
    <w:rsid w:val="00DF6A98"/>
    <w:rsid w:val="00E03529"/>
    <w:rsid w:val="00E04B8B"/>
    <w:rsid w:val="00E05083"/>
    <w:rsid w:val="00E0520E"/>
    <w:rsid w:val="00E054BB"/>
    <w:rsid w:val="00E05DE6"/>
    <w:rsid w:val="00E06CC8"/>
    <w:rsid w:val="00E07501"/>
    <w:rsid w:val="00E107B3"/>
    <w:rsid w:val="00E10F19"/>
    <w:rsid w:val="00E1181B"/>
    <w:rsid w:val="00E11E49"/>
    <w:rsid w:val="00E1282D"/>
    <w:rsid w:val="00E14D21"/>
    <w:rsid w:val="00E15611"/>
    <w:rsid w:val="00E15791"/>
    <w:rsid w:val="00E159B3"/>
    <w:rsid w:val="00E16F68"/>
    <w:rsid w:val="00E1750C"/>
    <w:rsid w:val="00E200B1"/>
    <w:rsid w:val="00E20CA3"/>
    <w:rsid w:val="00E20D90"/>
    <w:rsid w:val="00E22DB9"/>
    <w:rsid w:val="00E23D18"/>
    <w:rsid w:val="00E240A5"/>
    <w:rsid w:val="00E245B2"/>
    <w:rsid w:val="00E247F0"/>
    <w:rsid w:val="00E250CE"/>
    <w:rsid w:val="00E25817"/>
    <w:rsid w:val="00E25E6E"/>
    <w:rsid w:val="00E266D4"/>
    <w:rsid w:val="00E34393"/>
    <w:rsid w:val="00E36B30"/>
    <w:rsid w:val="00E36C86"/>
    <w:rsid w:val="00E36F05"/>
    <w:rsid w:val="00E37305"/>
    <w:rsid w:val="00E37B70"/>
    <w:rsid w:val="00E41B0B"/>
    <w:rsid w:val="00E449A7"/>
    <w:rsid w:val="00E45EEA"/>
    <w:rsid w:val="00E465EC"/>
    <w:rsid w:val="00E50F9E"/>
    <w:rsid w:val="00E523EB"/>
    <w:rsid w:val="00E530DB"/>
    <w:rsid w:val="00E55661"/>
    <w:rsid w:val="00E605A9"/>
    <w:rsid w:val="00E63CFB"/>
    <w:rsid w:val="00E644E0"/>
    <w:rsid w:val="00E64B8A"/>
    <w:rsid w:val="00E65E72"/>
    <w:rsid w:val="00E668D2"/>
    <w:rsid w:val="00E679D7"/>
    <w:rsid w:val="00E70F72"/>
    <w:rsid w:val="00E756F8"/>
    <w:rsid w:val="00E7663B"/>
    <w:rsid w:val="00E76C6F"/>
    <w:rsid w:val="00E77246"/>
    <w:rsid w:val="00E80091"/>
    <w:rsid w:val="00E80344"/>
    <w:rsid w:val="00E80B46"/>
    <w:rsid w:val="00E818AD"/>
    <w:rsid w:val="00E84974"/>
    <w:rsid w:val="00E84E7B"/>
    <w:rsid w:val="00E85EB4"/>
    <w:rsid w:val="00E917E6"/>
    <w:rsid w:val="00E92D1B"/>
    <w:rsid w:val="00E937D1"/>
    <w:rsid w:val="00E97B9D"/>
    <w:rsid w:val="00EA0FD7"/>
    <w:rsid w:val="00EA1510"/>
    <w:rsid w:val="00EA2658"/>
    <w:rsid w:val="00EA3FCF"/>
    <w:rsid w:val="00EA499B"/>
    <w:rsid w:val="00EA4F20"/>
    <w:rsid w:val="00EA6050"/>
    <w:rsid w:val="00EA6552"/>
    <w:rsid w:val="00EA73DB"/>
    <w:rsid w:val="00EA77E5"/>
    <w:rsid w:val="00EB0C2C"/>
    <w:rsid w:val="00EB0E5E"/>
    <w:rsid w:val="00EB1EBB"/>
    <w:rsid w:val="00EB23AB"/>
    <w:rsid w:val="00EB4133"/>
    <w:rsid w:val="00EB4D7D"/>
    <w:rsid w:val="00EB5E0E"/>
    <w:rsid w:val="00EB6BC3"/>
    <w:rsid w:val="00EC366F"/>
    <w:rsid w:val="00EC5B6B"/>
    <w:rsid w:val="00ED0F2D"/>
    <w:rsid w:val="00ED1498"/>
    <w:rsid w:val="00ED1FF5"/>
    <w:rsid w:val="00ED267C"/>
    <w:rsid w:val="00ED42CE"/>
    <w:rsid w:val="00EE1E1C"/>
    <w:rsid w:val="00EE28AB"/>
    <w:rsid w:val="00EE5CB2"/>
    <w:rsid w:val="00EF22DB"/>
    <w:rsid w:val="00EF3529"/>
    <w:rsid w:val="00EF3D82"/>
    <w:rsid w:val="00EF5D3F"/>
    <w:rsid w:val="00EF7126"/>
    <w:rsid w:val="00EF712B"/>
    <w:rsid w:val="00EF7D01"/>
    <w:rsid w:val="00EF7D5A"/>
    <w:rsid w:val="00F018F3"/>
    <w:rsid w:val="00F020DD"/>
    <w:rsid w:val="00F02505"/>
    <w:rsid w:val="00F03617"/>
    <w:rsid w:val="00F04EF2"/>
    <w:rsid w:val="00F05FA7"/>
    <w:rsid w:val="00F06801"/>
    <w:rsid w:val="00F06945"/>
    <w:rsid w:val="00F06EAB"/>
    <w:rsid w:val="00F1069B"/>
    <w:rsid w:val="00F112EA"/>
    <w:rsid w:val="00F13519"/>
    <w:rsid w:val="00F138AF"/>
    <w:rsid w:val="00F14DD4"/>
    <w:rsid w:val="00F15888"/>
    <w:rsid w:val="00F16C66"/>
    <w:rsid w:val="00F17781"/>
    <w:rsid w:val="00F20E75"/>
    <w:rsid w:val="00F24D28"/>
    <w:rsid w:val="00F25C21"/>
    <w:rsid w:val="00F25F07"/>
    <w:rsid w:val="00F2626E"/>
    <w:rsid w:val="00F26B4C"/>
    <w:rsid w:val="00F31EA1"/>
    <w:rsid w:val="00F327CD"/>
    <w:rsid w:val="00F34DA5"/>
    <w:rsid w:val="00F35D31"/>
    <w:rsid w:val="00F35EC8"/>
    <w:rsid w:val="00F377A4"/>
    <w:rsid w:val="00F41368"/>
    <w:rsid w:val="00F41834"/>
    <w:rsid w:val="00F44420"/>
    <w:rsid w:val="00F45CFC"/>
    <w:rsid w:val="00F469BA"/>
    <w:rsid w:val="00F474F2"/>
    <w:rsid w:val="00F52628"/>
    <w:rsid w:val="00F55401"/>
    <w:rsid w:val="00F55FA6"/>
    <w:rsid w:val="00F564EC"/>
    <w:rsid w:val="00F5774B"/>
    <w:rsid w:val="00F60480"/>
    <w:rsid w:val="00F604E3"/>
    <w:rsid w:val="00F61EEE"/>
    <w:rsid w:val="00F64D99"/>
    <w:rsid w:val="00F6590C"/>
    <w:rsid w:val="00F678E0"/>
    <w:rsid w:val="00F703CA"/>
    <w:rsid w:val="00F715E6"/>
    <w:rsid w:val="00F7263B"/>
    <w:rsid w:val="00F72EE9"/>
    <w:rsid w:val="00F743FE"/>
    <w:rsid w:val="00F76B51"/>
    <w:rsid w:val="00F774B6"/>
    <w:rsid w:val="00F779CD"/>
    <w:rsid w:val="00F80A6A"/>
    <w:rsid w:val="00F8350E"/>
    <w:rsid w:val="00F837B8"/>
    <w:rsid w:val="00F838CE"/>
    <w:rsid w:val="00F84D96"/>
    <w:rsid w:val="00F91422"/>
    <w:rsid w:val="00F9167A"/>
    <w:rsid w:val="00F91DBB"/>
    <w:rsid w:val="00F955B1"/>
    <w:rsid w:val="00F961B9"/>
    <w:rsid w:val="00FA1256"/>
    <w:rsid w:val="00FA208A"/>
    <w:rsid w:val="00FA3EAA"/>
    <w:rsid w:val="00FB06A8"/>
    <w:rsid w:val="00FB06B0"/>
    <w:rsid w:val="00FB2B62"/>
    <w:rsid w:val="00FB3398"/>
    <w:rsid w:val="00FB37AA"/>
    <w:rsid w:val="00FB38B9"/>
    <w:rsid w:val="00FB3EF3"/>
    <w:rsid w:val="00FB4FC4"/>
    <w:rsid w:val="00FB50D6"/>
    <w:rsid w:val="00FB665C"/>
    <w:rsid w:val="00FB668B"/>
    <w:rsid w:val="00FB76E4"/>
    <w:rsid w:val="00FC072E"/>
    <w:rsid w:val="00FC2A1F"/>
    <w:rsid w:val="00FC5F55"/>
    <w:rsid w:val="00FD0ACF"/>
    <w:rsid w:val="00FD32A7"/>
    <w:rsid w:val="00FD5E24"/>
    <w:rsid w:val="00FE1080"/>
    <w:rsid w:val="00FE133D"/>
    <w:rsid w:val="00FE1A74"/>
    <w:rsid w:val="00FE206C"/>
    <w:rsid w:val="00FE4D17"/>
    <w:rsid w:val="00FE5427"/>
    <w:rsid w:val="00FE63A1"/>
    <w:rsid w:val="00FE71C5"/>
    <w:rsid w:val="00FF21FA"/>
    <w:rsid w:val="00FF23BD"/>
    <w:rsid w:val="00FF33F5"/>
    <w:rsid w:val="00FF348E"/>
    <w:rsid w:val="00FF536D"/>
    <w:rsid w:val="00FF5408"/>
    <w:rsid w:val="00FF623A"/>
    <w:rsid w:val="00FF6240"/>
    <w:rsid w:val="00FF680E"/>
    <w:rsid w:val="010C1F2E"/>
    <w:rsid w:val="012932D8"/>
    <w:rsid w:val="02CC1400"/>
    <w:rsid w:val="0334745E"/>
    <w:rsid w:val="05AB2747"/>
    <w:rsid w:val="05DB3408"/>
    <w:rsid w:val="07E027FB"/>
    <w:rsid w:val="08575FBE"/>
    <w:rsid w:val="086D6D83"/>
    <w:rsid w:val="08A35880"/>
    <w:rsid w:val="08DE4018"/>
    <w:rsid w:val="095A2F81"/>
    <w:rsid w:val="0B4C2297"/>
    <w:rsid w:val="0C2B07E9"/>
    <w:rsid w:val="0CF14A50"/>
    <w:rsid w:val="0D9A50E8"/>
    <w:rsid w:val="0E537D4A"/>
    <w:rsid w:val="0EBC1367"/>
    <w:rsid w:val="10D71406"/>
    <w:rsid w:val="129F4311"/>
    <w:rsid w:val="17060D55"/>
    <w:rsid w:val="180555B0"/>
    <w:rsid w:val="183B6482"/>
    <w:rsid w:val="19BE01AD"/>
    <w:rsid w:val="1A1A77F8"/>
    <w:rsid w:val="1B245A15"/>
    <w:rsid w:val="1ECB5C4E"/>
    <w:rsid w:val="1EEC32CA"/>
    <w:rsid w:val="1F805BBC"/>
    <w:rsid w:val="218A1713"/>
    <w:rsid w:val="22B1221A"/>
    <w:rsid w:val="231E3CEC"/>
    <w:rsid w:val="23D51059"/>
    <w:rsid w:val="24295BA6"/>
    <w:rsid w:val="24AF750D"/>
    <w:rsid w:val="26075756"/>
    <w:rsid w:val="27BF3329"/>
    <w:rsid w:val="297A3E18"/>
    <w:rsid w:val="29AB6F5B"/>
    <w:rsid w:val="2B1B4372"/>
    <w:rsid w:val="2CA7154C"/>
    <w:rsid w:val="2D694A28"/>
    <w:rsid w:val="2DB1273B"/>
    <w:rsid w:val="2E132CAC"/>
    <w:rsid w:val="2E881D7E"/>
    <w:rsid w:val="30D713C4"/>
    <w:rsid w:val="318949A1"/>
    <w:rsid w:val="325B3DD1"/>
    <w:rsid w:val="337F6E81"/>
    <w:rsid w:val="338616A3"/>
    <w:rsid w:val="351416B8"/>
    <w:rsid w:val="35410BA6"/>
    <w:rsid w:val="376E7BF5"/>
    <w:rsid w:val="37AC1BBE"/>
    <w:rsid w:val="3ABA2879"/>
    <w:rsid w:val="3AC76C6D"/>
    <w:rsid w:val="3C187054"/>
    <w:rsid w:val="3C3A046F"/>
    <w:rsid w:val="3D9C194C"/>
    <w:rsid w:val="3FCF4A8E"/>
    <w:rsid w:val="40351BAA"/>
    <w:rsid w:val="436C35F3"/>
    <w:rsid w:val="44DC5472"/>
    <w:rsid w:val="45142DCB"/>
    <w:rsid w:val="454613D8"/>
    <w:rsid w:val="468E71DB"/>
    <w:rsid w:val="4A6B6C91"/>
    <w:rsid w:val="4A91519E"/>
    <w:rsid w:val="4AB27CAF"/>
    <w:rsid w:val="4B523EB8"/>
    <w:rsid w:val="4BA66ABC"/>
    <w:rsid w:val="4DE86831"/>
    <w:rsid w:val="4F596B5A"/>
    <w:rsid w:val="50163F9C"/>
    <w:rsid w:val="50625682"/>
    <w:rsid w:val="51CC6F0B"/>
    <w:rsid w:val="51CF1D01"/>
    <w:rsid w:val="51DA565B"/>
    <w:rsid w:val="51DB4983"/>
    <w:rsid w:val="55110EC0"/>
    <w:rsid w:val="554B32A8"/>
    <w:rsid w:val="565A40BC"/>
    <w:rsid w:val="57104FCF"/>
    <w:rsid w:val="583314FC"/>
    <w:rsid w:val="5BC61BBC"/>
    <w:rsid w:val="5D077594"/>
    <w:rsid w:val="5D3F59D4"/>
    <w:rsid w:val="5DA56BD3"/>
    <w:rsid w:val="5E265B4C"/>
    <w:rsid w:val="622E2AD0"/>
    <w:rsid w:val="642E7885"/>
    <w:rsid w:val="649664D8"/>
    <w:rsid w:val="65C9550E"/>
    <w:rsid w:val="65D75707"/>
    <w:rsid w:val="66F463D0"/>
    <w:rsid w:val="67656B15"/>
    <w:rsid w:val="6767715D"/>
    <w:rsid w:val="69903FC9"/>
    <w:rsid w:val="69E90030"/>
    <w:rsid w:val="6A4E52F8"/>
    <w:rsid w:val="6C484F1D"/>
    <w:rsid w:val="6D0B213A"/>
    <w:rsid w:val="6F3239AE"/>
    <w:rsid w:val="6FB645DF"/>
    <w:rsid w:val="700852D9"/>
    <w:rsid w:val="71160D39"/>
    <w:rsid w:val="71F25676"/>
    <w:rsid w:val="73397A01"/>
    <w:rsid w:val="744B32E0"/>
    <w:rsid w:val="7535244A"/>
    <w:rsid w:val="7650222A"/>
    <w:rsid w:val="7739397E"/>
    <w:rsid w:val="77763CAD"/>
    <w:rsid w:val="77FD1B83"/>
    <w:rsid w:val="78F435A2"/>
    <w:rsid w:val="79BD37A5"/>
    <w:rsid w:val="7A021BFE"/>
    <w:rsid w:val="7F2E59F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ocked="1"/>
    <w:lsdException w:qFormat="1" w:unhideWhenUsed="0" w:uiPriority="99" w:semiHidden="0" w:name="heading 3"/>
    <w:lsdException w:qFormat="1" w:unhideWhenUsed="0" w:uiPriority="0" w:semiHidden="0"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39" w:semiHidden="0" w:name="toc 1"/>
    <w:lsdException w:qFormat="1" w:unhideWhenUsed="0" w:uiPriority="39" w:semiHidden="0" w:name="toc 2"/>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qFormat="1"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iPriority="99" w:semiHidden="0" w:name="Body Text" w:locked="1"/>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qFormat="1" w:uiPriority="99" w:name="Body Text First Indent" w:locked="1"/>
    <w:lsdException w:qFormat="1" w:uiPriority="99" w:semiHidden="0" w:name="Body Text First Indent 2" w:locked="1"/>
    <w:lsdException w:uiPriority="99" w:name="Note Heading" w:locked="1"/>
    <w:lsdException w:qFormat="1" w:unhideWhenUsed="0" w:uiPriority="99" w:semiHidden="0" w:name="Body Text 2"/>
    <w:lsdException w:uiPriority="99" w:name="Body Text 3" w:locked="1"/>
    <w:lsdException w:qFormat="1" w:unhideWhenUsed="0" w:uiPriority="0" w:semiHidden="0"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99" w:semiHidden="0" w:name="Strong"/>
    <w:lsdException w:qFormat="1" w:unhideWhenUsed="0" w:uiPriority="20" w:semiHidden="0" w:name="Emphasis" w:locked="1"/>
    <w:lsdException w:uiPriority="99" w:name="Document Map" w:locked="1"/>
    <w:lsdException w:qFormat="1" w:unhideWhenUsed="0" w:uiPriority="0"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57" w:lineRule="atLeast"/>
      <w:jc w:val="both"/>
      <w:textAlignment w:val="baseline"/>
    </w:pPr>
    <w:rPr>
      <w:rFonts w:ascii="Times New Roman" w:hAnsi="Times New Roman" w:eastAsia="宋体" w:cs="Times New Roman"/>
      <w:color w:val="000000"/>
      <w:sz w:val="21"/>
      <w:u w:color="000000"/>
      <w:lang w:val="en-US" w:eastAsia="zh-CN" w:bidi="ar-SA"/>
    </w:rPr>
  </w:style>
  <w:style w:type="paragraph" w:styleId="2">
    <w:name w:val="heading 1"/>
    <w:basedOn w:val="1"/>
    <w:next w:val="1"/>
    <w:link w:val="32"/>
    <w:qFormat/>
    <w:uiPriority w:val="99"/>
    <w:pPr>
      <w:keepNext/>
      <w:keepLines/>
      <w:widowControl w:val="0"/>
      <w:spacing w:before="340" w:after="330" w:line="576" w:lineRule="auto"/>
      <w:textAlignment w:val="auto"/>
      <w:outlineLvl w:val="0"/>
    </w:pPr>
    <w:rPr>
      <w:b/>
      <w:bCs/>
      <w:kern w:val="44"/>
      <w:sz w:val="44"/>
      <w:szCs w:val="44"/>
    </w:rPr>
  </w:style>
  <w:style w:type="paragraph" w:styleId="3">
    <w:name w:val="heading 2"/>
    <w:basedOn w:val="1"/>
    <w:next w:val="1"/>
    <w:qFormat/>
    <w:locked/>
    <w:uiPriority w:val="0"/>
    <w:pPr>
      <w:keepNext/>
      <w:keepLines/>
      <w:spacing w:line="415" w:lineRule="auto"/>
      <w:ind w:leftChars="100" w:rightChars="100"/>
      <w:jc w:val="center"/>
      <w:outlineLvl w:val="1"/>
    </w:pPr>
    <w:rPr>
      <w:rFonts w:ascii="Arial" w:hAnsi="Arial"/>
      <w:b/>
      <w:bCs/>
      <w:sz w:val="36"/>
      <w:szCs w:val="32"/>
    </w:rPr>
  </w:style>
  <w:style w:type="paragraph" w:styleId="4">
    <w:name w:val="heading 3"/>
    <w:basedOn w:val="1"/>
    <w:next w:val="1"/>
    <w:link w:val="33"/>
    <w:qFormat/>
    <w:uiPriority w:val="99"/>
    <w:pPr>
      <w:keepNext/>
      <w:keepLines/>
      <w:spacing w:before="260" w:after="260" w:line="416" w:lineRule="atLeast"/>
      <w:outlineLvl w:val="2"/>
    </w:pPr>
    <w:rPr>
      <w:b/>
      <w:bCs/>
      <w:sz w:val="32"/>
      <w:szCs w:val="32"/>
    </w:rPr>
  </w:style>
  <w:style w:type="paragraph" w:styleId="5">
    <w:name w:val="heading 4"/>
    <w:basedOn w:val="1"/>
    <w:next w:val="1"/>
    <w:qFormat/>
    <w:locked/>
    <w:uiPriority w:val="0"/>
    <w:pPr>
      <w:keepNext/>
      <w:keepLines/>
      <w:numPr>
        <w:ilvl w:val="3"/>
        <w:numId w:val="1"/>
      </w:numPr>
      <w:spacing w:before="280" w:after="290" w:line="372" w:lineRule="auto"/>
      <w:jc w:val="left"/>
      <w:outlineLvl w:val="3"/>
    </w:pPr>
    <w:rPr>
      <w:rFonts w:ascii="Arial" w:hAnsi="Arial" w:eastAsia="黑体"/>
      <w:b/>
      <w:bCs/>
      <w:sz w:val="28"/>
      <w:szCs w:val="28"/>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75"/>
    <w:semiHidden/>
    <w:unhideWhenUsed/>
    <w:qFormat/>
    <w:locked/>
    <w:uiPriority w:val="99"/>
    <w:pPr>
      <w:jc w:val="left"/>
    </w:pPr>
  </w:style>
  <w:style w:type="paragraph" w:styleId="7">
    <w:name w:val="Body Text"/>
    <w:basedOn w:val="1"/>
    <w:next w:val="1"/>
    <w:link w:val="68"/>
    <w:unhideWhenUsed/>
    <w:qFormat/>
    <w:locked/>
    <w:uiPriority w:val="99"/>
    <w:pPr>
      <w:spacing w:after="120"/>
    </w:pPr>
  </w:style>
  <w:style w:type="paragraph" w:styleId="8">
    <w:name w:val="Body Text Indent"/>
    <w:basedOn w:val="1"/>
    <w:link w:val="34"/>
    <w:qFormat/>
    <w:uiPriority w:val="99"/>
    <w:pPr>
      <w:widowControl w:val="0"/>
      <w:snapToGrid w:val="0"/>
      <w:spacing w:before="283" w:line="560" w:lineRule="exact"/>
      <w:ind w:firstLine="510"/>
    </w:pPr>
    <w:rPr>
      <w:sz w:val="20"/>
    </w:rPr>
  </w:style>
  <w:style w:type="paragraph" w:styleId="9">
    <w:name w:val="Plain Text"/>
    <w:basedOn w:val="1"/>
    <w:link w:val="35"/>
    <w:qFormat/>
    <w:uiPriority w:val="0"/>
    <w:pPr>
      <w:widowControl w:val="0"/>
      <w:spacing w:line="240" w:lineRule="auto"/>
      <w:textAlignment w:val="auto"/>
    </w:pPr>
    <w:rPr>
      <w:rFonts w:ascii="宋体" w:hAnsi="Courier New"/>
      <w:color w:val="auto"/>
      <w:kern w:val="2"/>
    </w:rPr>
  </w:style>
  <w:style w:type="paragraph" w:styleId="10">
    <w:name w:val="Date"/>
    <w:basedOn w:val="1"/>
    <w:next w:val="1"/>
    <w:link w:val="36"/>
    <w:qFormat/>
    <w:uiPriority w:val="99"/>
    <w:pPr>
      <w:ind w:left="100" w:leftChars="2500"/>
    </w:pPr>
  </w:style>
  <w:style w:type="paragraph" w:styleId="11">
    <w:name w:val="Body Text Indent 2"/>
    <w:basedOn w:val="1"/>
    <w:qFormat/>
    <w:locked/>
    <w:uiPriority w:val="0"/>
    <w:pPr>
      <w:spacing w:line="500" w:lineRule="exact"/>
      <w:ind w:firstLine="420" w:firstLineChars="200"/>
    </w:pPr>
    <w:rPr>
      <w:rFonts w:eastAsia="Times New Roman"/>
    </w:rPr>
  </w:style>
  <w:style w:type="paragraph" w:styleId="12">
    <w:name w:val="Balloon Text"/>
    <w:basedOn w:val="1"/>
    <w:link w:val="37"/>
    <w:qFormat/>
    <w:uiPriority w:val="99"/>
    <w:pPr>
      <w:spacing w:line="240" w:lineRule="auto"/>
    </w:pPr>
    <w:rPr>
      <w:sz w:val="18"/>
      <w:szCs w:val="18"/>
    </w:rPr>
  </w:style>
  <w:style w:type="paragraph" w:styleId="13">
    <w:name w:val="footer"/>
    <w:basedOn w:val="1"/>
    <w:link w:val="38"/>
    <w:qFormat/>
    <w:uiPriority w:val="99"/>
    <w:pPr>
      <w:tabs>
        <w:tab w:val="center" w:pos="4153"/>
        <w:tab w:val="right" w:pos="8306"/>
      </w:tabs>
      <w:snapToGrid w:val="0"/>
      <w:spacing w:line="240" w:lineRule="atLeast"/>
      <w:jc w:val="left"/>
    </w:pPr>
    <w:rPr>
      <w:sz w:val="18"/>
      <w:szCs w:val="18"/>
    </w:rPr>
  </w:style>
  <w:style w:type="paragraph" w:styleId="14">
    <w:name w:val="header"/>
    <w:basedOn w:val="1"/>
    <w:link w:val="39"/>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15">
    <w:name w:val="toc 1"/>
    <w:basedOn w:val="1"/>
    <w:next w:val="1"/>
    <w:qFormat/>
    <w:uiPriority w:val="39"/>
  </w:style>
  <w:style w:type="paragraph" w:styleId="16">
    <w:name w:val="toc 2"/>
    <w:basedOn w:val="1"/>
    <w:next w:val="1"/>
    <w:qFormat/>
    <w:uiPriority w:val="39"/>
    <w:pPr>
      <w:ind w:left="420" w:leftChars="200"/>
    </w:pPr>
  </w:style>
  <w:style w:type="paragraph" w:styleId="17">
    <w:name w:val="Body Text 2"/>
    <w:basedOn w:val="1"/>
    <w:link w:val="40"/>
    <w:qFormat/>
    <w:uiPriority w:val="99"/>
    <w:pPr>
      <w:spacing w:after="120" w:line="480" w:lineRule="auto"/>
    </w:pPr>
    <w:rPr>
      <w:sz w:val="20"/>
    </w:rPr>
  </w:style>
  <w:style w:type="paragraph" w:styleId="18">
    <w:name w:val="Normal (Web)"/>
    <w:basedOn w:val="1"/>
    <w:qFormat/>
    <w:uiPriority w:val="99"/>
    <w:pPr>
      <w:spacing w:before="100" w:beforeAutospacing="1" w:after="100" w:afterAutospacing="1" w:line="240" w:lineRule="auto"/>
      <w:jc w:val="left"/>
      <w:textAlignment w:val="auto"/>
    </w:pPr>
    <w:rPr>
      <w:rFonts w:ascii="宋体" w:hAnsi="宋体" w:cs="宋体"/>
      <w:sz w:val="24"/>
      <w:szCs w:val="24"/>
    </w:rPr>
  </w:style>
  <w:style w:type="paragraph" w:styleId="19">
    <w:name w:val="annotation subject"/>
    <w:basedOn w:val="6"/>
    <w:next w:val="6"/>
    <w:link w:val="76"/>
    <w:semiHidden/>
    <w:unhideWhenUsed/>
    <w:qFormat/>
    <w:locked/>
    <w:uiPriority w:val="99"/>
    <w:rPr>
      <w:b/>
      <w:bCs/>
    </w:rPr>
  </w:style>
  <w:style w:type="paragraph" w:styleId="20">
    <w:name w:val="Body Text First Indent"/>
    <w:basedOn w:val="7"/>
    <w:next w:val="21"/>
    <w:link w:val="69"/>
    <w:semiHidden/>
    <w:unhideWhenUsed/>
    <w:qFormat/>
    <w:locked/>
    <w:uiPriority w:val="99"/>
    <w:pPr>
      <w:ind w:firstLine="420" w:firstLineChars="100"/>
    </w:pPr>
  </w:style>
  <w:style w:type="paragraph" w:styleId="21">
    <w:name w:val="Body Text First Indent 2"/>
    <w:basedOn w:val="8"/>
    <w:unhideWhenUsed/>
    <w:qFormat/>
    <w:locked/>
    <w:uiPriority w:val="99"/>
    <w:pPr>
      <w:tabs>
        <w:tab w:val="left" w:pos="0"/>
      </w:tabs>
      <w:ind w:firstLine="420" w:firstLineChars="200"/>
    </w:pPr>
  </w:style>
  <w:style w:type="table" w:styleId="23">
    <w:name w:val="Table Grid"/>
    <w:basedOn w:val="22"/>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qFormat/>
    <w:uiPriority w:val="99"/>
    <w:rPr>
      <w:rFonts w:cs="Times New Roman"/>
      <w:b/>
    </w:rPr>
  </w:style>
  <w:style w:type="character" w:styleId="26">
    <w:name w:val="page number"/>
    <w:basedOn w:val="24"/>
    <w:qFormat/>
    <w:uiPriority w:val="99"/>
    <w:rPr>
      <w:rFonts w:cs="Times New Roman"/>
    </w:rPr>
  </w:style>
  <w:style w:type="character" w:styleId="27">
    <w:name w:val="Hyperlink"/>
    <w:qFormat/>
    <w:uiPriority w:val="99"/>
    <w:rPr>
      <w:rFonts w:cs="Times New Roman"/>
      <w:color w:val="0368A8"/>
      <w:u w:val="none"/>
    </w:rPr>
  </w:style>
  <w:style w:type="character" w:styleId="28">
    <w:name w:val="annotation reference"/>
    <w:basedOn w:val="24"/>
    <w:semiHidden/>
    <w:unhideWhenUsed/>
    <w:qFormat/>
    <w:locked/>
    <w:uiPriority w:val="99"/>
    <w:rPr>
      <w:sz w:val="21"/>
      <w:szCs w:val="21"/>
    </w:rPr>
  </w:style>
  <w:style w:type="paragraph" w:customStyle="1" w:styleId="29">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30">
    <w:name w:val="BodyText1I"/>
    <w:basedOn w:val="31"/>
    <w:qFormat/>
    <w:uiPriority w:val="99"/>
    <w:pPr>
      <w:ind w:firstLine="420" w:firstLineChars="100"/>
    </w:pPr>
  </w:style>
  <w:style w:type="paragraph" w:customStyle="1" w:styleId="31">
    <w:name w:val="BodyText"/>
    <w:basedOn w:val="1"/>
    <w:qFormat/>
    <w:uiPriority w:val="99"/>
    <w:pPr>
      <w:spacing w:after="120"/>
    </w:pPr>
  </w:style>
  <w:style w:type="character" w:customStyle="1" w:styleId="32">
    <w:name w:val="标题 1 Char"/>
    <w:link w:val="2"/>
    <w:qFormat/>
    <w:locked/>
    <w:uiPriority w:val="99"/>
    <w:rPr>
      <w:rFonts w:cs="Times New Roman"/>
      <w:b/>
      <w:color w:val="000000"/>
      <w:kern w:val="44"/>
      <w:sz w:val="44"/>
      <w:u w:val="none" w:color="000000"/>
    </w:rPr>
  </w:style>
  <w:style w:type="character" w:customStyle="1" w:styleId="33">
    <w:name w:val="标题 3 Char"/>
    <w:link w:val="4"/>
    <w:semiHidden/>
    <w:qFormat/>
    <w:locked/>
    <w:uiPriority w:val="99"/>
    <w:rPr>
      <w:rFonts w:cs="Times New Roman"/>
      <w:b/>
      <w:color w:val="000000"/>
      <w:sz w:val="32"/>
      <w:u w:val="none" w:color="000000"/>
    </w:rPr>
  </w:style>
  <w:style w:type="character" w:customStyle="1" w:styleId="34">
    <w:name w:val="正文文本缩进 Char"/>
    <w:link w:val="8"/>
    <w:semiHidden/>
    <w:qFormat/>
    <w:locked/>
    <w:uiPriority w:val="99"/>
    <w:rPr>
      <w:rFonts w:cs="Times New Roman"/>
      <w:color w:val="000000"/>
      <w:kern w:val="0"/>
      <w:sz w:val="20"/>
      <w:u w:val="none" w:color="000000"/>
    </w:rPr>
  </w:style>
  <w:style w:type="character" w:customStyle="1" w:styleId="35">
    <w:name w:val="纯文本 Char1"/>
    <w:link w:val="9"/>
    <w:qFormat/>
    <w:locked/>
    <w:uiPriority w:val="99"/>
    <w:rPr>
      <w:rFonts w:ascii="宋体" w:hAnsi="Courier New" w:cs="Times New Roman"/>
      <w:color w:val="000000"/>
      <w:kern w:val="0"/>
      <w:sz w:val="21"/>
      <w:u w:val="none" w:color="000000"/>
    </w:rPr>
  </w:style>
  <w:style w:type="character" w:customStyle="1" w:styleId="36">
    <w:name w:val="日期 Char"/>
    <w:link w:val="10"/>
    <w:qFormat/>
    <w:locked/>
    <w:uiPriority w:val="99"/>
    <w:rPr>
      <w:rFonts w:cs="Times New Roman"/>
      <w:color w:val="000000"/>
      <w:sz w:val="21"/>
      <w:u w:val="none" w:color="000000"/>
    </w:rPr>
  </w:style>
  <w:style w:type="character" w:customStyle="1" w:styleId="37">
    <w:name w:val="批注框文本 Char"/>
    <w:link w:val="12"/>
    <w:qFormat/>
    <w:locked/>
    <w:uiPriority w:val="99"/>
    <w:rPr>
      <w:rFonts w:cs="Times New Roman"/>
      <w:color w:val="000000"/>
      <w:sz w:val="18"/>
      <w:u w:val="none" w:color="000000"/>
    </w:rPr>
  </w:style>
  <w:style w:type="character" w:customStyle="1" w:styleId="38">
    <w:name w:val="页脚 Char"/>
    <w:link w:val="13"/>
    <w:semiHidden/>
    <w:qFormat/>
    <w:locked/>
    <w:uiPriority w:val="99"/>
    <w:rPr>
      <w:rFonts w:cs="Times New Roman"/>
      <w:color w:val="000000"/>
      <w:kern w:val="0"/>
      <w:sz w:val="18"/>
      <w:u w:val="none" w:color="000000"/>
    </w:rPr>
  </w:style>
  <w:style w:type="character" w:customStyle="1" w:styleId="39">
    <w:name w:val="页眉 Char"/>
    <w:link w:val="14"/>
    <w:semiHidden/>
    <w:qFormat/>
    <w:locked/>
    <w:uiPriority w:val="99"/>
    <w:rPr>
      <w:rFonts w:cs="Times New Roman"/>
      <w:color w:val="000000"/>
      <w:kern w:val="0"/>
      <w:sz w:val="18"/>
      <w:u w:val="none" w:color="000000"/>
    </w:rPr>
  </w:style>
  <w:style w:type="character" w:customStyle="1" w:styleId="40">
    <w:name w:val="正文文本 2 Char"/>
    <w:link w:val="17"/>
    <w:semiHidden/>
    <w:qFormat/>
    <w:locked/>
    <w:uiPriority w:val="99"/>
    <w:rPr>
      <w:rFonts w:cs="Times New Roman"/>
      <w:color w:val="000000"/>
      <w:kern w:val="0"/>
      <w:sz w:val="20"/>
      <w:u w:val="none" w:color="000000"/>
    </w:rPr>
  </w:style>
  <w:style w:type="paragraph" w:customStyle="1" w:styleId="41">
    <w:name w:val="目录1"/>
    <w:basedOn w:val="1"/>
    <w:next w:val="1"/>
    <w:qFormat/>
    <w:uiPriority w:val="99"/>
    <w:pPr>
      <w:tabs>
        <w:tab w:val="left" w:leader="dot" w:pos="8503"/>
      </w:tabs>
      <w:spacing w:after="136" w:line="289" w:lineRule="atLeast"/>
      <w:jc w:val="left"/>
    </w:pPr>
    <w:rPr>
      <w:rFonts w:ascii="Arial" w:eastAsia="黑体"/>
      <w:sz w:val="28"/>
    </w:rPr>
  </w:style>
  <w:style w:type="paragraph" w:customStyle="1" w:styleId="42">
    <w:name w:val="章标题"/>
    <w:basedOn w:val="1"/>
    <w:next w:val="43"/>
    <w:qFormat/>
    <w:uiPriority w:val="99"/>
    <w:pPr>
      <w:spacing w:before="158" w:after="153" w:line="323" w:lineRule="atLeast"/>
      <w:jc w:val="center"/>
    </w:pPr>
    <w:rPr>
      <w:rFonts w:ascii="Arial" w:eastAsia="黑体"/>
      <w:sz w:val="31"/>
    </w:rPr>
  </w:style>
  <w:style w:type="paragraph" w:customStyle="1" w:styleId="43">
    <w:name w:val="节标题"/>
    <w:basedOn w:val="1"/>
    <w:next w:val="44"/>
    <w:qFormat/>
    <w:uiPriority w:val="99"/>
    <w:pPr>
      <w:spacing w:line="289" w:lineRule="atLeast"/>
      <w:jc w:val="center"/>
    </w:pPr>
    <w:rPr>
      <w:sz w:val="28"/>
    </w:rPr>
  </w:style>
  <w:style w:type="paragraph" w:customStyle="1" w:styleId="44">
    <w:name w:val="小节标题"/>
    <w:basedOn w:val="1"/>
    <w:next w:val="1"/>
    <w:qFormat/>
    <w:uiPriority w:val="99"/>
    <w:pPr>
      <w:spacing w:before="175" w:after="102" w:line="351" w:lineRule="atLeast"/>
    </w:pPr>
    <w:rPr>
      <w:rFonts w:eastAsia="黑体"/>
    </w:rPr>
  </w:style>
  <w:style w:type="paragraph" w:customStyle="1" w:styleId="45">
    <w:name w:val="目录2"/>
    <w:basedOn w:val="1"/>
    <w:next w:val="1"/>
    <w:qFormat/>
    <w:uiPriority w:val="99"/>
    <w:pPr>
      <w:tabs>
        <w:tab w:val="left" w:leader="dot" w:pos="8503"/>
      </w:tabs>
      <w:spacing w:line="317" w:lineRule="atLeast"/>
      <w:ind w:firstLine="209"/>
    </w:pPr>
  </w:style>
  <w:style w:type="paragraph" w:customStyle="1" w:styleId="46">
    <w:name w:val="目录4"/>
    <w:basedOn w:val="1"/>
    <w:next w:val="1"/>
    <w:qFormat/>
    <w:uiPriority w:val="99"/>
    <w:pPr>
      <w:tabs>
        <w:tab w:val="left" w:leader="dot" w:pos="8503"/>
      </w:tabs>
      <w:spacing w:line="317" w:lineRule="atLeast"/>
      <w:ind w:firstLine="629"/>
    </w:pPr>
  </w:style>
  <w:style w:type="paragraph" w:customStyle="1" w:styleId="47">
    <w:name w:val="1 Char Char Char Char"/>
    <w:basedOn w:val="1"/>
    <w:qFormat/>
    <w:uiPriority w:val="99"/>
    <w:pPr>
      <w:widowControl w:val="0"/>
      <w:spacing w:line="240" w:lineRule="auto"/>
      <w:textAlignment w:val="auto"/>
    </w:pPr>
    <w:rPr>
      <w:rFonts w:ascii="Tahoma" w:hAnsi="Tahoma" w:cs="Tahoma"/>
      <w:color w:val="auto"/>
      <w:kern w:val="2"/>
      <w:sz w:val="24"/>
      <w:szCs w:val="24"/>
    </w:rPr>
  </w:style>
  <w:style w:type="paragraph" w:customStyle="1" w:styleId="48">
    <w:name w:val="Char Char Char"/>
    <w:basedOn w:val="1"/>
    <w:qFormat/>
    <w:uiPriority w:val="99"/>
    <w:pPr>
      <w:widowControl w:val="0"/>
      <w:spacing w:line="240" w:lineRule="auto"/>
      <w:textAlignment w:val="auto"/>
    </w:pPr>
    <w:rPr>
      <w:rFonts w:ascii="Tahoma" w:hAnsi="Tahoma"/>
      <w:color w:val="auto"/>
      <w:kern w:val="2"/>
      <w:sz w:val="24"/>
    </w:rPr>
  </w:style>
  <w:style w:type="paragraph" w:customStyle="1" w:styleId="49">
    <w:name w:val="目录3"/>
    <w:basedOn w:val="1"/>
    <w:next w:val="1"/>
    <w:qFormat/>
    <w:uiPriority w:val="99"/>
    <w:pPr>
      <w:tabs>
        <w:tab w:val="left" w:leader="dot" w:pos="8503"/>
      </w:tabs>
      <w:spacing w:line="317" w:lineRule="atLeast"/>
      <w:ind w:firstLine="419"/>
    </w:pPr>
  </w:style>
  <w:style w:type="paragraph" w:customStyle="1" w:styleId="50">
    <w:name w:val="目录标题"/>
    <w:basedOn w:val="1"/>
    <w:next w:val="1"/>
    <w:qFormat/>
    <w:uiPriority w:val="99"/>
    <w:pPr>
      <w:spacing w:before="566" w:after="544" w:line="566" w:lineRule="atLeast"/>
      <w:ind w:firstLine="419"/>
      <w:jc w:val="center"/>
    </w:pPr>
    <w:rPr>
      <w:rFonts w:ascii="Arial" w:eastAsia="黑体"/>
      <w:spacing w:val="566"/>
      <w:sz w:val="54"/>
    </w:rPr>
  </w:style>
  <w:style w:type="paragraph" w:customStyle="1" w:styleId="51">
    <w:name w:val="文章总标题"/>
    <w:basedOn w:val="1"/>
    <w:next w:val="52"/>
    <w:qFormat/>
    <w:uiPriority w:val="99"/>
    <w:pPr>
      <w:spacing w:before="566" w:after="544" w:line="566" w:lineRule="atLeast"/>
      <w:jc w:val="center"/>
    </w:pPr>
    <w:rPr>
      <w:rFonts w:ascii="Arial" w:eastAsia="黑体"/>
      <w:sz w:val="54"/>
    </w:rPr>
  </w:style>
  <w:style w:type="paragraph" w:customStyle="1" w:styleId="52">
    <w:name w:val="文章附标题"/>
    <w:basedOn w:val="1"/>
    <w:next w:val="42"/>
    <w:qFormat/>
    <w:uiPriority w:val="99"/>
    <w:pPr>
      <w:spacing w:before="187" w:after="175" w:line="374" w:lineRule="atLeast"/>
      <w:jc w:val="center"/>
    </w:pPr>
    <w:rPr>
      <w:sz w:val="36"/>
    </w:rPr>
  </w:style>
  <w:style w:type="paragraph" w:customStyle="1" w:styleId="53">
    <w:name w:val="Char1"/>
    <w:basedOn w:val="1"/>
    <w:qFormat/>
    <w:uiPriority w:val="99"/>
    <w:pPr>
      <w:widowControl w:val="0"/>
      <w:spacing w:line="240" w:lineRule="auto"/>
      <w:textAlignment w:val="auto"/>
    </w:pPr>
    <w:rPr>
      <w:rFonts w:ascii="Tahoma" w:hAnsi="Tahoma"/>
      <w:color w:val="auto"/>
      <w:kern w:val="2"/>
      <w:sz w:val="24"/>
    </w:rPr>
  </w:style>
  <w:style w:type="paragraph" w:customStyle="1" w:styleId="54">
    <w:name w:val="Char11"/>
    <w:basedOn w:val="1"/>
    <w:qFormat/>
    <w:uiPriority w:val="99"/>
    <w:pPr>
      <w:widowControl w:val="0"/>
      <w:spacing w:line="240" w:lineRule="auto"/>
      <w:textAlignment w:val="auto"/>
    </w:pPr>
    <w:rPr>
      <w:rFonts w:ascii="Tahoma" w:hAnsi="Tahoma"/>
      <w:color w:val="auto"/>
      <w:kern w:val="2"/>
      <w:sz w:val="24"/>
    </w:rPr>
  </w:style>
  <w:style w:type="paragraph" w:customStyle="1" w:styleId="55">
    <w:name w:val="Char Char Char Char Char Char Char"/>
    <w:basedOn w:val="1"/>
    <w:qFormat/>
    <w:uiPriority w:val="99"/>
    <w:pPr>
      <w:widowControl w:val="0"/>
      <w:spacing w:line="240" w:lineRule="auto"/>
      <w:textAlignment w:val="auto"/>
    </w:pPr>
    <w:rPr>
      <w:rFonts w:ascii="Tahoma" w:hAnsi="Tahoma"/>
      <w:color w:val="auto"/>
      <w:kern w:val="2"/>
      <w:sz w:val="24"/>
    </w:rPr>
  </w:style>
  <w:style w:type="paragraph" w:customStyle="1" w:styleId="56">
    <w:name w:val="WPS Plain"/>
    <w:qFormat/>
    <w:uiPriority w:val="99"/>
    <w:rPr>
      <w:rFonts w:ascii="Times New Roman" w:hAnsi="Times New Roman" w:eastAsia="宋体" w:cs="Times New Roman"/>
      <w:lang w:val="en-US" w:eastAsia="zh-CN" w:bidi="ar-SA"/>
    </w:rPr>
  </w:style>
  <w:style w:type="paragraph" w:customStyle="1" w:styleId="57">
    <w:name w:val="cjk"/>
    <w:basedOn w:val="1"/>
    <w:qFormat/>
    <w:uiPriority w:val="99"/>
    <w:pPr>
      <w:spacing w:before="100" w:beforeAutospacing="1" w:after="100" w:afterAutospacing="1" w:line="240" w:lineRule="auto"/>
      <w:jc w:val="left"/>
      <w:textAlignment w:val="auto"/>
    </w:pPr>
    <w:rPr>
      <w:rFonts w:ascii="宋体" w:hAnsi="宋体" w:cs="宋体"/>
      <w:color w:val="auto"/>
      <w:sz w:val="18"/>
      <w:szCs w:val="18"/>
    </w:rPr>
  </w:style>
  <w:style w:type="paragraph" w:customStyle="1" w:styleId="58">
    <w:name w:val="Default"/>
    <w:qFormat/>
    <w:uiPriority w:val="99"/>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59">
    <w:name w:val="TOC 标题1"/>
    <w:basedOn w:val="2"/>
    <w:next w:val="1"/>
    <w:qFormat/>
    <w:uiPriority w:val="99"/>
    <w:pPr>
      <w:widowControl/>
      <w:spacing w:before="480" w:after="0" w:line="276" w:lineRule="auto"/>
      <w:jc w:val="left"/>
      <w:outlineLvl w:val="9"/>
    </w:pPr>
    <w:rPr>
      <w:rFonts w:ascii="Cambria" w:hAnsi="Cambria"/>
      <w:color w:val="365F91"/>
      <w:kern w:val="0"/>
      <w:sz w:val="28"/>
      <w:szCs w:val="28"/>
    </w:rPr>
  </w:style>
  <w:style w:type="character" w:customStyle="1" w:styleId="60">
    <w:name w:val="链接"/>
    <w:qFormat/>
    <w:uiPriority w:val="99"/>
    <w:rPr>
      <w:rFonts w:ascii="Times New Roman" w:eastAsia="宋体"/>
      <w:color w:val="0000FF"/>
      <w:sz w:val="21"/>
      <w:u w:val="single" w:color="0000FF"/>
      <w:lang w:val="en-US" w:eastAsia="zh-CN"/>
    </w:rPr>
  </w:style>
  <w:style w:type="character" w:customStyle="1" w:styleId="61">
    <w:name w:val="超级链接"/>
    <w:qFormat/>
    <w:uiPriority w:val="99"/>
    <w:rPr>
      <w:rFonts w:ascii="Times New Roman" w:eastAsia="宋体"/>
      <w:color w:val="0000FF"/>
      <w:sz w:val="21"/>
      <w:u w:val="single" w:color="0000FF"/>
      <w:lang w:val="en-US" w:eastAsia="zh-CN"/>
    </w:rPr>
  </w:style>
  <w:style w:type="character" w:customStyle="1" w:styleId="62">
    <w:name w:val="param_td12"/>
    <w:qFormat/>
    <w:uiPriority w:val="99"/>
  </w:style>
  <w:style w:type="character" w:customStyle="1" w:styleId="63">
    <w:name w:val="纯文本 Char"/>
    <w:qFormat/>
    <w:locked/>
    <w:uiPriority w:val="0"/>
    <w:rPr>
      <w:rFonts w:ascii="宋体" w:hAnsi="Courier New" w:eastAsia="宋体"/>
      <w:kern w:val="2"/>
      <w:sz w:val="21"/>
      <w:lang w:val="en-US" w:eastAsia="zh-CN"/>
    </w:rPr>
  </w:style>
  <w:style w:type="character" w:customStyle="1" w:styleId="64">
    <w:name w:val="纯文本 Char Char"/>
    <w:qFormat/>
    <w:uiPriority w:val="99"/>
    <w:rPr>
      <w:rFonts w:ascii="宋体" w:hAnsi="Courier New" w:eastAsia="宋体"/>
      <w:kern w:val="2"/>
      <w:sz w:val="21"/>
      <w:lang w:val="en-US" w:eastAsia="zh-CN"/>
    </w:rPr>
  </w:style>
  <w:style w:type="character" w:customStyle="1" w:styleId="65">
    <w:name w:val="Char Char4"/>
    <w:qFormat/>
    <w:uiPriority w:val="99"/>
    <w:rPr>
      <w:rFonts w:ascii="宋体" w:eastAsia="宋体"/>
      <w:kern w:val="2"/>
      <w:sz w:val="28"/>
    </w:rPr>
  </w:style>
  <w:style w:type="character" w:customStyle="1" w:styleId="66">
    <w:name w:val="Plain Text Char1"/>
    <w:semiHidden/>
    <w:qFormat/>
    <w:locked/>
    <w:uiPriority w:val="99"/>
    <w:rPr>
      <w:rFonts w:ascii="宋体" w:hAnsi="Courier New" w:cs="Courier New"/>
      <w:color w:val="000000"/>
      <w:kern w:val="0"/>
      <w:sz w:val="21"/>
      <w:szCs w:val="21"/>
      <w:u w:val="none" w:color="000000"/>
    </w:rPr>
  </w:style>
  <w:style w:type="character" w:customStyle="1" w:styleId="67">
    <w:name w:val="15"/>
    <w:basedOn w:val="24"/>
    <w:qFormat/>
    <w:uiPriority w:val="0"/>
  </w:style>
  <w:style w:type="character" w:customStyle="1" w:styleId="68">
    <w:name w:val="正文文本 Char"/>
    <w:link w:val="7"/>
    <w:qFormat/>
    <w:uiPriority w:val="99"/>
    <w:rPr>
      <w:color w:val="000000"/>
      <w:sz w:val="21"/>
      <w:u w:color="000000"/>
    </w:rPr>
  </w:style>
  <w:style w:type="character" w:customStyle="1" w:styleId="69">
    <w:name w:val="正文首行缩进 Char"/>
    <w:link w:val="20"/>
    <w:semiHidden/>
    <w:qFormat/>
    <w:uiPriority w:val="99"/>
    <w:rPr>
      <w:color w:val="000000"/>
      <w:sz w:val="21"/>
      <w:u w:color="000000"/>
    </w:rPr>
  </w:style>
  <w:style w:type="character" w:customStyle="1" w:styleId="70">
    <w:name w:val="页眉或页脚 + Calibri"/>
    <w:qFormat/>
    <w:uiPriority w:val="0"/>
    <w:rPr>
      <w:rFonts w:ascii="Calibri" w:hAnsi="Calibri" w:eastAsia="Calibri" w:cs="Calibri"/>
      <w:color w:val="000000"/>
      <w:spacing w:val="0"/>
      <w:w w:val="100"/>
      <w:position w:val="0"/>
      <w:sz w:val="20"/>
      <w:szCs w:val="20"/>
      <w:u w:val="none"/>
      <w:lang w:val="zh-CN" w:eastAsia="zh-CN" w:bidi="zh-CN"/>
    </w:rPr>
  </w:style>
  <w:style w:type="character" w:customStyle="1" w:styleId="71">
    <w:name w:val="页眉或页脚"/>
    <w:qFormat/>
    <w:uiPriority w:val="0"/>
    <w:rPr>
      <w:rFonts w:ascii="MingLiU" w:hAnsi="MingLiU" w:eastAsia="MingLiU" w:cs="MingLiU"/>
      <w:color w:val="000000"/>
      <w:spacing w:val="0"/>
      <w:w w:val="100"/>
      <w:position w:val="0"/>
      <w:sz w:val="18"/>
      <w:szCs w:val="18"/>
      <w:u w:val="none"/>
      <w:lang w:val="zh-CN" w:eastAsia="zh-CN" w:bidi="zh-CN"/>
    </w:rPr>
  </w:style>
  <w:style w:type="paragraph" w:customStyle="1" w:styleId="72">
    <w:name w:val="正文文本 (2)"/>
    <w:basedOn w:val="1"/>
    <w:link w:val="73"/>
    <w:qFormat/>
    <w:uiPriority w:val="0"/>
    <w:pPr>
      <w:widowControl w:val="0"/>
      <w:shd w:val="clear" w:color="auto" w:fill="FFFFFF"/>
      <w:spacing w:after="660" w:line="0" w:lineRule="atLeast"/>
      <w:jc w:val="left"/>
      <w:textAlignment w:val="auto"/>
    </w:pPr>
    <w:rPr>
      <w:rFonts w:ascii="MingLiU" w:hAnsi="MingLiU" w:eastAsia="MingLiU" w:cs="MingLiU"/>
      <w:color w:val="auto"/>
      <w:spacing w:val="30"/>
      <w:sz w:val="30"/>
      <w:szCs w:val="30"/>
    </w:rPr>
  </w:style>
  <w:style w:type="character" w:customStyle="1" w:styleId="73">
    <w:name w:val="正文文本 (2)_"/>
    <w:link w:val="72"/>
    <w:qFormat/>
    <w:uiPriority w:val="0"/>
    <w:rPr>
      <w:rFonts w:ascii="MingLiU" w:hAnsi="MingLiU" w:eastAsia="MingLiU" w:cs="MingLiU"/>
      <w:spacing w:val="30"/>
      <w:sz w:val="30"/>
      <w:szCs w:val="30"/>
      <w:u w:color="000000"/>
      <w:shd w:val="clear" w:color="auto" w:fill="FFFFFF"/>
    </w:rPr>
  </w:style>
  <w:style w:type="paragraph" w:styleId="74">
    <w:name w:val="List Paragraph"/>
    <w:basedOn w:val="1"/>
    <w:unhideWhenUsed/>
    <w:qFormat/>
    <w:uiPriority w:val="99"/>
    <w:pPr>
      <w:ind w:firstLine="420" w:firstLineChars="200"/>
    </w:pPr>
  </w:style>
  <w:style w:type="character" w:customStyle="1" w:styleId="75">
    <w:name w:val="批注文字 Char"/>
    <w:basedOn w:val="24"/>
    <w:link w:val="6"/>
    <w:semiHidden/>
    <w:qFormat/>
    <w:uiPriority w:val="99"/>
    <w:rPr>
      <w:color w:val="000000"/>
      <w:sz w:val="21"/>
      <w:u w:color="000000"/>
    </w:rPr>
  </w:style>
  <w:style w:type="character" w:customStyle="1" w:styleId="76">
    <w:name w:val="批注主题 Char"/>
    <w:basedOn w:val="75"/>
    <w:link w:val="19"/>
    <w:semiHidden/>
    <w:qFormat/>
    <w:uiPriority w:val="99"/>
    <w:rPr>
      <w:b/>
      <w:bCs/>
      <w:color w:val="000000"/>
      <w:sz w:val="21"/>
      <w:u w:color="000000"/>
    </w:rPr>
  </w:style>
  <w:style w:type="table" w:customStyle="1" w:styleId="77">
    <w:name w:val="Table Normal"/>
    <w:semiHidden/>
    <w:unhideWhenUsed/>
    <w:qFormat/>
    <w:uiPriority w:val="0"/>
    <w:tblPr>
      <w:tblCellMar>
        <w:top w:w="0" w:type="dxa"/>
        <w:left w:w="0" w:type="dxa"/>
        <w:bottom w:w="0" w:type="dxa"/>
        <w:right w:w="0" w:type="dxa"/>
      </w:tblCellMar>
    </w:tblPr>
  </w:style>
  <w:style w:type="character" w:customStyle="1" w:styleId="78">
    <w:name w:val="font11"/>
    <w:basedOn w:val="24"/>
    <w:qFormat/>
    <w:uiPriority w:val="0"/>
    <w:rPr>
      <w:rFonts w:hint="eastAsia" w:ascii="仿宋" w:hAnsi="仿宋" w:eastAsia="仿宋" w:cs="仿宋"/>
      <w:color w:val="000000"/>
      <w:sz w:val="20"/>
      <w:szCs w:val="20"/>
      <w:u w:val="none"/>
    </w:rPr>
  </w:style>
  <w:style w:type="character" w:customStyle="1" w:styleId="79">
    <w:name w:val="font112"/>
    <w:basedOn w:val="24"/>
    <w:qFormat/>
    <w:uiPriority w:val="0"/>
    <w:rPr>
      <w:rFonts w:hint="eastAsia" w:ascii="宋体" w:hAnsi="宋体" w:eastAsia="宋体" w:cs="宋体"/>
      <w:color w:val="000000"/>
      <w:sz w:val="20"/>
      <w:szCs w:val="20"/>
      <w:u w:val="none"/>
    </w:rPr>
  </w:style>
  <w:style w:type="character" w:customStyle="1" w:styleId="80">
    <w:name w:val="font41"/>
    <w:basedOn w:val="24"/>
    <w:qFormat/>
    <w:uiPriority w:val="0"/>
    <w:rPr>
      <w:rFonts w:hint="eastAsia" w:ascii="仿宋" w:hAnsi="仿宋" w:eastAsia="仿宋" w:cs="仿宋"/>
      <w:color w:val="000000"/>
      <w:sz w:val="20"/>
      <w:szCs w:val="20"/>
      <w:u w:val="none"/>
    </w:rPr>
  </w:style>
  <w:style w:type="character" w:customStyle="1" w:styleId="81">
    <w:name w:val="font121"/>
    <w:basedOn w:val="24"/>
    <w:qFormat/>
    <w:uiPriority w:val="0"/>
    <w:rPr>
      <w:rFonts w:hint="eastAsia" w:ascii="宋体" w:hAnsi="宋体" w:eastAsia="宋体" w:cs="宋体"/>
      <w:color w:val="000000"/>
      <w:sz w:val="20"/>
      <w:szCs w:val="20"/>
      <w:u w:val="none"/>
    </w:rPr>
  </w:style>
  <w:style w:type="character" w:customStyle="1" w:styleId="82">
    <w:name w:val="font51"/>
    <w:basedOn w:val="24"/>
    <w:qFormat/>
    <w:uiPriority w:val="0"/>
    <w:rPr>
      <w:rFonts w:hint="eastAsia" w:ascii="仿宋" w:hAnsi="仿宋" w:eastAsia="仿宋" w:cs="仿宋"/>
      <w:color w:val="000000"/>
      <w:sz w:val="20"/>
      <w:szCs w:val="20"/>
      <w:u w:val="none"/>
    </w:rPr>
  </w:style>
  <w:style w:type="character" w:customStyle="1" w:styleId="83">
    <w:name w:val="font131"/>
    <w:basedOn w:val="24"/>
    <w:qFormat/>
    <w:uiPriority w:val="0"/>
    <w:rPr>
      <w:rFonts w:hint="eastAsia" w:ascii="宋体" w:hAnsi="宋体" w:eastAsia="宋体" w:cs="宋体"/>
      <w:color w:val="000000"/>
      <w:sz w:val="20"/>
      <w:szCs w:val="20"/>
      <w:u w:val="none"/>
    </w:rPr>
  </w:style>
  <w:style w:type="character" w:customStyle="1" w:styleId="84">
    <w:name w:val="font141"/>
    <w:basedOn w:val="24"/>
    <w:qFormat/>
    <w:uiPriority w:val="0"/>
    <w:rPr>
      <w:rFonts w:hint="eastAsia" w:ascii="仿宋" w:hAnsi="仿宋" w:eastAsia="仿宋" w:cs="仿宋"/>
      <w:color w:val="000000"/>
      <w:sz w:val="20"/>
      <w:szCs w:val="20"/>
      <w:u w:val="single"/>
    </w:rPr>
  </w:style>
  <w:style w:type="character" w:customStyle="1" w:styleId="85">
    <w:name w:val="font151"/>
    <w:basedOn w:val="24"/>
    <w:qFormat/>
    <w:uiPriority w:val="0"/>
    <w:rPr>
      <w:rFonts w:ascii="Arial" w:hAnsi="Arial" w:cs="Arial"/>
      <w:color w:val="000000"/>
      <w:sz w:val="20"/>
      <w:szCs w:val="20"/>
      <w:u w:val="none"/>
    </w:rPr>
  </w:style>
  <w:style w:type="character" w:customStyle="1" w:styleId="86">
    <w:name w:val="font21"/>
    <w:basedOn w:val="24"/>
    <w:qFormat/>
    <w:uiPriority w:val="0"/>
    <w:rPr>
      <w:rFonts w:hint="eastAsia" w:ascii="仿宋" w:hAnsi="仿宋" w:eastAsia="仿宋" w:cs="仿宋"/>
      <w:color w:val="000000"/>
      <w:sz w:val="20"/>
      <w:szCs w:val="20"/>
      <w:u w:val="none"/>
    </w:rPr>
  </w:style>
  <w:style w:type="character" w:customStyle="1" w:styleId="87">
    <w:name w:val="font71"/>
    <w:basedOn w:val="24"/>
    <w:qFormat/>
    <w:uiPriority w:val="0"/>
    <w:rPr>
      <w:rFonts w:hint="eastAsia" w:ascii="宋体" w:hAnsi="宋体" w:eastAsia="宋体" w:cs="宋体"/>
      <w:color w:val="000000"/>
      <w:sz w:val="20"/>
      <w:szCs w:val="20"/>
      <w:u w:val="none"/>
    </w:rPr>
  </w:style>
  <w:style w:type="character" w:customStyle="1" w:styleId="88">
    <w:name w:val="font61"/>
    <w:basedOn w:val="24"/>
    <w:qFormat/>
    <w:uiPriority w:val="0"/>
    <w:rPr>
      <w:rFonts w:hint="eastAsia" w:ascii="仿宋" w:hAnsi="仿宋" w:eastAsia="仿宋" w:cs="仿宋"/>
      <w:color w:val="000000"/>
      <w:sz w:val="20"/>
      <w:szCs w:val="20"/>
      <w:u w:val="none"/>
    </w:rPr>
  </w:style>
  <w:style w:type="paragraph" w:customStyle="1" w:styleId="89">
    <w:name w:val="Table Paragraph"/>
    <w:basedOn w:val="1"/>
    <w:qFormat/>
    <w:uiPriority w:val="1"/>
  </w:style>
  <w:style w:type="paragraph" w:customStyle="1" w:styleId="90">
    <w:name w:val="Table Text"/>
    <w:basedOn w:val="1"/>
    <w:semiHidden/>
    <w:qFormat/>
    <w:uiPriority w:val="0"/>
    <w:rPr>
      <w:rFonts w:ascii="Arial" w:hAnsi="Arial" w:eastAsia="Arial" w:cs="Arial"/>
      <w:szCs w:val="21"/>
      <w:lang w:eastAsia="en-US"/>
    </w:rPr>
  </w:style>
  <w:style w:type="paragraph" w:customStyle="1" w:styleId="91">
    <w:name w:val="列出段落1"/>
    <w:basedOn w:val="1"/>
    <w:qFormat/>
    <w:uiPriority w:val="0"/>
    <w:pPr>
      <w:ind w:firstLine="420" w:firstLineChars="200"/>
    </w:pPr>
    <w:rPr>
      <w:szCs w:val="21"/>
    </w:rPr>
  </w:style>
  <w:style w:type="paragraph" w:customStyle="1" w:styleId="92">
    <w:name w:val="默认段落字体 Para Char"/>
    <w:basedOn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header" Target="header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100</Pages>
  <Words>12680</Words>
  <Characters>14764</Characters>
  <Lines>457</Lines>
  <Paragraphs>128</Paragraphs>
  <TotalTime>35</TotalTime>
  <ScaleCrop>false</ScaleCrop>
  <LinksUpToDate>false</LinksUpToDate>
  <CharactersWithSpaces>15151</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2023-07-26T09:24:00Z</dcterms:created>
  <dc:creator>hp</dc:creator>
  <cp:lastModifiedBy>Administrator</cp:lastModifiedBy>
  <cp:lastPrinted>2021-11-02T00:25:00Z</cp:lastPrinted>
  <dcterms:modified xsi:type="dcterms:W3CDTF">2025-06-11T08:59:42Z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10F10DEEED614815B36C8149BFC82CF2_13</vt:lpwstr>
  </property>
  <property fmtid="{D5CDD505-2E9C-101B-9397-08002B2CF9AE}" pid="3" name="KSOProductBuildVer">
    <vt:lpwstr>2052-12.1.0.21171</vt:lpwstr>
  </property>
  <property fmtid="{D5CDD505-2E9C-101B-9397-08002B2CF9AE}" pid="4" name="KSOTemplateDocerSaveRecord">
    <vt:lpwstr>eyJoZGlkIjoiMGE5MWRmY2M0ZGY2ZGI3YTJhNGEwMzE2ZjI3NTZmNDAiLCJ1c2VySWQiOiIyNTk1Mzk5NDUifQ==</vt:lpwstr>
  </property>
</Properties>
</file>