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jc w:val="center"/>
        <w:rPr>
          <w:rFonts w:eastAsia="黑体"/>
          <w:b/>
          <w:color w:val="auto"/>
          <w:spacing w:val="40"/>
          <w:sz w:val="40"/>
          <w:szCs w:val="40"/>
          <w:highlight w:val="none"/>
        </w:rPr>
      </w:pPr>
    </w:p>
    <w:p>
      <w:pPr>
        <w:widowControl w:val="0"/>
        <w:snapToGrid w:val="0"/>
        <w:spacing w:line="560" w:lineRule="exact"/>
        <w:ind w:firstLine="241" w:firstLineChars="50"/>
        <w:jc w:val="center"/>
        <w:rPr>
          <w:rFonts w:eastAsia="黑体"/>
          <w:b/>
          <w:color w:val="auto"/>
          <w:spacing w:val="40"/>
          <w:sz w:val="40"/>
          <w:szCs w:val="40"/>
          <w:highlight w:val="none"/>
        </w:rPr>
      </w:pPr>
    </w:p>
    <w:p>
      <w:pPr>
        <w:widowControl w:val="0"/>
        <w:snapToGrid w:val="0"/>
        <w:spacing w:line="560" w:lineRule="exact"/>
        <w:ind w:firstLine="241" w:firstLineChars="50"/>
        <w:jc w:val="center"/>
        <w:rPr>
          <w:rFonts w:eastAsia="黑体"/>
          <w:b/>
          <w:color w:val="auto"/>
          <w:spacing w:val="40"/>
          <w:sz w:val="40"/>
          <w:szCs w:val="40"/>
          <w:highlight w:val="none"/>
        </w:rPr>
      </w:pPr>
    </w:p>
    <w:p>
      <w:pPr>
        <w:widowControl w:val="0"/>
        <w:snapToGrid w:val="0"/>
        <w:spacing w:line="560" w:lineRule="exact"/>
        <w:ind w:firstLine="221" w:firstLineChars="50"/>
        <w:jc w:val="center"/>
        <w:rPr>
          <w:rFonts w:ascii="黑体" w:eastAsia="黑体"/>
          <w:b/>
          <w:color w:val="auto"/>
          <w:spacing w:val="40"/>
          <w:sz w:val="44"/>
          <w:szCs w:val="44"/>
          <w:highlight w:val="none"/>
        </w:rPr>
      </w:pPr>
      <w:r>
        <w:rPr>
          <w:rFonts w:hint="eastAsia" w:ascii="黑体" w:eastAsia="黑体"/>
          <w:b/>
          <w:color w:val="auto"/>
          <w:sz w:val="44"/>
          <w:szCs w:val="44"/>
          <w:highlight w:val="none"/>
        </w:rPr>
        <w:t>安阳县公安局数字督察中心升级改造项目</w:t>
      </w: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240" w:lineRule="auto"/>
        <w:jc w:val="center"/>
        <w:rPr>
          <w:rFonts w:eastAsia="黑体"/>
          <w:b/>
          <w:color w:val="auto"/>
          <w:sz w:val="44"/>
          <w:highlight w:val="none"/>
        </w:rPr>
      </w:pPr>
    </w:p>
    <w:p>
      <w:pPr>
        <w:widowControl w:val="0"/>
        <w:snapToGrid w:val="0"/>
        <w:spacing w:before="240" w:beforeLines="100" w:line="240" w:lineRule="auto"/>
        <w:jc w:val="center"/>
        <w:rPr>
          <w:rFonts w:eastAsia="黑体"/>
          <w:b/>
          <w:color w:val="auto"/>
          <w:sz w:val="44"/>
          <w:highlight w:val="none"/>
        </w:rPr>
      </w:pPr>
    </w:p>
    <w:p>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谈</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判</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pPr>
        <w:widowControl w:val="0"/>
        <w:snapToGrid w:val="0"/>
        <w:spacing w:before="240"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w:t>
      </w:r>
      <w:r>
        <w:rPr>
          <w:rFonts w:hint="eastAsia" w:ascii="宋体" w:hAnsi="宋体"/>
          <w:color w:val="auto"/>
          <w:sz w:val="32"/>
          <w:szCs w:val="32"/>
          <w:highlight w:val="none"/>
          <w:lang w:val="en-US" w:eastAsia="zh-CN"/>
        </w:rPr>
        <w:t>安县竞谈采购-2025-28</w:t>
      </w:r>
      <w:r>
        <w:rPr>
          <w:rFonts w:eastAsia="黑体"/>
          <w:b/>
          <w:color w:val="auto"/>
          <w:sz w:val="30"/>
          <w:szCs w:val="30"/>
          <w:highlight w:val="none"/>
        </w:rPr>
        <w:t xml:space="preserve"> </w:t>
      </w: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jc w:val="center"/>
        <w:rPr>
          <w:rFonts w:eastAsia="黑体"/>
          <w:b/>
          <w:color w:val="auto"/>
          <w:sz w:val="44"/>
          <w:highlight w:val="none"/>
        </w:rPr>
      </w:pPr>
    </w:p>
    <w:p>
      <w:pPr>
        <w:widowControl w:val="0"/>
        <w:snapToGrid w:val="0"/>
        <w:spacing w:before="240" w:beforeLines="100" w:line="560" w:lineRule="exact"/>
        <w:rPr>
          <w:rFonts w:eastAsia="黑体"/>
          <w:b/>
          <w:color w:val="auto"/>
          <w:sz w:val="44"/>
          <w:highlight w:val="none"/>
        </w:rPr>
      </w:pPr>
    </w:p>
    <w:p>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采购人：安阳县公安局</w:t>
      </w:r>
    </w:p>
    <w:p>
      <w:pPr>
        <w:widowControl w:val="0"/>
        <w:snapToGrid w:val="0"/>
        <w:spacing w:line="660" w:lineRule="exact"/>
        <w:ind w:firstLine="540" w:firstLineChars="168"/>
        <w:rPr>
          <w:rFonts w:ascii="黑体" w:hAnsi="黑体" w:eastAsia="黑体"/>
          <w:b/>
          <w:color w:val="auto"/>
          <w:sz w:val="32"/>
          <w:szCs w:val="32"/>
          <w:highlight w:val="none"/>
        </w:rPr>
        <w:sectPr>
          <w:footerReference r:id="rId6" w:type="first"/>
          <w:headerReference r:id="rId3" w:type="default"/>
          <w:footerReference r:id="rId4" w:type="default"/>
          <w:footerReference r:id="rId5"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pPr>
        <w:widowControl w:val="0"/>
        <w:snapToGrid w:val="0"/>
        <w:spacing w:line="660" w:lineRule="exact"/>
        <w:ind w:firstLine="540" w:firstLineChars="168"/>
        <w:rPr>
          <w:rFonts w:ascii="黑体" w:hAnsi="黑体" w:eastAsia="黑体"/>
          <w:b/>
          <w:color w:val="auto"/>
          <w:sz w:val="32"/>
          <w:szCs w:val="32"/>
          <w:highlight w:val="none"/>
        </w:rPr>
      </w:pPr>
    </w:p>
    <w:p>
      <w:pPr>
        <w:pStyle w:val="49"/>
        <w:jc w:val="center"/>
        <w:rPr>
          <w:rFonts w:ascii="黑体" w:hAnsi="黑体" w:eastAsia="黑体"/>
          <w:color w:val="auto"/>
          <w:sz w:val="36"/>
          <w:szCs w:val="36"/>
          <w:highlight w:val="none"/>
          <w:lang w:val="zh-CN"/>
        </w:rPr>
      </w:pPr>
      <w:r>
        <w:rPr>
          <w:rFonts w:hint="eastAsia" w:ascii="黑体" w:hAnsi="黑体" w:eastAsia="黑体"/>
          <w:color w:val="auto"/>
          <w:sz w:val="36"/>
          <w:szCs w:val="36"/>
          <w:highlight w:val="none"/>
          <w:lang w:val="zh-CN"/>
        </w:rPr>
        <w:t>目录</w:t>
      </w:r>
    </w:p>
    <w:p>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"_Toc209083622" </w:instrText>
      </w:r>
      <w:r>
        <w:rPr>
          <w:color w:val="auto"/>
          <w:highlight w:val="none"/>
        </w:rPr>
        <w:fldChar w:fldCharType="separate"/>
      </w:r>
      <w:r>
        <w:rPr>
          <w:rStyle w:val="19"/>
          <w:rFonts w:hint="eastAsia" w:eastAsia="黑体"/>
          <w:b/>
          <w:color w:val="auto"/>
          <w:highlight w:val="none"/>
        </w:rPr>
        <w:t>第一章</w:t>
      </w:r>
      <w:r>
        <w:rPr>
          <w:rStyle w:val="19"/>
          <w:rFonts w:eastAsia="黑体"/>
          <w:b/>
          <w:color w:val="auto"/>
          <w:highlight w:val="none"/>
        </w:rPr>
        <w:t xml:space="preserve"> </w:t>
      </w:r>
      <w:r>
        <w:rPr>
          <w:rStyle w:val="19"/>
          <w:rFonts w:hint="eastAsia" w:eastAsia="黑体"/>
          <w:b/>
          <w:color w:val="auto"/>
          <w:highlight w:val="none"/>
        </w:rPr>
        <w:t>谈判公告</w:t>
      </w:r>
      <w:r>
        <w:rPr>
          <w:color w:val="auto"/>
          <w:highlight w:val="none"/>
        </w:rPr>
        <w:tab/>
      </w:r>
      <w:r>
        <w:rPr>
          <w:color w:val="auto"/>
          <w:highlight w:val="none"/>
        </w:rPr>
        <w:fldChar w:fldCharType="begin"/>
      </w:r>
      <w:r>
        <w:rPr>
          <w:color w:val="auto"/>
          <w:highlight w:val="none"/>
        </w:rPr>
        <w:instrText xml:space="preserve"> PAGEREF _Toc209083622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"_Toc209083623" </w:instrText>
      </w:r>
      <w:r>
        <w:rPr>
          <w:color w:val="auto"/>
          <w:highlight w:val="none"/>
        </w:rPr>
        <w:fldChar w:fldCharType="separate"/>
      </w:r>
      <w:r>
        <w:rPr>
          <w:rStyle w:val="19"/>
          <w:rFonts w:hint="eastAsia" w:eastAsia="黑体"/>
          <w:b/>
          <w:color w:val="auto"/>
          <w:highlight w:val="none"/>
        </w:rPr>
        <w:t>第二章</w:t>
      </w:r>
      <w:r>
        <w:rPr>
          <w:rStyle w:val="19"/>
          <w:rFonts w:eastAsia="黑体"/>
          <w:b/>
          <w:color w:val="auto"/>
          <w:highlight w:val="none"/>
        </w:rPr>
        <w:t xml:space="preserve"> </w:t>
      </w:r>
      <w:r>
        <w:rPr>
          <w:rStyle w:val="19"/>
          <w:rFonts w:hint="eastAsia" w:eastAsia="黑体"/>
          <w:b/>
          <w:color w:val="auto"/>
          <w:highlight w:val="none"/>
        </w:rPr>
        <w:t>采购项目及技术服务要求</w:t>
      </w:r>
      <w:r>
        <w:rPr>
          <w:color w:val="auto"/>
          <w:highlight w:val="none"/>
        </w:rPr>
        <w:tab/>
      </w:r>
      <w:r>
        <w:rPr>
          <w:color w:val="auto"/>
          <w:highlight w:val="none"/>
        </w:rPr>
        <w:fldChar w:fldCharType="begin"/>
      </w:r>
      <w:r>
        <w:rPr>
          <w:color w:val="auto"/>
          <w:highlight w:val="none"/>
        </w:rPr>
        <w:instrText xml:space="preserve"> PAGEREF _Toc209083623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"_Toc209083624" </w:instrText>
      </w:r>
      <w:r>
        <w:rPr>
          <w:color w:val="auto"/>
          <w:highlight w:val="none"/>
        </w:rPr>
        <w:fldChar w:fldCharType="separate"/>
      </w:r>
      <w:r>
        <w:rPr>
          <w:rStyle w:val="19"/>
          <w:rFonts w:ascii="黑体" w:hAnsi="黑体" w:eastAsia="黑体"/>
          <w:b/>
          <w:color w:val="auto"/>
          <w:highlight w:val="none"/>
        </w:rPr>
        <w:t xml:space="preserve">1. </w:t>
      </w:r>
      <w:r>
        <w:rPr>
          <w:rStyle w:val="19"/>
          <w:rFonts w:hint="eastAsia" w:ascii="黑体" w:hAnsi="黑体" w:eastAsia="黑体"/>
          <w:b/>
          <w:color w:val="auto"/>
          <w:highlight w:val="none"/>
        </w:rPr>
        <w:t>采购项目、标段（包）划分、投标报价</w:t>
      </w:r>
      <w:r>
        <w:rPr>
          <w:color w:val="auto"/>
          <w:highlight w:val="none"/>
        </w:rPr>
        <w:tab/>
      </w:r>
      <w:r>
        <w:rPr>
          <w:color w:val="auto"/>
          <w:highlight w:val="none"/>
        </w:rPr>
        <w:fldChar w:fldCharType="begin"/>
      </w:r>
      <w:r>
        <w:rPr>
          <w:color w:val="auto"/>
          <w:highlight w:val="none"/>
        </w:rPr>
        <w:instrText xml:space="preserve"> PAGEREF _Toc209083624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"_Toc209083625" </w:instrText>
      </w:r>
      <w:r>
        <w:rPr>
          <w:color w:val="auto"/>
          <w:highlight w:val="none"/>
        </w:rPr>
        <w:fldChar w:fldCharType="separate"/>
      </w:r>
      <w:r>
        <w:rPr>
          <w:rStyle w:val="19"/>
          <w:rFonts w:ascii="黑体" w:hAnsi="黑体" w:eastAsia="黑体"/>
          <w:b/>
          <w:color w:val="auto"/>
          <w:highlight w:val="none"/>
        </w:rPr>
        <w:t xml:space="preserve">2. </w:t>
      </w:r>
      <w:r>
        <w:rPr>
          <w:rStyle w:val="19"/>
          <w:rFonts w:hint="eastAsia" w:ascii="黑体" w:hAnsi="黑体" w:eastAsia="黑体"/>
          <w:b/>
          <w:color w:val="auto"/>
          <w:highlight w:val="none"/>
        </w:rPr>
        <w:t>标段（包）内容（范围）及基本技术要求</w:t>
      </w:r>
      <w:r>
        <w:rPr>
          <w:color w:val="auto"/>
          <w:highlight w:val="none"/>
        </w:rPr>
        <w:tab/>
      </w:r>
      <w:r>
        <w:rPr>
          <w:color w:val="auto"/>
          <w:highlight w:val="none"/>
        </w:rPr>
        <w:fldChar w:fldCharType="begin"/>
      </w:r>
      <w:r>
        <w:rPr>
          <w:color w:val="auto"/>
          <w:highlight w:val="none"/>
        </w:rPr>
        <w:instrText xml:space="preserve"> PAGEREF _Toc209083625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"_Toc209083626" </w:instrText>
      </w:r>
      <w:r>
        <w:rPr>
          <w:color w:val="auto"/>
          <w:highlight w:val="none"/>
        </w:rPr>
        <w:fldChar w:fldCharType="separate"/>
      </w:r>
      <w:r>
        <w:rPr>
          <w:rStyle w:val="19"/>
          <w:rFonts w:ascii="黑体" w:hAnsi="黑体" w:eastAsia="黑体"/>
          <w:b/>
          <w:color w:val="auto"/>
          <w:highlight w:val="none"/>
        </w:rPr>
        <w:t xml:space="preserve">2.8  </w:t>
      </w:r>
      <w:r>
        <w:rPr>
          <w:rStyle w:val="19"/>
          <w:rFonts w:hint="eastAsia" w:ascii="黑体" w:hAnsi="黑体" w:eastAsia="黑体"/>
          <w:b/>
          <w:color w:val="auto"/>
          <w:highlight w:val="none"/>
        </w:rPr>
        <w:t>售后服务的基本条款（采购标的需满足的服务标准、期限、效率等要求）</w:t>
      </w:r>
      <w:r>
        <w:rPr>
          <w:color w:val="auto"/>
          <w:highlight w:val="none"/>
        </w:rPr>
        <w:tab/>
      </w:r>
      <w:r>
        <w:rPr>
          <w:color w:val="auto"/>
          <w:highlight w:val="none"/>
        </w:rPr>
        <w:fldChar w:fldCharType="begin"/>
      </w:r>
      <w:r>
        <w:rPr>
          <w:color w:val="auto"/>
          <w:highlight w:val="none"/>
        </w:rPr>
        <w:instrText xml:space="preserve"> PAGEREF _Toc209083626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"_Toc209083627" </w:instrText>
      </w:r>
      <w:r>
        <w:rPr>
          <w:color w:val="auto"/>
          <w:highlight w:val="none"/>
        </w:rPr>
        <w:fldChar w:fldCharType="separate"/>
      </w:r>
      <w:r>
        <w:rPr>
          <w:rStyle w:val="19"/>
          <w:rFonts w:ascii="黑体" w:hAnsi="黑体" w:eastAsia="黑体"/>
          <w:b/>
          <w:color w:val="auto"/>
          <w:highlight w:val="none"/>
        </w:rPr>
        <w:t xml:space="preserve">3. </w:t>
      </w:r>
      <w:r>
        <w:rPr>
          <w:rStyle w:val="19"/>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_Toc209083627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"_Toc209083628" </w:instrText>
      </w:r>
      <w:r>
        <w:rPr>
          <w:color w:val="auto"/>
          <w:highlight w:val="none"/>
        </w:rPr>
        <w:fldChar w:fldCharType="separate"/>
      </w:r>
      <w:r>
        <w:rPr>
          <w:rStyle w:val="19"/>
          <w:rFonts w:hint="eastAsia" w:eastAsia="黑体"/>
          <w:b/>
          <w:color w:val="auto"/>
          <w:highlight w:val="none"/>
        </w:rPr>
        <w:t>第三章</w:t>
      </w:r>
      <w:r>
        <w:rPr>
          <w:rStyle w:val="19"/>
          <w:rFonts w:eastAsia="黑体"/>
          <w:b/>
          <w:color w:val="auto"/>
          <w:highlight w:val="none"/>
        </w:rPr>
        <w:t xml:space="preserve"> </w:t>
      </w:r>
      <w:r>
        <w:rPr>
          <w:rStyle w:val="19"/>
          <w:rFonts w:hint="eastAsia" w:eastAsia="黑体"/>
          <w:b/>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_Toc209083628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"_Toc209083629" </w:instrText>
      </w:r>
      <w:r>
        <w:rPr>
          <w:color w:val="auto"/>
          <w:highlight w:val="none"/>
        </w:rPr>
        <w:fldChar w:fldCharType="separate"/>
      </w:r>
      <w:r>
        <w:rPr>
          <w:rStyle w:val="19"/>
          <w:rFonts w:hint="eastAsia" w:eastAsia="黑体"/>
          <w:b/>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_Toc209083629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"_Toc209083630" </w:instrText>
      </w:r>
      <w:r>
        <w:rPr>
          <w:color w:val="auto"/>
          <w:highlight w:val="none"/>
        </w:rPr>
        <w:fldChar w:fldCharType="separate"/>
      </w:r>
      <w:r>
        <w:rPr>
          <w:rStyle w:val="19"/>
          <w:rFonts w:ascii="黑体" w:hAnsi="黑体" w:eastAsia="黑体" w:cs="楷体_GB2312"/>
          <w:b/>
          <w:bCs/>
          <w:color w:val="auto"/>
          <w:highlight w:val="none"/>
          <w:lang w:val="zh-CN"/>
        </w:rPr>
        <w:t xml:space="preserve">1. </w:t>
      </w:r>
      <w:r>
        <w:rPr>
          <w:rStyle w:val="19"/>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_Toc209083630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"_Toc209083631" </w:instrText>
      </w:r>
      <w:r>
        <w:rPr>
          <w:color w:val="auto"/>
          <w:highlight w:val="none"/>
        </w:rPr>
        <w:fldChar w:fldCharType="separate"/>
      </w:r>
      <w:r>
        <w:rPr>
          <w:rStyle w:val="19"/>
          <w:rFonts w:ascii="黑体" w:hAnsi="黑体" w:eastAsia="黑体" w:cs="楷体_GB2312"/>
          <w:b/>
          <w:bCs/>
          <w:color w:val="auto"/>
          <w:highlight w:val="none"/>
          <w:lang w:val="zh-CN"/>
        </w:rPr>
        <w:t xml:space="preserve">2. </w:t>
      </w:r>
      <w:r>
        <w:rPr>
          <w:rStyle w:val="19"/>
          <w:rFonts w:hint="eastAsia" w:ascii="黑体" w:hAnsi="黑体" w:eastAsia="黑体" w:cs="楷体_GB2312"/>
          <w:b/>
          <w:bCs/>
          <w:color w:val="auto"/>
          <w:highlight w:val="none"/>
          <w:lang w:val="zh-CN"/>
        </w:rPr>
        <w:t>谈判文件</w:t>
      </w:r>
      <w:r>
        <w:rPr>
          <w:color w:val="auto"/>
          <w:highlight w:val="none"/>
        </w:rPr>
        <w:tab/>
      </w:r>
      <w:r>
        <w:rPr>
          <w:color w:val="auto"/>
          <w:highlight w:val="none"/>
        </w:rPr>
        <w:fldChar w:fldCharType="begin"/>
      </w:r>
      <w:r>
        <w:rPr>
          <w:color w:val="auto"/>
          <w:highlight w:val="none"/>
        </w:rPr>
        <w:instrText xml:space="preserve"> PAGEREF _Toc209083631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"_Toc209083632" </w:instrText>
      </w:r>
      <w:r>
        <w:rPr>
          <w:color w:val="auto"/>
          <w:highlight w:val="none"/>
        </w:rPr>
        <w:fldChar w:fldCharType="separate"/>
      </w:r>
      <w:r>
        <w:rPr>
          <w:rStyle w:val="19"/>
          <w:rFonts w:ascii="黑体" w:hAnsi="黑体" w:eastAsia="黑体" w:cs="楷体_GB2312"/>
          <w:b/>
          <w:bCs/>
          <w:color w:val="auto"/>
          <w:highlight w:val="none"/>
          <w:lang w:val="zh-CN"/>
        </w:rPr>
        <w:t xml:space="preserve">3. </w:t>
      </w:r>
      <w:r>
        <w:rPr>
          <w:rStyle w:val="19"/>
          <w:rFonts w:hint="eastAsia" w:ascii="黑体" w:hAnsi="黑体" w:eastAsia="黑体" w:cs="楷体_GB2312"/>
          <w:b/>
          <w:bCs/>
          <w:color w:val="auto"/>
          <w:highlight w:val="none"/>
          <w:lang w:val="zh-CN"/>
        </w:rPr>
        <w:t>投标文件（响应文件）</w:t>
      </w:r>
      <w:r>
        <w:rPr>
          <w:color w:val="auto"/>
          <w:highlight w:val="none"/>
        </w:rPr>
        <w:tab/>
      </w:r>
      <w:r>
        <w:rPr>
          <w:color w:val="auto"/>
          <w:highlight w:val="none"/>
        </w:rPr>
        <w:fldChar w:fldCharType="begin"/>
      </w:r>
      <w:r>
        <w:rPr>
          <w:color w:val="auto"/>
          <w:highlight w:val="none"/>
        </w:rPr>
        <w:instrText xml:space="preserve"> PAGEREF _Toc209083632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"_Toc209083633" </w:instrText>
      </w:r>
      <w:r>
        <w:rPr>
          <w:color w:val="auto"/>
          <w:highlight w:val="none"/>
        </w:rPr>
        <w:fldChar w:fldCharType="separate"/>
      </w:r>
      <w:r>
        <w:rPr>
          <w:rStyle w:val="19"/>
          <w:rFonts w:ascii="黑体" w:hAnsi="黑体" w:eastAsia="黑体" w:cs="楷体_GB2312"/>
          <w:b/>
          <w:bCs/>
          <w:color w:val="auto"/>
          <w:highlight w:val="none"/>
          <w:lang w:val="zh-CN"/>
        </w:rPr>
        <w:t xml:space="preserve">4. </w:t>
      </w:r>
      <w:r>
        <w:rPr>
          <w:rStyle w:val="19"/>
          <w:rFonts w:hint="eastAsia" w:ascii="黑体" w:hAnsi="黑体" w:eastAsia="黑体" w:cs="楷体_GB2312"/>
          <w:b/>
          <w:bCs/>
          <w:color w:val="auto"/>
          <w:highlight w:val="none"/>
          <w:lang w:val="zh-CN"/>
        </w:rPr>
        <w:t>投标（响应文件的递交）</w:t>
      </w:r>
      <w:r>
        <w:rPr>
          <w:color w:val="auto"/>
          <w:highlight w:val="none"/>
        </w:rPr>
        <w:tab/>
      </w:r>
      <w:r>
        <w:rPr>
          <w:color w:val="auto"/>
          <w:highlight w:val="none"/>
        </w:rPr>
        <w:fldChar w:fldCharType="begin"/>
      </w:r>
      <w:r>
        <w:rPr>
          <w:color w:val="auto"/>
          <w:highlight w:val="none"/>
        </w:rPr>
        <w:instrText xml:space="preserve"> PAGEREF _Toc209083633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"_Toc209083634" </w:instrText>
      </w:r>
      <w:r>
        <w:rPr>
          <w:color w:val="auto"/>
          <w:highlight w:val="none"/>
        </w:rPr>
        <w:fldChar w:fldCharType="separate"/>
      </w:r>
      <w:r>
        <w:rPr>
          <w:rStyle w:val="19"/>
          <w:rFonts w:ascii="黑体" w:hAnsi="黑体" w:eastAsia="黑体" w:cs="楷体_GB2312"/>
          <w:b/>
          <w:bCs/>
          <w:color w:val="auto"/>
          <w:highlight w:val="none"/>
          <w:lang w:val="zh-CN"/>
        </w:rPr>
        <w:t xml:space="preserve">5. </w:t>
      </w:r>
      <w:r>
        <w:rPr>
          <w:rStyle w:val="19"/>
          <w:rFonts w:hint="eastAsia" w:ascii="黑体" w:hAnsi="黑体" w:eastAsia="黑体" w:cs="楷体_GB2312"/>
          <w:b/>
          <w:bCs/>
          <w:color w:val="auto"/>
          <w:highlight w:val="none"/>
          <w:lang w:val="zh-CN"/>
        </w:rPr>
        <w:t>开标（响应文件的开启）</w:t>
      </w:r>
      <w:r>
        <w:rPr>
          <w:color w:val="auto"/>
          <w:highlight w:val="none"/>
        </w:rPr>
        <w:tab/>
      </w:r>
      <w:r>
        <w:rPr>
          <w:color w:val="auto"/>
          <w:highlight w:val="none"/>
        </w:rPr>
        <w:fldChar w:fldCharType="begin"/>
      </w:r>
      <w:r>
        <w:rPr>
          <w:color w:val="auto"/>
          <w:highlight w:val="none"/>
        </w:rPr>
        <w:instrText xml:space="preserve"> PAGEREF _Toc209083634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"_Toc209083635" </w:instrText>
      </w:r>
      <w:r>
        <w:rPr>
          <w:color w:val="auto"/>
          <w:highlight w:val="none"/>
        </w:rPr>
        <w:fldChar w:fldCharType="separate"/>
      </w:r>
      <w:r>
        <w:rPr>
          <w:rStyle w:val="19"/>
          <w:rFonts w:ascii="黑体" w:hAnsi="黑体" w:eastAsia="黑体" w:cs="楷体_GB2312"/>
          <w:b/>
          <w:bCs/>
          <w:color w:val="auto"/>
          <w:highlight w:val="none"/>
          <w:lang w:val="zh-CN"/>
        </w:rPr>
        <w:t xml:space="preserve">6. </w:t>
      </w:r>
      <w:r>
        <w:rPr>
          <w:rStyle w:val="19"/>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_Toc209083635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"_Toc209083636" </w:instrText>
      </w:r>
      <w:r>
        <w:rPr>
          <w:color w:val="auto"/>
          <w:highlight w:val="none"/>
        </w:rPr>
        <w:fldChar w:fldCharType="separate"/>
      </w:r>
      <w:r>
        <w:rPr>
          <w:rStyle w:val="19"/>
          <w:rFonts w:ascii="黑体" w:hAnsi="黑体" w:eastAsia="黑体" w:cs="楷体_GB2312"/>
          <w:b/>
          <w:bCs/>
          <w:color w:val="auto"/>
          <w:highlight w:val="none"/>
          <w:lang w:val="zh-CN"/>
        </w:rPr>
        <w:t xml:space="preserve">7. </w:t>
      </w:r>
      <w:r>
        <w:rPr>
          <w:rStyle w:val="19"/>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_Toc209083636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"_Toc209083637" </w:instrText>
      </w:r>
      <w:r>
        <w:rPr>
          <w:color w:val="auto"/>
          <w:highlight w:val="none"/>
        </w:rPr>
        <w:fldChar w:fldCharType="separate"/>
      </w:r>
      <w:r>
        <w:rPr>
          <w:rStyle w:val="19"/>
          <w:rFonts w:ascii="黑体" w:hAnsi="黑体" w:eastAsia="黑体" w:cs="楷体_GB2312"/>
          <w:b/>
          <w:bCs/>
          <w:color w:val="auto"/>
          <w:highlight w:val="none"/>
          <w:lang w:val="zh-CN"/>
        </w:rPr>
        <w:t xml:space="preserve">8. </w:t>
      </w:r>
      <w:r>
        <w:rPr>
          <w:rStyle w:val="19"/>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_Toc209083637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"_Toc209083638" </w:instrText>
      </w:r>
      <w:r>
        <w:rPr>
          <w:color w:val="auto"/>
          <w:highlight w:val="none"/>
        </w:rPr>
        <w:fldChar w:fldCharType="separate"/>
      </w:r>
      <w:r>
        <w:rPr>
          <w:rStyle w:val="19"/>
          <w:rFonts w:ascii="黑体" w:hAnsi="黑体" w:eastAsia="黑体" w:cs="楷体_GB2312"/>
          <w:b/>
          <w:bCs/>
          <w:color w:val="auto"/>
          <w:highlight w:val="none"/>
          <w:lang w:val="zh-CN"/>
        </w:rPr>
        <w:t>9.</w:t>
      </w:r>
      <w:r>
        <w:rPr>
          <w:rStyle w:val="19"/>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_Toc209083638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"_Toc209083639" </w:instrText>
      </w:r>
      <w:r>
        <w:rPr>
          <w:color w:val="auto"/>
          <w:highlight w:val="none"/>
        </w:rPr>
        <w:fldChar w:fldCharType="separate"/>
      </w:r>
      <w:r>
        <w:rPr>
          <w:rStyle w:val="19"/>
          <w:rFonts w:ascii="黑体" w:hAnsi="黑体" w:eastAsia="黑体" w:cs="楷体_GB2312"/>
          <w:b/>
          <w:bCs/>
          <w:color w:val="auto"/>
          <w:highlight w:val="none"/>
          <w:lang w:val="zh-CN"/>
        </w:rPr>
        <w:t xml:space="preserve">10. </w:t>
      </w:r>
      <w:r>
        <w:rPr>
          <w:rStyle w:val="19"/>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_Toc209083639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"_Toc209083640" </w:instrText>
      </w:r>
      <w:r>
        <w:rPr>
          <w:color w:val="auto"/>
          <w:highlight w:val="none"/>
        </w:rPr>
        <w:fldChar w:fldCharType="separate"/>
      </w:r>
      <w:r>
        <w:rPr>
          <w:rStyle w:val="19"/>
          <w:rFonts w:ascii="黑体" w:hAnsi="黑体" w:eastAsia="黑体" w:cs="楷体_GB2312"/>
          <w:b/>
          <w:bCs/>
          <w:color w:val="auto"/>
          <w:highlight w:val="none"/>
          <w:lang w:val="zh-CN"/>
        </w:rPr>
        <w:t xml:space="preserve">11. </w:t>
      </w:r>
      <w:r>
        <w:rPr>
          <w:rStyle w:val="19"/>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_Toc209083640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"_Toc209083641" </w:instrText>
      </w:r>
      <w:r>
        <w:rPr>
          <w:color w:val="auto"/>
          <w:highlight w:val="none"/>
        </w:rPr>
        <w:fldChar w:fldCharType="separate"/>
      </w:r>
      <w:r>
        <w:rPr>
          <w:rStyle w:val="19"/>
          <w:rFonts w:hint="eastAsia" w:ascii="黑体" w:hAnsi="黑体" w:eastAsia="黑体"/>
          <w:b/>
          <w:color w:val="auto"/>
          <w:highlight w:val="none"/>
          <w:lang w:val="zh-CN"/>
        </w:rPr>
        <w:t>第四章</w:t>
      </w:r>
      <w:r>
        <w:rPr>
          <w:rStyle w:val="19"/>
          <w:rFonts w:ascii="黑体" w:hAnsi="黑体" w:eastAsia="黑体"/>
          <w:b/>
          <w:color w:val="auto"/>
          <w:highlight w:val="none"/>
          <w:lang w:val="zh-CN"/>
        </w:rPr>
        <w:t xml:space="preserve"> </w:t>
      </w:r>
      <w:r>
        <w:rPr>
          <w:rStyle w:val="19"/>
          <w:rFonts w:hint="eastAsia" w:ascii="黑体" w:hAnsi="黑体" w:eastAsia="黑体"/>
          <w:b/>
          <w:color w:val="auto"/>
          <w:highlight w:val="none"/>
          <w:lang w:val="zh-CN"/>
        </w:rPr>
        <w:t>评审办法</w:t>
      </w:r>
      <w:r>
        <w:rPr>
          <w:color w:val="auto"/>
          <w:highlight w:val="none"/>
        </w:rPr>
        <w:tab/>
      </w:r>
      <w:r>
        <w:rPr>
          <w:color w:val="auto"/>
          <w:highlight w:val="none"/>
        </w:rPr>
        <w:fldChar w:fldCharType="begin"/>
      </w:r>
      <w:r>
        <w:rPr>
          <w:color w:val="auto"/>
          <w:highlight w:val="none"/>
        </w:rPr>
        <w:instrText xml:space="preserve"> PAGEREF _Toc209083641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"_Toc209083642" </w:instrText>
      </w:r>
      <w:r>
        <w:rPr>
          <w:color w:val="auto"/>
          <w:highlight w:val="none"/>
        </w:rPr>
        <w:fldChar w:fldCharType="separate"/>
      </w:r>
      <w:r>
        <w:rPr>
          <w:rStyle w:val="19"/>
          <w:rFonts w:hint="eastAsia" w:ascii="黑体" w:hAnsi="黑体" w:eastAsia="黑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_Toc209083642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"_Toc209083643" </w:instrText>
      </w:r>
      <w:r>
        <w:rPr>
          <w:color w:val="auto"/>
          <w:highlight w:val="none"/>
        </w:rPr>
        <w:fldChar w:fldCharType="separate"/>
      </w:r>
      <w:r>
        <w:rPr>
          <w:rStyle w:val="19"/>
          <w:rFonts w:ascii="黑体" w:hAnsi="黑体" w:eastAsia="黑体" w:cs="楷体_GB2312"/>
          <w:b/>
          <w:bCs/>
          <w:color w:val="auto"/>
          <w:highlight w:val="none"/>
          <w:lang w:val="zh-CN"/>
        </w:rPr>
        <w:t xml:space="preserve">1. </w:t>
      </w:r>
      <w:r>
        <w:rPr>
          <w:rStyle w:val="19"/>
          <w:rFonts w:hint="eastAsia" w:ascii="黑体" w:hAnsi="黑体" w:eastAsia="黑体" w:cs="楷体_GB2312"/>
          <w:b/>
          <w:bCs/>
          <w:color w:val="auto"/>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_Toc209083643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"_Toc209083644" </w:instrText>
      </w:r>
      <w:r>
        <w:rPr>
          <w:color w:val="auto"/>
          <w:highlight w:val="none"/>
        </w:rPr>
        <w:fldChar w:fldCharType="separate"/>
      </w:r>
      <w:r>
        <w:rPr>
          <w:rStyle w:val="19"/>
          <w:rFonts w:ascii="黑体" w:hAnsi="黑体" w:eastAsia="黑体" w:cs="楷体_GB2312"/>
          <w:b/>
          <w:bCs/>
          <w:color w:val="auto"/>
          <w:highlight w:val="none"/>
          <w:lang w:val="zh-CN"/>
        </w:rPr>
        <w:t xml:space="preserve">2. </w:t>
      </w:r>
      <w:r>
        <w:rPr>
          <w:rStyle w:val="19"/>
          <w:rFonts w:hint="eastAsia" w:ascii="黑体" w:hAnsi="黑体" w:eastAsia="黑体" w:cs="楷体_GB2312"/>
          <w:b/>
          <w:bCs/>
          <w:color w:val="auto"/>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_Toc209083644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"_Toc209083645" </w:instrText>
      </w:r>
      <w:r>
        <w:rPr>
          <w:color w:val="auto"/>
          <w:highlight w:val="none"/>
        </w:rPr>
        <w:fldChar w:fldCharType="separate"/>
      </w:r>
      <w:r>
        <w:rPr>
          <w:rStyle w:val="19"/>
          <w:rFonts w:ascii="黑体" w:hAnsi="黑体" w:eastAsia="黑体" w:cs="楷体_GB2312"/>
          <w:b/>
          <w:bCs/>
          <w:color w:val="auto"/>
          <w:highlight w:val="none"/>
          <w:lang w:val="zh-CN"/>
        </w:rPr>
        <w:t xml:space="preserve">3. </w:t>
      </w:r>
      <w:r>
        <w:rPr>
          <w:rStyle w:val="19"/>
          <w:rFonts w:hint="eastAsia" w:ascii="黑体" w:hAnsi="黑体" w:eastAsia="黑体" w:cs="楷体_GB2312"/>
          <w:b/>
          <w:bCs/>
          <w:color w:val="auto"/>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_Toc209083645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"_Toc209083646" </w:instrText>
      </w:r>
      <w:r>
        <w:rPr>
          <w:color w:val="auto"/>
          <w:highlight w:val="none"/>
        </w:rPr>
        <w:fldChar w:fldCharType="separate"/>
      </w:r>
      <w:r>
        <w:rPr>
          <w:rStyle w:val="19"/>
          <w:rFonts w:ascii="黑体" w:hAnsi="黑体" w:eastAsia="黑体" w:cs="楷体_GB2312"/>
          <w:b/>
          <w:bCs/>
          <w:color w:val="auto"/>
          <w:highlight w:val="none"/>
          <w:lang w:val="zh-CN"/>
        </w:rPr>
        <w:t xml:space="preserve">4. </w:t>
      </w:r>
      <w:r>
        <w:rPr>
          <w:rStyle w:val="19"/>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_Toc209083646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"_Toc209083647" </w:instrText>
      </w:r>
      <w:r>
        <w:rPr>
          <w:color w:val="auto"/>
          <w:highlight w:val="none"/>
        </w:rPr>
        <w:fldChar w:fldCharType="separate"/>
      </w:r>
      <w:r>
        <w:rPr>
          <w:rStyle w:val="19"/>
          <w:rFonts w:hint="eastAsia" w:ascii="黑体" w:eastAsia="黑体"/>
          <w:b/>
          <w:color w:val="auto"/>
          <w:highlight w:val="none"/>
        </w:rPr>
        <w:t>第五章</w:t>
      </w:r>
      <w:r>
        <w:rPr>
          <w:rStyle w:val="19"/>
          <w:rFonts w:ascii="黑体" w:eastAsia="黑体"/>
          <w:b/>
          <w:color w:val="auto"/>
          <w:highlight w:val="none"/>
        </w:rPr>
        <w:t xml:space="preserve"> </w:t>
      </w:r>
      <w:r>
        <w:rPr>
          <w:rStyle w:val="19"/>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_Toc209083647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"_Toc209083652" </w:instrText>
      </w:r>
      <w:r>
        <w:rPr>
          <w:color w:val="auto"/>
          <w:highlight w:val="none"/>
        </w:rPr>
        <w:fldChar w:fldCharType="separate"/>
      </w:r>
      <w:r>
        <w:rPr>
          <w:rStyle w:val="19"/>
          <w:rFonts w:hint="eastAsia" w:ascii="黑体" w:hAnsi="黑体" w:eastAsia="黑体"/>
          <w:b/>
          <w:color w:val="auto"/>
          <w:highlight w:val="none"/>
          <w:lang w:val="zh-CN"/>
        </w:rPr>
        <w:t>第六章</w:t>
      </w:r>
      <w:r>
        <w:rPr>
          <w:rStyle w:val="19"/>
          <w:rFonts w:ascii="黑体" w:hAnsi="黑体" w:eastAsia="黑体"/>
          <w:b/>
          <w:color w:val="auto"/>
          <w:highlight w:val="none"/>
          <w:lang w:val="zh-CN"/>
        </w:rPr>
        <w:t xml:space="preserve"> </w:t>
      </w:r>
      <w:r>
        <w:rPr>
          <w:rStyle w:val="19"/>
          <w:rFonts w:hint="eastAsia" w:ascii="黑体" w:hAnsi="黑体" w:eastAsia="黑体"/>
          <w:b/>
          <w:color w:val="auto"/>
          <w:highlight w:val="none"/>
          <w:lang w:val="zh-CN"/>
        </w:rPr>
        <w:t>投标文件格式</w:t>
      </w:r>
      <w:r>
        <w:rPr>
          <w:color w:val="auto"/>
          <w:highlight w:val="none"/>
        </w:rPr>
        <w:tab/>
      </w:r>
      <w:r>
        <w:rPr>
          <w:color w:val="auto"/>
          <w:highlight w:val="none"/>
        </w:rPr>
        <w:fldChar w:fldCharType="begin"/>
      </w:r>
      <w:r>
        <w:rPr>
          <w:color w:val="auto"/>
          <w:highlight w:val="none"/>
        </w:rPr>
        <w:instrText xml:space="preserve"> PAGEREF _Toc209083652 \h </w:instrText>
      </w:r>
      <w:r>
        <w:rPr>
          <w:color w:val="auto"/>
          <w:highlight w:val="none"/>
        </w:rPr>
        <w:fldChar w:fldCharType="separate"/>
      </w:r>
      <w:r>
        <w:rPr>
          <w:color w:val="auto"/>
          <w:highlight w:val="none"/>
        </w:rPr>
        <w:t>- 58 -</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widowControl w:val="0"/>
        <w:snapToGrid w:val="0"/>
        <w:spacing w:line="660" w:lineRule="exact"/>
        <w:ind w:firstLine="607" w:firstLineChars="168"/>
        <w:rPr>
          <w:rFonts w:ascii="黑体" w:hAnsi="黑体" w:eastAsia="黑体"/>
          <w:b/>
          <w:color w:val="auto"/>
          <w:sz w:val="36"/>
          <w:szCs w:val="36"/>
          <w:highlight w:val="none"/>
        </w:rPr>
      </w:pPr>
    </w:p>
    <w:p>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pPr>
        <w:widowControl w:val="0"/>
        <w:snapToGrid w:val="0"/>
        <w:spacing w:line="560" w:lineRule="exact"/>
        <w:jc w:val="left"/>
        <w:rPr>
          <w:rFonts w:ascii="宋体"/>
          <w:b/>
          <w:color w:val="auto"/>
          <w:sz w:val="24"/>
          <w:szCs w:val="24"/>
          <w:highlight w:val="none"/>
        </w:rPr>
      </w:pPr>
    </w:p>
    <w:p>
      <w:pPr>
        <w:widowControl w:val="0"/>
        <w:snapToGrid w:val="0"/>
        <w:spacing w:line="560" w:lineRule="exact"/>
        <w:jc w:val="center"/>
        <w:outlineLvl w:val="0"/>
        <w:rPr>
          <w:color w:val="auto"/>
          <w:sz w:val="36"/>
          <w:szCs w:val="36"/>
          <w:highlight w:val="none"/>
        </w:rPr>
      </w:pPr>
      <w:bookmarkStart w:id="0" w:name="_Toc209083622"/>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谈判公告</w:t>
      </w:r>
      <w:bookmarkEnd w:id="0"/>
    </w:p>
    <w:p>
      <w:pPr>
        <w:widowControl w:val="0"/>
        <w:adjustRightInd w:val="0"/>
        <w:snapToGrid w:val="0"/>
        <w:spacing w:line="360" w:lineRule="auto"/>
        <w:ind w:firstLine="632" w:firstLineChars="225"/>
        <w:jc w:val="left"/>
        <w:rPr>
          <w:rFonts w:ascii="黑体" w:hAnsi="黑体" w:eastAsia="黑体"/>
          <w:b/>
          <w:color w:val="auto"/>
          <w:sz w:val="28"/>
          <w:szCs w:val="28"/>
          <w:highlight w:val="none"/>
        </w:rPr>
      </w:pPr>
    </w:p>
    <w:p>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w:t>
      </w:r>
      <w:bookmarkStart w:id="68" w:name="_GoBack"/>
      <w:r>
        <w:rPr>
          <w:rFonts w:hint="eastAsia" w:ascii="宋体" w:hAnsi="宋体"/>
          <w:color w:val="auto"/>
          <w:sz w:val="24"/>
          <w:szCs w:val="24"/>
          <w:highlight w:val="none"/>
        </w:rPr>
        <w:t>安县竞谈采购-2025-28</w:t>
      </w:r>
      <w:bookmarkEnd w:id="68"/>
      <w:r>
        <w:rPr>
          <w:rFonts w:ascii="宋体" w:hAnsi="宋体"/>
          <w:color w:val="auto"/>
          <w:sz w:val="24"/>
          <w:szCs w:val="24"/>
          <w:highlight w:val="none"/>
        </w:rPr>
        <w:t xml:space="preserve"> </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w:t>
      </w:r>
      <w:bookmarkStart w:id="1" w:name="OLE_LINK4"/>
      <w:r>
        <w:rPr>
          <w:rFonts w:hint="eastAsia"/>
          <w:color w:val="auto"/>
          <w:sz w:val="24"/>
          <w:szCs w:val="24"/>
          <w:highlight w:val="none"/>
        </w:rPr>
        <w:t>安阳县公安局数字督察中心升级改造项目</w:t>
      </w:r>
      <w:bookmarkEnd w:id="1"/>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1.3采购方式：竞争性谈判</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4预算金额：47.817万元</w:t>
      </w:r>
      <w:r>
        <w:rPr>
          <w:rFonts w:ascii="宋体" w:hAnsi="宋体"/>
          <w:color w:val="auto"/>
          <w:sz w:val="24"/>
          <w:szCs w:val="24"/>
          <w:highlight w:val="none"/>
        </w:rPr>
        <w:t xml:space="preserve"> </w:t>
      </w:r>
    </w:p>
    <w:p>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w:t>
      </w:r>
      <w:bookmarkStart w:id="2" w:name="OLE_LINK3"/>
      <w:r>
        <w:rPr>
          <w:rFonts w:hint="eastAsia"/>
          <w:color w:val="auto"/>
          <w:sz w:val="24"/>
          <w:szCs w:val="24"/>
          <w:highlight w:val="none"/>
        </w:rPr>
        <w:t>视频应用、平台服务器等</w:t>
      </w:r>
      <w:r>
        <w:rPr>
          <w:rFonts w:hint="eastAsia" w:ascii="宋体" w:hAnsi="宋体"/>
          <w:color w:val="auto"/>
          <w:sz w:val="24"/>
          <w:szCs w:val="24"/>
          <w:highlight w:val="none"/>
        </w:rPr>
        <w:t>，技术参数详见《谈判文件》“基本技术要求”</w:t>
      </w:r>
    </w:p>
    <w:bookmarkEnd w:id="2"/>
    <w:p>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1.6合同履行期限：</w:t>
      </w:r>
      <w:r>
        <w:rPr>
          <w:rFonts w:hint="eastAsia"/>
          <w:color w:val="auto"/>
          <w:sz w:val="24"/>
          <w:szCs w:val="24"/>
          <w:highlight w:val="none"/>
        </w:rPr>
        <w:t>合同签订日起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日内</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w:t>
      </w:r>
      <w:r>
        <w:rPr>
          <w:rFonts w:hint="eastAsia" w:ascii="宋体" w:hAnsi="宋体" w:cs="楷体_GB2312"/>
          <w:color w:val="auto"/>
          <w:sz w:val="24"/>
          <w:highlight w:val="none"/>
          <w:lang w:val="zh-CN"/>
        </w:rPr>
        <w:t>否</w:t>
      </w:r>
    </w:p>
    <w:p>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w:t>
      </w:r>
      <w:r>
        <w:rPr>
          <w:rFonts w:hint="eastAsia" w:ascii="宋体" w:hAnsi="宋体" w:cs="楷体_GB2312"/>
          <w:color w:val="auto"/>
          <w:sz w:val="24"/>
          <w:highlight w:val="none"/>
          <w:lang w:val="zh-CN"/>
        </w:rPr>
        <w:t>否</w:t>
      </w:r>
    </w:p>
    <w:p>
      <w:pPr>
        <w:widowControl w:val="0"/>
        <w:snapToGrid w:val="0"/>
        <w:spacing w:line="360" w:lineRule="auto"/>
        <w:ind w:firstLine="566"/>
        <w:rPr>
          <w:color w:val="auto"/>
          <w:sz w:val="28"/>
          <w:szCs w:val="28"/>
          <w:highlight w:val="none"/>
        </w:rPr>
      </w:pPr>
    </w:p>
    <w:p>
      <w:pPr>
        <w:widowControl w:val="0"/>
        <w:snapToGrid w:val="0"/>
        <w:spacing w:line="360" w:lineRule="auto"/>
        <w:ind w:firstLine="562" w:firstLineChars="200"/>
        <w:rPr>
          <w:rFonts w:ascii="黑体" w:hAnsi="黑体" w:eastAsia="黑体"/>
          <w:b/>
          <w:color w:val="auto"/>
          <w:sz w:val="28"/>
          <w:szCs w:val="28"/>
          <w:highlight w:val="none"/>
        </w:rPr>
      </w:pPr>
      <w:bookmarkStart w:id="3" w:name="_Toc28359080"/>
      <w:bookmarkStart w:id="4" w:name="_Toc35393791"/>
      <w:bookmarkStart w:id="5" w:name="_Toc28359003"/>
      <w:bookmarkStart w:id="6" w:name="_Toc35393622"/>
      <w:r>
        <w:rPr>
          <w:rFonts w:hint="eastAsia" w:ascii="黑体" w:hAnsi="黑体" w:eastAsia="黑体"/>
          <w:b/>
          <w:color w:val="auto"/>
          <w:sz w:val="28"/>
          <w:szCs w:val="28"/>
          <w:highlight w:val="none"/>
        </w:rPr>
        <w:t>2.申请人的资格要求：</w:t>
      </w:r>
      <w:bookmarkEnd w:id="3"/>
      <w:bookmarkEnd w:id="4"/>
      <w:bookmarkEnd w:id="5"/>
      <w:bookmarkEnd w:id="6"/>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pPr>
        <w:widowControl w:val="0"/>
        <w:adjustRightInd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《政府采购法》第二十二条第一款--法定基本资格条件需提供的相关资格证明材料（文件）：</w:t>
      </w:r>
    </w:p>
    <w:p>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）具有良好的商业信誉和健全的财务会计制度，有依法缴纳税收和社会保障资金的良好记录。■提供银行出具的近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依法免税或不需要缴纳社会保障资金的供应商，应提供相应证明文件。</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年内在经营活动中没有重大违法记录。■提供供应商书面声明；供应商自行承诺并承担后果，声明函不实的，按《政府采购法》有关提供虚假材料的有关规定给予处罚。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2对供应商的限制性规定</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注：（1）所有证照均应为有效的证照；文中“近”、“前”指距投标截止时间。</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（2）资格证明材料（文件）应附于投标文件中并经投标人电子签章。投标人对资格证明文件真实性有效合规承担责任，提供虚假材料的为无效投标并将进一步追究其责任。（按</w:t>
      </w:r>
      <w:r>
        <w:rPr>
          <w:rFonts w:hint="eastAsia" w:ascii="宋体" w:hAnsi="宋体"/>
          <w:color w:val="auto"/>
          <w:sz w:val="24"/>
          <w:szCs w:val="24"/>
          <w:highlight w:val="none"/>
          <w:lang w:val="zh-CN"/>
        </w:rPr>
        <w:t>第六章</w:t>
      </w:r>
      <w:r>
        <w:rPr>
          <w:rFonts w:hint="eastAsia" w:ascii="宋体" w:hAnsi="宋体"/>
          <w:color w:val="auto"/>
          <w:sz w:val="24"/>
          <w:szCs w:val="24"/>
          <w:highlight w:val="none"/>
        </w:rPr>
        <w:t>14-3附件提供核验材料）</w:t>
      </w:r>
    </w:p>
    <w:p>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（3）本项目采取资格后审，开标后，将由谈判小组对投标人的资格证明材料（文件）进行资格审核，未按要求逐一提供、或资格审查不合格的为无效投标，投标人应自负其风险费用。</w:t>
      </w:r>
    </w:p>
    <w:p>
      <w:pPr>
        <w:pStyle w:val="15"/>
        <w:shd w:val="clear" w:color="auto" w:fill="FFFFFF"/>
        <w:adjustRightInd w:val="0"/>
        <w:spacing w:before="50" w:beforeAutospacing="0" w:after="0" w:afterAutospacing="0" w:line="300" w:lineRule="auto"/>
        <w:ind w:firstLine="542" w:firstLineChars="225"/>
        <w:rPr>
          <w:b/>
          <w:color w:val="auto"/>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．获取谈判文件</w:t>
      </w:r>
    </w:p>
    <w:p>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u w:val="single"/>
        </w:rPr>
        <w:t>2025</w:t>
      </w:r>
      <w:r>
        <w:rPr>
          <w:rFonts w:hint="eastAsia"/>
          <w:color w:val="auto"/>
          <w:sz w:val="24"/>
          <w:szCs w:val="24"/>
        </w:rPr>
        <w:t>年</w:t>
      </w:r>
      <w:r>
        <w:rPr>
          <w:rFonts w:hint="eastAsia"/>
          <w:color w:val="auto"/>
          <w:sz w:val="24"/>
          <w:szCs w:val="24"/>
          <w:u w:val="single"/>
          <w:lang w:val="en-US" w:eastAsia="zh-CN"/>
        </w:rPr>
        <w:t>11</w:t>
      </w:r>
      <w:r>
        <w:rPr>
          <w:rFonts w:hint="eastAsia"/>
          <w:color w:val="auto"/>
          <w:sz w:val="24"/>
          <w:szCs w:val="24"/>
        </w:rPr>
        <w:t>月</w:t>
      </w:r>
      <w:r>
        <w:rPr>
          <w:rFonts w:hint="eastAsia"/>
          <w:color w:val="auto"/>
          <w:sz w:val="24"/>
          <w:szCs w:val="24"/>
          <w:u w:val="single"/>
          <w:lang w:val="en-US" w:eastAsia="zh-CN"/>
        </w:rPr>
        <w:t>3</w:t>
      </w:r>
      <w:r>
        <w:rPr>
          <w:rFonts w:hint="eastAsia"/>
          <w:color w:val="auto"/>
          <w:sz w:val="24"/>
          <w:szCs w:val="24"/>
        </w:rPr>
        <w:t>日至</w:t>
      </w:r>
      <w:r>
        <w:rPr>
          <w:rFonts w:hint="eastAsia"/>
          <w:color w:val="auto"/>
          <w:sz w:val="24"/>
          <w:szCs w:val="24"/>
          <w:u w:val="single"/>
        </w:rPr>
        <w:t>2025</w:t>
      </w:r>
      <w:r>
        <w:rPr>
          <w:rFonts w:hint="eastAsia"/>
          <w:color w:val="auto"/>
          <w:sz w:val="24"/>
          <w:szCs w:val="24"/>
        </w:rPr>
        <w:t>年</w:t>
      </w:r>
      <w:r>
        <w:rPr>
          <w:rFonts w:hint="eastAsia"/>
          <w:color w:val="auto"/>
          <w:sz w:val="24"/>
          <w:szCs w:val="24"/>
          <w:u w:val="single"/>
          <w:lang w:val="en-US" w:eastAsia="zh-CN"/>
        </w:rPr>
        <w:t>11</w:t>
      </w:r>
      <w:r>
        <w:rPr>
          <w:rFonts w:hint="eastAsia"/>
          <w:color w:val="auto"/>
          <w:sz w:val="24"/>
          <w:szCs w:val="24"/>
        </w:rPr>
        <w:t>月</w:t>
      </w:r>
      <w:r>
        <w:rPr>
          <w:rFonts w:hint="eastAsia"/>
          <w:color w:val="auto"/>
          <w:sz w:val="24"/>
          <w:szCs w:val="24"/>
          <w:u w:val="single"/>
          <w:lang w:val="en-US" w:eastAsia="zh-CN"/>
        </w:rPr>
        <w:t>5</w:t>
      </w:r>
      <w:r>
        <w:rPr>
          <w:rFonts w:hint="eastAsia"/>
          <w:color w:val="auto"/>
          <w:sz w:val="24"/>
          <w:szCs w:val="24"/>
        </w:rPr>
        <w:t>日，每天上午</w:t>
      </w:r>
      <w:r>
        <w:rPr>
          <w:rFonts w:hint="eastAsia"/>
          <w:color w:val="auto"/>
          <w:sz w:val="24"/>
          <w:szCs w:val="24"/>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pPr>
        <w:widowControl w:val="0"/>
        <w:snapToGrid w:val="0"/>
        <w:spacing w:line="360" w:lineRule="auto"/>
        <w:ind w:left="55" w:leftChars="26" w:firstLine="472" w:firstLineChars="225"/>
        <w:rPr>
          <w:rFonts w:ascii="宋体" w:hAnsi="宋体"/>
          <w:b/>
          <w:color w:val="auto"/>
          <w:sz w:val="24"/>
          <w:szCs w:val="24"/>
          <w:highlight w:val="none"/>
        </w:rPr>
      </w:pPr>
      <w:r>
        <w:rPr>
          <w:rFonts w:hint="eastAsia"/>
          <w:color w:val="auto"/>
          <w:highlight w:val="none"/>
        </w:rPr>
        <w:t>3.2地点：</w:t>
      </w:r>
      <w:r>
        <w:rPr>
          <w:rFonts w:hint="eastAsia"/>
          <w:b/>
          <w:bCs/>
          <w:color w:val="auto"/>
          <w:sz w:val="24"/>
          <w:szCs w:val="24"/>
          <w:highlight w:val="none"/>
        </w:rPr>
        <w:t>登陆安阳县公共资源交易分中心网站（</w:t>
      </w:r>
      <w:r>
        <w:rPr>
          <w:b/>
          <w:bCs/>
          <w:color w:val="auto"/>
          <w:sz w:val="24"/>
          <w:szCs w:val="24"/>
          <w:highlight w:val="none"/>
        </w:rPr>
        <w:t>https://ggzy.anyang.gov.cn/ayxggzy/</w:t>
      </w:r>
      <w:r>
        <w:rPr>
          <w:rFonts w:hint="eastAsia"/>
          <w:b/>
          <w:bCs/>
          <w:color w:val="auto"/>
          <w:sz w:val="24"/>
          <w:szCs w:val="24"/>
          <w:highlight w:val="none"/>
        </w:rPr>
        <w:t>），在【交易主体登录】入口完成注册。凭数字证书下载谈判文件及其它资料。</w:t>
      </w:r>
    </w:p>
    <w:p>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pPr>
        <w:spacing w:line="360" w:lineRule="auto"/>
        <w:ind w:firstLine="540"/>
        <w:rPr>
          <w:b/>
          <w:bCs/>
          <w:color w:val="auto"/>
          <w:sz w:val="24"/>
          <w:szCs w:val="24"/>
          <w:highlight w:val="none"/>
        </w:rPr>
      </w:pPr>
      <w:r>
        <w:rPr>
          <w:rFonts w:hint="eastAsia"/>
          <w:b/>
          <w:bCs/>
          <w:color w:val="auto"/>
          <w:sz w:val="24"/>
          <w:szCs w:val="24"/>
          <w:highlight w:val="none"/>
        </w:rPr>
        <w:t>具体流程请查询安阳县公共资源交易分中心网站-服务指南-操作手册-《安阳市公共资源交易系统投标人（供应商）操作手册》。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pPr>
        <w:widowControl w:val="0"/>
        <w:snapToGrid w:val="0"/>
        <w:spacing w:line="360" w:lineRule="auto"/>
        <w:rPr>
          <w:rFonts w:ascii="黑体" w:hAnsi="黑体" w:eastAsia="黑体"/>
          <w:b/>
          <w:color w:val="auto"/>
          <w:sz w:val="28"/>
          <w:szCs w:val="28"/>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．响应文件提交</w:t>
      </w:r>
    </w:p>
    <w:p>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4.1截止时间：2025年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日09时00分（北京时间）</w:t>
      </w:r>
    </w:p>
    <w:p>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4.2地点：于安阳县公共资源交易平台网</w:t>
      </w:r>
      <w:r>
        <w:rPr>
          <w:rFonts w:ascii="宋体" w:hAnsi="宋体"/>
          <w:color w:val="auto"/>
          <w:sz w:val="24"/>
          <w:szCs w:val="24"/>
          <w:highlight w:val="none"/>
        </w:rPr>
        <w:t>上</w:t>
      </w:r>
      <w:r>
        <w:rPr>
          <w:rFonts w:hint="eastAsia" w:ascii="宋体" w:hAnsi="宋体"/>
          <w:color w:val="auto"/>
          <w:sz w:val="24"/>
          <w:szCs w:val="24"/>
          <w:highlight w:val="none"/>
        </w:rPr>
        <w:t>上传</w:t>
      </w:r>
      <w:r>
        <w:rPr>
          <w:rFonts w:ascii="宋体" w:hAnsi="宋体"/>
          <w:color w:val="auto"/>
          <w:sz w:val="24"/>
          <w:szCs w:val="24"/>
          <w:highlight w:val="none"/>
        </w:rPr>
        <w:t>递</w:t>
      </w:r>
      <w:r>
        <w:rPr>
          <w:rFonts w:hint="eastAsia" w:ascii="宋体" w:hAnsi="宋体"/>
          <w:color w:val="auto"/>
          <w:sz w:val="24"/>
          <w:szCs w:val="24"/>
          <w:highlight w:val="none"/>
        </w:rPr>
        <w:t>交、</w:t>
      </w:r>
      <w:r>
        <w:rPr>
          <w:rFonts w:ascii="宋体" w:hAnsi="宋体"/>
          <w:color w:val="auto"/>
          <w:sz w:val="24"/>
          <w:szCs w:val="24"/>
          <w:highlight w:val="none"/>
        </w:rPr>
        <w:t>并</w:t>
      </w:r>
      <w:r>
        <w:rPr>
          <w:rFonts w:hint="eastAsia" w:ascii="宋体" w:hAnsi="宋体"/>
          <w:color w:val="auto"/>
          <w:sz w:val="24"/>
          <w:szCs w:val="24"/>
          <w:highlight w:val="none"/>
        </w:rPr>
        <w:t>由投标人</w:t>
      </w:r>
      <w:r>
        <w:rPr>
          <w:rFonts w:ascii="宋体" w:hAnsi="宋体"/>
          <w:color w:val="auto"/>
          <w:sz w:val="24"/>
          <w:szCs w:val="24"/>
          <w:highlight w:val="none"/>
        </w:rPr>
        <w:t>在规定时间</w:t>
      </w:r>
      <w:r>
        <w:rPr>
          <w:rFonts w:hint="eastAsia" w:ascii="宋体" w:hAnsi="宋体"/>
          <w:color w:val="auto"/>
          <w:sz w:val="24"/>
          <w:szCs w:val="24"/>
          <w:highlight w:val="none"/>
        </w:rPr>
        <w:t>远程解密。</w:t>
      </w:r>
    </w:p>
    <w:p>
      <w:pPr>
        <w:snapToGrid w:val="0"/>
        <w:spacing w:line="360" w:lineRule="auto"/>
        <w:ind w:firstLine="472" w:firstLineChars="225"/>
        <w:jc w:val="left"/>
        <w:rPr>
          <w:rFonts w:ascii="微软雅黑" w:hAnsi="微软雅黑" w:eastAsia="微软雅黑"/>
          <w:color w:val="auto"/>
          <w:szCs w:val="21"/>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5.响应文件开启</w:t>
      </w:r>
    </w:p>
    <w:p>
      <w:pPr>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5.1时间：2025年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日09时00分（北京时间）</w:t>
      </w:r>
    </w:p>
    <w:p>
      <w:pPr>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5.2地点（管理员网上操作地点）：安阳县公共资源交易分中心第</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开标厅（安阳市文明大道东段—安阳市城乡一体化示范区管委会院内）。</w:t>
      </w:r>
    </w:p>
    <w:p>
      <w:pPr>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5.3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pPr>
        <w:snapToGrid w:val="0"/>
        <w:spacing w:line="360" w:lineRule="auto"/>
        <w:ind w:firstLine="540" w:firstLineChars="225"/>
        <w:jc w:val="left"/>
        <w:rPr>
          <w:rFonts w:ascii="宋体" w:hAnsi="宋体"/>
          <w:color w:val="auto"/>
          <w:sz w:val="24"/>
          <w:szCs w:val="24"/>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w:t>
      </w:r>
      <w:r>
        <w:rPr>
          <w:rFonts w:hint="eastAsia"/>
          <w:color w:val="auto"/>
          <w:highlight w:val="none"/>
        </w:rPr>
        <w:t xml:space="preserve"> </w:t>
      </w:r>
      <w:r>
        <w:rPr>
          <w:rFonts w:hint="eastAsia" w:ascii="黑体" w:hAnsi="黑体" w:eastAsia="黑体"/>
          <w:b/>
          <w:color w:val="auto"/>
          <w:sz w:val="28"/>
          <w:szCs w:val="28"/>
          <w:highlight w:val="none"/>
        </w:rPr>
        <w:t>发布公告的媒介及公告期限</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全国公共资源交易平台（河南省·安阳县）</w:t>
      </w:r>
      <w:r>
        <w:rPr>
          <w:rFonts w:hint="eastAsia"/>
          <w:color w:val="auto"/>
          <w:sz w:val="24"/>
          <w:szCs w:val="24"/>
          <w:highlight w:val="none"/>
        </w:rPr>
        <w:t>安阳县公共资源交易分中心</w:t>
      </w:r>
      <w:r>
        <w:rPr>
          <w:rFonts w:hint="eastAsia" w:ascii="宋体" w:hAnsi="宋体"/>
          <w:color w:val="auto"/>
          <w:sz w:val="24"/>
          <w:szCs w:val="24"/>
          <w:highlight w:val="none"/>
        </w:rPr>
        <w:t>”、“安阳招标采购网”网站上同期发布。公告期限为三个工作日</w:t>
      </w:r>
      <w:r>
        <w:rPr>
          <w:rFonts w:hint="eastAsia" w:ascii="宋体" w:hAnsi="宋体" w:cs="宋体"/>
          <w:color w:val="auto"/>
          <w:sz w:val="24"/>
          <w:szCs w:val="24"/>
          <w:highlight w:val="none"/>
        </w:rPr>
        <w:t>。</w:t>
      </w:r>
    </w:p>
    <w:p>
      <w:pPr>
        <w:widowControl w:val="0"/>
        <w:tabs>
          <w:tab w:val="left" w:pos="39"/>
          <w:tab w:val="left" w:pos="96"/>
        </w:tabs>
        <w:snapToGrid w:val="0"/>
        <w:spacing w:line="360" w:lineRule="auto"/>
        <w:ind w:firstLine="566" w:firstLineChars="236"/>
        <w:rPr>
          <w:rFonts w:ascii="宋体" w:hAnsi="宋体" w:cs="宋体"/>
          <w:color w:val="auto"/>
          <w:sz w:val="24"/>
          <w:szCs w:val="24"/>
          <w:highlight w:val="none"/>
        </w:rPr>
      </w:pPr>
    </w:p>
    <w:p>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5"/>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pPr>
        <w:widowControl w:val="0"/>
        <w:adjustRightInd w:val="0"/>
        <w:snapToGrid w:val="0"/>
        <w:spacing w:line="360" w:lineRule="auto"/>
        <w:ind w:firstLine="542" w:firstLineChars="225"/>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1</w:t>
      </w:r>
      <w:r>
        <w:rPr>
          <w:rFonts w:hint="eastAsia" w:ascii="宋体" w:hAnsi="宋体"/>
          <w:b/>
          <w:color w:val="auto"/>
          <w:sz w:val="24"/>
          <w:szCs w:val="24"/>
          <w:highlight w:val="none"/>
        </w:rPr>
        <w:t xml:space="preserve"> 全国公共资源交易平台（</w:t>
      </w:r>
      <w:r>
        <w:rPr>
          <w:rFonts w:hint="eastAsia" w:ascii="宋体" w:hAnsi="宋体" w:cs="宋体"/>
          <w:b/>
          <w:color w:val="auto"/>
          <w:sz w:val="24"/>
          <w:szCs w:val="24"/>
          <w:highlight w:val="none"/>
        </w:rPr>
        <w:t>河南省·安阳县</w:t>
      </w:r>
      <w:r>
        <w:rPr>
          <w:rFonts w:hint="eastAsia" w:ascii="宋体" w:hAnsi="宋体"/>
          <w:b/>
          <w:color w:val="auto"/>
          <w:sz w:val="24"/>
          <w:szCs w:val="24"/>
          <w:highlight w:val="none"/>
        </w:rPr>
        <w:t>）</w:t>
      </w:r>
      <w:r>
        <w:rPr>
          <w:rFonts w:ascii="宋体" w:hAnsi="宋体"/>
          <w:b/>
          <w:color w:val="auto"/>
          <w:sz w:val="24"/>
          <w:szCs w:val="24"/>
          <w:highlight w:val="none"/>
        </w:rPr>
        <w:t>https://ggzy.anyang.gov.cn/ayxggzy/</w:t>
      </w:r>
      <w:r>
        <w:rPr>
          <w:rFonts w:hint="eastAsia" w:ascii="宋体" w:hAnsi="宋体"/>
          <w:b/>
          <w:color w:val="auto"/>
          <w:sz w:val="24"/>
          <w:szCs w:val="24"/>
          <w:highlight w:val="none"/>
        </w:rPr>
        <w:t>谈判文件简称“安阳县公共资源交易平台”</w:t>
      </w:r>
    </w:p>
    <w:p>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2</w:t>
      </w:r>
      <w:r>
        <w:rPr>
          <w:rFonts w:hint="eastAsia" w:ascii="宋体"/>
          <w:b/>
          <w:color w:val="auto"/>
          <w:sz w:val="24"/>
          <w:szCs w:val="24"/>
          <w:highlight w:val="none"/>
        </w:rPr>
        <w:t>投标文件制作软件：</w:t>
      </w:r>
      <w:r>
        <w:rPr>
          <w:rFonts w:hint="eastAsia" w:ascii="宋体" w:hAnsi="宋体"/>
          <w:b/>
          <w:color w:val="auto"/>
          <w:sz w:val="24"/>
          <w:szCs w:val="24"/>
          <w:highlight w:val="none"/>
        </w:rPr>
        <w:t>在安阳县公共资源交易平台内进行下载</w:t>
      </w:r>
      <w:r>
        <w:rPr>
          <w:rFonts w:hint="eastAsia" w:ascii="宋体"/>
          <w:b/>
          <w:color w:val="auto"/>
          <w:sz w:val="24"/>
          <w:szCs w:val="24"/>
          <w:highlight w:val="none"/>
        </w:rPr>
        <w:t>、并安装投标文件制作工具，查看</w:t>
      </w:r>
      <w:r>
        <w:rPr>
          <w:rFonts w:hint="eastAsia" w:ascii="宋体" w:hAnsi="宋体"/>
          <w:b/>
          <w:color w:val="auto"/>
          <w:sz w:val="24"/>
          <w:szCs w:val="24"/>
          <w:highlight w:val="none"/>
        </w:rPr>
        <w:t>谈判</w:t>
      </w:r>
      <w:r>
        <w:rPr>
          <w:rFonts w:hint="eastAsia" w:ascii="宋体"/>
          <w:b/>
          <w:color w:val="auto"/>
          <w:sz w:val="24"/>
          <w:szCs w:val="24"/>
          <w:highlight w:val="none"/>
        </w:rPr>
        <w:t>文件和制作电子投标文件。</w:t>
      </w:r>
    </w:p>
    <w:p>
      <w:pPr>
        <w:widowControl w:val="0"/>
        <w:snapToGrid w:val="0"/>
        <w:spacing w:line="360" w:lineRule="auto"/>
        <w:jc w:val="left"/>
        <w:rPr>
          <w:rFonts w:ascii="黑体" w:hAnsi="黑体" w:eastAsia="黑体"/>
          <w:b/>
          <w:color w:val="auto"/>
          <w:sz w:val="28"/>
          <w:szCs w:val="28"/>
          <w:highlight w:val="none"/>
        </w:rPr>
      </w:pPr>
    </w:p>
    <w:p>
      <w:pPr>
        <w:widowControl w:val="0"/>
        <w:snapToGrid w:val="0"/>
        <w:spacing w:line="360" w:lineRule="auto"/>
        <w:ind w:firstLine="562" w:firstLineChars="200"/>
        <w:rPr>
          <w:rFonts w:ascii="黑体" w:hAnsi="黑体" w:eastAsia="黑体"/>
          <w:b/>
          <w:color w:val="auto"/>
          <w:sz w:val="28"/>
          <w:szCs w:val="28"/>
          <w:highlight w:val="none"/>
        </w:rPr>
      </w:pPr>
      <w:bookmarkStart w:id="7" w:name="_Toc28359008"/>
      <w:bookmarkStart w:id="8" w:name="_Toc35393796"/>
      <w:bookmarkStart w:id="9" w:name="_Toc28359085"/>
      <w:bookmarkStart w:id="10" w:name="_Toc35393627"/>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7"/>
      <w:bookmarkEnd w:id="8"/>
      <w:bookmarkEnd w:id="9"/>
      <w:bookmarkEnd w:id="10"/>
    </w:p>
    <w:p>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名 称：</w:t>
      </w:r>
      <w:bookmarkStart w:id="11" w:name="OLE_LINK5"/>
      <w:r>
        <w:rPr>
          <w:rFonts w:hint="eastAsia" w:ascii="宋体" w:hAnsi="宋体"/>
          <w:color w:val="auto"/>
          <w:sz w:val="24"/>
          <w:szCs w:val="24"/>
          <w:highlight w:val="none"/>
        </w:rPr>
        <w:t>安阳县公安局</w:t>
      </w:r>
      <w:bookmarkEnd w:id="11"/>
    </w:p>
    <w:p>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地址：安阳市示范区锦泰东大街东段</w:t>
      </w:r>
    </w:p>
    <w:p>
      <w:pPr>
        <w:spacing w:line="360" w:lineRule="auto"/>
        <w:ind w:left="1079" w:leftChars="371" w:hanging="300" w:hangingChars="125"/>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联系人： </w:t>
      </w:r>
      <w:r>
        <w:rPr>
          <w:rFonts w:hint="eastAsia" w:ascii="宋体" w:hAnsi="宋体"/>
          <w:color w:val="auto"/>
          <w:sz w:val="24"/>
          <w:szCs w:val="24"/>
          <w:highlight w:val="none"/>
          <w:lang w:val="en-US" w:eastAsia="zh-CN"/>
        </w:rPr>
        <w:t>郝鹏涛    宋喜兵</w:t>
      </w:r>
    </w:p>
    <w:p>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联系方式：</w:t>
      </w:r>
      <w:bookmarkStart w:id="12" w:name="_Toc28359086"/>
      <w:bookmarkStart w:id="13" w:name="_Toc28359009"/>
      <w:r>
        <w:rPr>
          <w:rFonts w:hint="eastAsia" w:ascii="宋体" w:hAnsi="宋体"/>
          <w:color w:val="auto"/>
          <w:sz w:val="24"/>
          <w:szCs w:val="24"/>
          <w:highlight w:val="none"/>
          <w:lang w:val="en-US" w:eastAsia="zh-CN"/>
        </w:rPr>
        <w:t>13569075876   18537222808</w:t>
      </w:r>
      <w:r>
        <w:rPr>
          <w:rFonts w:hint="eastAsia" w:ascii="宋体" w:hAnsi="宋体"/>
          <w:color w:val="auto"/>
          <w:sz w:val="24"/>
          <w:szCs w:val="24"/>
          <w:highlight w:val="none"/>
        </w:rPr>
        <w:t xml:space="preserve"> </w:t>
      </w:r>
    </w:p>
    <w:p>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bookmarkEnd w:id="12"/>
      <w:bookmarkEnd w:id="13"/>
    </w:p>
    <w:p>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14" w:name="_Toc28359087"/>
      <w:bookmarkStart w:id="15" w:name="_Toc28359010"/>
      <w:r>
        <w:rPr>
          <w:rFonts w:hint="eastAsia" w:ascii="宋体" w:hAnsi="宋体"/>
          <w:color w:val="auto"/>
          <w:sz w:val="24"/>
          <w:szCs w:val="24"/>
          <w:highlight w:val="none"/>
        </w:rPr>
        <w:t>0372-2283981、2283982   财务部咨询电话：0372-2283983　</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14"/>
      <w:bookmarkEnd w:id="15"/>
    </w:p>
    <w:p>
      <w:pPr>
        <w:pStyle w:val="7"/>
        <w:spacing w:line="360" w:lineRule="auto"/>
        <w:ind w:firstLine="720" w:firstLineChars="300"/>
        <w:rPr>
          <w:rFonts w:hAnsi="宋体"/>
          <w:color w:val="auto"/>
          <w:sz w:val="24"/>
          <w:szCs w:val="24"/>
          <w:highlight w:val="none"/>
        </w:rPr>
      </w:pPr>
      <w:r>
        <w:rPr>
          <w:rFonts w:hint="eastAsia" w:hAnsi="宋体"/>
          <w:color w:val="auto"/>
          <w:sz w:val="24"/>
          <w:szCs w:val="24"/>
          <w:highlight w:val="none"/>
        </w:rPr>
        <w:t xml:space="preserve">项目联系人：白杨  </w:t>
      </w:r>
    </w:p>
    <w:p>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联系方式：0372-2283981、2283982 </w:t>
      </w:r>
    </w:p>
    <w:p>
      <w:pPr>
        <w:pStyle w:val="15"/>
        <w:shd w:val="clear" w:color="auto" w:fill="FFFFFF"/>
        <w:adjustRightInd w:val="0"/>
        <w:spacing w:before="50" w:beforeAutospacing="0" w:after="0" w:afterAutospacing="0" w:line="300" w:lineRule="auto"/>
        <w:rPr>
          <w:color w:val="auto"/>
          <w:highlight w:val="none"/>
        </w:rPr>
      </w:pPr>
    </w:p>
    <w:p>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：投标人完成注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取谈判文件、</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获取谈判文件：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获取谈判文件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谈判文件的澄清与修改或延期的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谈判文件的澄清、修改、补充的通知，及相应时间变更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 xml:space="preserve"> 响应文件编制：在安阳县公共资源交易中心网站下载并安装投标文件制作工具、进行编制，按《谈判文件》第三章“投标人须知”第3条第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 响应文件递交：</w:t>
      </w:r>
      <w:r>
        <w:rPr>
          <w:rFonts w:hint="eastAsia" w:ascii="宋体" w:hAnsi="宋体"/>
          <w:color w:val="auto"/>
          <w:sz w:val="24"/>
          <w:szCs w:val="24"/>
          <w:highlight w:val="none"/>
        </w:rPr>
        <w:t>投标人应在投标截止时间前上传加密的电子投标文件（*.aytf）到安阳县公共资源交易平台，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4. 投标（响应文件的递交）”</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pPr>
        <w:widowControl w:val="0"/>
        <w:tabs>
          <w:tab w:val="left" w:pos="39"/>
          <w:tab w:val="left" w:pos="96"/>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 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“5 </w:t>
      </w:r>
      <w:r>
        <w:rPr>
          <w:rFonts w:hint="eastAsia" w:ascii="宋体"/>
          <w:color w:val="auto"/>
          <w:sz w:val="24"/>
          <w:szCs w:val="24"/>
          <w:highlight w:val="none"/>
        </w:rPr>
        <w:t>开标（响应文件的开启）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谈</w:t>
      </w:r>
      <w:r>
        <w:rPr>
          <w:rFonts w:ascii="宋体" w:hAnsi="宋体"/>
          <w:color w:val="auto"/>
          <w:sz w:val="24"/>
          <w:szCs w:val="24"/>
          <w:highlight w:val="none"/>
        </w:rPr>
        <w:t>判：</w:t>
      </w:r>
      <w:r>
        <w:rPr>
          <w:rFonts w:hint="eastAsia" w:ascii="宋体" w:hAnsi="宋体"/>
          <w:color w:val="auto"/>
          <w:sz w:val="24"/>
          <w:highlight w:val="none"/>
        </w:rPr>
        <w:t>时刻关注电子开标室并及时澄清，有</w:t>
      </w:r>
      <w:r>
        <w:rPr>
          <w:rFonts w:ascii="宋体" w:hAnsi="宋体"/>
          <w:color w:val="auto"/>
          <w:sz w:val="24"/>
          <w:highlight w:val="none"/>
        </w:rPr>
        <w:t>效投标人在规定时间进行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谈判文件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望投标人充分熟悉网上电子交易操作流程、以便有效投标。</w:t>
      </w:r>
    </w:p>
    <w:p>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pPr>
        <w:widowControl w:val="0"/>
        <w:tabs>
          <w:tab w:val="left" w:pos="39"/>
          <w:tab w:val="left" w:pos="96"/>
        </w:tabs>
        <w:snapToGrid w:val="0"/>
        <w:spacing w:line="360" w:lineRule="auto"/>
        <w:ind w:firstLine="540" w:firstLineChars="225"/>
        <w:rPr>
          <w:rFonts w:ascii="宋体"/>
          <w:color w:val="auto"/>
          <w:sz w:val="24"/>
          <w:szCs w:val="24"/>
          <w:highlight w:val="none"/>
        </w:rPr>
      </w:pPr>
    </w:p>
    <w:p>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二〇二五年</w:t>
      </w:r>
      <w:r>
        <w:rPr>
          <w:rFonts w:hint="eastAsia" w:ascii="宋体"/>
          <w:color w:val="auto"/>
          <w:sz w:val="24"/>
          <w:szCs w:val="24"/>
          <w:highlight w:val="none"/>
          <w:lang w:val="en-US" w:eastAsia="zh-CN"/>
        </w:rPr>
        <w:t>十</w:t>
      </w:r>
      <w:r>
        <w:rPr>
          <w:rFonts w:hint="eastAsia" w:ascii="宋体"/>
          <w:color w:val="auto"/>
          <w:sz w:val="24"/>
          <w:szCs w:val="24"/>
          <w:highlight w:val="none"/>
        </w:rPr>
        <w:t>月</w:t>
      </w:r>
      <w:r>
        <w:rPr>
          <w:rFonts w:hint="eastAsia" w:ascii="宋体"/>
          <w:color w:val="auto"/>
          <w:sz w:val="24"/>
          <w:szCs w:val="24"/>
          <w:highlight w:val="none"/>
          <w:lang w:val="en-US" w:eastAsia="zh-CN"/>
        </w:rPr>
        <w:t>三十一</w:t>
      </w:r>
      <w:r>
        <w:rPr>
          <w:rFonts w:hint="eastAsia" w:ascii="宋体"/>
          <w:color w:val="auto"/>
          <w:sz w:val="24"/>
          <w:szCs w:val="24"/>
          <w:highlight w:val="none"/>
        </w:rPr>
        <w:t>日</w:t>
      </w:r>
    </w:p>
    <w:p>
      <w:pPr>
        <w:widowControl w:val="0"/>
        <w:tabs>
          <w:tab w:val="left" w:pos="39"/>
          <w:tab w:val="left" w:pos="96"/>
        </w:tabs>
        <w:snapToGrid w:val="0"/>
        <w:spacing w:line="360" w:lineRule="auto"/>
        <w:ind w:firstLine="630" w:firstLineChars="225"/>
        <w:rPr>
          <w:rFonts w:ascii="宋体" w:hAnsi="宋体"/>
          <w:color w:val="auto"/>
          <w:sz w:val="24"/>
          <w:szCs w:val="24"/>
          <w:highlight w:val="none"/>
        </w:rPr>
      </w:pPr>
      <w:r>
        <w:rPr>
          <w:rFonts w:eastAsia="方正黑体简体"/>
          <w:color w:val="auto"/>
          <w:sz w:val="28"/>
          <w:szCs w:val="28"/>
          <w:highlight w:val="none"/>
        </w:rPr>
        <w:br w:type="page"/>
      </w:r>
    </w:p>
    <w:p>
      <w:pPr>
        <w:widowControl w:val="0"/>
        <w:snapToGrid w:val="0"/>
        <w:spacing w:line="360" w:lineRule="auto"/>
        <w:jc w:val="center"/>
        <w:outlineLvl w:val="0"/>
        <w:rPr>
          <w:rFonts w:eastAsia="方正黑体简体"/>
          <w:color w:val="auto"/>
          <w:sz w:val="36"/>
          <w:szCs w:val="36"/>
          <w:highlight w:val="none"/>
        </w:rPr>
      </w:pPr>
      <w:bookmarkStart w:id="16" w:name="_Toc209083623"/>
      <w:r>
        <w:rPr>
          <w:rFonts w:hint="eastAsia" w:eastAsia="黑体"/>
          <w:b/>
          <w:color w:val="auto"/>
          <w:sz w:val="36"/>
          <w:szCs w:val="36"/>
          <w:highlight w:val="none"/>
        </w:rPr>
        <w:t>第二章 采购项目及技术服务要求</w:t>
      </w:r>
      <w:bookmarkEnd w:id="16"/>
    </w:p>
    <w:p>
      <w:pPr>
        <w:widowControl w:val="0"/>
        <w:snapToGrid w:val="0"/>
        <w:spacing w:line="360" w:lineRule="auto"/>
        <w:rPr>
          <w:b/>
          <w:color w:val="auto"/>
          <w:sz w:val="28"/>
          <w:highlight w:val="none"/>
        </w:rPr>
      </w:pPr>
    </w:p>
    <w:p>
      <w:pPr>
        <w:widowControl w:val="0"/>
        <w:snapToGrid w:val="0"/>
        <w:spacing w:line="360" w:lineRule="auto"/>
        <w:ind w:firstLine="422" w:firstLineChars="150"/>
        <w:jc w:val="left"/>
        <w:outlineLvl w:val="1"/>
        <w:rPr>
          <w:rFonts w:ascii="黑体" w:hAnsi="黑体" w:eastAsia="黑体"/>
          <w:b/>
          <w:color w:val="auto"/>
          <w:sz w:val="28"/>
          <w:highlight w:val="none"/>
        </w:rPr>
      </w:pPr>
      <w:bookmarkStart w:id="17" w:name="_Toc209083624"/>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采购项目、标段（包）划分、投标报价</w:t>
      </w:r>
      <w:bookmarkEnd w:id="17"/>
    </w:p>
    <w:p>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：安阳县公安局数字督察中心升级改造项目</w:t>
      </w:r>
    </w:p>
    <w:p>
      <w:pPr>
        <w:widowControl w:val="0"/>
        <w:snapToGrid w:val="0"/>
        <w:spacing w:line="360" w:lineRule="auto"/>
        <w:ind w:firstLine="482" w:firstLineChars="200"/>
        <w:jc w:val="left"/>
        <w:rPr>
          <w:rFonts w:ascii="宋体" w:hAnsi="宋体"/>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标段（包）划分及其交验期交验地点</w:t>
      </w:r>
      <w:r>
        <w:rPr>
          <w:rFonts w:hint="eastAsia"/>
          <w:color w:val="auto"/>
          <w:sz w:val="24"/>
          <w:szCs w:val="24"/>
          <w:highlight w:val="none"/>
        </w:rPr>
        <w:t>：</w:t>
      </w:r>
      <w:r>
        <w:rPr>
          <w:rFonts w:hint="eastAsia" w:ascii="宋体" w:hAnsi="宋体"/>
          <w:color w:val="auto"/>
          <w:sz w:val="24"/>
          <w:szCs w:val="24"/>
          <w:highlight w:val="none"/>
        </w:rPr>
        <w:t>本次采购项目划分为1个标段（包）。</w:t>
      </w:r>
    </w:p>
    <w:tbl>
      <w:tblPr>
        <w:tblStyle w:val="20"/>
        <w:tblW w:w="9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835"/>
        <w:gridCol w:w="2835"/>
        <w:gridCol w:w="1701"/>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9679" w:type="dxa"/>
            <w:gridSpan w:val="5"/>
            <w:vAlign w:val="center"/>
          </w:tcPr>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2101" w:type="dxa"/>
            <w:vAlign w:val="center"/>
          </w:tcPr>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835" w:type="dxa"/>
            <w:vAlign w:val="center"/>
          </w:tcPr>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标段（包）名称</w:t>
            </w:r>
          </w:p>
        </w:tc>
        <w:tc>
          <w:tcPr>
            <w:tcW w:w="2835" w:type="dxa"/>
            <w:vAlign w:val="center"/>
          </w:tcPr>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标段（包）内容（范围）</w:t>
            </w:r>
          </w:p>
        </w:tc>
        <w:tc>
          <w:tcPr>
            <w:tcW w:w="1701" w:type="dxa"/>
            <w:vAlign w:val="center"/>
          </w:tcPr>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（交验期）</w:t>
            </w:r>
          </w:p>
        </w:tc>
        <w:tc>
          <w:tcPr>
            <w:tcW w:w="1207" w:type="dxa"/>
            <w:vAlign w:val="center"/>
          </w:tcPr>
          <w:p>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交验地点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2101" w:type="dxa"/>
            <w:vAlign w:val="center"/>
          </w:tcPr>
          <w:p>
            <w:pPr>
              <w:widowControl w:val="0"/>
              <w:snapToGrid w:val="0"/>
              <w:spacing w:line="240" w:lineRule="auto"/>
              <w:rPr>
                <w:rFonts w:ascii="宋体" w:hAnsi="宋体"/>
                <w:color w:val="auto"/>
                <w:sz w:val="24"/>
                <w:szCs w:val="24"/>
                <w:highlight w:val="none"/>
              </w:rPr>
            </w:pPr>
            <w:r>
              <w:rPr>
                <w:rFonts w:hint="eastAsia"/>
                <w:color w:val="auto"/>
                <w:sz w:val="24"/>
                <w:szCs w:val="24"/>
                <w:highlight w:val="none"/>
              </w:rPr>
              <w:t>安阳县公安局数字督察中心升级改造项目</w:t>
            </w:r>
          </w:p>
        </w:tc>
        <w:tc>
          <w:tcPr>
            <w:tcW w:w="1835" w:type="dxa"/>
            <w:vAlign w:val="center"/>
          </w:tcPr>
          <w:p>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同项目名称</w:t>
            </w:r>
          </w:p>
        </w:tc>
        <w:tc>
          <w:tcPr>
            <w:tcW w:w="2835" w:type="dxa"/>
            <w:vAlign w:val="center"/>
          </w:tcPr>
          <w:p>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见“第二章第</w:t>
            </w:r>
            <w:r>
              <w:rPr>
                <w:rFonts w:ascii="宋体" w:hAnsi="宋体"/>
                <w:color w:val="auto"/>
                <w:sz w:val="24"/>
                <w:szCs w:val="24"/>
                <w:highlight w:val="none"/>
              </w:rPr>
              <w:t>2</w:t>
            </w:r>
            <w:r>
              <w:rPr>
                <w:rFonts w:hint="eastAsia" w:ascii="宋体" w:hAnsi="宋体"/>
                <w:color w:val="auto"/>
                <w:sz w:val="24"/>
                <w:szCs w:val="24"/>
                <w:highlight w:val="none"/>
              </w:rPr>
              <w:t>条：标段（包）内容（范围）及基本技术要求”</w:t>
            </w:r>
          </w:p>
        </w:tc>
        <w:tc>
          <w:tcPr>
            <w:tcW w:w="1701" w:type="dxa"/>
            <w:vAlign w:val="center"/>
          </w:tcPr>
          <w:p>
            <w:pPr>
              <w:rPr>
                <w:rFonts w:ascii="宋体" w:hAnsi="宋体"/>
                <w:color w:val="auto"/>
                <w:sz w:val="24"/>
                <w:szCs w:val="24"/>
                <w:highlight w:val="none"/>
              </w:rPr>
            </w:pPr>
            <w:r>
              <w:rPr>
                <w:rFonts w:hint="eastAsia"/>
                <w:color w:val="auto"/>
                <w:sz w:val="24"/>
                <w:szCs w:val="24"/>
                <w:highlight w:val="none"/>
              </w:rPr>
              <w:t>见谈判公告</w:t>
            </w:r>
            <w:r>
              <w:rPr>
                <w:color w:val="auto"/>
                <w:sz w:val="24"/>
                <w:szCs w:val="24"/>
                <w:highlight w:val="none"/>
              </w:rPr>
              <w:t>1.6</w:t>
            </w:r>
          </w:p>
        </w:tc>
        <w:tc>
          <w:tcPr>
            <w:tcW w:w="1207" w:type="dxa"/>
            <w:vAlign w:val="center"/>
          </w:tcPr>
          <w:p>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采购人指定地点</w:t>
            </w:r>
          </w:p>
        </w:tc>
      </w:tr>
    </w:tbl>
    <w:p>
      <w:pPr>
        <w:widowControl w:val="0"/>
        <w:snapToGrid w:val="0"/>
        <w:spacing w:line="360" w:lineRule="auto"/>
        <w:ind w:firstLine="482" w:firstLineChars="200"/>
        <w:jc w:val="left"/>
        <w:rPr>
          <w:rFonts w:ascii="宋体" w:hAnsi="宋体"/>
          <w:color w:val="auto"/>
          <w:sz w:val="24"/>
          <w:szCs w:val="24"/>
          <w:highlight w:val="none"/>
        </w:rPr>
      </w:pPr>
      <w:r>
        <w:rPr>
          <w:rFonts w:ascii="宋体" w:hAnsi="宋体"/>
          <w:b/>
          <w:color w:val="auto"/>
          <w:sz w:val="24"/>
          <w:szCs w:val="24"/>
          <w:highlight w:val="none"/>
        </w:rPr>
        <w:t xml:space="preserve">1.3 </w:t>
      </w:r>
      <w:r>
        <w:rPr>
          <w:rFonts w:hint="eastAsia" w:ascii="宋体" w:hAnsi="宋体"/>
          <w:b/>
          <w:color w:val="auto"/>
          <w:sz w:val="24"/>
          <w:szCs w:val="24"/>
          <w:highlight w:val="none"/>
        </w:rPr>
        <w:t>投标报价（价格构成）</w:t>
      </w:r>
    </w:p>
    <w:p>
      <w:pPr>
        <w:widowControl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1.3.1 投标人的投标报价应为达到正常使用条件下的目的地交验价，包括产品价款、相关税款、备品备件价、易损件价、专用工具价、售后及技术服务费、知识产权（如有）、保险（如需）、货物包装、安装调试费、培训费及运送到安阳地区指定地点的运杂费、装卸费等与采购项目相关的、必须的款项及费用（包括未列明而完成交验所必须的所有产品、材料、工具、费用）。成交价格在成交合同范围内固定不变。</w:t>
      </w:r>
    </w:p>
    <w:p>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pPr>
        <w:autoSpaceDE w:val="0"/>
        <w:autoSpaceDN w:val="0"/>
        <w:adjustRightInd w:val="0"/>
        <w:snapToGrid w:val="0"/>
        <w:spacing w:before="156" w:beforeLines="50" w:line="300" w:lineRule="auto"/>
        <w:ind w:firstLine="569" w:firstLineChars="236"/>
        <w:jc w:val="left"/>
        <w:rPr>
          <w:rFonts w:ascii="宋体" w:hAnsi="宋体"/>
          <w:b/>
          <w:color w:val="auto"/>
          <w:sz w:val="24"/>
          <w:szCs w:val="24"/>
          <w:highlight w:val="none"/>
        </w:rPr>
      </w:pPr>
      <w:r>
        <w:rPr>
          <w:rFonts w:hint="eastAsia" w:ascii="宋体" w:hAnsi="宋体"/>
          <w:b/>
          <w:color w:val="auto"/>
          <w:sz w:val="24"/>
          <w:szCs w:val="24"/>
          <w:highlight w:val="none"/>
        </w:rPr>
        <w:t>价</w:t>
      </w:r>
      <w:r>
        <w:rPr>
          <w:rFonts w:ascii="宋体" w:hAnsi="宋体"/>
          <w:b/>
          <w:color w:val="auto"/>
          <w:sz w:val="24"/>
          <w:szCs w:val="24"/>
          <w:highlight w:val="none"/>
        </w:rPr>
        <w:t>格谈</w:t>
      </w:r>
      <w:r>
        <w:rPr>
          <w:rFonts w:hint="eastAsia" w:ascii="宋体" w:hAnsi="宋体"/>
          <w:b/>
          <w:color w:val="auto"/>
          <w:sz w:val="24"/>
          <w:szCs w:val="24"/>
          <w:highlight w:val="none"/>
        </w:rPr>
        <w:t>判</w:t>
      </w:r>
      <w:r>
        <w:rPr>
          <w:rFonts w:ascii="宋体" w:hAnsi="宋体"/>
          <w:b/>
          <w:color w:val="auto"/>
          <w:sz w:val="24"/>
          <w:szCs w:val="24"/>
          <w:highlight w:val="none"/>
        </w:rPr>
        <w:t>规</w:t>
      </w:r>
      <w:r>
        <w:rPr>
          <w:rFonts w:hint="eastAsia" w:ascii="宋体" w:hAnsi="宋体"/>
          <w:b/>
          <w:color w:val="auto"/>
          <w:sz w:val="24"/>
          <w:szCs w:val="24"/>
          <w:highlight w:val="none"/>
        </w:rPr>
        <w:t>则</w:t>
      </w:r>
      <w:r>
        <w:rPr>
          <w:rFonts w:ascii="宋体" w:hAnsi="宋体"/>
          <w:b/>
          <w:color w:val="auto"/>
          <w:sz w:val="24"/>
          <w:szCs w:val="24"/>
          <w:highlight w:val="none"/>
        </w:rPr>
        <w:t>详见第四章</w:t>
      </w:r>
      <w:r>
        <w:rPr>
          <w:rFonts w:hint="eastAsia" w:ascii="宋体" w:hAnsi="宋体"/>
          <w:b/>
          <w:color w:val="auto"/>
          <w:sz w:val="24"/>
          <w:szCs w:val="24"/>
          <w:highlight w:val="none"/>
        </w:rPr>
        <w:t>“评审办法”</w:t>
      </w:r>
      <w:r>
        <w:rPr>
          <w:rFonts w:ascii="宋体" w:hAnsi="宋体"/>
          <w:b/>
          <w:color w:val="auto"/>
          <w:sz w:val="24"/>
          <w:szCs w:val="24"/>
          <w:highlight w:val="none"/>
        </w:rPr>
        <w:t>第</w:t>
      </w:r>
      <w:r>
        <w:rPr>
          <w:rFonts w:hint="eastAsia" w:ascii="宋体" w:hAnsi="宋体"/>
          <w:b/>
          <w:color w:val="auto"/>
          <w:sz w:val="24"/>
          <w:szCs w:val="24"/>
          <w:highlight w:val="none"/>
        </w:rPr>
        <w:t>“</w:t>
      </w:r>
      <w:r>
        <w:rPr>
          <w:rFonts w:ascii="宋体" w:hAnsi="宋体"/>
          <w:b/>
          <w:color w:val="auto"/>
          <w:sz w:val="24"/>
          <w:szCs w:val="24"/>
          <w:highlight w:val="none"/>
        </w:rPr>
        <w:t xml:space="preserve">3.5.7 </w:t>
      </w:r>
      <w:r>
        <w:rPr>
          <w:rFonts w:hint="eastAsia" w:ascii="宋体" w:hAnsi="宋体"/>
          <w:b/>
          <w:color w:val="auto"/>
          <w:sz w:val="24"/>
          <w:szCs w:val="24"/>
          <w:highlight w:val="none"/>
        </w:rPr>
        <w:t>价格谈判”</w:t>
      </w:r>
      <w:r>
        <w:rPr>
          <w:rFonts w:ascii="宋体" w:hAnsi="宋体"/>
          <w:b/>
          <w:color w:val="auto"/>
          <w:sz w:val="24"/>
          <w:szCs w:val="24"/>
          <w:highlight w:val="none"/>
        </w:rPr>
        <w:t>条款</w:t>
      </w:r>
      <w:r>
        <w:rPr>
          <w:rFonts w:hint="eastAsia" w:ascii="宋体" w:hAnsi="宋体"/>
          <w:b/>
          <w:color w:val="auto"/>
          <w:sz w:val="24"/>
          <w:szCs w:val="24"/>
          <w:highlight w:val="none"/>
        </w:rPr>
        <w:t>。</w:t>
      </w:r>
    </w:p>
    <w:p>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 xml:space="preserve">1.3.3 </w:t>
      </w:r>
      <w:r>
        <w:rPr>
          <w:rFonts w:hint="eastAsia" w:ascii="宋体" w:hAnsi="宋体"/>
          <w:color w:val="auto"/>
          <w:sz w:val="24"/>
          <w:szCs w:val="24"/>
          <w:highlight w:val="none"/>
        </w:rPr>
        <w:t>如投标人的投标报价未超过预算金额（见谈判公告</w:t>
      </w:r>
      <w:r>
        <w:rPr>
          <w:rFonts w:ascii="宋体" w:hAnsi="宋体"/>
          <w:color w:val="auto"/>
          <w:sz w:val="24"/>
          <w:szCs w:val="24"/>
          <w:highlight w:val="none"/>
        </w:rPr>
        <w:t>1.</w:t>
      </w:r>
      <w:r>
        <w:rPr>
          <w:rFonts w:hint="eastAsia" w:ascii="宋体" w:hAnsi="宋体"/>
          <w:color w:val="auto"/>
          <w:sz w:val="24"/>
          <w:szCs w:val="24"/>
          <w:highlight w:val="none"/>
        </w:rPr>
        <w:t>4）的供应商不足三家的，该标段（包）做废标处理。</w:t>
      </w:r>
    </w:p>
    <w:p>
      <w:pPr>
        <w:widowControl w:val="0"/>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遵循第三章投标人须知</w:t>
      </w:r>
      <w:r>
        <w:rPr>
          <w:rFonts w:ascii="宋体" w:hAnsi="宋体"/>
          <w:color w:val="auto"/>
          <w:sz w:val="24"/>
          <w:szCs w:val="24"/>
          <w:highlight w:val="none"/>
        </w:rPr>
        <w:t>3.7.</w:t>
      </w:r>
      <w:r>
        <w:rPr>
          <w:rFonts w:hint="eastAsia" w:ascii="宋体" w:hAnsi="宋体"/>
          <w:color w:val="auto"/>
          <w:sz w:val="24"/>
          <w:szCs w:val="24"/>
          <w:highlight w:val="none"/>
        </w:rPr>
        <w:t>5项规定。</w:t>
      </w:r>
    </w:p>
    <w:p>
      <w:pPr>
        <w:spacing w:line="560" w:lineRule="exact"/>
        <w:ind w:firstLine="562" w:firstLineChars="200"/>
        <w:rPr>
          <w:rFonts w:ascii="黑体" w:hAnsi="黑体" w:eastAsia="黑体"/>
          <w:b/>
          <w:color w:val="auto"/>
          <w:sz w:val="28"/>
          <w:highlight w:val="none"/>
        </w:rPr>
      </w:pPr>
    </w:p>
    <w:p>
      <w:pPr>
        <w:spacing w:line="560" w:lineRule="exact"/>
        <w:ind w:firstLine="562" w:firstLineChars="200"/>
        <w:outlineLvl w:val="1"/>
        <w:rPr>
          <w:rFonts w:ascii="黑体" w:hAnsi="黑体" w:eastAsia="黑体"/>
          <w:b/>
          <w:color w:val="auto"/>
          <w:sz w:val="28"/>
          <w:highlight w:val="none"/>
        </w:rPr>
      </w:pPr>
      <w:bookmarkStart w:id="18" w:name="_Toc209083625"/>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标段（包）内容（范围）及基本技术要求</w:t>
      </w:r>
      <w:bookmarkEnd w:id="18"/>
    </w:p>
    <w:p>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总体技术（方案）要求及标段（包）内容（范围）：</w:t>
      </w:r>
      <w:r>
        <w:rPr>
          <w:rFonts w:hint="eastAsia"/>
          <w:color w:val="auto"/>
          <w:sz w:val="24"/>
          <w:szCs w:val="24"/>
          <w:highlight w:val="none"/>
        </w:rPr>
        <w:t>详见下述</w:t>
      </w:r>
      <w:r>
        <w:rPr>
          <w:color w:val="auto"/>
          <w:sz w:val="24"/>
          <w:szCs w:val="24"/>
          <w:highlight w:val="none"/>
        </w:rPr>
        <w:t>2.</w:t>
      </w:r>
      <w:r>
        <w:rPr>
          <w:rFonts w:hint="eastAsia"/>
          <w:color w:val="auto"/>
          <w:sz w:val="24"/>
          <w:szCs w:val="24"/>
          <w:highlight w:val="none"/>
        </w:rPr>
        <w:t>4款</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谈判文件未列明事项为由，来降低投标产品的质量。</w:t>
      </w:r>
    </w:p>
    <w:p>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具体技术要求及标段（包）内容（范围）</w:t>
      </w:r>
    </w:p>
    <w:tbl>
      <w:tblPr>
        <w:tblStyle w:val="20"/>
        <w:tblW w:w="9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
        <w:gridCol w:w="1080"/>
        <w:gridCol w:w="6552"/>
        <w:gridCol w:w="567"/>
        <w:gridCol w:w="56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311" w:type="dxa"/>
            <w:vAlign w:val="center"/>
          </w:tcPr>
          <w:p>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序号</w:t>
            </w:r>
          </w:p>
        </w:tc>
        <w:tc>
          <w:tcPr>
            <w:tcW w:w="1080" w:type="dxa"/>
            <w:tcMar>
              <w:top w:w="15" w:type="dxa"/>
              <w:left w:w="15" w:type="dxa"/>
              <w:bottom w:w="0" w:type="dxa"/>
              <w:right w:w="15" w:type="dxa"/>
            </w:tcMar>
            <w:vAlign w:val="center"/>
          </w:tcPr>
          <w:p>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标段（包）内容</w:t>
            </w:r>
          </w:p>
        </w:tc>
        <w:tc>
          <w:tcPr>
            <w:tcW w:w="6552" w:type="dxa"/>
            <w:vAlign w:val="center"/>
          </w:tcPr>
          <w:p>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基本技术要求</w:t>
            </w:r>
          </w:p>
        </w:tc>
        <w:tc>
          <w:tcPr>
            <w:tcW w:w="567" w:type="dxa"/>
            <w:vAlign w:val="center"/>
          </w:tcPr>
          <w:p>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567" w:type="dxa"/>
            <w:vAlign w:val="center"/>
          </w:tcPr>
          <w:p>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845" w:type="dxa"/>
            <w:vAlign w:val="center"/>
          </w:tcPr>
          <w:p>
            <w:pPr>
              <w:snapToGrid w:val="0"/>
              <w:spacing w:line="276"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2" w:hRule="atLeast"/>
          <w:jc w:val="center"/>
        </w:trPr>
        <w:tc>
          <w:tcPr>
            <w:tcW w:w="311"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080" w:type="dxa"/>
            <w:tcMar>
              <w:top w:w="15" w:type="dxa"/>
              <w:left w:w="15" w:type="dxa"/>
              <w:bottom w:w="0" w:type="dxa"/>
              <w:right w:w="15" w:type="dxa"/>
            </w:tcMar>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视频应用</w:t>
            </w:r>
          </w:p>
        </w:tc>
        <w:tc>
          <w:tcPr>
            <w:tcW w:w="6552" w:type="dxa"/>
            <w:vAlign w:val="center"/>
          </w:tcPr>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包括视频接入功能（含400路），视频级联功能（300路），视频运维功能。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提供系统业务应用依赖的基础资源，包括用户管理、权限管理、部门管理、门户管理，统一管理了组织、权限、用户、物联设备等资源，并提供门户、录像计划等配置能力。</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一、部门管理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1、支持用户所在部门基础信息的增删改查、导入、导出等功能。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二、用户信息管理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1、支持用户信息的增删改查、导入、导出；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2、支持用户安全管理，可绑定用户mac地址及IP，可自行修改用户密码或者管理员重置密码。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三、设备信息管理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1、提供设备统一接入管理，包括：视频设备、卡口设备、报警设备、人证设备等。</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四、平台门户</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1、支持用户自定义快捷入口；支持支持自定义菜单内容；</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2、支持页面元素设置，支持上传页面logo图标、修改网站标题、设置并添加网站外部链接；</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3、默认包含3套门户主题。</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五、核心参数配置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1、支持所有设备统一校时；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2、提供账户安全设置，支持账户密码有效期设置；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3、支持登录类型（Web端、PC客户端、移动端）和认证方式（密码、PKI）的配置。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六、视频预览</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1、支持视频实时预览能力，实现预览窗口布局切换、预览画面自适应及全屏切换；</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2、支持云台控制、实时抓图、紧急录像、即时回放、主子码流切换、声音开启\关闭、辅屏预览（1个辅屏）、对讲、广播、报警输出控制的能力；</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3、支持智能规则展示的能力（如：针对热成像设备温度信息实时展示）；</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4、支持资源视图管理能力，以视图形式管理监控点、视频预览轮巡等自定义资源组，其中视图类型包含公有视图和私有视图；</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5、支持全景视频监控预览能力，支持球型鹰眼、全景摄像机的全景模式。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七、录像回放</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1、支持录像计划管理能力，支持实时录像计划、录像回传计划；</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2、支持录像回放能力，支持多画面同步回放和异步回放切换、超高倍速回放、分段回放、录像下载、录像剪辑、录像标签、录像锁定、录像抓图。</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八、视频上墙</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1、支持电视墙场景管理能力，实现场景窗口配置、场景切换计划配置以及轮巡计划的管理；</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2、支持上墙控制能力，实现场景一键上墙、场景切换、电视墙切换、监控点上下墙、轮巡控制操作。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基于标准协议与外域平台互联互通，支持视频通用标准协议（GB/T28181-2011,GB/T28181-2016）、以及行业视频标准协议。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主要功能包括：域间注册与心跳、资源同步、实时预览、录像回放与控制、录像下载、设备控制等。</w:t>
            </w:r>
          </w:p>
          <w:p>
            <w:pPr>
              <w:spacing w:line="276" w:lineRule="auto"/>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投标文件中需提供软件著作权证书。</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845" w:type="dxa"/>
            <w:vAlign w:val="center"/>
          </w:tcPr>
          <w:p>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311"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1080" w:type="dxa"/>
            <w:tcMar>
              <w:top w:w="15" w:type="dxa"/>
              <w:left w:w="15" w:type="dxa"/>
              <w:bottom w:w="0" w:type="dxa"/>
              <w:right w:w="15" w:type="dxa"/>
            </w:tcMar>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平台服务器</w:t>
            </w:r>
          </w:p>
        </w:tc>
        <w:tc>
          <w:tcPr>
            <w:tcW w:w="6552" w:type="dxa"/>
          </w:tcPr>
          <w:p>
            <w:pPr>
              <w:spacing w:line="276" w:lineRule="auto"/>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1、2U双路标准机架式服务器。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2、CPU：配置2颗国产化处理器，核数≥16核，频率≥2.5GHz</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3、内存：配置128G DDR4，16根内存插槽。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4、硬盘：配置4块2T 7.2K SAS盘</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可通过扩容支持最大</w:t>
            </w:r>
            <w:r>
              <w:rPr>
                <w:rFonts w:hint="default" w:asciiTheme="minorEastAsia" w:hAnsiTheme="minorEastAsia" w:eastAsiaTheme="minorEastAsia"/>
                <w:color w:val="auto"/>
                <w:sz w:val="24"/>
                <w:szCs w:val="24"/>
                <w:highlight w:val="none"/>
                <w:lang w:val="en-US" w:eastAsia="zh-CN"/>
              </w:rPr>
              <w:t>12</w:t>
            </w:r>
            <w:r>
              <w:rPr>
                <w:rFonts w:hint="eastAsia" w:asciiTheme="minorEastAsia" w:hAnsiTheme="minorEastAsia" w:eastAsiaTheme="minorEastAsia"/>
                <w:color w:val="auto"/>
                <w:sz w:val="24"/>
                <w:szCs w:val="24"/>
                <w:highlight w:val="none"/>
                <w:lang w:val="en-US" w:eastAsia="zh-CN"/>
              </w:rPr>
              <w:t>块</w:t>
            </w:r>
            <w:r>
              <w:rPr>
                <w:rFonts w:hint="default" w:asciiTheme="minorEastAsia" w:hAnsiTheme="minorEastAsia" w:eastAsiaTheme="minorEastAsia"/>
                <w:color w:val="auto"/>
                <w:sz w:val="24"/>
                <w:szCs w:val="24"/>
                <w:highlight w:val="none"/>
                <w:lang w:val="en-US" w:eastAsia="zh-CN"/>
              </w:rPr>
              <w:t>3.5</w:t>
            </w:r>
            <w:r>
              <w:rPr>
                <w:rFonts w:hint="eastAsia" w:asciiTheme="minorEastAsia" w:hAnsiTheme="minorEastAsia" w:eastAsiaTheme="minorEastAsia"/>
                <w:color w:val="auto"/>
                <w:sz w:val="24"/>
                <w:szCs w:val="24"/>
                <w:highlight w:val="none"/>
                <w:lang w:val="en-US" w:eastAsia="zh-CN"/>
              </w:rPr>
              <w:t xml:space="preserve">寸（兼容 </w:t>
            </w:r>
            <w:r>
              <w:rPr>
                <w:rFonts w:hint="default" w:asciiTheme="minorEastAsia" w:hAnsiTheme="minorEastAsia" w:eastAsiaTheme="minorEastAsia"/>
                <w:color w:val="auto"/>
                <w:sz w:val="24"/>
                <w:szCs w:val="24"/>
                <w:highlight w:val="none"/>
                <w:lang w:val="en-US" w:eastAsia="zh-CN"/>
              </w:rPr>
              <w:t xml:space="preserve">2.5 </w:t>
            </w:r>
            <w:r>
              <w:rPr>
                <w:rFonts w:hint="eastAsia" w:asciiTheme="minorEastAsia" w:hAnsiTheme="minorEastAsia" w:eastAsiaTheme="minorEastAsia"/>
                <w:color w:val="auto"/>
                <w:sz w:val="24"/>
                <w:szCs w:val="24"/>
                <w:highlight w:val="none"/>
                <w:lang w:val="en-US" w:eastAsia="zh-CN"/>
              </w:rPr>
              <w:t xml:space="preserve">寸）热插拔 </w:t>
            </w:r>
            <w:r>
              <w:rPr>
                <w:rFonts w:hint="default" w:asciiTheme="minorEastAsia" w:hAnsiTheme="minorEastAsia" w:eastAsiaTheme="minorEastAsia"/>
                <w:color w:val="auto"/>
                <w:sz w:val="24"/>
                <w:szCs w:val="24"/>
                <w:highlight w:val="none"/>
                <w:lang w:val="en-US" w:eastAsia="zh-CN"/>
              </w:rPr>
              <w:t>SATA/SAS</w:t>
            </w:r>
            <w:r>
              <w:rPr>
                <w:rFonts w:hint="eastAsia" w:asciiTheme="minorEastAsia" w:hAnsiTheme="minorEastAsia" w:eastAsiaTheme="minorEastAsia"/>
                <w:color w:val="auto"/>
                <w:sz w:val="24"/>
                <w:szCs w:val="24"/>
                <w:highlight w:val="none"/>
                <w:lang w:val="en-US" w:eastAsia="zh-CN"/>
              </w:rPr>
              <w:t>硬盘，可通过扩容支持</w:t>
            </w:r>
            <w:r>
              <w:rPr>
                <w:rFonts w:hint="default"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块后置</w:t>
            </w:r>
            <w:r>
              <w:rPr>
                <w:rFonts w:hint="default" w:asciiTheme="minorEastAsia" w:hAnsiTheme="minorEastAsia" w:eastAsiaTheme="minorEastAsia"/>
                <w:color w:val="auto"/>
                <w:sz w:val="24"/>
                <w:szCs w:val="24"/>
                <w:highlight w:val="none"/>
                <w:lang w:val="en-US" w:eastAsia="zh-CN"/>
              </w:rPr>
              <w:t>2.5</w:t>
            </w:r>
            <w:r>
              <w:rPr>
                <w:rFonts w:hint="eastAsia" w:asciiTheme="minorEastAsia" w:hAnsiTheme="minorEastAsia" w:eastAsiaTheme="minorEastAsia"/>
                <w:color w:val="auto"/>
                <w:sz w:val="24"/>
                <w:szCs w:val="24"/>
                <w:highlight w:val="none"/>
                <w:lang w:val="en-US" w:eastAsia="zh-CN"/>
              </w:rPr>
              <w:t xml:space="preserve">寸热插拔 </w:t>
            </w:r>
            <w:r>
              <w:rPr>
                <w:rFonts w:hint="default" w:asciiTheme="minorEastAsia" w:hAnsiTheme="minorEastAsia" w:eastAsiaTheme="minorEastAsia"/>
                <w:color w:val="auto"/>
                <w:sz w:val="24"/>
                <w:szCs w:val="24"/>
                <w:highlight w:val="none"/>
                <w:lang w:val="en-US" w:eastAsia="zh-CN"/>
              </w:rPr>
              <w:t xml:space="preserve">SATA/SAS </w:t>
            </w:r>
            <w:r>
              <w:rPr>
                <w:rFonts w:hint="eastAsia" w:asciiTheme="minorEastAsia" w:hAnsiTheme="minorEastAsia" w:eastAsiaTheme="minorEastAsia"/>
                <w:color w:val="auto"/>
                <w:sz w:val="24"/>
                <w:szCs w:val="24"/>
                <w:highlight w:val="none"/>
                <w:lang w:val="en-US" w:eastAsia="zh-CN"/>
              </w:rPr>
              <w:t>硬盘</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5、阵列卡：配置1块RAID_4G卡，(支持RAID 0/1/10/5)。</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6、PCIE扩展：支持5个PCIE插槽。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7、网口：板载2个千兆电口，配置2个万兆光口</w:t>
            </w:r>
            <w:r>
              <w:rPr>
                <w:rFonts w:hint="eastAsia" w:asciiTheme="minorEastAsia" w:hAnsiTheme="minorEastAsia" w:eastAsiaTheme="minorEastAsia"/>
                <w:color w:val="auto"/>
                <w:sz w:val="24"/>
                <w:szCs w:val="24"/>
                <w:highlight w:val="none"/>
                <w:lang w:eastAsia="zh-CN"/>
              </w:rPr>
              <w:t>；可通过扩容支持10GbE、25GbE SFP+等多种网络接口</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8、其他接口：1个千兆RJ-45管理接口，4个USB 接口，2个位于机箱后部，2个位于机箱前部；1个VGA口，位于机箱后部。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9、电源：配置550W（1+1）铂金CRPS冗余电源。</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845" w:type="dxa"/>
            <w:vMerge w:val="restart"/>
            <w:vAlign w:val="center"/>
          </w:tcPr>
          <w:p>
            <w:pPr>
              <w:spacing w:line="276"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311"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1080" w:type="dxa"/>
            <w:tcMar>
              <w:top w:w="15" w:type="dxa"/>
              <w:left w:w="15" w:type="dxa"/>
              <w:bottom w:w="0" w:type="dxa"/>
              <w:right w:w="15" w:type="dxa"/>
            </w:tcMar>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存储服务器</w:t>
            </w:r>
          </w:p>
        </w:tc>
        <w:tc>
          <w:tcPr>
            <w:tcW w:w="6552" w:type="dxa"/>
          </w:tcPr>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1、服务器配置：≥1颗64位多核处理器，≥8GB内存，内存支持扩展到≥128GB，内置SSD固态硬盘（可以扩展到4个SSD作为缓存盘），配置≥6个风扇，支持风扇热插拔冗余温控调速风扇。</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2、★≥4个2.5Gb网口，支持2个前置 USB2.0接口、2个后置USB3.0接口，支持1个前置VGA接口、1个后置HDMI接口，支持1个RS-232串口，支持4个PCI-E3.0。</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3、具有48个硬盘热插拔插槽；支持硬盘热插拔设备在读写数据时，热插拔设备内的任意块硬盘，设备正常运行不宕机，硬盘不损坏，数据不丢失，业务不中断。</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设备支持硬盘的多级工作模式，包括性能模式、空闲模式（A\B\C，A：硬盘短时空闲，可以正常响应IO；B：较多空闲，磁头不再移动，硬盘满转；C:硬盘完全空闲，磁头不再移动，硬盘降速）、休眠模式（硬盘不再旋转，新下发IO需要唤醒）。</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网络RAID纠删码技术，多台存储设备组建网络RAID，设置为负载均衡；单台或多台存储设备组建网络RAID，允许每组RAID中任意1-12个磁盘发生故障，数据不丢失，存储服务不中断；允许每组RAID中任意18块硬盘发生故障，业务不中断。</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6、★可接入2T/3T/4T/6T/8T/10T/12T/14T/16T/18T/20T/25T/26T/30T SATA/SAS硬盘；支持NL-SAS 硬盘、HDD硬盘、SSD硬盘、氦气硬盘、空气硬盘；支持 CMR或SMR硬盘；支持硬盘交错/分时启动。</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7、★BMC支持复杂密码，设备首次使用默认密码登录BMC时，提示修改密码，并且需要强制修改完密码后重新登陆，否则无法进入BMC web。</w:t>
            </w:r>
          </w:p>
          <w:p>
            <w:pPr>
              <w:spacing w:line="276" w:lineRule="auto"/>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8、★≥1个定位灯、≥1个电源灯、≥1个设备报警灯、≥1个就绪灯、≥1个网络状态灯、≥1个系统盘状态灯、≥1个硬盘状态灯，机箱具备防尘滤网，双立柱防震。设备左右侧面≥2个抬手，具备前面板抽拉标签卡。</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b/>
                <w:bCs/>
                <w:color w:val="auto"/>
                <w:sz w:val="24"/>
                <w:szCs w:val="24"/>
                <w:highlight w:val="none"/>
              </w:rPr>
              <w:t>以上</w:t>
            </w:r>
            <w:r>
              <w:rPr>
                <w:rFonts w:hint="eastAsia" w:asciiTheme="minorEastAsia" w:hAnsiTheme="minorEastAsia" w:eastAsiaTheme="minorEastAsia"/>
                <w:b/>
                <w:bCs/>
                <w:color w:val="auto"/>
                <w:sz w:val="24"/>
                <w:szCs w:val="24"/>
                <w:highlight w:val="none"/>
                <w:lang w:val="en-US" w:eastAsia="zh-CN"/>
              </w:rPr>
              <w:t>标注</w:t>
            </w:r>
            <w:r>
              <w:rPr>
                <w:rFonts w:hint="eastAsia"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lang w:val="en-US" w:eastAsia="zh-CN"/>
              </w:rPr>
              <w:t>的</w:t>
            </w:r>
            <w:r>
              <w:rPr>
                <w:rFonts w:hint="eastAsia" w:asciiTheme="minorEastAsia" w:hAnsiTheme="minorEastAsia" w:eastAsiaTheme="minorEastAsia"/>
                <w:b/>
                <w:bCs/>
                <w:color w:val="auto"/>
                <w:sz w:val="24"/>
                <w:szCs w:val="24"/>
                <w:highlight w:val="none"/>
              </w:rPr>
              <w:t>为重要技术参数，投标文件中需提供公安部权威机构出具的检测报告。</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845" w:type="dxa"/>
            <w:vMerge w:val="continue"/>
          </w:tcPr>
          <w:p>
            <w:pPr>
              <w:spacing w:line="276" w:lineRule="auto"/>
              <w:jc w:val="center"/>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311"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1080" w:type="dxa"/>
            <w:tcMar>
              <w:top w:w="15" w:type="dxa"/>
              <w:left w:w="15" w:type="dxa"/>
              <w:bottom w:w="0" w:type="dxa"/>
              <w:right w:w="15" w:type="dxa"/>
            </w:tcMar>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硬盘</w:t>
            </w:r>
          </w:p>
        </w:tc>
        <w:tc>
          <w:tcPr>
            <w:tcW w:w="6552" w:type="dxa"/>
          </w:tcPr>
          <w:p>
            <w:pPr>
              <w:spacing w:line="276" w:lineRule="auto"/>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1、25TB容量，3.5英寸，SATA3.0接口，7200RPM。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2、氦气盘，SMR叠瓦式磁记录。</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3、传输速率285 MB/s，流畅存储视频有效防止丢帧。</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4、MTBF≥2500000小时。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5、高级格式（AF）512e扇区技术，保障硬盘扇区4K对齐。</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6、满足数据严苛的7*24小时运行可靠性、安全性的需求。</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块</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35</w:t>
            </w:r>
          </w:p>
        </w:tc>
        <w:tc>
          <w:tcPr>
            <w:tcW w:w="845" w:type="dxa"/>
            <w:vMerge w:val="continue"/>
          </w:tcPr>
          <w:p>
            <w:pPr>
              <w:spacing w:line="276" w:lineRule="auto"/>
              <w:jc w:val="center"/>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311"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1080" w:type="dxa"/>
            <w:tcMar>
              <w:top w:w="15" w:type="dxa"/>
              <w:left w:w="15" w:type="dxa"/>
              <w:bottom w:w="0" w:type="dxa"/>
              <w:right w:w="15" w:type="dxa"/>
            </w:tcMar>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汇聚交换机</w:t>
            </w:r>
          </w:p>
        </w:tc>
        <w:tc>
          <w:tcPr>
            <w:tcW w:w="6552" w:type="dxa"/>
            <w:vAlign w:val="center"/>
          </w:tcPr>
          <w:p>
            <w:pPr>
              <w:spacing w:line="276" w:lineRule="auto"/>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1、机架式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2、24个千兆电口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3、4个千兆光口</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4、支持通过console口管理。交换容量：336Gbps/3.36Tbps</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5、包转发率：42Mpps/96Mpps</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6、1U高度</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7、19英寸宽</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8、工作温度：0℃～40℃</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9、支持220v交流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10、满负荷功耗</w:t>
            </w:r>
            <w:r>
              <w:rPr>
                <w:rFonts w:hint="eastAsia" w:asciiTheme="minorEastAsia" w:hAnsiTheme="minorEastAsia" w:eastAsiaTheme="minorEastAsia"/>
                <w:color w:val="auto"/>
                <w:sz w:val="24"/>
                <w:szCs w:val="24"/>
                <w:highlight w:val="none"/>
                <w:lang w:val="en-US" w:eastAsia="zh-CN"/>
              </w:rPr>
              <w:t>不超过</w:t>
            </w:r>
            <w:r>
              <w:rPr>
                <w:rFonts w:hint="eastAsia" w:asciiTheme="minorEastAsia" w:hAnsiTheme="minorEastAsia" w:eastAsiaTheme="minorEastAsia"/>
                <w:color w:val="auto"/>
                <w:sz w:val="24"/>
                <w:szCs w:val="24"/>
                <w:highlight w:val="none"/>
              </w:rPr>
              <w:t>23W；支持VLAN</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11、流量控制</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12、ACL</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13、QOS支持SNMP V1/V2c/V3网管。</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845" w:type="dxa"/>
            <w:vMerge w:val="continue"/>
          </w:tcPr>
          <w:p>
            <w:pPr>
              <w:spacing w:line="276" w:lineRule="auto"/>
              <w:jc w:val="center"/>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311"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1080" w:type="dxa"/>
            <w:tcMar>
              <w:top w:w="15" w:type="dxa"/>
              <w:left w:w="15" w:type="dxa"/>
              <w:bottom w:w="0" w:type="dxa"/>
              <w:right w:w="15" w:type="dxa"/>
            </w:tcMar>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一体化高清终端</w:t>
            </w:r>
          </w:p>
        </w:tc>
        <w:tc>
          <w:tcPr>
            <w:tcW w:w="6552" w:type="dxa"/>
          </w:tcPr>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1、终端采用一体式设计，内置编解码器、PTZ摄像机、数字阵列麦克等。</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终端采用国产嵌入式操作系统；核心芯片采用国产化元器件，至少包括音视频编解码单元、CPU处理单元、视频输入输出芯片、音频输入输出芯片、专用安全芯片、电机驱动控制芯片、摄像机镜头等均采用国产化器件。</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3、支持ITU-T H.323和IETF SIP、RTC通信标准，会议速率支持128Kbps－8Mbps。</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4、支持H.264 BP、H.264 HP、H.265视频编解码协议；支持H.239、BFCP双流协议标准。</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5、支持MPEG-4 AAC-LD、MPEG-4 AAC-LC、G.711A-law、G.711µ-law、G.722、G.729、G.719、G.728、G.722.1 C 、Opus等音频协议，可达到20KHz以上的宽频效果。</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6、内置高清PTZ摄像机，采用不低于846万像素 1/2.8 英寸CMOS镜头，支持不少于5倍光学变焦，水平视角≥80°。</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7、支持1080p60、1080p30、720p60、720p30高清分辨率，并向下兼容4CIF、CIF标清分辨率。本次配置1080P编码，4k解码能力。</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8、除内置摄像机外，至少支持1路高清HDMI视频输入接口、至少支持1路HDMI高清视频输出接口。</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9、支持≥3路独立的音频输入接口，≥1路独立的音频输出接口。</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10、★终端控制台支持本地录像，支持直接录制在电脑本机，录制图像格式为MP4，无需转码。</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11、★支持智能视频编码（ROI），可对感兴趣的与会方增强编码，其他区域弱化编码，节省带宽的同时提高与会方图像的显示效果。</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12、终端支持设置横幅，支持文字或图片横幅，支持设置横幅位置，支持配置横幅时进行可视化预览，支持设置滚动速度和滚动方式。</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13、支持OLED屏显示设备运行状态，显示状态：启动、升级、休眠、网络异常、错误码、温度异常、风扇异常、IP地址以及号码。</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14、支持SM1、SM2、SM3、SM4等国密加密算法。保证信息安全自主可控。</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15、终端内置安全芯片，生产预置的设备证书及对应的私钥都存储在安全芯片内；支持一机一证，终端生产时向内置安全芯片烧写唯一的证书。</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16、支持无缝接入到省厅督察总队和市局督察支队的视频调度平台。</w:t>
            </w:r>
          </w:p>
          <w:p>
            <w:pPr>
              <w:spacing w:line="276" w:lineRule="auto"/>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以上</w:t>
            </w:r>
            <w:r>
              <w:rPr>
                <w:rFonts w:hint="eastAsia" w:asciiTheme="minorEastAsia" w:hAnsiTheme="minorEastAsia" w:eastAsiaTheme="minorEastAsia"/>
                <w:b/>
                <w:bCs/>
                <w:color w:val="auto"/>
                <w:sz w:val="24"/>
                <w:szCs w:val="24"/>
                <w:highlight w:val="none"/>
                <w:lang w:val="en-US" w:eastAsia="zh-CN"/>
              </w:rPr>
              <w:t>标注</w:t>
            </w:r>
            <w:r>
              <w:rPr>
                <w:rFonts w:hint="eastAsia"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lang w:val="en-US" w:eastAsia="zh-CN"/>
              </w:rPr>
              <w:t>的</w:t>
            </w:r>
            <w:r>
              <w:rPr>
                <w:rFonts w:hint="eastAsia" w:asciiTheme="minorEastAsia" w:hAnsiTheme="minorEastAsia" w:eastAsiaTheme="minorEastAsia"/>
                <w:b/>
                <w:bCs/>
                <w:color w:val="auto"/>
                <w:sz w:val="24"/>
                <w:szCs w:val="24"/>
                <w:highlight w:val="none"/>
              </w:rPr>
              <w:t>为重要技术参数，投标文件中需提供权威检测机构出具的检测报告。</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台</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845" w:type="dxa"/>
            <w:vMerge w:val="continue"/>
          </w:tcPr>
          <w:p>
            <w:pPr>
              <w:spacing w:line="276" w:lineRule="auto"/>
              <w:jc w:val="center"/>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311"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w:t>
            </w:r>
          </w:p>
        </w:tc>
        <w:tc>
          <w:tcPr>
            <w:tcW w:w="1080" w:type="dxa"/>
            <w:tcMar>
              <w:top w:w="15" w:type="dxa"/>
              <w:left w:w="15" w:type="dxa"/>
              <w:bottom w:w="0" w:type="dxa"/>
              <w:right w:w="15" w:type="dxa"/>
            </w:tcMar>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系统集成</w:t>
            </w:r>
          </w:p>
        </w:tc>
        <w:tc>
          <w:tcPr>
            <w:tcW w:w="6552" w:type="dxa"/>
            <w:vAlign w:val="center"/>
          </w:tcPr>
          <w:p>
            <w:pPr>
              <w:spacing w:line="276" w:lineRule="auto"/>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1、设备安装、调试，含设备安装所需的网线、电源线、音视频线、线管等配件，含原有相关设备的对接调试。</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2、软件安装、调试、对接。</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3、原有一百多路监控设备的添加、修改，省、市、县三级视频推送。</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4、视频会议对接、测试，前期会议保障。</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5、原有设备及线路的拆除、整理。</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w:t>
            </w:r>
          </w:p>
        </w:tc>
        <w:tc>
          <w:tcPr>
            <w:tcW w:w="567" w:type="dxa"/>
            <w:vAlign w:val="center"/>
          </w:tcPr>
          <w:p>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845" w:type="dxa"/>
            <w:vAlign w:val="center"/>
          </w:tcPr>
          <w:p>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其他未列明行业</w:t>
            </w:r>
          </w:p>
        </w:tc>
      </w:tr>
    </w:tbl>
    <w:p>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注：1、投标人按照上述各产品（货物）所对应标明的所属行业，判断所投标的各产品（货物）的</w:t>
      </w:r>
      <w:r>
        <w:rPr>
          <w:rFonts w:hint="eastAsia" w:ascii="宋体" w:hAnsi="宋体"/>
          <w:color w:val="auto"/>
          <w:sz w:val="24"/>
          <w:szCs w:val="24"/>
          <w:highlight w:val="none"/>
        </w:rPr>
        <w:t>制造企业</w:t>
      </w:r>
      <w:r>
        <w:rPr>
          <w:rFonts w:hint="eastAsia"/>
          <w:color w:val="auto"/>
          <w:sz w:val="24"/>
          <w:szCs w:val="24"/>
          <w:highlight w:val="none"/>
        </w:rPr>
        <w:t>是否属该行业（采购文件标明的）的小微企业。</w:t>
      </w:r>
    </w:p>
    <w:p>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提醒：产品(货物）的</w:t>
      </w:r>
      <w:r>
        <w:rPr>
          <w:rFonts w:hint="eastAsia" w:ascii="宋体" w:hAnsi="宋体"/>
          <w:color w:val="auto"/>
          <w:sz w:val="24"/>
          <w:szCs w:val="24"/>
          <w:highlight w:val="none"/>
        </w:rPr>
        <w:t>制造企业</w:t>
      </w:r>
      <w:r>
        <w:rPr>
          <w:rFonts w:hint="eastAsia"/>
          <w:color w:val="auto"/>
          <w:sz w:val="24"/>
          <w:szCs w:val="24"/>
          <w:highlight w:val="none"/>
        </w:rPr>
        <w:t>不应按照自身的行业属性作为小微企业的判断标准（应按采购文件标明的产品所属行业进行判断）。</w:t>
      </w:r>
    </w:p>
    <w:p>
      <w:pPr>
        <w:widowControl w:val="0"/>
        <w:adjustRightInd w:val="0"/>
        <w:snapToGrid w:val="0"/>
        <w:spacing w:before="156" w:beforeLines="50" w:line="300" w:lineRule="auto"/>
        <w:ind w:firstLine="960" w:firstLineChars="400"/>
        <w:rPr>
          <w:rFonts w:hint="default" w:ascii="宋体" w:eastAsia="宋体" w:cs="宋体"/>
          <w:color w:val="auto"/>
          <w:sz w:val="24"/>
          <w:szCs w:val="24"/>
          <w:highlight w:val="none"/>
          <w:lang w:val="en-US" w:eastAsia="zh-CN"/>
        </w:rPr>
      </w:pPr>
      <w:r>
        <w:rPr>
          <w:rFonts w:hint="eastAsia"/>
          <w:color w:val="auto"/>
          <w:sz w:val="24"/>
          <w:szCs w:val="24"/>
          <w:highlight w:val="none"/>
        </w:rPr>
        <w:t>2、</w:t>
      </w:r>
      <w:r>
        <w:rPr>
          <w:rFonts w:hint="eastAsia" w:ascii="宋体" w:cs="宋体"/>
          <w:color w:val="auto"/>
          <w:sz w:val="24"/>
          <w:szCs w:val="24"/>
          <w:highlight w:val="none"/>
        </w:rPr>
        <w:t>本标段（包）核心产品为：</w:t>
      </w:r>
      <w:r>
        <w:rPr>
          <w:rFonts w:hint="eastAsia" w:ascii="宋体" w:cs="宋体"/>
          <w:color w:val="auto"/>
          <w:sz w:val="24"/>
          <w:szCs w:val="24"/>
          <w:highlight w:val="none"/>
          <w:lang w:val="en-US" w:eastAsia="zh-CN"/>
        </w:rPr>
        <w:t>视频应用</w:t>
      </w:r>
    </w:p>
    <w:p>
      <w:pPr>
        <w:widowControl w:val="0"/>
        <w:adjustRightInd w:val="0"/>
        <w:snapToGrid w:val="0"/>
        <w:spacing w:before="156" w:beforeLines="50" w:line="300" w:lineRule="auto"/>
        <w:ind w:firstLine="960" w:firstLineChars="400"/>
        <w:rPr>
          <w:rFonts w:ascii="宋体" w:hAnsi="宋体"/>
          <w:color w:val="auto"/>
          <w:sz w:val="24"/>
          <w:szCs w:val="24"/>
          <w:highlight w:val="none"/>
        </w:rPr>
      </w:pPr>
      <w:r>
        <w:rPr>
          <w:rFonts w:hint="eastAsia" w:ascii="宋体" w:cs="宋体"/>
          <w:color w:val="auto"/>
          <w:sz w:val="24"/>
          <w:szCs w:val="24"/>
          <w:highlight w:val="none"/>
        </w:rPr>
        <w:t>3、如涉及</w:t>
      </w:r>
      <w:r>
        <w:rPr>
          <w:rFonts w:hint="eastAsia" w:ascii="宋体" w:hAnsi="宋体"/>
          <w:color w:val="auto"/>
          <w:sz w:val="24"/>
          <w:szCs w:val="24"/>
          <w:highlight w:val="none"/>
        </w:rPr>
        <w:t>台式计算机、便携式计算机、一体式计算机、工作站、通用服务器、操作系统、数据库的，按第六章14-2附件要求执行。</w:t>
      </w:r>
    </w:p>
    <w:p>
      <w:pPr>
        <w:widowControl w:val="0"/>
        <w:adjustRightInd w:val="0"/>
        <w:snapToGrid w:val="0"/>
        <w:spacing w:before="156" w:beforeLines="50" w:line="300" w:lineRule="auto"/>
        <w:ind w:firstLine="460" w:firstLineChars="19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 xml:space="preserve">.1 </w:t>
      </w:r>
      <w:r>
        <w:rPr>
          <w:rFonts w:hint="eastAsia" w:ascii="宋体" w:hAnsi="宋体"/>
          <w:color w:val="auto"/>
          <w:sz w:val="24"/>
          <w:szCs w:val="24"/>
          <w:highlight w:val="none"/>
        </w:rPr>
        <w:t>应遵循第三章投标人须知</w:t>
      </w:r>
      <w:r>
        <w:rPr>
          <w:rFonts w:ascii="宋体" w:hAnsi="宋体"/>
          <w:color w:val="auto"/>
          <w:sz w:val="24"/>
          <w:szCs w:val="24"/>
          <w:highlight w:val="none"/>
        </w:rPr>
        <w:t>3.7.4</w:t>
      </w:r>
      <w:r>
        <w:rPr>
          <w:rFonts w:hint="eastAsia" w:ascii="宋体" w:hAnsi="宋体"/>
          <w:color w:val="auto"/>
          <w:sz w:val="24"/>
          <w:szCs w:val="24"/>
          <w:highlight w:val="none"/>
        </w:rPr>
        <w:t>项规定。</w:t>
      </w:r>
    </w:p>
    <w:p>
      <w:pPr>
        <w:widowControl w:val="0"/>
        <w:adjustRightInd w:val="0"/>
        <w:snapToGrid w:val="0"/>
        <w:spacing w:before="156" w:beforeLines="50" w:line="300" w:lineRule="auto"/>
        <w:ind w:firstLine="460" w:firstLineChars="192"/>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4</w:t>
      </w:r>
      <w:r>
        <w:rPr>
          <w:rFonts w:ascii="宋体" w:hAnsi="宋体"/>
          <w:color w:val="auto"/>
          <w:sz w:val="24"/>
          <w:szCs w:val="24"/>
          <w:highlight w:val="none"/>
        </w:rPr>
        <w:t xml:space="preserve">.2 </w:t>
      </w:r>
      <w:r>
        <w:rPr>
          <w:rFonts w:hint="eastAsia" w:ascii="宋体" w:hAnsi="宋体"/>
          <w:color w:val="auto"/>
          <w:sz w:val="24"/>
          <w:szCs w:val="24"/>
          <w:highlight w:val="none"/>
        </w:rPr>
        <w:t>成交供应商负责产品的安装、调试，并</w:t>
      </w:r>
      <w:r>
        <w:rPr>
          <w:rFonts w:hint="eastAsia"/>
          <w:color w:val="auto"/>
          <w:sz w:val="24"/>
          <w:szCs w:val="24"/>
          <w:highlight w:val="none"/>
        </w:rPr>
        <w:t>具备正常使用条件。</w:t>
      </w:r>
    </w:p>
    <w:p>
      <w:pPr>
        <w:widowControl w:val="0"/>
        <w:adjustRightInd w:val="0"/>
        <w:snapToGrid w:val="0"/>
        <w:spacing w:before="156" w:beforeLines="50" w:line="300" w:lineRule="auto"/>
        <w:ind w:firstLine="361" w:firstLineChars="150"/>
        <w:rPr>
          <w:rFonts w:ascii="宋体" w:cs="宋体"/>
          <w:b/>
          <w:color w:val="auto"/>
          <w:sz w:val="24"/>
          <w:szCs w:val="24"/>
          <w:highlight w:val="none"/>
        </w:rPr>
      </w:pP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pPr>
        <w:widowControl w:val="0"/>
        <w:adjustRightInd w:val="0"/>
        <w:snapToGrid w:val="0"/>
        <w:spacing w:before="156" w:beforeLines="50" w:line="300" w:lineRule="auto"/>
        <w:ind w:left="22" w:firstLine="555"/>
        <w:jc w:val="left"/>
        <w:rPr>
          <w:rFonts w:ascii="宋体" w:hAnsi="宋体"/>
          <w:color w:val="auto"/>
          <w:sz w:val="24"/>
          <w:szCs w:val="24"/>
          <w:highlight w:val="none"/>
        </w:rPr>
      </w:pPr>
      <w:r>
        <w:rPr>
          <w:rFonts w:hint="eastAsia" w:ascii="宋体" w:hAnsi="宋体"/>
          <w:color w:val="auto"/>
          <w:sz w:val="24"/>
          <w:szCs w:val="24"/>
          <w:highlight w:val="none"/>
        </w:rPr>
        <w:t>投标产品应符合国家、行业的各</w:t>
      </w:r>
      <w:r>
        <w:rPr>
          <w:rFonts w:ascii="宋体" w:hAnsi="宋体"/>
          <w:color w:val="auto"/>
          <w:sz w:val="24"/>
          <w:szCs w:val="24"/>
          <w:highlight w:val="none"/>
        </w:rPr>
        <w:t>项</w:t>
      </w:r>
      <w:r>
        <w:rPr>
          <w:rFonts w:hint="eastAsia" w:ascii="宋体" w:hAnsi="宋体"/>
          <w:color w:val="auto"/>
          <w:sz w:val="24"/>
          <w:szCs w:val="24"/>
          <w:highlight w:val="none"/>
        </w:rPr>
        <w:t>安全标准，投</w:t>
      </w:r>
      <w:r>
        <w:rPr>
          <w:rFonts w:ascii="宋体" w:hAnsi="宋体"/>
          <w:color w:val="auto"/>
          <w:sz w:val="24"/>
          <w:szCs w:val="24"/>
          <w:highlight w:val="none"/>
        </w:rPr>
        <w:t>标</w:t>
      </w:r>
      <w:r>
        <w:rPr>
          <w:rFonts w:hint="eastAsia" w:ascii="宋体" w:hAnsi="宋体"/>
          <w:color w:val="auto"/>
          <w:sz w:val="24"/>
          <w:szCs w:val="24"/>
          <w:highlight w:val="none"/>
        </w:rPr>
        <w:t>人</w:t>
      </w:r>
      <w:r>
        <w:rPr>
          <w:rFonts w:ascii="宋体" w:hAnsi="宋体"/>
          <w:color w:val="auto"/>
          <w:sz w:val="24"/>
          <w:szCs w:val="24"/>
          <w:highlight w:val="none"/>
        </w:rPr>
        <w:t>对</w:t>
      </w:r>
      <w:r>
        <w:rPr>
          <w:rFonts w:hint="eastAsia" w:ascii="宋体" w:hAnsi="宋体"/>
          <w:color w:val="auto"/>
          <w:sz w:val="24"/>
          <w:szCs w:val="24"/>
          <w:highlight w:val="none"/>
        </w:rPr>
        <w:t>投标产品的</w:t>
      </w:r>
      <w:r>
        <w:rPr>
          <w:rFonts w:ascii="宋体" w:hAnsi="宋体"/>
          <w:color w:val="auto"/>
          <w:sz w:val="24"/>
          <w:szCs w:val="24"/>
          <w:highlight w:val="none"/>
        </w:rPr>
        <w:t>安全性承担全部责任。</w:t>
      </w:r>
      <w:r>
        <w:rPr>
          <w:rFonts w:hint="eastAsia" w:ascii="宋体" w:hAnsi="宋体"/>
          <w:color w:val="auto"/>
          <w:sz w:val="24"/>
          <w:szCs w:val="24"/>
          <w:highlight w:val="none"/>
        </w:rPr>
        <w:t>生产或销售不符合保障人身、财产安全的国家标准、行业标准的产品，将</w:t>
      </w:r>
      <w:r>
        <w:rPr>
          <w:rFonts w:ascii="宋体" w:hAnsi="宋体"/>
          <w:color w:val="auto"/>
          <w:sz w:val="24"/>
          <w:szCs w:val="24"/>
          <w:highlight w:val="none"/>
        </w:rPr>
        <w:t>依法承担民事及相应刑事责任</w:t>
      </w:r>
      <w:r>
        <w:rPr>
          <w:rFonts w:hint="eastAsia" w:ascii="宋体" w:hAnsi="宋体"/>
          <w:color w:val="auto"/>
          <w:sz w:val="24"/>
          <w:szCs w:val="24"/>
          <w:highlight w:val="none"/>
        </w:rPr>
        <w:t>。合</w:t>
      </w:r>
      <w:r>
        <w:rPr>
          <w:rFonts w:ascii="宋体" w:hAnsi="宋体"/>
          <w:color w:val="auto"/>
          <w:sz w:val="24"/>
          <w:szCs w:val="24"/>
          <w:highlight w:val="none"/>
        </w:rPr>
        <w:t>同履行中的安全责任由</w:t>
      </w:r>
      <w:r>
        <w:rPr>
          <w:rFonts w:hint="eastAsia"/>
          <w:color w:val="auto"/>
          <w:sz w:val="24"/>
          <w:szCs w:val="24"/>
          <w:highlight w:val="none"/>
        </w:rPr>
        <w:t>成交供应商</w:t>
      </w:r>
      <w:r>
        <w:rPr>
          <w:rFonts w:ascii="宋体" w:hAnsi="宋体"/>
          <w:color w:val="auto"/>
          <w:sz w:val="24"/>
          <w:szCs w:val="24"/>
          <w:highlight w:val="none"/>
        </w:rPr>
        <w:t>承担全部责任。</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对“基本技术要求”的</w:t>
      </w:r>
      <w:r>
        <w:rPr>
          <w:rFonts w:ascii="黑体" w:hAnsi="黑体" w:eastAsia="黑体"/>
          <w:b/>
          <w:color w:val="auto"/>
          <w:sz w:val="24"/>
          <w:szCs w:val="24"/>
          <w:highlight w:val="none"/>
        </w:rPr>
        <w:t>响应</w:t>
      </w:r>
    </w:p>
    <w:p>
      <w:pPr>
        <w:widowControl w:val="0"/>
        <w:adjustRightInd w:val="0"/>
        <w:snapToGrid w:val="0"/>
        <w:spacing w:before="156" w:beforeLines="50" w:line="300" w:lineRule="auto"/>
        <w:ind w:left="22" w:firstLine="555"/>
        <w:jc w:val="left"/>
        <w:rPr>
          <w:rFonts w:ascii="宋体" w:hAnsi="宋体"/>
          <w:color w:val="auto"/>
          <w:sz w:val="24"/>
          <w:szCs w:val="24"/>
          <w:highlight w:val="none"/>
        </w:rPr>
      </w:pPr>
      <w:r>
        <w:rPr>
          <w:rFonts w:hint="eastAsia" w:ascii="宋体" w:hAnsi="宋体"/>
          <w:color w:val="auto"/>
          <w:sz w:val="24"/>
          <w:szCs w:val="24"/>
          <w:highlight w:val="none"/>
        </w:rPr>
        <w:t>“基本技术要求”为采购</w:t>
      </w:r>
      <w:r>
        <w:rPr>
          <w:rFonts w:ascii="宋体" w:hAnsi="宋体"/>
          <w:color w:val="auto"/>
          <w:sz w:val="24"/>
          <w:szCs w:val="24"/>
          <w:highlight w:val="none"/>
        </w:rPr>
        <w:t>需求的</w:t>
      </w:r>
      <w:r>
        <w:rPr>
          <w:rFonts w:hint="eastAsia" w:ascii="宋体" w:hAnsi="宋体"/>
          <w:color w:val="auto"/>
          <w:sz w:val="24"/>
          <w:szCs w:val="24"/>
          <w:highlight w:val="none"/>
        </w:rPr>
        <w:t>基础</w:t>
      </w:r>
      <w:r>
        <w:rPr>
          <w:rFonts w:ascii="宋体" w:hAnsi="宋体"/>
          <w:color w:val="auto"/>
          <w:sz w:val="24"/>
          <w:szCs w:val="24"/>
          <w:highlight w:val="none"/>
        </w:rPr>
        <w:t>性</w:t>
      </w:r>
      <w:r>
        <w:rPr>
          <w:rFonts w:hint="eastAsia" w:ascii="宋体" w:hAnsi="宋体"/>
          <w:color w:val="auto"/>
          <w:sz w:val="24"/>
          <w:szCs w:val="24"/>
          <w:highlight w:val="none"/>
        </w:rPr>
        <w:t>要求，投</w:t>
      </w:r>
      <w:r>
        <w:rPr>
          <w:rFonts w:ascii="宋体" w:hAnsi="宋体"/>
          <w:color w:val="auto"/>
          <w:sz w:val="24"/>
          <w:szCs w:val="24"/>
          <w:highlight w:val="none"/>
        </w:rPr>
        <w:t>标产品应当明确，</w:t>
      </w:r>
      <w:r>
        <w:rPr>
          <w:rFonts w:hint="eastAsia" w:ascii="宋体" w:hAnsi="宋体"/>
          <w:color w:val="auto"/>
          <w:sz w:val="24"/>
          <w:szCs w:val="24"/>
          <w:highlight w:val="none"/>
        </w:rPr>
        <w:t>投</w:t>
      </w:r>
      <w:r>
        <w:rPr>
          <w:rFonts w:ascii="宋体" w:hAnsi="宋体"/>
          <w:color w:val="auto"/>
          <w:sz w:val="24"/>
          <w:szCs w:val="24"/>
          <w:highlight w:val="none"/>
        </w:rPr>
        <w:t>标</w:t>
      </w:r>
      <w:r>
        <w:rPr>
          <w:rFonts w:hint="eastAsia" w:ascii="宋体" w:hAnsi="宋体"/>
          <w:color w:val="auto"/>
          <w:sz w:val="24"/>
          <w:szCs w:val="24"/>
          <w:highlight w:val="none"/>
        </w:rPr>
        <w:t>技术参数应最</w:t>
      </w:r>
      <w:r>
        <w:rPr>
          <w:rFonts w:ascii="宋体" w:hAnsi="宋体"/>
          <w:color w:val="auto"/>
          <w:sz w:val="24"/>
          <w:szCs w:val="24"/>
          <w:highlight w:val="none"/>
        </w:rPr>
        <w:t>终指向具体明确的产</w:t>
      </w:r>
      <w:r>
        <w:rPr>
          <w:rFonts w:hint="eastAsia" w:ascii="宋体" w:hAnsi="宋体"/>
          <w:color w:val="auto"/>
          <w:sz w:val="24"/>
          <w:szCs w:val="24"/>
          <w:highlight w:val="none"/>
        </w:rPr>
        <w:t>品。投</w:t>
      </w:r>
      <w:r>
        <w:rPr>
          <w:rFonts w:ascii="宋体" w:hAnsi="宋体"/>
          <w:color w:val="auto"/>
          <w:sz w:val="24"/>
          <w:szCs w:val="24"/>
          <w:highlight w:val="none"/>
        </w:rPr>
        <w:t>标</w:t>
      </w:r>
      <w:r>
        <w:rPr>
          <w:rFonts w:hint="eastAsia" w:ascii="宋体" w:hAnsi="宋体"/>
          <w:color w:val="auto"/>
          <w:sz w:val="24"/>
          <w:szCs w:val="24"/>
          <w:highlight w:val="none"/>
        </w:rPr>
        <w:t>文</w:t>
      </w:r>
      <w:r>
        <w:rPr>
          <w:rFonts w:ascii="宋体" w:hAnsi="宋体"/>
          <w:color w:val="auto"/>
          <w:sz w:val="24"/>
          <w:szCs w:val="24"/>
          <w:highlight w:val="none"/>
        </w:rPr>
        <w:t>件</w:t>
      </w:r>
      <w:r>
        <w:rPr>
          <w:rFonts w:hint="eastAsia" w:ascii="宋体" w:hAnsi="宋体"/>
          <w:color w:val="auto"/>
          <w:sz w:val="24"/>
          <w:szCs w:val="24"/>
          <w:highlight w:val="none"/>
        </w:rPr>
        <w:t>技术参数抄袭谈判文件“基本技术要求”，投</w:t>
      </w:r>
      <w:r>
        <w:rPr>
          <w:rFonts w:ascii="宋体" w:hAnsi="宋体"/>
          <w:color w:val="auto"/>
          <w:sz w:val="24"/>
          <w:szCs w:val="24"/>
          <w:highlight w:val="none"/>
        </w:rPr>
        <w:t>标产品</w:t>
      </w:r>
      <w:r>
        <w:rPr>
          <w:rFonts w:hint="eastAsia" w:ascii="宋体" w:hAnsi="宋体"/>
          <w:color w:val="auto"/>
          <w:sz w:val="24"/>
          <w:szCs w:val="24"/>
          <w:highlight w:val="none"/>
        </w:rPr>
        <w:t>不</w:t>
      </w:r>
      <w:r>
        <w:rPr>
          <w:rFonts w:ascii="宋体" w:hAnsi="宋体"/>
          <w:color w:val="auto"/>
          <w:sz w:val="24"/>
          <w:szCs w:val="24"/>
          <w:highlight w:val="none"/>
        </w:rPr>
        <w:t>明确</w:t>
      </w:r>
      <w:r>
        <w:rPr>
          <w:rFonts w:hint="eastAsia" w:ascii="宋体" w:hAnsi="宋体"/>
          <w:color w:val="auto"/>
          <w:sz w:val="24"/>
          <w:szCs w:val="24"/>
          <w:highlight w:val="none"/>
        </w:rPr>
        <w:t>的</w:t>
      </w:r>
      <w:r>
        <w:rPr>
          <w:rFonts w:ascii="宋体" w:hAnsi="宋体"/>
          <w:color w:val="auto"/>
          <w:sz w:val="24"/>
          <w:szCs w:val="24"/>
          <w:highlight w:val="none"/>
        </w:rPr>
        <w:t>、或</w:t>
      </w:r>
      <w:r>
        <w:rPr>
          <w:rFonts w:hint="eastAsia" w:ascii="宋体" w:hAnsi="宋体"/>
          <w:color w:val="auto"/>
          <w:sz w:val="24"/>
          <w:szCs w:val="24"/>
          <w:highlight w:val="none"/>
        </w:rPr>
        <w:t>与投</w:t>
      </w:r>
      <w:r>
        <w:rPr>
          <w:rFonts w:ascii="宋体" w:hAnsi="宋体"/>
          <w:color w:val="auto"/>
          <w:sz w:val="24"/>
          <w:szCs w:val="24"/>
          <w:highlight w:val="none"/>
        </w:rPr>
        <w:t>标产品</w:t>
      </w:r>
      <w:r>
        <w:rPr>
          <w:rFonts w:hint="eastAsia" w:ascii="宋体" w:hAnsi="宋体"/>
          <w:color w:val="auto"/>
          <w:sz w:val="24"/>
          <w:szCs w:val="24"/>
          <w:highlight w:val="none"/>
        </w:rPr>
        <w:t>不</w:t>
      </w:r>
      <w:r>
        <w:rPr>
          <w:rFonts w:ascii="宋体" w:hAnsi="宋体"/>
          <w:color w:val="auto"/>
          <w:sz w:val="24"/>
          <w:szCs w:val="24"/>
          <w:highlight w:val="none"/>
        </w:rPr>
        <w:t>一致</w:t>
      </w:r>
      <w:r>
        <w:rPr>
          <w:rFonts w:hint="eastAsia" w:ascii="宋体" w:hAnsi="宋体"/>
          <w:color w:val="auto"/>
          <w:sz w:val="24"/>
          <w:szCs w:val="24"/>
          <w:highlight w:val="none"/>
        </w:rPr>
        <w:t>的</w:t>
      </w:r>
      <w:r>
        <w:rPr>
          <w:rFonts w:ascii="宋体" w:hAnsi="宋体"/>
          <w:color w:val="auto"/>
          <w:sz w:val="24"/>
          <w:szCs w:val="24"/>
          <w:highlight w:val="none"/>
        </w:rPr>
        <w:t>，</w:t>
      </w:r>
      <w:r>
        <w:rPr>
          <w:rFonts w:hint="eastAsia" w:ascii="宋体" w:hAnsi="宋体"/>
          <w:color w:val="auto"/>
          <w:sz w:val="24"/>
          <w:szCs w:val="24"/>
          <w:highlight w:val="none"/>
        </w:rPr>
        <w:t>谈判小组有权按照实质性判断原则评定其为无效投标。</w:t>
      </w:r>
    </w:p>
    <w:p>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 xml:space="preserve">.1 </w:t>
      </w:r>
      <w:r>
        <w:rPr>
          <w:rFonts w:hint="eastAsia"/>
          <w:color w:val="auto"/>
          <w:sz w:val="24"/>
          <w:szCs w:val="24"/>
          <w:highlight w:val="none"/>
        </w:rPr>
        <w:t>“基本技术要求”列示的参数、规格为基础</w:t>
      </w:r>
      <w:r>
        <w:rPr>
          <w:color w:val="auto"/>
          <w:sz w:val="24"/>
          <w:szCs w:val="24"/>
          <w:highlight w:val="none"/>
        </w:rPr>
        <w:t>性</w:t>
      </w:r>
      <w:r>
        <w:rPr>
          <w:rFonts w:hint="eastAsia"/>
          <w:color w:val="auto"/>
          <w:sz w:val="24"/>
          <w:szCs w:val="24"/>
          <w:highlight w:val="none"/>
        </w:rPr>
        <w:t>要求，投标人可提供质量性能参数相等或优于的其他产品；投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投标人认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投标人应提供相关证明材料（如权威评测资料、及印刷品产品说明书或印刷品图册等）以供谈判小组评审投标产品是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 xml:space="preserve"> “基本技术要求”列示的参数、规格为区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，投标人可提供等于或优于的其他产品（其他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；投标人应提供相关证明材料（如权威评测资料、及印刷品产品说明书或印刷品图册等）以供谈判小组评审投标产品是否等于或优于“基本技术要求”、从而评定投标产品是否满足“基本技术要求”。</w:t>
      </w:r>
    </w:p>
    <w:p>
      <w:pPr>
        <w:widowControl w:val="0"/>
        <w:adjustRightInd w:val="0"/>
        <w:snapToGrid w:val="0"/>
        <w:spacing w:before="156" w:beforeLines="50" w:line="300" w:lineRule="auto"/>
        <w:ind w:firstLine="540"/>
        <w:rPr>
          <w:rFonts w:ascii="宋体" w:hAnsi="宋体"/>
          <w:color w:val="auto"/>
          <w:sz w:val="24"/>
          <w:szCs w:val="24"/>
          <w:highlight w:val="none"/>
        </w:rPr>
      </w:pPr>
      <w:r>
        <w:rPr>
          <w:rFonts w:hint="eastAsia"/>
          <w:color w:val="auto"/>
          <w:sz w:val="24"/>
          <w:szCs w:val="24"/>
          <w:highlight w:val="none"/>
        </w:rPr>
        <w:t>2.7.2</w:t>
      </w:r>
      <w:r>
        <w:rPr>
          <w:rFonts w:hint="eastAsia" w:ascii="黑体" w:hAnsi="黑体" w:eastAsia="黑体"/>
          <w:b/>
          <w:color w:val="auto"/>
          <w:sz w:val="24"/>
          <w:szCs w:val="24"/>
          <w:highlight w:val="none"/>
        </w:rPr>
        <w:t>不</w:t>
      </w:r>
      <w:r>
        <w:rPr>
          <w:rFonts w:ascii="黑体" w:hAnsi="黑体" w:eastAsia="黑体"/>
          <w:b/>
          <w:color w:val="auto"/>
          <w:sz w:val="24"/>
          <w:szCs w:val="24"/>
          <w:highlight w:val="none"/>
        </w:rPr>
        <w:t>接受负</w:t>
      </w:r>
      <w:r>
        <w:rPr>
          <w:rFonts w:hint="eastAsia" w:ascii="黑体" w:hAnsi="黑体" w:eastAsia="黑体"/>
          <w:b/>
          <w:color w:val="auto"/>
          <w:sz w:val="24"/>
          <w:szCs w:val="24"/>
          <w:highlight w:val="none"/>
        </w:rPr>
        <w:t>偏差，低</w:t>
      </w:r>
      <w:r>
        <w:rPr>
          <w:rFonts w:ascii="黑体" w:hAnsi="黑体" w:eastAsia="黑体"/>
          <w:b/>
          <w:color w:val="auto"/>
          <w:sz w:val="24"/>
          <w:szCs w:val="24"/>
          <w:highlight w:val="none"/>
        </w:rPr>
        <w:t>于</w:t>
      </w:r>
      <w:r>
        <w:rPr>
          <w:rFonts w:hint="eastAsia" w:ascii="黑体" w:hAnsi="黑体" w:eastAsia="黑体"/>
          <w:b/>
          <w:color w:val="auto"/>
          <w:sz w:val="24"/>
          <w:szCs w:val="24"/>
          <w:highlight w:val="none"/>
        </w:rPr>
        <w:t>“基本技术要求”</w:t>
      </w:r>
      <w:r>
        <w:rPr>
          <w:rFonts w:ascii="黑体" w:hAnsi="黑体" w:eastAsia="黑体"/>
          <w:b/>
          <w:color w:val="auto"/>
          <w:sz w:val="24"/>
          <w:szCs w:val="24"/>
          <w:highlight w:val="none"/>
        </w:rPr>
        <w:t>的、为无效投标。</w:t>
      </w:r>
    </w:p>
    <w:p>
      <w:pPr>
        <w:widowControl w:val="0"/>
        <w:adjustRightInd w:val="0"/>
        <w:snapToGrid w:val="0"/>
        <w:spacing w:before="156" w:beforeLines="50" w:line="300" w:lineRule="auto"/>
        <w:ind w:left="22" w:firstLine="555"/>
        <w:jc w:val="left"/>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除谈判文件“基本技术要求”有明确说明外，投标人所投标的各项产品均应为该产品的标准</w:t>
      </w:r>
      <w:r>
        <w:rPr>
          <w:rFonts w:hint="eastAsia"/>
          <w:color w:val="auto"/>
          <w:sz w:val="24"/>
          <w:szCs w:val="24"/>
          <w:highlight w:val="none"/>
        </w:rPr>
        <w:t>配置、不应改变或调换厂家的出厂标准配置；如确因市场因素无法按上述规格产品进行投标，应提供优于“基本技术要求”的同类产品进行投标，投标人应提供印刷品产品说明书或印刷品图册等予以佐证（电子档）。</w:t>
      </w:r>
    </w:p>
    <w:p>
      <w:pPr>
        <w:widowControl w:val="0"/>
        <w:adjustRightInd w:val="0"/>
        <w:snapToGrid w:val="0"/>
        <w:spacing w:before="156" w:beforeLines="50" w:line="300" w:lineRule="auto"/>
        <w:ind w:firstLine="54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4 投标文件对技术偏差的描述要求：见第三章投标人须知</w:t>
      </w:r>
      <w:r>
        <w:rPr>
          <w:rFonts w:ascii="宋体" w:hAnsi="宋体"/>
          <w:color w:val="auto"/>
          <w:sz w:val="24"/>
          <w:szCs w:val="24"/>
          <w:highlight w:val="none"/>
        </w:rPr>
        <w:t>3.7.3</w:t>
      </w:r>
      <w:r>
        <w:rPr>
          <w:rFonts w:hint="eastAsia" w:ascii="宋体" w:hAnsi="宋体"/>
          <w:color w:val="auto"/>
          <w:sz w:val="24"/>
          <w:szCs w:val="24"/>
          <w:highlight w:val="none"/>
        </w:rPr>
        <w:t>项。</w:t>
      </w:r>
    </w:p>
    <w:p>
      <w:pPr>
        <w:widowControl w:val="0"/>
        <w:adjustRightInd w:val="0"/>
        <w:snapToGrid w:val="0"/>
        <w:spacing w:before="156" w:beforeLines="50" w:line="300" w:lineRule="auto"/>
        <w:ind w:left="23" w:firstLine="556"/>
        <w:outlineLvl w:val="1"/>
        <w:rPr>
          <w:rFonts w:ascii="黑体" w:hAnsi="黑体" w:eastAsia="黑体"/>
          <w:b/>
          <w:color w:val="auto"/>
          <w:sz w:val="24"/>
          <w:szCs w:val="24"/>
          <w:highlight w:val="none"/>
        </w:rPr>
      </w:pPr>
      <w:bookmarkStart w:id="19" w:name="_Toc209083626"/>
      <w:r>
        <w:rPr>
          <w:rFonts w:hint="eastAsia" w:ascii="黑体" w:hAnsi="黑体" w:eastAsia="黑体"/>
          <w:b/>
          <w:color w:val="auto"/>
          <w:sz w:val="24"/>
          <w:szCs w:val="24"/>
          <w:highlight w:val="none"/>
        </w:rPr>
        <w:t xml:space="preserve">2.8 </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售后服务的基本条款（采购标的需满足的服务标准、期限、效率等要求）</w:t>
      </w:r>
      <w:bookmarkEnd w:id="19"/>
    </w:p>
    <w:p>
      <w:pPr>
        <w:widowControl w:val="0"/>
        <w:adjustRightInd w:val="0"/>
        <w:snapToGrid w:val="0"/>
        <w:spacing w:before="156" w:beforeLines="50" w:line="300" w:lineRule="auto"/>
        <w:ind w:firstLine="538"/>
        <w:rPr>
          <w:rFonts w:ascii="宋体" w:hAnsi="宋体"/>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.1</w:t>
      </w:r>
      <w:r>
        <w:rPr>
          <w:rFonts w:hint="eastAsia" w:ascii="宋体" w:hAnsi="宋体"/>
          <w:color w:val="auto"/>
          <w:sz w:val="24"/>
          <w:szCs w:val="24"/>
          <w:highlight w:val="none"/>
        </w:rPr>
        <w:t>货物的保修除按国家有关规定、各产品生产厂家规定及项目特殊要求处理外，还应满足下述条款：</w:t>
      </w:r>
    </w:p>
    <w:p>
      <w:pPr>
        <w:widowControl w:val="0"/>
        <w:adjustRightInd w:val="0"/>
        <w:snapToGrid w:val="0"/>
        <w:spacing w:before="156" w:beforeLines="50" w:line="300" w:lineRule="auto"/>
        <w:ind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谈判文件中未明确列明保修条款的产品，均需提供至少一年的免费保修；国家规定或产品生产厂家规定大于一年的，按国家规定与厂家规定最有利于采购人原则执行；谈判文件已明确列明大于一年保修的，按该条款及其响应执行，并终身维护；</w:t>
      </w:r>
    </w:p>
    <w:p>
      <w:pPr>
        <w:widowControl w:val="0"/>
        <w:adjustRightInd w:val="0"/>
        <w:snapToGrid w:val="0"/>
        <w:spacing w:before="156" w:beforeLines="50" w:line="300" w:lineRule="auto"/>
        <w:ind w:left="22"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）保修期内货物发生故障系货物出现质量问题，必须无偿更换；</w:t>
      </w:r>
    </w:p>
    <w:p>
      <w:pPr>
        <w:widowControl w:val="0"/>
        <w:adjustRightInd w:val="0"/>
        <w:snapToGrid w:val="0"/>
        <w:spacing w:before="156" w:beforeLines="50" w:line="300" w:lineRule="auto"/>
        <w:ind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）货物超过保修期发生故障，采购人可自由选择维修单位，如委托给成交供应商，成交供应商不得借故推诿，且维修费优于市场价格；</w:t>
      </w:r>
    </w:p>
    <w:p>
      <w:pPr>
        <w:widowControl w:val="0"/>
        <w:adjustRightInd w:val="0"/>
        <w:snapToGrid w:val="0"/>
        <w:spacing w:before="156" w:beforeLines="50" w:line="300" w:lineRule="auto"/>
        <w:ind w:firstLine="538"/>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）如货物发生故障，接到通知后需尽快做出响应，并在</w:t>
      </w:r>
      <w:r>
        <w:rPr>
          <w:rFonts w:ascii="宋体" w:hAnsi="宋体"/>
          <w:color w:val="auto"/>
          <w:sz w:val="24"/>
          <w:szCs w:val="24"/>
          <w:highlight w:val="none"/>
        </w:rPr>
        <w:t>24</w:t>
      </w:r>
      <w:r>
        <w:rPr>
          <w:rFonts w:hint="eastAsia" w:ascii="宋体" w:hAnsi="宋体"/>
          <w:color w:val="auto"/>
          <w:sz w:val="24"/>
          <w:szCs w:val="24"/>
          <w:highlight w:val="none"/>
        </w:rPr>
        <w:t>小时内及时赶到现场，负责故障原因的诊断，尽快排除故障。</w:t>
      </w:r>
    </w:p>
    <w:p>
      <w:pPr>
        <w:widowControl w:val="0"/>
        <w:adjustRightInd w:val="0"/>
        <w:snapToGrid w:val="0"/>
        <w:spacing w:before="156" w:beforeLines="50" w:line="300" w:lineRule="auto"/>
        <w:ind w:firstLine="538"/>
        <w:rPr>
          <w:rFonts w:ascii="宋体" w:hAnsi="宋体"/>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w:t>
      </w:r>
      <w:r>
        <w:rPr>
          <w:rFonts w:ascii="宋体" w:hAnsi="宋体"/>
          <w:color w:val="auto"/>
          <w:sz w:val="24"/>
          <w:szCs w:val="24"/>
          <w:highlight w:val="none"/>
        </w:rPr>
        <w:t xml:space="preserve">2 </w:t>
      </w:r>
      <w:r>
        <w:rPr>
          <w:rFonts w:hint="eastAsia" w:ascii="宋体" w:hAnsi="宋体"/>
          <w:color w:val="auto"/>
          <w:sz w:val="24"/>
          <w:szCs w:val="24"/>
          <w:highlight w:val="none"/>
        </w:rPr>
        <w:t>在成交供应商</w:t>
      </w:r>
      <w:r>
        <w:rPr>
          <w:rFonts w:hint="eastAsia"/>
          <w:color w:val="auto"/>
          <w:sz w:val="24"/>
          <w:szCs w:val="24"/>
          <w:highlight w:val="none"/>
        </w:rPr>
        <w:t>未按照合同规定的地点交验前，货物毁坏或灭失，</w:t>
      </w:r>
      <w:r>
        <w:rPr>
          <w:rFonts w:hint="eastAsia" w:ascii="宋体" w:hAnsi="宋体"/>
          <w:color w:val="auto"/>
          <w:sz w:val="24"/>
          <w:szCs w:val="24"/>
          <w:highlight w:val="none"/>
        </w:rPr>
        <w:t>由成交供应商承担责任。</w:t>
      </w:r>
    </w:p>
    <w:p>
      <w:pPr>
        <w:widowControl w:val="0"/>
        <w:adjustRightInd w:val="0"/>
        <w:snapToGrid w:val="0"/>
        <w:spacing w:before="156" w:beforeLines="50" w:line="300" w:lineRule="auto"/>
        <w:ind w:firstLine="538"/>
        <w:rPr>
          <w:color w:val="auto"/>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投标人需提供详尽的售后服务承诺；如由产品生产厂家提供相关售后服务的，投标人负有连带售后服</w:t>
      </w:r>
      <w:r>
        <w:rPr>
          <w:rFonts w:hint="eastAsia"/>
          <w:color w:val="auto"/>
          <w:sz w:val="24"/>
          <w:szCs w:val="24"/>
          <w:highlight w:val="none"/>
        </w:rPr>
        <w:t>务责任。</w:t>
      </w:r>
    </w:p>
    <w:p>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9保险、货物包装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投标人应遵循国家相关保险的规定，依法办理采购需求范围内的相关法定保险，相关保险费用及相应责任由成交供应商承担。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在成交供应商未按照合同规定的地点交验前，货物毁坏或灭失，人身、安全责任，均由成交供应商承担责任。投标人可以按照最有利于项目风险控制的原则，为项目办理货物、人身及第三方公众责任险。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2.9.2货物包装：</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成交供应商负责按国家相关标准进行货物包装，设备的包装均应有良好的防湿、防锈、防潮、防雨、防腐及防碰撞的措施，凡由于包装不良造成的损失和由此产生的费用均由成交供应商承担。</w:t>
      </w:r>
    </w:p>
    <w:p>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10采购标的的验收标准</w:t>
      </w:r>
    </w:p>
    <w:p>
      <w:pPr>
        <w:adjustRightInd w:val="0"/>
        <w:snapToGrid w:val="0"/>
        <w:spacing w:line="300" w:lineRule="auto"/>
        <w:ind w:firstLine="564" w:firstLineChars="235"/>
        <w:jc w:val="left"/>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条“验收”条款。</w:t>
      </w:r>
    </w:p>
    <w:p>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pPr>
        <w:adjustRightInd w:val="0"/>
        <w:snapToGrid w:val="0"/>
        <w:spacing w:before="156" w:beforeLines="50" w:line="300" w:lineRule="auto"/>
        <w:ind w:firstLine="480" w:firstLineChars="200"/>
        <w:rPr>
          <w:color w:val="auto"/>
          <w:sz w:val="24"/>
          <w:szCs w:val="24"/>
          <w:highlight w:val="none"/>
        </w:rPr>
      </w:pPr>
      <w:r>
        <w:rPr>
          <w:rFonts w:hint="eastAsia"/>
          <w:color w:val="auto"/>
          <w:sz w:val="24"/>
          <w:szCs w:val="24"/>
          <w:highlight w:val="none"/>
        </w:rPr>
        <w:t xml:space="preserve">  无</w:t>
      </w:r>
    </w:p>
    <w:p>
      <w:pPr>
        <w:adjustRightInd w:val="0"/>
        <w:snapToGrid w:val="0"/>
        <w:spacing w:before="156" w:beforeLines="50" w:line="300" w:lineRule="auto"/>
        <w:ind w:firstLine="480" w:firstLineChars="200"/>
        <w:rPr>
          <w:color w:val="auto"/>
          <w:sz w:val="24"/>
          <w:szCs w:val="24"/>
          <w:highlight w:val="none"/>
        </w:rPr>
      </w:pPr>
    </w:p>
    <w:p>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0" w:name="_Toc65574702"/>
      <w:bookmarkStart w:id="21" w:name="_Toc209083627"/>
      <w:r>
        <w:rPr>
          <w:rFonts w:ascii="黑体" w:hAnsi="黑体" w:eastAsia="黑体"/>
          <w:b/>
          <w:color w:val="auto"/>
          <w:sz w:val="28"/>
          <w:highlight w:val="none"/>
        </w:rPr>
        <w:t xml:space="preserve">3. </w:t>
      </w:r>
      <w:r>
        <w:rPr>
          <w:rFonts w:hint="eastAsia" w:ascii="黑体" w:hAnsi="黑体" w:eastAsia="黑体"/>
          <w:b/>
          <w:color w:val="auto"/>
          <w:sz w:val="28"/>
          <w:highlight w:val="none"/>
        </w:rPr>
        <w:t>项目其他要求</w:t>
      </w:r>
      <w:bookmarkEnd w:id="20"/>
      <w:bookmarkEnd w:id="21"/>
    </w:p>
    <w:p>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3.1防范虚假证明材料的要求</w:t>
      </w:r>
    </w:p>
    <w:p>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基于当前监督检查工作要求，为防范虚假材料，投标人（成交人）应按</w:t>
      </w:r>
      <w:r>
        <w:rPr>
          <w:rFonts w:hint="eastAsia" w:ascii="宋体" w:cs="楷体_GB2312"/>
          <w:color w:val="auto"/>
          <w:sz w:val="24"/>
          <w:highlight w:val="none"/>
          <w:lang w:val="zh-CN"/>
        </w:rPr>
        <w:t>第六章</w:t>
      </w:r>
      <w:r>
        <w:rPr>
          <w:rFonts w:hint="eastAsia" w:ascii="宋体" w:hAnsi="宋体" w:cs="宋体"/>
          <w:color w:val="auto"/>
          <w:sz w:val="24"/>
          <w:szCs w:val="24"/>
          <w:highlight w:val="none"/>
        </w:rPr>
        <w:t>14-3附件“证明材料查询核验工作的清单及要求”执行。</w:t>
      </w:r>
    </w:p>
    <w:p>
      <w:pPr>
        <w:spacing w:line="360" w:lineRule="auto"/>
        <w:ind w:right="238"/>
        <w:jc w:val="center"/>
        <w:outlineLvl w:val="0"/>
        <w:rPr>
          <w:rFonts w:eastAsia="黑体"/>
          <w:b/>
          <w:color w:val="auto"/>
          <w:spacing w:val="36"/>
          <w:sz w:val="36"/>
          <w:szCs w:val="36"/>
          <w:highlight w:val="none"/>
        </w:rPr>
      </w:pPr>
      <w:r>
        <w:rPr>
          <w:rFonts w:ascii="黑体" w:hAnsi="黑体" w:eastAsia="黑体"/>
          <w:b/>
          <w:color w:val="auto"/>
          <w:sz w:val="24"/>
          <w:szCs w:val="24"/>
          <w:highlight w:val="none"/>
        </w:rPr>
        <w:br w:type="page"/>
      </w:r>
    </w:p>
    <w:p>
      <w:pPr>
        <w:spacing w:line="360" w:lineRule="auto"/>
        <w:ind w:right="238"/>
        <w:jc w:val="center"/>
        <w:outlineLvl w:val="0"/>
        <w:rPr>
          <w:rFonts w:eastAsia="黑体"/>
          <w:b/>
          <w:color w:val="auto"/>
          <w:sz w:val="36"/>
          <w:szCs w:val="36"/>
          <w:highlight w:val="none"/>
        </w:rPr>
      </w:pPr>
      <w:bookmarkStart w:id="22" w:name="_Toc209083628"/>
      <w:r>
        <w:rPr>
          <w:rFonts w:hint="eastAsia" w:eastAsia="黑体"/>
          <w:b/>
          <w:color w:val="auto"/>
          <w:sz w:val="36"/>
          <w:szCs w:val="36"/>
          <w:highlight w:val="none"/>
        </w:rPr>
        <w:t>第三章 投标人须知</w:t>
      </w:r>
      <w:bookmarkEnd w:id="22"/>
    </w:p>
    <w:p>
      <w:pPr>
        <w:spacing w:line="360" w:lineRule="auto"/>
        <w:ind w:right="238"/>
        <w:jc w:val="left"/>
        <w:outlineLvl w:val="1"/>
        <w:rPr>
          <w:rFonts w:eastAsia="黑体"/>
          <w:b/>
          <w:color w:val="auto"/>
          <w:sz w:val="28"/>
          <w:szCs w:val="28"/>
          <w:highlight w:val="none"/>
        </w:rPr>
      </w:pPr>
      <w:bookmarkStart w:id="23" w:name="_Toc209083629"/>
      <w:r>
        <w:rPr>
          <w:rFonts w:hint="eastAsia" w:eastAsia="黑体"/>
          <w:b/>
          <w:color w:val="auto"/>
          <w:sz w:val="28"/>
          <w:szCs w:val="28"/>
          <w:highlight w:val="none"/>
        </w:rPr>
        <w:t>投标人须知前附表</w:t>
      </w:r>
      <w:bookmarkEnd w:id="23"/>
    </w:p>
    <w:tbl>
      <w:tblPr>
        <w:tblStyle w:val="20"/>
        <w:tblW w:w="9755" w:type="dxa"/>
        <w:jc w:val="center"/>
        <w:tblInd w:w="0" w:type="dxa"/>
        <w:tblLayout w:type="fixed"/>
        <w:tblCellMar>
          <w:top w:w="0" w:type="dxa"/>
          <w:left w:w="108" w:type="dxa"/>
          <w:bottom w:w="0" w:type="dxa"/>
          <w:right w:w="108" w:type="dxa"/>
        </w:tblCellMar>
      </w:tblPr>
      <w:tblGrid>
        <w:gridCol w:w="608"/>
        <w:gridCol w:w="694"/>
        <w:gridCol w:w="1874"/>
        <w:gridCol w:w="6579"/>
      </w:tblGrid>
      <w:tr>
        <w:tblPrEx>
          <w:tblLayout w:type="fixed"/>
          <w:tblCellMar>
            <w:top w:w="0" w:type="dxa"/>
            <w:left w:w="108" w:type="dxa"/>
            <w:bottom w:w="0" w:type="dxa"/>
            <w:right w:w="108" w:type="dxa"/>
          </w:tblCellMar>
        </w:tblPrEx>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ind w:right="-126" w:rightChars="-60"/>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tblPrEx>
          <w:tblLayout w:type="fixed"/>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tblPrEx>
          <w:tblLayout w:type="fixed"/>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tblPrEx>
          <w:tblLayout w:type="fixed"/>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p>
        </w:tc>
      </w:tr>
      <w:tr>
        <w:tblPrEx>
          <w:tblLayout w:type="fixed"/>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见“第一章谈判公告”相应条款。</w:t>
            </w:r>
            <w:r>
              <w:rPr>
                <w:rFonts w:hint="eastAsia" w:ascii="宋体" w:hAnsi="宋体" w:cs="楷体_GB2312"/>
                <w:b/>
                <w:color w:val="auto"/>
                <w:sz w:val="24"/>
                <w:highlight w:val="none"/>
                <w:lang w:val="zh-CN"/>
              </w:rPr>
              <w:t>注：投标人的投标报价未超过预算金额的不足三家时，该项目（标段&lt;包&gt;）终止。</w:t>
            </w:r>
          </w:p>
        </w:tc>
      </w:tr>
      <w:tr>
        <w:tblPrEx>
          <w:tblLayout w:type="fixed"/>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tblPrEx>
          <w:tblLayout w:type="fixed"/>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tblPrEx>
          <w:tblLayout w:type="fixed"/>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见“第一章谈判公告”相应条款</w:t>
            </w:r>
          </w:p>
        </w:tc>
      </w:tr>
      <w:tr>
        <w:tblPrEx>
          <w:tblLayout w:type="fixed"/>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见“第二章采购项目及技术服务要求”相应条款</w:t>
            </w:r>
          </w:p>
        </w:tc>
      </w:tr>
      <w:tr>
        <w:tblPrEx>
          <w:tblLayout w:type="fixed"/>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交验</w:t>
            </w:r>
            <w:r>
              <w:rPr>
                <w:rFonts w:hint="eastAsia" w:ascii="宋体" w:hAnsi="宋体" w:cs="楷体_GB2312"/>
                <w:b/>
                <w:bCs/>
                <w:color w:val="auto"/>
                <w:sz w:val="24"/>
                <w:highlight w:val="none"/>
                <w:lang w:val="zh-CN"/>
              </w:rPr>
              <w:t>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见“第二部分采购项目及技术服务要求”</w:t>
            </w:r>
            <w:r>
              <w:rPr>
                <w:rFonts w:hint="eastAsia"/>
                <w:color w:val="auto"/>
                <w:sz w:val="24"/>
                <w:szCs w:val="24"/>
                <w:highlight w:val="none"/>
              </w:rPr>
              <w:t>相应条款</w:t>
            </w:r>
          </w:p>
        </w:tc>
      </w:tr>
      <w:tr>
        <w:tblPrEx>
          <w:tblLayout w:type="fixed"/>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交验地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tblPrEx>
          <w:tblLayout w:type="fixed"/>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见“第二章采购项目及技术服务要求”相应条款</w:t>
            </w:r>
          </w:p>
        </w:tc>
      </w:tr>
      <w:tr>
        <w:tblPrEx>
          <w:tblLayout w:type="fixed"/>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标段（包）内容（范围）及基本技术要求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tblPrEx>
          <w:tblLayout w:type="fixed"/>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7</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tblPrEx>
          <w:tblLayout w:type="fixed"/>
          <w:tblCellMar>
            <w:top w:w="0" w:type="dxa"/>
            <w:left w:w="108" w:type="dxa"/>
            <w:bottom w:w="0" w:type="dxa"/>
            <w:right w:w="108" w:type="dxa"/>
          </w:tblCellMar>
        </w:tblPrEx>
        <w:trPr>
          <w:trHeight w:val="303"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2.8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tblPrEx>
          <w:tblLayout w:type="fixed"/>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tblPrEx>
          <w:tblLayout w:type="fixed"/>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tblPrEx>
          <w:tblLayout w:type="fixed"/>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tblPrEx>
          <w:tblLayout w:type="fixed"/>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tblPrEx>
          <w:tblLayout w:type="fixed"/>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Layout w:type="fixed"/>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日前</w:t>
            </w:r>
            <w:r>
              <w:rPr>
                <w:rFonts w:ascii="宋体" w:cs="楷体_GB2312"/>
                <w:color w:val="auto"/>
                <w:sz w:val="24"/>
                <w:highlight w:val="none"/>
                <w:lang w:val="zh-CN"/>
              </w:rPr>
              <w:t xml:space="preserve"> </w:t>
            </w:r>
          </w:p>
        </w:tc>
      </w:tr>
      <w:tr>
        <w:tblPrEx>
          <w:tblLayout w:type="fixed"/>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3</w:t>
            </w:r>
            <w:r>
              <w:rPr>
                <w:rFonts w:hint="eastAsia" w:ascii="宋体" w:hAnsi="宋体" w:cs="楷体_GB2312"/>
                <w:color w:val="auto"/>
                <w:sz w:val="24"/>
                <w:highlight w:val="none"/>
              </w:rPr>
              <w:t>个工作</w:t>
            </w:r>
            <w:r>
              <w:rPr>
                <w:rFonts w:hint="eastAsia" w:ascii="宋体" w:hAnsi="宋体" w:cs="楷体_GB2312"/>
                <w:color w:val="auto"/>
                <w:sz w:val="24"/>
                <w:highlight w:val="none"/>
                <w:lang w:val="zh-CN"/>
              </w:rPr>
              <w:t>日前。</w:t>
            </w:r>
          </w:p>
        </w:tc>
      </w:tr>
      <w:tr>
        <w:tblPrEx>
          <w:tblLayout w:type="fixed"/>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Layout w:type="fixed"/>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Layout w:type="fixed"/>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tblPrEx>
          <w:tblLayout w:type="fixed"/>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3.5</w:t>
            </w:r>
          </w:p>
        </w:tc>
        <w:tc>
          <w:tcPr>
            <w:tcW w:w="1874" w:type="dxa"/>
            <w:tcBorders>
              <w:top w:val="single" w:color="auto" w:sz="6" w:space="0"/>
              <w:left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tc>
        <w:tc>
          <w:tcPr>
            <w:tcW w:w="6579" w:type="dxa"/>
            <w:tcBorders>
              <w:top w:val="single" w:color="auto" w:sz="6" w:space="0"/>
              <w:left w:val="single" w:color="auto" w:sz="6" w:space="0"/>
              <w:right w:val="single" w:color="auto" w:sz="12" w:space="0"/>
            </w:tcBorders>
            <w:vAlign w:val="center"/>
          </w:tcPr>
          <w:p>
            <w:pPr>
              <w:widowControl w:val="0"/>
              <w:snapToGrid w:val="0"/>
              <w:spacing w:before="156" w:beforeLines="50" w:line="240" w:lineRule="auto"/>
              <w:rPr>
                <w:rFonts w:cs="楷体_GB2312"/>
                <w:b/>
                <w:color w:val="auto"/>
                <w:sz w:val="24"/>
                <w:highlight w:val="none"/>
                <w:lang w:val="zh-CN"/>
              </w:rPr>
            </w:pPr>
            <w:r>
              <w:rPr>
                <w:rFonts w:hint="eastAsia"/>
                <w:color w:val="auto"/>
                <w:sz w:val="24"/>
                <w:szCs w:val="24"/>
                <w:highlight w:val="none"/>
              </w:rPr>
              <w:t>供应商应按附件格式进行投标承诺、违背承诺的责任追究。</w:t>
            </w:r>
          </w:p>
        </w:tc>
      </w:tr>
      <w:tr>
        <w:tblPrEx>
          <w:tblLayout w:type="fixed"/>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Layout w:type="fixed"/>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Layout w:type="fixed"/>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4.2.4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tblPrEx>
          <w:tblLayout w:type="fixed"/>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6.1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tblPrEx>
          <w:tblLayout w:type="fixed"/>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是。谈判小组按照最后报价由低到高的顺序提出</w:t>
            </w:r>
            <w:r>
              <w:rPr>
                <w:rFonts w:ascii="宋体" w:hAnsi="宋体"/>
                <w:color w:val="auto"/>
                <w:sz w:val="24"/>
                <w:highlight w:val="none"/>
              </w:rPr>
              <w:t>3</w:t>
            </w:r>
            <w:r>
              <w:rPr>
                <w:rFonts w:hint="eastAsia" w:ascii="宋体" w:hAnsi="宋体"/>
                <w:color w:val="auto"/>
                <w:sz w:val="24"/>
                <w:highlight w:val="none"/>
              </w:rPr>
              <w:t>名成交候选人，并确定排名第一的成交候选人为成交供应商。</w:t>
            </w:r>
          </w:p>
        </w:tc>
      </w:tr>
      <w:tr>
        <w:tblPrEx>
          <w:tblLayout w:type="fixed"/>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本次竞争性谈判的成交结果将在成交供应商确定之日起1个工作日内，在谈判公告所述媒介公告</w:t>
            </w:r>
            <w:r>
              <w:rPr>
                <w:rFonts w:ascii="宋体" w:hAnsi="宋体"/>
                <w:color w:val="auto"/>
                <w:sz w:val="24"/>
                <w:highlight w:val="none"/>
              </w:rPr>
              <w:t>1</w:t>
            </w:r>
            <w:r>
              <w:rPr>
                <w:rFonts w:hint="eastAsia" w:ascii="宋体" w:hAnsi="宋体"/>
                <w:color w:val="auto"/>
                <w:sz w:val="24"/>
                <w:highlight w:val="none"/>
              </w:rPr>
              <w:t>个工作日。</w:t>
            </w:r>
          </w:p>
        </w:tc>
      </w:tr>
      <w:tr>
        <w:tblPrEx>
          <w:tblLayout w:type="fixed"/>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Layout w:type="fixed"/>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采购代理机构在成交供应商确定后1个工作日内，向成交供应商发出成交通知书。成交供应商应凭缴费凭证及时领取成交通知书。</w:t>
            </w:r>
          </w:p>
        </w:tc>
      </w:tr>
      <w:tr>
        <w:tblPrEx>
          <w:tblLayout w:type="fixed"/>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tblPrEx>
          <w:tblLayout w:type="fixed"/>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见“第三章投标人须知”相应条款</w:t>
            </w:r>
          </w:p>
        </w:tc>
      </w:tr>
      <w:tr>
        <w:tblPrEx>
          <w:tblLayout w:type="fixed"/>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156" w:beforeLines="50" w:line="240" w:lineRule="auto"/>
              <w:ind w:firstLine="480" w:firstLineChars="200"/>
              <w:rPr>
                <w:color w:val="auto"/>
                <w:sz w:val="24"/>
                <w:szCs w:val="24"/>
                <w:highlight w:val="none"/>
              </w:rPr>
            </w:pPr>
            <w:bookmarkStart w:id="24" w:name="OLE_LINK11"/>
            <w:r>
              <w:rPr>
                <w:rFonts w:hint="eastAsia"/>
                <w:color w:val="auto"/>
                <w:sz w:val="24"/>
                <w:szCs w:val="24"/>
                <w:highlight w:val="none"/>
              </w:rPr>
              <w:t>为优化政府采购营商环境，根据安财购﹝2019﹞8号文件落实政府采购预付款的规定，采购人可</w:t>
            </w:r>
            <w:r>
              <w:rPr>
                <w:rFonts w:hint="eastAsia"/>
                <w:color w:val="auto"/>
                <w:sz w:val="24"/>
                <w:szCs w:val="24"/>
                <w:highlight w:val="none"/>
                <w:lang w:val="en-US" w:eastAsia="zh-CN"/>
              </w:rPr>
              <w:t>视资金情况</w:t>
            </w:r>
            <w:r>
              <w:rPr>
                <w:rFonts w:hint="eastAsia"/>
                <w:color w:val="auto"/>
                <w:sz w:val="24"/>
                <w:szCs w:val="24"/>
                <w:highlight w:val="none"/>
              </w:rPr>
              <w:t>在政府采购合同履约前向成交供应商预付</w:t>
            </w:r>
            <w:r>
              <w:rPr>
                <w:color w:val="auto"/>
                <w:sz w:val="24"/>
                <w:szCs w:val="24"/>
                <w:highlight w:val="none"/>
                <w:u w:val="single"/>
              </w:rPr>
              <w:t>30%</w:t>
            </w:r>
            <w:r>
              <w:rPr>
                <w:rFonts w:hint="eastAsia"/>
                <w:color w:val="auto"/>
                <w:sz w:val="24"/>
                <w:szCs w:val="24"/>
                <w:highlight w:val="none"/>
              </w:rPr>
              <w:t>的合同资金，成交供应商应向采购人提交预付款保函，未提供保函的，视同其放弃项目预付款的支付。</w:t>
            </w:r>
          </w:p>
          <w:p>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w:t>
            </w:r>
            <w:r>
              <w:rPr>
                <w:color w:val="auto"/>
                <w:sz w:val="24"/>
                <w:szCs w:val="24"/>
                <w:highlight w:val="none"/>
              </w:rPr>
              <w:t>2022</w:t>
            </w: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号文件落实政府采购中小企业预付款的规定，采购人可</w:t>
            </w:r>
            <w:r>
              <w:rPr>
                <w:rFonts w:hint="eastAsia"/>
                <w:color w:val="auto"/>
                <w:sz w:val="24"/>
                <w:szCs w:val="24"/>
                <w:highlight w:val="none"/>
                <w:lang w:val="en-US" w:eastAsia="zh-CN"/>
              </w:rPr>
              <w:t>视资金情况</w:t>
            </w:r>
            <w:r>
              <w:rPr>
                <w:rFonts w:hint="eastAsia"/>
                <w:color w:val="auto"/>
                <w:sz w:val="24"/>
                <w:szCs w:val="24"/>
                <w:highlight w:val="none"/>
              </w:rPr>
              <w:t>在政府采购合同签订后，向成交供应商原则上预付不低于合同金额</w:t>
            </w:r>
            <w:r>
              <w:rPr>
                <w:color w:val="auto"/>
                <w:sz w:val="24"/>
                <w:szCs w:val="24"/>
                <w:highlight w:val="none"/>
              </w:rPr>
              <w:t>50%</w:t>
            </w:r>
            <w:r>
              <w:rPr>
                <w:rFonts w:hint="eastAsia"/>
                <w:color w:val="auto"/>
                <w:sz w:val="24"/>
                <w:szCs w:val="24"/>
                <w:highlight w:val="none"/>
              </w:rPr>
              <w:t>的预付款，成交供应商应向采购人提交预付款保函，未提供保函的，视同其放弃项目预付款的支付。</w:t>
            </w:r>
          </w:p>
          <w:p>
            <w:pPr>
              <w:snapToGrid w:val="0"/>
              <w:spacing w:before="156" w:beforeLines="50" w:line="240" w:lineRule="auto"/>
              <w:ind w:firstLine="352" w:firstLineChars="147"/>
              <w:rPr>
                <w:rFonts w:hint="eastAsia"/>
                <w:color w:val="auto"/>
                <w:sz w:val="24"/>
                <w:szCs w:val="24"/>
                <w:highlight w:val="none"/>
              </w:rPr>
            </w:pPr>
            <w:r>
              <w:rPr>
                <w:rFonts w:hint="eastAsia"/>
                <w:color w:val="auto"/>
                <w:sz w:val="24"/>
                <w:szCs w:val="24"/>
                <w:highlight w:val="none"/>
              </w:rPr>
              <w:t>成交人持采购人及专家等出具的《政府采购验收报告》及成交人填写的《政府采购资金支付申请书》，经采购人与成交人签字盖章后，作为付款依据，报同级财政局政府采购管理办公室审核确认后由采购人一次无息付清。</w:t>
            </w:r>
            <w:bookmarkEnd w:id="24"/>
          </w:p>
          <w:p>
            <w:pPr>
              <w:widowControl w:val="0"/>
              <w:snapToGrid w:val="0"/>
              <w:spacing w:beforeLines="50" w:line="240" w:lineRule="auto"/>
              <w:rPr>
                <w:rFonts w:hint="eastAsia"/>
                <w:color w:val="auto"/>
                <w:sz w:val="24"/>
                <w:szCs w:val="24"/>
                <w:highlight w:val="none"/>
              </w:rPr>
            </w:pPr>
            <w:r>
              <w:rPr>
                <w:rFonts w:hint="eastAsia"/>
                <w:color w:val="auto"/>
                <w:sz w:val="24"/>
                <w:szCs w:val="24"/>
                <w:highlight w:val="none"/>
              </w:rPr>
              <w:t>并按照《安阳县公安局项目审计监督管理办法(试行)》相关结算审计环节要求执行。</w:t>
            </w:r>
          </w:p>
        </w:tc>
      </w:tr>
      <w:tr>
        <w:tblPrEx>
          <w:tblLayout w:type="fixed"/>
          <w:tblCellMar>
            <w:top w:w="0" w:type="dxa"/>
            <w:left w:w="108" w:type="dxa"/>
            <w:bottom w:w="0" w:type="dxa"/>
            <w:right w:w="108" w:type="dxa"/>
          </w:tblCellMar>
        </w:tblPrEx>
        <w:trPr>
          <w:trHeight w:val="471" w:hRule="atLeast"/>
          <w:jc w:val="center"/>
        </w:trPr>
        <w:tc>
          <w:tcPr>
            <w:tcW w:w="608" w:type="dxa"/>
            <w:tcBorders>
              <w:left w:val="single" w:color="auto" w:sz="12" w:space="0"/>
              <w:bottom w:val="single" w:color="auto" w:sz="6" w:space="0"/>
              <w:right w:val="single" w:color="auto" w:sz="6" w:space="0"/>
            </w:tcBorders>
          </w:tcPr>
          <w:p>
            <w:pPr>
              <w:autoSpaceDE w:val="0"/>
              <w:autoSpaceDN w:val="0"/>
              <w:adjustRightInd w:val="0"/>
              <w:spacing w:line="360" w:lineRule="auto"/>
              <w:rPr>
                <w:rFonts w:ascii="宋体" w:cs="楷体_GB2312"/>
                <w:b/>
                <w:bCs/>
                <w:color w:val="auto"/>
                <w:sz w:val="24"/>
                <w:highlight w:val="none"/>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10.1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按照预算参照国家计委《招标代理服务收费管理暂行办法》（计价格【2002】1980号）、《国家发展和改革委员会办公厅关于招标代理服务费有关问题的通知》（发改办价格【2003】857号）及发改价格【2011】534号文件的规定，招标代理服务费</w:t>
            </w:r>
            <w:r>
              <w:rPr>
                <w:rFonts w:hint="eastAsia" w:ascii="宋体" w:hAnsi="宋体"/>
                <w:color w:val="auto"/>
                <w:sz w:val="24"/>
                <w:highlight w:val="none"/>
                <w:lang w:eastAsia="zh-CN"/>
              </w:rPr>
              <w:t>（</w:t>
            </w:r>
            <w:r>
              <w:rPr>
                <w:rFonts w:hint="eastAsia" w:ascii="宋体" w:hAnsi="宋体"/>
                <w:color w:val="auto"/>
                <w:sz w:val="24"/>
                <w:highlight w:val="none"/>
              </w:rPr>
              <w:t>7173元</w:t>
            </w:r>
            <w:r>
              <w:rPr>
                <w:rFonts w:hint="eastAsia" w:ascii="宋体" w:hAnsi="宋体"/>
                <w:color w:val="auto"/>
                <w:sz w:val="24"/>
                <w:highlight w:val="none"/>
                <w:lang w:eastAsia="zh-CN"/>
              </w:rPr>
              <w:t>）</w:t>
            </w:r>
            <w:r>
              <w:rPr>
                <w:rFonts w:hint="eastAsia" w:ascii="宋体" w:hAnsi="宋体"/>
                <w:color w:val="auto"/>
                <w:sz w:val="24"/>
                <w:highlight w:val="none"/>
              </w:rPr>
              <w:t>由中标（成交）供应商支付。</w:t>
            </w:r>
          </w:p>
        </w:tc>
      </w:tr>
    </w:tbl>
    <w:p>
      <w:pPr>
        <w:autoSpaceDE w:val="0"/>
        <w:autoSpaceDN w:val="0"/>
        <w:adjustRightInd w:val="0"/>
        <w:spacing w:line="360" w:lineRule="auto"/>
        <w:ind w:firstLine="539"/>
        <w:rPr>
          <w:color w:val="auto"/>
          <w:highlight w:val="none"/>
        </w:rPr>
      </w:pPr>
      <w:r>
        <w:rPr>
          <w:color w:val="auto"/>
          <w:highlight w:val="none"/>
        </w:rPr>
        <w:br w:type="page"/>
      </w:r>
    </w:p>
    <w:p>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25" w:name="_Toc209083630"/>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25"/>
    </w:p>
    <w:p>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根据《中华人民共和国政府采购法》、《中华人民共和国政府采购法实施条例》、《政府采购非招标采购方式管理办法》及相关政府采购法律法规等制定本文件。</w:t>
      </w:r>
    </w:p>
    <w:p>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1.2 </w:t>
      </w:r>
      <w:r>
        <w:rPr>
          <w:rFonts w:hint="eastAsia" w:ascii="黑体" w:hAnsi="黑体" w:eastAsia="黑体" w:cs="楷体_GB2312"/>
          <w:b/>
          <w:color w:val="auto"/>
          <w:sz w:val="24"/>
          <w:highlight w:val="none"/>
          <w:lang w:val="zh-CN"/>
        </w:rPr>
        <w:t>谈判文件的法律适用及法律效力</w:t>
      </w:r>
    </w:p>
    <w:p>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所述内容，仅适用于本次项目采购。</w:t>
      </w:r>
    </w:p>
    <w:p>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的修改性文件、补充文件、澄清文件或说明具有同等法律效力。</w:t>
      </w:r>
    </w:p>
    <w:p>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适用于并执行《政府采购法》和其它相关的法律、法规。</w:t>
      </w:r>
    </w:p>
    <w:p>
      <w:pPr>
        <w:adjustRightInd w:val="0"/>
        <w:snapToGrid w:val="0"/>
        <w:spacing w:before="156" w:beforeLines="50" w:line="300" w:lineRule="auto"/>
        <w:ind w:right="240" w:firstLine="544" w:firstLineChars="227"/>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谈判文件</w:t>
      </w:r>
      <w:r>
        <w:rPr>
          <w:rFonts w:hint="eastAsia" w:ascii="宋体" w:hAnsi="宋体"/>
          <w:color w:val="auto"/>
          <w:sz w:val="24"/>
          <w:szCs w:val="24"/>
          <w:highlight w:val="none"/>
        </w:rPr>
        <w:t>的解释权属采购人及代理机构。</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凡符合谈判文件规定，承认本谈判文件所有内容的投标人为合格的投标人。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投标人应遵守国家法律、法规和谈判文件的规定。</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黑体" w:hAnsi="黑体" w:eastAsia="黑体" w:cs="楷体_GB2312"/>
          <w:b/>
          <w:color w:val="auto"/>
          <w:sz w:val="24"/>
          <w:highlight w:val="none"/>
          <w:lang w:val="zh-CN"/>
        </w:rPr>
        <w:t>如</w:t>
      </w:r>
      <w:r>
        <w:rPr>
          <w:rFonts w:hint="eastAsia" w:ascii="宋体" w:hAnsi="宋体" w:cs="楷体_GB2312"/>
          <w:color w:val="auto"/>
          <w:sz w:val="24"/>
          <w:highlight w:val="none"/>
          <w:lang w:val="zh-CN"/>
        </w:rPr>
        <w:t>投标人须知前附表规定接受联合体投标的，应遵守以下规定：</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）联合体中标（成交）的，联合体各方应当共同与采购人签订合同，就中标（成交）项目（标段&lt;包&gt;）向采购人承担连带责任。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除非谈判文件特别规定，采购人享有本项目实施过程中产生的知识成果及知识产权。</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参与竞争性谈判活动的各方应对谈判文件和投标文件中的商业和技术等秘密保密，投标人应在投标文件中对需保密事项予以书面声明，否则视为非保密事项。</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投标预备会后，采购人及代理机构在投标人须知前附表规定的时间内，将对投标人所提问题的澄清，以本章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项方式通告潜在投标人。该澄清内容为谈判文件的组成部分。</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 分包</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投标人拟在成交后将成交项目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的部分非主体、非关键性工作进行分包的，应符合投标人须知前附表规定的分包内容、分包金额和接受分包的第三人资质要求等限制性条件。</w:t>
      </w:r>
    </w:p>
    <w:p>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谈判文件允许投标文件偏离谈判文件某些要求的，偏离应当符合谈判文件规定的偏离范围和幅度。</w:t>
      </w:r>
    </w:p>
    <w:p>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6" w:name="_Toc209083631"/>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谈判文件</w:t>
      </w:r>
      <w:bookmarkEnd w:id="26"/>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谈判文件的组成</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谈判文件用以阐明采购项目的内容、程序和合同主要条款。谈判文件由下述部分组成：</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）谈判公告</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当谈判文件、谈判文件的澄清、修改、补充等在同一内容的表述上不一致时，以最后发出（发布）的文件为准。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投标人与任何人的口头协议不影响《谈判文件》的任何条款和内容。</w:t>
      </w:r>
    </w:p>
    <w:p>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 xml:space="preserve">2.1.5 </w:t>
      </w:r>
      <w:r>
        <w:rPr>
          <w:rFonts w:hint="eastAsia" w:ascii="宋体" w:hAnsi="宋体" w:cs="楷体_GB2312"/>
          <w:color w:val="auto"/>
          <w:sz w:val="24"/>
          <w:highlight w:val="none"/>
        </w:rPr>
        <w:t>投标人应仔细阅读和检查谈判文件的全部内容是否齐全，如发现缺页或附件不全等遗漏，应及时向采购代理机构提出并索取补齐，否则责任及风险自负。</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谈判文件的澄清</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采购代理机构对潜在投标人在规定的时间内提出的疑问，将视情况以书面形式予以答复，并在其认为必要时，将不标明查询来源的书面答复，在“谈判公告”所述媒体通告所有潜在投标人。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before="156"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谈判文件的澄清、修改、补充</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采购人、代理机构在投标截止时间前有权澄清修改、补充已发售的谈判文件。</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谈判过程中对谈判文件的变动见第四章评审办法</w:t>
      </w:r>
      <w:r>
        <w:rPr>
          <w:rFonts w:ascii="宋体" w:hAnsi="宋体"/>
          <w:color w:val="auto"/>
          <w:sz w:val="24"/>
          <w:highlight w:val="none"/>
        </w:rPr>
        <w:t>3.5</w:t>
      </w:r>
      <w:r>
        <w:rPr>
          <w:rFonts w:hint="eastAsia" w:ascii="宋体" w:hAnsi="宋体"/>
          <w:color w:val="auto"/>
          <w:sz w:val="24"/>
          <w:highlight w:val="none"/>
        </w:rPr>
        <w:t>款谈判规则。</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谈判文件的澄清、修改、补充的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谈判文件在投标截止时间前的所有澄清、修改（包括时间变更等）、补充事项，均在“谈判公告”所述媒体予以公告。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无权限获知或通知潜在投标人，潜在投标人应随时关注“谈判公告”所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相关项目信息（为免各部门网站出现维护等情况，潜在投标人应对“谈判公告”所述媒体逐一查阅），如有遗漏，后果自负。</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cs="楷体_GB2312"/>
          <w:color w:val="auto"/>
          <w:sz w:val="24"/>
          <w:highlight w:val="none"/>
          <w:lang w:val="zh-CN"/>
        </w:rPr>
        <w:t>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述媒体予以公告。</w:t>
      </w:r>
    </w:p>
    <w:p>
      <w:pPr>
        <w:autoSpaceDE w:val="0"/>
        <w:autoSpaceDN w:val="0"/>
        <w:adjustRightInd w:val="0"/>
        <w:snapToGrid w:val="0"/>
        <w:spacing w:before="156" w:beforeLines="50" w:line="300" w:lineRule="auto"/>
        <w:ind w:firstLine="539"/>
        <w:rPr>
          <w:rFonts w:ascii="宋体" w:cs="楷体_GB2312"/>
          <w:color w:val="auto"/>
          <w:sz w:val="24"/>
          <w:highlight w:val="none"/>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7" w:name="_Toc209083632"/>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投标文件（响应文件）</w:t>
      </w:r>
      <w:bookmarkEnd w:id="27"/>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投标文件（响应文件）的组成</w:t>
      </w:r>
    </w:p>
    <w:p>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pPr>
        <w:adjustRightInd w:val="0"/>
        <w:snapToGrid w:val="0"/>
        <w:spacing w:before="156" w:beforeLines="50" w:line="300" w:lineRule="auto"/>
        <w:ind w:firstLine="539"/>
        <w:textAlignment w:val="top"/>
        <w:rPr>
          <w:color w:val="auto"/>
          <w:highlight w:val="none"/>
        </w:rPr>
      </w:pPr>
      <w:r>
        <w:rPr>
          <w:rFonts w:ascii="宋体" w:hAnsi="宋体" w:cs="楷体_GB2312"/>
          <w:color w:val="auto"/>
          <w:sz w:val="24"/>
          <w:highlight w:val="none"/>
          <w:lang w:val="zh-CN"/>
        </w:rPr>
        <w:t xml:space="preserve">3.2.2 </w:t>
      </w:r>
      <w:r>
        <w:rPr>
          <w:rFonts w:hint="eastAsia" w:ascii="宋体" w:hAnsi="宋体" w:cs="楷体_GB2312"/>
          <w:color w:val="auto"/>
          <w:sz w:val="24"/>
          <w:highlight w:val="none"/>
          <w:lang w:val="zh-CN"/>
        </w:rPr>
        <w:t>投标文件（响应文件）应包括下列内容：</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 xml:space="preserve">开标一览表（即交易系统中报价一览表） </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ascii="宋体" w:hAnsi="宋体"/>
          <w:color w:val="auto"/>
          <w:sz w:val="24"/>
          <w:highlight w:val="none"/>
        </w:rPr>
        <w:t>投标产品清单及其技术参数，安装调试方案</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）技术偏差表。</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ascii="宋体" w:hAnsi="宋体"/>
          <w:color w:val="auto"/>
          <w:sz w:val="24"/>
          <w:highlight w:val="none"/>
        </w:rPr>
        <w:t>其他偏差表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ascii="宋体" w:hAnsi="宋体"/>
          <w:color w:val="auto"/>
          <w:sz w:val="24"/>
          <w:highlight w:val="none"/>
        </w:rPr>
        <w:t>售后服务计划</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）资格要求相关证明材料（文件）</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）采购项目及技术服务要求所需的其他材料（按条款需要）</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）投标人须知所需的其他材料（按条款需要）</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）评审办法所需的其他材料（按条款需要）</w:t>
      </w:r>
    </w:p>
    <w:p>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款规定，对投标文件（响应文件）的补充、修改、澄清、说明或者更正构成投标文件（响应文件）的组成部分，</w:t>
      </w:r>
    </w:p>
    <w:p>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投标有效期见投标人须知前附表。投标文件（响应文件）在投标有效期内保持不变（包括价格等投标文件各项条款）。</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在投标有效期内，投标人撤销或修改其投标文件（响应文件）的，应承担谈判文件和法律规定的责任。</w:t>
      </w:r>
    </w:p>
    <w:p>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文件规定，在提交投标文件截止时间后，在</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谈判</w:t>
      </w:r>
      <w:r>
        <w:rPr>
          <w:rFonts w:hint="eastAsia" w:ascii="宋体" w:hAnsi="宋体"/>
          <w:color w:val="auto"/>
          <w:sz w:val="24"/>
          <w:szCs w:val="24"/>
          <w:highlight w:val="none"/>
          <w:lang w:val="zh-CN"/>
        </w:rPr>
        <w:t>文件规定的其他情况；</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3.5.4.7、投标人应按谈判文件规定及时缴纳中标服务费。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w:t>
      </w:r>
      <w:r>
        <w:rPr>
          <w:rFonts w:hint="eastAsia"/>
          <w:color w:val="auto"/>
          <w:sz w:val="24"/>
          <w:highlight w:val="none"/>
        </w:rPr>
        <w:t>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要求见谈判公告</w:t>
      </w:r>
    </w:p>
    <w:p>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投标文件（响应文件）应按第六章“投标文件格式”进行编写，如有必要，可以增加附页，作为投标文件（响应文件）的组成部分。谈判文件中未列明格式的，由投标人按一般通用格式自行设计编写。</w:t>
      </w:r>
    </w:p>
    <w:p>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安阳县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县公共资源交易平台将拒绝接收。</w:t>
      </w:r>
    </w:p>
    <w:p>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“投标文件格式”仅为对投标文件（响应文件）部分内容的格式化规范，并非投标文件所应具备的全部内容。投标人应按本章“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投标文件的组成”列示内容编制投标文件（响应文件）。</w:t>
      </w:r>
    </w:p>
    <w:p>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响应文件）应当对谈判文件有关标段（包）内容（范围）、技术要求、售后服务、交验期、投标有效期等实质性内容作出响应。在满足谈判文件实质性要求的基础上，可以提出比谈判文件要求更有利于采购人的承诺。并符合谈判文件偏差规定。</w:t>
      </w:r>
    </w:p>
    <w:p>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响应文件）的所有条款与谈判文件要求有任何不同之处，应按《技术偏差表》、《其他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。投标人应认真编制投标文件（响应文件）并自负此项风险。</w:t>
      </w:r>
    </w:p>
    <w:p>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投标文件（响应文件）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按谈判文件相关要求（含格式上标注的要求）、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签名（签章）并加密的响应文件，属于未按照谈判文件要求进行签署。</w:t>
      </w:r>
    </w:p>
    <w:p>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投标文件（响应文件）因字迹或表述不清所引起的后果由投标人自行负责。</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未按上述要求提供的投标文件（响应文件）将视为</w:t>
      </w:r>
      <w:r>
        <w:rPr>
          <w:rFonts w:hint="eastAsia" w:ascii="宋体" w:hAnsi="宋体" w:cs="楷体_GB2312"/>
          <w:b/>
          <w:color w:val="auto"/>
          <w:sz w:val="24"/>
          <w:highlight w:val="none"/>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28" w:name="_Toc209083633"/>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投标（响应文件的递交）</w:t>
      </w:r>
      <w:bookmarkEnd w:id="28"/>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投标文件（响应文件）的加</w:t>
      </w:r>
      <w:r>
        <w:rPr>
          <w:rFonts w:ascii="黑体" w:hAnsi="黑体" w:eastAsia="黑体" w:cs="楷体_GB2312"/>
          <w:b/>
          <w:color w:val="auto"/>
          <w:sz w:val="24"/>
          <w:highlight w:val="none"/>
          <w:lang w:val="zh-CN"/>
        </w:rPr>
        <w:t>密</w:t>
      </w:r>
      <w:r>
        <w:rPr>
          <w:rFonts w:hint="eastAsia" w:ascii="黑体" w:hAnsi="黑体" w:eastAsia="黑体" w:cs="楷体_GB2312"/>
          <w:b/>
          <w:color w:val="auto"/>
          <w:sz w:val="24"/>
          <w:highlight w:val="none"/>
          <w:lang w:val="zh-CN"/>
        </w:rPr>
        <w:t>和标记：</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bookmarkStart w:id="29"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传至谈判公告所述网上电子交易系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bookmarkStart w:id="30"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拒收其投标文件（响应文件），投标人应自负该项风险，采购代理机构对可能产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9"/>
      <w:bookmarkEnd w:id="30"/>
      <w:bookmarkStart w:id="31" w:name="_Toc296602445"/>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bookmarkEnd w:id="31"/>
    </w:p>
    <w:p>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olor w:val="auto"/>
          <w:sz w:val="24"/>
          <w:szCs w:val="24"/>
          <w:highlight w:val="none"/>
        </w:rPr>
        <w:t>投标人应在投标截止时间前上传加密的电子投标文件（*.aytf）到安阳县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县公共资源交易平台将拒绝接收。</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投标文件（响应文件）提交截止时间后，系统将自动锁定已经提交的电子投标文件（响应文件），拒绝再次提交。投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的投标文件（响应文件）</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由于不可抗拒的原因，代理机构对投标文件（响应文件）的遗失和损坏不负任何责任。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除投标人须知前附表另有规定外，投标人所递交的投标文件（响应文件）不予退还。</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投标文件（响应文件）的修改与撤回</w:t>
      </w:r>
      <w:r>
        <w:rPr>
          <w:rFonts w:hint="eastAsia" w:ascii="宋体" w:hAnsi="宋体" w:cs="楷体_GB2312"/>
          <w:color w:val="auto"/>
          <w:sz w:val="24"/>
          <w:highlight w:val="none"/>
          <w:lang w:val="zh-CN"/>
        </w:rPr>
        <w:t>：</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2" w:name="_Toc209083634"/>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开标（响应文件的开启）</w:t>
      </w:r>
      <w:bookmarkEnd w:id="32"/>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采购人和采购代理机构按谈判公告规定的时间和地点于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（谈判公告所述网上电子交易系统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投标文件（响应文件）的开启方式为远程解密，为保证开标工作顺利进行，投标人需在开标阶段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3" w:name="_Toc209083635"/>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33"/>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 xml:space="preserve">谈判小组  </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评审工作由依法组建的谈判小组负责。谈判小组由3人及以上单数组成，其中评审专家人数不少于谈判小组成员总数的2/3，评审专家是在监督部门监督下从政府采购专家库中随机抽取产生。</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坚持公开、公平、公正地对待所有投标人。</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按照同一评审程序及方法审查所有投标人的投标文件。</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 xml:space="preserve"> 在开标、评审期间，投标人不得向谈判小组成员询问情况，不得进行旨在影响评审结果的活动。</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 xml:space="preserve"> 谈判：</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3.5</w:t>
      </w:r>
      <w:r>
        <w:rPr>
          <w:rFonts w:hint="eastAsia" w:ascii="宋体" w:hAnsi="宋体" w:cs="楷体_GB2312"/>
          <w:color w:val="auto"/>
          <w:sz w:val="24"/>
          <w:highlight w:val="none"/>
          <w:lang w:val="zh-CN"/>
        </w:rPr>
        <w:t>款谈判规则。</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4" w:name="_Toc209083636"/>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34"/>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除投标人须知前附表规定授权谈判小组直接确定成交供应商外，采购人应当自收到评审报告之日起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采购代理机构在成交供应商确定后1个工作日内，在谈判公告所述媒体公告成交结果。同时向成交供应商发出成交通知书。成交结果公告期限为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质疑、投诉：</w:t>
      </w:r>
    </w:p>
    <w:p>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见投标人须知前附表</w:t>
      </w:r>
    </w:p>
    <w:p>
      <w:pPr>
        <w:adjustRightInd w:val="0"/>
        <w:snapToGrid w:val="0"/>
        <w:spacing w:before="156"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见投标人须知前附表</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 xml:space="preserve"> 在签订合同时，成交供应商应按投标人须知前附表规定向采购人提交履约保证金。</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据优化营商环境精神，成交供应商应在《成交通知书》发出后1个工作日内，按照谈判文件确定的合同文本以及成交标的、技术和服务等事项与采购人签订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给采购人造成损失的，成交供应商应当予以赔偿。</w:t>
      </w:r>
    </w:p>
    <w:p>
      <w:pPr>
        <w:widowControl w:val="0"/>
        <w:adjustRightInd w:val="0"/>
        <w:snapToGrid w:val="0"/>
        <w:spacing w:before="156" w:beforeLines="50" w:line="300" w:lineRule="auto"/>
        <w:ind w:firstLine="566"/>
        <w:rPr>
          <w:rFonts w:ascii="宋体" w:hAnsi="宋体"/>
          <w:color w:val="auto"/>
          <w:sz w:val="24"/>
          <w:szCs w:val="24"/>
          <w:highlight w:val="none"/>
        </w:rPr>
      </w:pPr>
      <w:r>
        <w:rPr>
          <w:rFonts w:ascii="宋体" w:hAnsi="宋体"/>
          <w:color w:val="auto"/>
          <w:sz w:val="24"/>
          <w:szCs w:val="24"/>
          <w:highlight w:val="none"/>
        </w:rPr>
        <w:t>7.6.3</w:t>
      </w:r>
      <w:r>
        <w:rPr>
          <w:rFonts w:hint="eastAsia" w:ascii="宋体" w:hAnsi="宋体"/>
          <w:color w:val="auto"/>
          <w:sz w:val="24"/>
          <w:szCs w:val="24"/>
          <w:highlight w:val="none"/>
        </w:rPr>
        <w:t xml:space="preserve"> 合同生效：成交供应商与采购人签订的合同，双方签字后盖章生效</w:t>
      </w:r>
      <w:r>
        <w:rPr>
          <w:rFonts w:hint="eastAsia"/>
          <w:color w:val="auto"/>
          <w:sz w:val="24"/>
          <w:szCs w:val="24"/>
          <w:highlight w:val="none"/>
        </w:rPr>
        <w:t>。</w:t>
      </w:r>
      <w:r>
        <w:rPr>
          <w:rFonts w:hint="eastAsia" w:ascii="宋体" w:hAnsi="宋体"/>
          <w:color w:val="auto"/>
          <w:sz w:val="24"/>
          <w:szCs w:val="24"/>
          <w:highlight w:val="none"/>
        </w:rPr>
        <w:t>采购人要在合同签订后1个工作日内登陆安阳市政府采购网进行备案并公告。</w:t>
      </w:r>
    </w:p>
    <w:p>
      <w:pPr>
        <w:widowControl w:val="0"/>
        <w:adjustRightInd w:val="0"/>
        <w:snapToGrid w:val="0"/>
        <w:spacing w:before="156" w:beforeLines="50" w:line="300" w:lineRule="auto"/>
        <w:ind w:firstLine="549"/>
        <w:rPr>
          <w:rFonts w:ascii="宋体" w:hAnsi="宋体"/>
          <w:color w:val="auto"/>
          <w:sz w:val="24"/>
          <w:szCs w:val="24"/>
          <w:highlight w:val="none"/>
        </w:rPr>
      </w:pPr>
      <w:r>
        <w:rPr>
          <w:rFonts w:ascii="宋体" w:hAnsi="宋体"/>
          <w:color w:val="auto"/>
          <w:sz w:val="24"/>
          <w:szCs w:val="24"/>
          <w:highlight w:val="none"/>
        </w:rPr>
        <w:t>7.6.4</w:t>
      </w:r>
      <w:r>
        <w:rPr>
          <w:rFonts w:hint="eastAsia" w:ascii="宋体" w:hAnsi="宋体"/>
          <w:color w:val="auto"/>
          <w:sz w:val="24"/>
          <w:szCs w:val="24"/>
          <w:highlight w:val="none"/>
        </w:rPr>
        <w:t>《成交通知书》、谈判文件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、成交供应商的投标文件</w:t>
      </w:r>
      <w:r>
        <w:rPr>
          <w:rFonts w:hint="eastAsia" w:ascii="宋体" w:hAnsi="宋体"/>
          <w:color w:val="auto"/>
          <w:spacing w:val="20"/>
          <w:sz w:val="24"/>
          <w:szCs w:val="24"/>
          <w:highlight w:val="none"/>
        </w:rPr>
        <w:t>及其修改补充澄清</w:t>
      </w:r>
      <w:r>
        <w:rPr>
          <w:rFonts w:hint="eastAsia" w:ascii="宋体" w:hAnsi="宋体"/>
          <w:color w:val="auto"/>
          <w:sz w:val="24"/>
          <w:szCs w:val="24"/>
          <w:highlight w:val="none"/>
        </w:rPr>
        <w:t>等，均为签订合同的依据。所定合同不得对谈判文件和成交供应商的投标文件作实质性修改，采购人和成交供应商不得私下订立背离合同实质性内容的协议。</w:t>
      </w:r>
    </w:p>
    <w:p>
      <w:pPr>
        <w:widowControl w:val="0"/>
        <w:adjustRightInd w:val="0"/>
        <w:snapToGrid w:val="0"/>
        <w:spacing w:before="156" w:beforeLines="50" w:line="300" w:lineRule="auto"/>
        <w:ind w:firstLine="549"/>
        <w:rPr>
          <w:rFonts w:ascii="宋体" w:hAnsi="宋体"/>
          <w:color w:val="auto"/>
          <w:sz w:val="24"/>
          <w:szCs w:val="24"/>
          <w:highlight w:val="none"/>
        </w:rPr>
      </w:pPr>
      <w:r>
        <w:rPr>
          <w:rFonts w:ascii="宋体" w:hAnsi="宋体"/>
          <w:color w:val="auto"/>
          <w:sz w:val="24"/>
          <w:szCs w:val="24"/>
          <w:highlight w:val="none"/>
        </w:rPr>
        <w:t xml:space="preserve">7.6.5 </w:t>
      </w:r>
      <w:r>
        <w:rPr>
          <w:rFonts w:hint="eastAsia" w:ascii="宋体" w:hAnsi="宋体"/>
          <w:color w:val="auto"/>
          <w:sz w:val="24"/>
          <w:szCs w:val="24"/>
          <w:highlight w:val="none"/>
        </w:rPr>
        <w:t>评审会后，成交供应商、采购人之间擅自私下谈判、变更中标（成交）标的、价格及</w:t>
      </w:r>
      <w:r>
        <w:rPr>
          <w:rFonts w:hint="eastAsia" w:ascii="宋体" w:hAnsi="宋体"/>
          <w:color w:val="auto"/>
          <w:sz w:val="24"/>
          <w:highlight w:val="none"/>
        </w:rPr>
        <w:t>招投</w:t>
      </w:r>
      <w:r>
        <w:rPr>
          <w:rFonts w:hint="eastAsia" w:ascii="宋体" w:hAnsi="宋体"/>
          <w:color w:val="auto"/>
          <w:sz w:val="24"/>
          <w:szCs w:val="24"/>
          <w:highlight w:val="none"/>
        </w:rPr>
        <w:t>标文件实质性内容的，有关部门将按《中华人民共和国政府采购法》及相关法规的规定处理。</w:t>
      </w:r>
    </w:p>
    <w:p>
      <w:pPr>
        <w:widowControl w:val="0"/>
        <w:adjustRightInd w:val="0"/>
        <w:snapToGrid w:val="0"/>
        <w:spacing w:before="156" w:beforeLines="50" w:line="300" w:lineRule="auto"/>
        <w:ind w:firstLine="549"/>
        <w:rPr>
          <w:color w:val="auto"/>
          <w:sz w:val="24"/>
          <w:szCs w:val="24"/>
          <w:highlight w:val="none"/>
        </w:rPr>
      </w:pPr>
      <w:r>
        <w:rPr>
          <w:rFonts w:ascii="宋体" w:hAnsi="宋体"/>
          <w:color w:val="auto"/>
          <w:sz w:val="24"/>
          <w:szCs w:val="24"/>
          <w:highlight w:val="none"/>
        </w:rPr>
        <w:t>7.6.</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采购人与成交供应商签订《政府采购合同》后，合同履行中产生的纠纷、争议，由采购人与成交供应</w:t>
      </w:r>
      <w:r>
        <w:rPr>
          <w:rFonts w:hint="eastAsia"/>
          <w:color w:val="auto"/>
          <w:sz w:val="24"/>
          <w:szCs w:val="24"/>
          <w:highlight w:val="none"/>
        </w:rPr>
        <w:t>商按合同条款及《中华人民共和国民法典》处理。</w:t>
      </w:r>
    </w:p>
    <w:p>
      <w:pPr>
        <w:widowControl w:val="0"/>
        <w:adjustRightInd w:val="0"/>
        <w:snapToGrid w:val="0"/>
        <w:spacing w:before="156"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ascii="宋体" w:hAnsi="宋体"/>
          <w:color w:val="auto"/>
          <w:sz w:val="24"/>
          <w:szCs w:val="24"/>
          <w:highlight w:val="none"/>
        </w:rPr>
        <w:t xml:space="preserve">7.7.1 </w:t>
      </w:r>
      <w:r>
        <w:rPr>
          <w:rFonts w:hint="eastAsia" w:ascii="宋体" w:hAnsi="宋体"/>
          <w:color w:val="auto"/>
          <w:sz w:val="24"/>
          <w:szCs w:val="24"/>
          <w:highlight w:val="none"/>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highlight w:val="none"/>
        </w:rPr>
        <w:t>10%</w:t>
      </w:r>
      <w:r>
        <w:rPr>
          <w:rFonts w:hint="eastAsia" w:ascii="宋体" w:hAnsi="宋体"/>
          <w:color w:val="auto"/>
          <w:sz w:val="24"/>
          <w:szCs w:val="24"/>
          <w:highlight w:val="none"/>
        </w:rPr>
        <w:t>，不得调增原合同单价，不得超出项目预算，超过原合同采购金额的</w:t>
      </w:r>
      <w:r>
        <w:rPr>
          <w:rFonts w:ascii="宋体" w:hAnsi="宋体"/>
          <w:color w:val="auto"/>
          <w:sz w:val="24"/>
          <w:szCs w:val="24"/>
          <w:highlight w:val="none"/>
        </w:rPr>
        <w:t>10%</w:t>
      </w:r>
      <w:r>
        <w:rPr>
          <w:rFonts w:hint="eastAsia" w:ascii="宋体" w:hAnsi="宋体"/>
          <w:color w:val="auto"/>
          <w:sz w:val="24"/>
          <w:szCs w:val="24"/>
          <w:highlight w:val="none"/>
        </w:rPr>
        <w:t>，应重新组织采购活动。</w:t>
      </w:r>
    </w:p>
    <w:p>
      <w:pPr>
        <w:widowControl w:val="0"/>
        <w:adjustRightInd w:val="0"/>
        <w:snapToGrid w:val="0"/>
        <w:spacing w:before="156" w:beforeLines="50" w:line="300" w:lineRule="auto"/>
        <w:ind w:firstLine="555"/>
        <w:rPr>
          <w:color w:val="auto"/>
          <w:sz w:val="24"/>
          <w:szCs w:val="24"/>
          <w:highlight w:val="none"/>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5" w:name="_Toc209083637"/>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35"/>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验收时间：所供货物安装调试结束、具备正常使用及验收条件时，由采购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验收公告的时限：采购人要在政府采购项目验收完成后1个工作日内登陆安阳市政府采购网进行验收公告。</w:t>
      </w:r>
    </w:p>
    <w:p>
      <w:pPr>
        <w:widowControl w:val="0"/>
        <w:adjustRightInd w:val="0"/>
        <w:snapToGrid w:val="0"/>
        <w:spacing w:before="156" w:beforeLines="50" w:line="300" w:lineRule="auto"/>
        <w:ind w:firstLine="561"/>
        <w:rPr>
          <w:rFonts w:ascii="宋体" w:cs="楷体_GB2312"/>
          <w:color w:val="auto"/>
          <w:sz w:val="24"/>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6" w:name="_Toc209083638"/>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36"/>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pPr>
        <w:widowControl w:val="0"/>
        <w:adjustRightInd w:val="0"/>
        <w:snapToGrid w:val="0"/>
        <w:spacing w:before="156" w:beforeLines="50" w:line="300" w:lineRule="auto"/>
        <w:ind w:firstLine="561"/>
        <w:rPr>
          <w:rFonts w:ascii="黑体" w:hAnsi="黑体" w:eastAsia="黑体" w:cs="楷体_GB2312"/>
          <w:b/>
          <w:bCs/>
          <w:color w:val="auto"/>
          <w:sz w:val="28"/>
          <w:szCs w:val="28"/>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7" w:name="_Toc209083639"/>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37"/>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10.1 </w:t>
      </w:r>
      <w:r>
        <w:rPr>
          <w:rFonts w:hint="eastAsia" w:ascii="宋体" w:hAnsi="宋体" w:cs="楷体_GB2312"/>
          <w:color w:val="auto"/>
          <w:sz w:val="24"/>
          <w:highlight w:val="none"/>
          <w:lang w:val="zh-CN"/>
        </w:rPr>
        <w:t>中标服务费等：见投标人须知前附表</w:t>
      </w:r>
    </w:p>
    <w:p>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 xml:space="preserve">10.2 </w:t>
      </w:r>
      <w:r>
        <w:rPr>
          <w:rFonts w:hint="eastAsia" w:ascii="宋体" w:hAnsi="宋体" w:cs="楷体_GB2312"/>
          <w:color w:val="auto"/>
          <w:sz w:val="24"/>
          <w:highlight w:val="none"/>
          <w:lang w:val="zh-CN"/>
        </w:rPr>
        <w:t>同义解释。谈判文件中：“投标”同义“提交响应文件”，“投标人”同义“提交响应文件的供应商”，“投标文件”同义“响应文件”，</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开标”同义“响应文件的开启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，“中标”同义“成交”，“中标供应商”同义“成交供应商</w:t>
      </w:r>
      <w:r>
        <w:rPr>
          <w:rFonts w:hint="eastAsia" w:ascii="宋体" w:cs="楷体_GB2312"/>
          <w:color w:val="auto"/>
          <w:sz w:val="24"/>
          <w:highlight w:val="none"/>
          <w:lang w:val="zh-CN"/>
        </w:rPr>
        <w:t>”。</w:t>
      </w:r>
    </w:p>
    <w:p>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投标人资格条件中包含非法人单位的，谈判文件中法定代表人一词相应包含表示证照标示的负责人；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投标人资格条件中包含自然人的，谈判文件中法定代表人一词相应包含表示自然人，自然人应由其本人签署投标文件、参加投标，不应再授权他人。</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谈判文件第一章至第四章各章中，用序号标示条、款、项、目，例如：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8" w:name="_Toc58858635"/>
      <w:bookmarkStart w:id="39" w:name="_Toc209083640"/>
      <w:r>
        <w:rPr>
          <w:rFonts w:hint="eastAsia" w:ascii="黑体" w:hAnsi="黑体" w:eastAsia="黑体" w:cs="楷体_GB2312"/>
          <w:b/>
          <w:bCs/>
          <w:color w:val="auto"/>
          <w:sz w:val="28"/>
          <w:szCs w:val="28"/>
          <w:highlight w:val="none"/>
          <w:lang w:val="zh-CN"/>
        </w:rPr>
        <w:t>11. 河南省政府采购合同融资政策告知函</w:t>
      </w:r>
      <w:bookmarkEnd w:id="38"/>
      <w:bookmarkEnd w:id="39"/>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pPr>
        <w:widowControl w:val="0"/>
        <w:adjustRightInd w:val="0"/>
        <w:snapToGrid w:val="0"/>
        <w:spacing w:before="156" w:beforeLines="50" w:line="300" w:lineRule="auto"/>
        <w:ind w:firstLine="555"/>
        <w:rPr>
          <w:rFonts w:ascii="宋体" w:hAnsi="宋体"/>
          <w:b/>
          <w:color w:val="auto"/>
          <w:sz w:val="24"/>
          <w:szCs w:val="24"/>
          <w:highlight w:val="none"/>
        </w:rPr>
      </w:pPr>
      <w:r>
        <w:rPr>
          <w:rFonts w:ascii="宋体" w:hAnsi="宋体"/>
          <w:color w:val="auto"/>
          <w:sz w:val="24"/>
          <w:szCs w:val="24"/>
          <w:highlight w:val="none"/>
        </w:rPr>
        <w:br w:type="page"/>
      </w:r>
    </w:p>
    <w:p>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40" w:name="_Toc209083641"/>
      <w:r>
        <w:rPr>
          <w:rFonts w:hint="eastAsia" w:ascii="黑体" w:hAnsi="黑体" w:eastAsia="黑体"/>
          <w:b/>
          <w:color w:val="auto"/>
          <w:sz w:val="36"/>
          <w:szCs w:val="36"/>
          <w:highlight w:val="none"/>
          <w:lang w:val="zh-CN"/>
        </w:rPr>
        <w:t>第四章 评审办法</w:t>
      </w:r>
      <w:bookmarkEnd w:id="40"/>
    </w:p>
    <w:p>
      <w:pPr>
        <w:widowControl w:val="0"/>
        <w:snapToGrid w:val="0"/>
        <w:spacing w:line="360" w:lineRule="auto"/>
        <w:outlineLvl w:val="0"/>
        <w:rPr>
          <w:b/>
          <w:color w:val="auto"/>
          <w:sz w:val="24"/>
          <w:szCs w:val="24"/>
          <w:highlight w:val="none"/>
        </w:rPr>
      </w:pPr>
    </w:p>
    <w:p>
      <w:pPr>
        <w:spacing w:line="500" w:lineRule="exact"/>
        <w:jc w:val="left"/>
        <w:outlineLvl w:val="1"/>
        <w:rPr>
          <w:rFonts w:ascii="黑体" w:hAnsi="黑体" w:eastAsia="黑体"/>
          <w:b/>
          <w:color w:val="auto"/>
          <w:sz w:val="28"/>
          <w:szCs w:val="28"/>
          <w:highlight w:val="none"/>
          <w:lang w:val="zh-CN"/>
        </w:rPr>
      </w:pPr>
      <w:bookmarkStart w:id="41" w:name="_Toc209083642"/>
      <w:r>
        <w:rPr>
          <w:rFonts w:hint="eastAsia" w:ascii="黑体" w:hAnsi="黑体" w:eastAsia="黑体"/>
          <w:b/>
          <w:color w:val="auto"/>
          <w:sz w:val="28"/>
          <w:szCs w:val="28"/>
          <w:highlight w:val="none"/>
        </w:rPr>
        <w:t>评审办法前附表</w:t>
      </w:r>
      <w:bookmarkEnd w:id="41"/>
    </w:p>
    <w:tbl>
      <w:tblPr>
        <w:tblStyle w:val="20"/>
        <w:tblW w:w="100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124" w:type="dxa"/>
            <w:gridSpan w:val="2"/>
            <w:vAlign w:val="center"/>
          </w:tcPr>
          <w:p>
            <w:pPr>
              <w:pStyle w:val="48"/>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pPr>
              <w:pStyle w:val="48"/>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pPr>
              <w:pStyle w:val="48"/>
              <w:jc w:val="center"/>
              <w:rPr>
                <w:rFonts w:hAnsi="宋体"/>
                <w:b/>
                <w:color w:val="auto"/>
                <w:szCs w:val="24"/>
                <w:highlight w:val="none"/>
              </w:rPr>
            </w:pPr>
            <w:r>
              <w:rPr>
                <w:rFonts w:hint="eastAsia" w:hAnsi="宋体"/>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48"/>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pPr>
              <w:pStyle w:val="48"/>
              <w:jc w:val="center"/>
              <w:rPr>
                <w:rFonts w:hAnsi="宋体"/>
                <w:color w:val="auto"/>
                <w:szCs w:val="24"/>
                <w:highlight w:val="none"/>
              </w:rPr>
            </w:pPr>
            <w:r>
              <w:rPr>
                <w:rFonts w:hint="eastAsia" w:hAnsi="宋体"/>
                <w:color w:val="auto"/>
                <w:szCs w:val="24"/>
                <w:highlight w:val="none"/>
              </w:rPr>
              <w:t>资</w:t>
            </w:r>
          </w:p>
          <w:p>
            <w:pPr>
              <w:pStyle w:val="48"/>
              <w:jc w:val="center"/>
              <w:rPr>
                <w:rFonts w:hAnsi="宋体"/>
                <w:color w:val="auto"/>
                <w:szCs w:val="24"/>
                <w:highlight w:val="none"/>
              </w:rPr>
            </w:pPr>
            <w:r>
              <w:rPr>
                <w:rFonts w:hint="eastAsia" w:hAnsi="宋体"/>
                <w:color w:val="auto"/>
                <w:szCs w:val="24"/>
                <w:highlight w:val="none"/>
              </w:rPr>
              <w:t>格</w:t>
            </w:r>
          </w:p>
          <w:p>
            <w:pPr>
              <w:pStyle w:val="48"/>
              <w:jc w:val="center"/>
              <w:rPr>
                <w:rFonts w:hAnsi="宋体"/>
                <w:color w:val="auto"/>
                <w:szCs w:val="24"/>
                <w:highlight w:val="none"/>
              </w:rPr>
            </w:pPr>
            <w:r>
              <w:rPr>
                <w:rFonts w:hint="eastAsia" w:hAnsi="宋体"/>
                <w:color w:val="auto"/>
                <w:szCs w:val="24"/>
                <w:highlight w:val="none"/>
              </w:rPr>
              <w:t>性</w:t>
            </w:r>
          </w:p>
          <w:p>
            <w:pPr>
              <w:pStyle w:val="48"/>
              <w:jc w:val="center"/>
              <w:rPr>
                <w:rFonts w:hAnsi="宋体"/>
                <w:color w:val="auto"/>
                <w:szCs w:val="24"/>
                <w:highlight w:val="none"/>
              </w:rPr>
            </w:pPr>
            <w:r>
              <w:rPr>
                <w:rFonts w:hint="eastAsia" w:hAnsi="宋体"/>
                <w:color w:val="auto"/>
                <w:szCs w:val="24"/>
                <w:highlight w:val="none"/>
              </w:rPr>
              <w:t>审</w:t>
            </w:r>
          </w:p>
          <w:p>
            <w:pPr>
              <w:pStyle w:val="48"/>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pPr>
              <w:widowControl w:val="0"/>
              <w:snapToGrid w:val="0"/>
              <w:spacing w:line="240" w:lineRule="auto"/>
              <w:rPr>
                <w:rFonts w:ascii="宋体"/>
                <w:color w:val="auto"/>
                <w:sz w:val="24"/>
                <w:szCs w:val="24"/>
                <w:highlight w:val="none"/>
              </w:rPr>
            </w:pPr>
            <w:r>
              <w:rPr>
                <w:rFonts w:hint="eastAsia"/>
                <w:color w:val="auto"/>
                <w:sz w:val="24"/>
                <w:szCs w:val="24"/>
                <w:highlight w:val="none"/>
              </w:rPr>
              <w:t>第一章“谈判公告”第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符合第一章“谈判公告”第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3177" w:type="dxa"/>
            <w:gridSpan w:val="2"/>
            <w:vAlign w:val="center"/>
          </w:tcPr>
          <w:p>
            <w:pPr>
              <w:widowControl w:val="0"/>
              <w:snapToGrid w:val="0"/>
              <w:spacing w:line="240" w:lineRule="auto"/>
              <w:rPr>
                <w:color w:val="auto"/>
                <w:sz w:val="24"/>
                <w:szCs w:val="24"/>
                <w:highlight w:val="none"/>
              </w:rPr>
            </w:pPr>
            <w:r>
              <w:rPr>
                <w:rFonts w:hint="eastAsia"/>
                <w:color w:val="auto"/>
                <w:sz w:val="24"/>
                <w:szCs w:val="24"/>
                <w:highlight w:val="none"/>
              </w:rPr>
              <w:t>投标承诺函</w:t>
            </w:r>
          </w:p>
        </w:tc>
        <w:tc>
          <w:tcPr>
            <w:tcW w:w="5736" w:type="dxa"/>
            <w:vAlign w:val="center"/>
          </w:tcPr>
          <w:p>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3177" w:type="dxa"/>
            <w:gridSpan w:val="2"/>
            <w:vAlign w:val="center"/>
          </w:tcPr>
          <w:p>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48"/>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pPr>
              <w:pStyle w:val="48"/>
              <w:spacing w:line="360" w:lineRule="auto"/>
              <w:jc w:val="center"/>
              <w:rPr>
                <w:rFonts w:hAnsi="宋体"/>
                <w:color w:val="auto"/>
                <w:szCs w:val="24"/>
                <w:highlight w:val="none"/>
              </w:rPr>
            </w:pPr>
            <w:r>
              <w:rPr>
                <w:rFonts w:hint="eastAsia" w:hAnsi="宋体"/>
                <w:color w:val="auto"/>
                <w:szCs w:val="24"/>
                <w:highlight w:val="none"/>
              </w:rPr>
              <w:t>符</w:t>
            </w:r>
          </w:p>
          <w:p>
            <w:pPr>
              <w:pStyle w:val="48"/>
              <w:spacing w:line="360" w:lineRule="auto"/>
              <w:jc w:val="center"/>
              <w:rPr>
                <w:rFonts w:hAnsi="宋体"/>
                <w:color w:val="auto"/>
                <w:szCs w:val="24"/>
                <w:highlight w:val="none"/>
              </w:rPr>
            </w:pPr>
            <w:r>
              <w:rPr>
                <w:rFonts w:hint="eastAsia" w:hAnsi="宋体"/>
                <w:color w:val="auto"/>
                <w:szCs w:val="24"/>
                <w:highlight w:val="none"/>
              </w:rPr>
              <w:t>合</w:t>
            </w:r>
          </w:p>
          <w:p>
            <w:pPr>
              <w:pStyle w:val="48"/>
              <w:spacing w:line="360" w:lineRule="auto"/>
              <w:jc w:val="center"/>
              <w:rPr>
                <w:rFonts w:hAnsi="宋体"/>
                <w:color w:val="auto"/>
                <w:szCs w:val="24"/>
                <w:highlight w:val="none"/>
              </w:rPr>
            </w:pPr>
            <w:r>
              <w:rPr>
                <w:rFonts w:hint="eastAsia" w:hAnsi="宋体"/>
                <w:color w:val="auto"/>
                <w:szCs w:val="24"/>
                <w:highlight w:val="none"/>
              </w:rPr>
              <w:t>性</w:t>
            </w:r>
          </w:p>
          <w:p>
            <w:pPr>
              <w:pStyle w:val="48"/>
              <w:spacing w:line="360" w:lineRule="auto"/>
              <w:jc w:val="center"/>
              <w:rPr>
                <w:rFonts w:hAnsi="宋体"/>
                <w:color w:val="auto"/>
                <w:szCs w:val="24"/>
                <w:highlight w:val="none"/>
              </w:rPr>
            </w:pPr>
            <w:r>
              <w:rPr>
                <w:rFonts w:hint="eastAsia" w:hAnsi="宋体"/>
                <w:color w:val="auto"/>
                <w:szCs w:val="24"/>
                <w:highlight w:val="none"/>
              </w:rPr>
              <w:t>审</w:t>
            </w:r>
          </w:p>
          <w:p>
            <w:pPr>
              <w:pStyle w:val="48"/>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投标人名称</w:t>
            </w:r>
          </w:p>
        </w:tc>
        <w:tc>
          <w:tcPr>
            <w:tcW w:w="5736" w:type="dxa"/>
            <w:vAlign w:val="center"/>
          </w:tcPr>
          <w:p>
            <w:pPr>
              <w:pStyle w:val="48"/>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adjustRightInd/>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pPr>
              <w:pStyle w:val="48"/>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3.7.4</w:t>
            </w:r>
            <w:r>
              <w:rPr>
                <w:rFonts w:hint="eastAsia" w:hAnsi="宋体"/>
                <w:color w:val="auto"/>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投标文件组成</w:t>
            </w:r>
          </w:p>
        </w:tc>
        <w:tc>
          <w:tcPr>
            <w:tcW w:w="5736" w:type="dxa"/>
            <w:vAlign w:val="center"/>
          </w:tcPr>
          <w:p>
            <w:pPr>
              <w:pStyle w:val="48"/>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3.2</w:t>
            </w:r>
            <w:r>
              <w:rPr>
                <w:rFonts w:hint="eastAsia" w:hAnsi="宋体"/>
                <w:color w:val="auto"/>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restart"/>
            <w:vAlign w:val="center"/>
          </w:tcPr>
          <w:p>
            <w:pPr>
              <w:pStyle w:val="48"/>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投标报价</w:t>
            </w:r>
          </w:p>
        </w:tc>
        <w:tc>
          <w:tcPr>
            <w:tcW w:w="5736" w:type="dxa"/>
            <w:vAlign w:val="center"/>
          </w:tcPr>
          <w:p>
            <w:pPr>
              <w:pStyle w:val="48"/>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1.3</w:t>
            </w:r>
            <w:r>
              <w:rPr>
                <w:rFonts w:hint="eastAsia" w:hAnsi="宋体"/>
                <w:color w:val="auto"/>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投标内容</w:t>
            </w:r>
          </w:p>
        </w:tc>
        <w:tc>
          <w:tcPr>
            <w:tcW w:w="5736" w:type="dxa"/>
            <w:vAlign w:val="center"/>
          </w:tcPr>
          <w:p>
            <w:pPr>
              <w:pStyle w:val="48"/>
              <w:adjustRightInd/>
              <w:snapToGrid w:val="0"/>
              <w:rPr>
                <w:rFonts w:hAnsi="宋体"/>
                <w:color w:val="auto"/>
                <w:szCs w:val="24"/>
                <w:highlight w:val="none"/>
              </w:rPr>
            </w:pPr>
            <w:r>
              <w:rPr>
                <w:rFonts w:hint="eastAsia" w:hAnsi="宋体"/>
                <w:color w:val="auto"/>
                <w:szCs w:val="24"/>
                <w:highlight w:val="none"/>
              </w:rPr>
              <w:t>符合第二章“采购项目及技术服务要求”第</w:t>
            </w:r>
            <w:r>
              <w:rPr>
                <w:rFonts w:hAnsi="宋体"/>
                <w:color w:val="auto"/>
                <w:szCs w:val="24"/>
                <w:highlight w:val="none"/>
              </w:rPr>
              <w:t>2</w:t>
            </w:r>
            <w:r>
              <w:rPr>
                <w:rFonts w:hint="eastAsia" w:hAnsi="宋体"/>
                <w:color w:val="auto"/>
                <w:szCs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交验期、交验地</w:t>
            </w:r>
          </w:p>
        </w:tc>
        <w:tc>
          <w:tcPr>
            <w:tcW w:w="5736" w:type="dxa"/>
            <w:vAlign w:val="center"/>
          </w:tcPr>
          <w:p>
            <w:pPr>
              <w:pStyle w:val="48"/>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1.2</w:t>
            </w:r>
            <w:r>
              <w:rPr>
                <w:rFonts w:hint="eastAsia" w:hAnsi="宋体"/>
                <w:color w:val="auto"/>
                <w:szCs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技术要求</w:t>
            </w:r>
          </w:p>
        </w:tc>
        <w:tc>
          <w:tcPr>
            <w:tcW w:w="5736" w:type="dxa"/>
            <w:vAlign w:val="center"/>
          </w:tcPr>
          <w:p>
            <w:pPr>
              <w:pStyle w:val="48"/>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符合第二章“采购项目及技术服务要求”第</w:t>
            </w:r>
            <w:r>
              <w:rPr>
                <w:rFonts w:hAnsi="宋体"/>
                <w:color w:val="auto"/>
                <w:szCs w:val="24"/>
                <w:highlight w:val="none"/>
              </w:rPr>
              <w:t>2</w:t>
            </w:r>
            <w:r>
              <w:rPr>
                <w:rFonts w:hint="eastAsia" w:hAnsi="宋体"/>
                <w:color w:val="auto"/>
                <w:szCs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售后服务</w:t>
            </w:r>
          </w:p>
        </w:tc>
        <w:tc>
          <w:tcPr>
            <w:tcW w:w="5736" w:type="dxa"/>
            <w:vAlign w:val="center"/>
          </w:tcPr>
          <w:p>
            <w:pPr>
              <w:pStyle w:val="48"/>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s="宋体"/>
                <w:color w:val="auto"/>
                <w:szCs w:val="24"/>
                <w:highlight w:val="none"/>
              </w:rPr>
              <w:t xml:space="preserve"> 2.</w:t>
            </w:r>
            <w:r>
              <w:rPr>
                <w:rFonts w:hint="eastAsia" w:hAnsi="宋体" w:cs="宋体"/>
                <w:color w:val="auto"/>
                <w:szCs w:val="24"/>
                <w:highlight w:val="none"/>
              </w:rPr>
              <w:t>8款</w:t>
            </w:r>
            <w:r>
              <w:rPr>
                <w:rFonts w:hint="eastAsia" w:hAnsi="宋体"/>
                <w:color w:val="auto"/>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adjustRightInd/>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投标有效期</w:t>
            </w:r>
          </w:p>
        </w:tc>
        <w:tc>
          <w:tcPr>
            <w:tcW w:w="5736" w:type="dxa"/>
            <w:vAlign w:val="center"/>
          </w:tcPr>
          <w:p>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3.4</w:t>
            </w:r>
            <w:r>
              <w:rPr>
                <w:rFonts w:hint="eastAsia" w:ascii="宋体" w:hAnsi="宋体"/>
                <w:color w:val="auto"/>
                <w:sz w:val="24"/>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adjustRightInd/>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投标文件格式</w:t>
            </w:r>
          </w:p>
        </w:tc>
        <w:tc>
          <w:tcPr>
            <w:tcW w:w="5736" w:type="dxa"/>
            <w:vAlign w:val="center"/>
          </w:tcPr>
          <w:p>
            <w:pPr>
              <w:pStyle w:val="48"/>
              <w:adjustRightInd/>
              <w:snapToGrid w:val="0"/>
              <w:rPr>
                <w:rFonts w:hAnsi="宋体"/>
                <w:color w:val="auto"/>
                <w:szCs w:val="24"/>
                <w:highlight w:val="none"/>
              </w:rPr>
            </w:pPr>
            <w:r>
              <w:rPr>
                <w:rFonts w:hint="eastAsia" w:hAnsi="宋体"/>
                <w:color w:val="auto"/>
                <w:szCs w:val="24"/>
                <w:highlight w:val="none"/>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adjustRightInd/>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pPr>
              <w:snapToGrid w:val="0"/>
              <w:spacing w:line="240" w:lineRule="auto"/>
              <w:rPr>
                <w:rFonts w:ascii="宋体"/>
                <w:color w:val="auto"/>
                <w:sz w:val="24"/>
                <w:highlight w:val="none"/>
              </w:rPr>
            </w:pPr>
            <w:r>
              <w:rPr>
                <w:rFonts w:hint="eastAsia" w:ascii="宋体" w:hAnsi="宋体"/>
                <w:color w:val="auto"/>
                <w:sz w:val="24"/>
                <w:highlight w:val="none"/>
              </w:rPr>
              <w:t>符合第三章“投标人须知”第</w:t>
            </w:r>
            <w:r>
              <w:rPr>
                <w:rFonts w:ascii="宋体" w:hAnsi="宋体"/>
                <w:color w:val="auto"/>
                <w:sz w:val="24"/>
                <w:highlight w:val="none"/>
              </w:rPr>
              <w:t>9</w:t>
            </w:r>
            <w:r>
              <w:rPr>
                <w:rFonts w:hint="eastAsia" w:ascii="宋体" w:hAnsi="宋体"/>
                <w:color w:val="auto"/>
                <w:sz w:val="24"/>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adjustRightInd/>
              <w:snapToGrid w:val="0"/>
              <w:jc w:val="center"/>
              <w:rPr>
                <w:rFonts w:hAnsi="宋体"/>
                <w:color w:val="auto"/>
                <w:szCs w:val="24"/>
                <w:highlight w:val="none"/>
              </w:rPr>
            </w:pPr>
          </w:p>
        </w:tc>
        <w:tc>
          <w:tcPr>
            <w:tcW w:w="2217" w:type="dxa"/>
            <w:vAlign w:val="center"/>
          </w:tcPr>
          <w:p>
            <w:pPr>
              <w:pStyle w:val="48"/>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3.7.3</w:t>
            </w:r>
            <w:r>
              <w:rPr>
                <w:rFonts w:hint="eastAsia" w:ascii="宋体" w:hAnsi="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pStyle w:val="48"/>
              <w:adjustRightInd/>
              <w:snapToGrid w:val="0"/>
              <w:jc w:val="center"/>
              <w:rPr>
                <w:rFonts w:hAnsi="宋体"/>
                <w:color w:val="auto"/>
                <w:szCs w:val="24"/>
                <w:highlight w:val="none"/>
              </w:rPr>
            </w:pPr>
          </w:p>
        </w:tc>
        <w:tc>
          <w:tcPr>
            <w:tcW w:w="2217" w:type="dxa"/>
            <w:vAlign w:val="center"/>
          </w:tcPr>
          <w:p>
            <w:pPr>
              <w:snapToGrid w:val="0"/>
              <w:spacing w:line="240" w:lineRule="auto"/>
              <w:jc w:val="center"/>
              <w:rPr>
                <w:rFonts w:ascii="宋体"/>
                <w:color w:val="auto"/>
                <w:sz w:val="24"/>
                <w:highlight w:val="none"/>
              </w:rPr>
            </w:pPr>
            <w:r>
              <w:rPr>
                <w:rFonts w:hint="eastAsia" w:ascii="宋体" w:hAnsi="宋体"/>
                <w:color w:val="auto"/>
                <w:sz w:val="24"/>
                <w:highlight w:val="none"/>
              </w:rPr>
              <w:t>谈判文件总体响应</w:t>
            </w:r>
          </w:p>
        </w:tc>
        <w:tc>
          <w:tcPr>
            <w:tcW w:w="5736" w:type="dxa"/>
            <w:vAlign w:val="center"/>
          </w:tcPr>
          <w:p>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1.3</w:t>
            </w:r>
            <w:r>
              <w:rPr>
                <w:rFonts w:hint="eastAsia" w:ascii="宋体" w:hAnsi="宋体"/>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564" w:type="dxa"/>
            <w:vMerge w:val="continue"/>
            <w:vAlign w:val="center"/>
          </w:tcPr>
          <w:p>
            <w:pPr>
              <w:pStyle w:val="48"/>
              <w:spacing w:line="360" w:lineRule="auto"/>
              <w:jc w:val="center"/>
              <w:rPr>
                <w:rFonts w:hAnsi="宋体"/>
                <w:color w:val="auto"/>
                <w:szCs w:val="24"/>
                <w:highlight w:val="none"/>
              </w:rPr>
            </w:pPr>
          </w:p>
        </w:tc>
        <w:tc>
          <w:tcPr>
            <w:tcW w:w="560" w:type="dxa"/>
            <w:vMerge w:val="continue"/>
            <w:vAlign w:val="center"/>
          </w:tcPr>
          <w:p>
            <w:pPr>
              <w:pStyle w:val="48"/>
              <w:spacing w:line="360" w:lineRule="auto"/>
              <w:jc w:val="center"/>
              <w:rPr>
                <w:rFonts w:hAnsi="宋体"/>
                <w:color w:val="auto"/>
                <w:szCs w:val="24"/>
                <w:highlight w:val="none"/>
              </w:rPr>
            </w:pPr>
          </w:p>
        </w:tc>
        <w:tc>
          <w:tcPr>
            <w:tcW w:w="960" w:type="dxa"/>
            <w:vMerge w:val="continue"/>
            <w:vAlign w:val="center"/>
          </w:tcPr>
          <w:p>
            <w:pPr>
              <w:snapToGrid w:val="0"/>
              <w:spacing w:line="240" w:lineRule="auto"/>
              <w:jc w:val="center"/>
              <w:rPr>
                <w:rFonts w:ascii="宋体"/>
                <w:color w:val="auto"/>
                <w:sz w:val="24"/>
                <w:highlight w:val="none"/>
              </w:rPr>
            </w:pPr>
          </w:p>
        </w:tc>
        <w:tc>
          <w:tcPr>
            <w:tcW w:w="2217" w:type="dxa"/>
            <w:vAlign w:val="center"/>
          </w:tcPr>
          <w:p>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5736" w:type="dxa"/>
            <w:vAlign w:val="center"/>
          </w:tcPr>
          <w:p>
            <w:pPr>
              <w:autoSpaceDE w:val="0"/>
              <w:autoSpaceDN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如涉及台式计算机、便携式计算机、一体式计算机、工作站、通用服务器、操作系统、数据库的，符合第六章14-2附件要求。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center"/>
        </w:trPr>
        <w:tc>
          <w:tcPr>
            <w:tcW w:w="564" w:type="dxa"/>
            <w:vAlign w:val="center"/>
          </w:tcPr>
          <w:p>
            <w:pPr>
              <w:pStyle w:val="48"/>
              <w:spacing w:line="360" w:lineRule="auto"/>
              <w:ind w:right="-155" w:rightChars="-74"/>
              <w:jc w:val="center"/>
              <w:rPr>
                <w:rFonts w:hAnsi="宋体"/>
                <w:color w:val="auto"/>
                <w:szCs w:val="24"/>
                <w:highlight w:val="none"/>
              </w:rPr>
            </w:pPr>
            <w:r>
              <w:rPr>
                <w:rFonts w:hAnsi="宋体"/>
                <w:color w:val="auto"/>
                <w:szCs w:val="24"/>
                <w:highlight w:val="none"/>
              </w:rPr>
              <w:t>2.2</w:t>
            </w:r>
          </w:p>
        </w:tc>
        <w:tc>
          <w:tcPr>
            <w:tcW w:w="560" w:type="dxa"/>
            <w:vAlign w:val="center"/>
          </w:tcPr>
          <w:p>
            <w:pPr>
              <w:pStyle w:val="48"/>
              <w:jc w:val="center"/>
              <w:rPr>
                <w:rFonts w:hAnsi="宋体"/>
                <w:color w:val="auto"/>
                <w:szCs w:val="24"/>
                <w:highlight w:val="none"/>
              </w:rPr>
            </w:pPr>
            <w:r>
              <w:rPr>
                <w:rFonts w:hint="eastAsia" w:hAnsi="宋体"/>
                <w:color w:val="auto"/>
                <w:szCs w:val="24"/>
                <w:highlight w:val="none"/>
              </w:rPr>
              <w:t>详细评审</w:t>
            </w:r>
          </w:p>
        </w:tc>
        <w:tc>
          <w:tcPr>
            <w:tcW w:w="3177" w:type="dxa"/>
            <w:gridSpan w:val="2"/>
            <w:vAlign w:val="center"/>
          </w:tcPr>
          <w:p>
            <w:pPr>
              <w:pStyle w:val="48"/>
              <w:adjustRightInd/>
              <w:snapToGrid w:val="0"/>
              <w:jc w:val="center"/>
              <w:rPr>
                <w:rFonts w:hAnsi="宋体"/>
                <w:color w:val="auto"/>
                <w:szCs w:val="24"/>
                <w:highlight w:val="none"/>
              </w:rPr>
            </w:pPr>
            <w:r>
              <w:rPr>
                <w:rFonts w:hint="eastAsia" w:hAnsi="宋体"/>
                <w:color w:val="auto"/>
                <w:szCs w:val="24"/>
                <w:highlight w:val="none"/>
              </w:rPr>
              <w:t>小微企业价格扣除</w:t>
            </w:r>
          </w:p>
        </w:tc>
        <w:tc>
          <w:tcPr>
            <w:tcW w:w="5736" w:type="dxa"/>
            <w:vAlign w:val="center"/>
          </w:tcPr>
          <w:p>
            <w:pPr>
              <w:pStyle w:val="48"/>
              <w:adjustRightInd/>
              <w:snapToGrid w:val="0"/>
              <w:jc w:val="both"/>
              <w:rPr>
                <w:rFonts w:hAnsi="宋体"/>
                <w:color w:val="auto"/>
                <w:szCs w:val="24"/>
                <w:highlight w:val="none"/>
              </w:rPr>
            </w:pPr>
            <w:r>
              <w:rPr>
                <w:rFonts w:hint="eastAsia" w:hAnsi="宋体"/>
                <w:color w:val="auto"/>
                <w:szCs w:val="24"/>
                <w:highlight w:val="none"/>
              </w:rPr>
              <w:t>按照第四章“评审办法”第</w:t>
            </w:r>
            <w:r>
              <w:rPr>
                <w:rFonts w:hAnsi="宋体"/>
                <w:color w:val="auto"/>
                <w:szCs w:val="24"/>
                <w:highlight w:val="none"/>
              </w:rPr>
              <w:t>4</w:t>
            </w:r>
            <w:r>
              <w:rPr>
                <w:rFonts w:hint="eastAsia" w:hAnsi="宋体"/>
                <w:color w:val="auto"/>
                <w:szCs w:val="24"/>
                <w:highlight w:val="none"/>
              </w:rPr>
              <w:t>条规定</w:t>
            </w:r>
          </w:p>
        </w:tc>
      </w:tr>
    </w:tbl>
    <w:p>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注：谈判小组将依据第六章14-3附件“证明材料查询核验工作的清单及要求”对核验证明材料进行形式要件审核。</w:t>
      </w:r>
    </w:p>
    <w:p>
      <w:pPr>
        <w:spacing w:line="240" w:lineRule="auto"/>
        <w:jc w:val="left"/>
        <w:textAlignment w:val="auto"/>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42" w:name="_Toc209083643"/>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评审方法（评定成交的标准）</w:t>
      </w:r>
      <w:bookmarkEnd w:id="42"/>
    </w:p>
    <w:p>
      <w:pPr>
        <w:autoSpaceDE w:val="0"/>
        <w:autoSpaceDN w:val="0"/>
        <w:adjustRightInd w:val="0"/>
        <w:snapToGrid w:val="0"/>
        <w:spacing w:before="156" w:beforeLines="50" w:line="300" w:lineRule="auto"/>
        <w:ind w:firstLine="619" w:firstLineChars="257"/>
        <w:jc w:val="left"/>
        <w:rPr>
          <w:rFonts w:ascii="宋体"/>
          <w:b/>
          <w:color w:val="auto"/>
          <w:sz w:val="24"/>
          <w:highlight w:val="none"/>
        </w:rPr>
      </w:pPr>
      <w:r>
        <w:rPr>
          <w:rFonts w:hint="eastAsia"/>
          <w:b/>
          <w:color w:val="auto"/>
          <w:sz w:val="24"/>
          <w:szCs w:val="24"/>
          <w:highlight w:val="none"/>
        </w:rPr>
        <w:t>本次政府采购项目（标段&lt;包&gt;）按照最低评标价法确定成交供应商，即在符合采购需求、提供的产品质量和服务均能满足采购文件规定的实质性要求且最后报价（扣除经评审合格的“价格扣除”，见本章第</w:t>
      </w:r>
      <w:r>
        <w:rPr>
          <w:b/>
          <w:color w:val="auto"/>
          <w:sz w:val="24"/>
          <w:szCs w:val="24"/>
          <w:highlight w:val="none"/>
        </w:rPr>
        <w:t>4</w:t>
      </w:r>
      <w:r>
        <w:rPr>
          <w:rFonts w:hint="eastAsia"/>
          <w:b/>
          <w:color w:val="auto"/>
          <w:sz w:val="24"/>
          <w:szCs w:val="24"/>
          <w:highlight w:val="none"/>
        </w:rPr>
        <w:t>条）最低的原则确定各标段（包）成交供应商。</w:t>
      </w:r>
    </w:p>
    <w:p>
      <w:pPr>
        <w:autoSpaceDE w:val="0"/>
        <w:autoSpaceDN w:val="0"/>
        <w:adjustRightInd w:val="0"/>
        <w:snapToGrid w:val="0"/>
        <w:spacing w:before="156" w:beforeLines="50" w:line="300" w:lineRule="auto"/>
        <w:ind w:firstLine="616" w:firstLineChars="257"/>
        <w:jc w:val="left"/>
        <w:rPr>
          <w:rFonts w:ascii="宋体"/>
          <w:color w:val="auto"/>
          <w:sz w:val="24"/>
          <w:highlight w:val="none"/>
        </w:rPr>
      </w:pPr>
    </w:p>
    <w:p>
      <w:pPr>
        <w:pStyle w:val="48"/>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43" w:name="_Toc209083644"/>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43"/>
    </w:p>
    <w:p>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r>
        <w:rPr>
          <w:rFonts w:hint="eastAsia" w:ascii="宋体" w:hAnsi="宋体"/>
          <w:color w:val="auto"/>
          <w:sz w:val="24"/>
          <w:highlight w:val="none"/>
        </w:rPr>
        <w:t>：见评审办法前附表</w:t>
      </w:r>
    </w:p>
    <w:p>
      <w:pPr>
        <w:autoSpaceDE w:val="0"/>
        <w:autoSpaceDN w:val="0"/>
        <w:adjustRightInd w:val="0"/>
        <w:snapToGrid w:val="0"/>
        <w:spacing w:before="156" w:beforeLines="50" w:line="300" w:lineRule="auto"/>
        <w:ind w:left="540" w:leftChars="257"/>
        <w:jc w:val="left"/>
        <w:rPr>
          <w:rFonts w:ascii="宋体"/>
          <w:color w:val="auto"/>
          <w:sz w:val="24"/>
          <w:highlight w:val="none"/>
        </w:rPr>
      </w:pPr>
    </w:p>
    <w:p>
      <w:pPr>
        <w:pStyle w:val="48"/>
        <w:snapToGrid w:val="0"/>
        <w:spacing w:before="156"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44" w:name="_Toc209083645"/>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44"/>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谈判小组按标段（包）进行评审</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确认谈判文件</w:t>
      </w:r>
    </w:p>
    <w:p>
      <w:pPr>
        <w:pStyle w:val="48"/>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谈判小组确认谈判文件，谈判文件内容违反国家有关强制性规定的，谈判小组应当停止评审并向采购人或者采购代理机构书面说明情况。</w:t>
      </w:r>
    </w:p>
    <w:p>
      <w:pPr>
        <w:pStyle w:val="48"/>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谈判小组</w:t>
      </w:r>
      <w:r>
        <w:rPr>
          <w:rFonts w:hint="eastAsia" w:ascii="??" w:hAnsi="??" w:cs="宋体"/>
          <w:color w:val="auto"/>
          <w:szCs w:val="21"/>
          <w:highlight w:val="none"/>
        </w:rPr>
        <w:t>要求解释</w:t>
      </w:r>
      <w:r>
        <w:rPr>
          <w:rFonts w:hint="eastAsia" w:hAnsi="宋体"/>
          <w:color w:val="auto"/>
          <w:highlight w:val="none"/>
        </w:rPr>
        <w:t>谈判文件的，书面提出需解释的相关谈判文件的具体内容后、由采购代理机构或者采购人进行书面解释。</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3.2</w:t>
      </w:r>
      <w:r>
        <w:rPr>
          <w:rFonts w:hint="eastAsia" w:ascii="黑体" w:hAnsi="黑体" w:eastAsia="黑体"/>
          <w:b/>
          <w:color w:val="auto"/>
          <w:sz w:val="24"/>
          <w:highlight w:val="none"/>
        </w:rPr>
        <w:t>初步评审</w:t>
      </w:r>
    </w:p>
    <w:p>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谈判小组依据本章第2.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 xml:space="preserve">1.2 </w:t>
      </w:r>
      <w:r>
        <w:rPr>
          <w:rFonts w:hint="eastAsia" w:ascii="宋体" w:hAnsi="宋体"/>
          <w:color w:val="auto"/>
          <w:sz w:val="24"/>
          <w:highlight w:val="none"/>
        </w:rPr>
        <w:t>款规定的标准对投标文件进行资格性、符合性评审。有一项不符合评审标准的，作无效投标处理。</w:t>
      </w:r>
    </w:p>
    <w:p>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）投标人不符合国家或者谈判文件规定的资格条件；</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）投标人没有按照谈判文件要求提供投标承诺函；</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）投标联合体不符合谈判文件规定；</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）投标文件的签字盖章不符合谈判文件规定；</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）投标报价高于谈判公告公布的预算金额；</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）同一投标人提交两个以上不同的投标文件（响应文件）或者投标报价，投标文件（响应文件）的每种报价有两个报价或其他选择性报价的。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）投标文件（响应文件）没有对谈判文件的实质性要求和条件作出实质性响应，或不符合谈判文件的实质性要求和条件；</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）投标文件（响应文件）附有采购项目不能接受的条件或不符合国家强制性规定的；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）投标的；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2）提供虚假材料谋取中标（成交）的；</w:t>
      </w:r>
    </w:p>
    <w:p>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ascii="宋体"/>
          <w:color w:val="auto"/>
          <w:sz w:val="24"/>
          <w:highlight w:val="none"/>
        </w:rPr>
        <w:t>    </w:t>
      </w:r>
      <w:r>
        <w:rPr>
          <w:rFonts w:hint="eastAsia" w:ascii="宋体" w:hAnsi="宋体"/>
          <w:color w:val="auto"/>
          <w:sz w:val="24"/>
          <w:highlight w:val="none"/>
        </w:rPr>
        <w:t>◆不同投标人的投标文件相互混装。</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（14）根据豫财购〔2021〕6号文件，参与同一个标段(包)的供应商存在下列情形之一的，其投标(响应)文件无效: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(15)不同投标人上传电子投标(响应)文件的IP地址相同，该供应商投标(响应)文件无效。</w:t>
      </w:r>
    </w:p>
    <w:p>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(16)据豫财购〔2021〕6号文件精神，工程领域招标投标行政主管部门对供应商串通投标等予以市场禁入的，在本次政府采购活动中，该供应商投标(响应)文件无效。</w:t>
      </w:r>
    </w:p>
    <w:p>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（17）如涉及台式计算机、便携式计算机、一体式计算机、工作站、通用服务器、操作系统、数据库的，不符合第六章14-2附件要求</w:t>
      </w:r>
      <w:r>
        <w:rPr>
          <w:rFonts w:hint="eastAsia" w:ascii="宋体" w:hAnsi="宋体"/>
          <w:color w:val="auto"/>
          <w:sz w:val="24"/>
          <w:szCs w:val="24"/>
          <w:highlight w:val="none"/>
        </w:rPr>
        <w:t>。</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投标人拒绝接受上述意见，其</w:t>
      </w:r>
      <w:r>
        <w:rPr>
          <w:rFonts w:hint="eastAsia" w:ascii="宋体" w:hAnsi="宋体"/>
          <w:b/>
          <w:color w:val="auto"/>
          <w:sz w:val="24"/>
          <w:highlight w:val="none"/>
        </w:rPr>
        <w:t>投标将被拒绝。</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谈判小组判断投标文件（响应文件）的响应性仅基于投标文件（响应文件）本身而不靠外部证据。</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谈判小组拒绝被确定为非实质性响应的投标人，投标人不得通过修正或撤销不符之处而使其投标成为实质性响应的投标。</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允许投标人修改投标中不构成重大偏离的、微小的、非正规、不一致或不规则的地方。</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详细评审</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3.3.1</w:t>
      </w:r>
      <w:r>
        <w:rPr>
          <w:rFonts w:hint="eastAsia" w:ascii="宋体" w:hAnsi="宋体"/>
          <w:color w:val="auto"/>
          <w:sz w:val="24"/>
          <w:highlight w:val="none"/>
        </w:rPr>
        <w:t xml:space="preserve"> 按本章第</w:t>
      </w:r>
      <w:r>
        <w:rPr>
          <w:rFonts w:ascii="宋体" w:hAnsi="宋体"/>
          <w:color w:val="auto"/>
          <w:sz w:val="24"/>
          <w:highlight w:val="none"/>
        </w:rPr>
        <w:t xml:space="preserve">4 </w:t>
      </w:r>
      <w:r>
        <w:rPr>
          <w:rFonts w:hint="eastAsia" w:ascii="宋体" w:hAnsi="宋体"/>
          <w:color w:val="auto"/>
          <w:sz w:val="24"/>
          <w:highlight w:val="none"/>
        </w:rPr>
        <w:t>条规定执行促进中小企业发展扶持政策，用扣除后的价格参与评审。</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color w:val="auto"/>
          <w:sz w:val="24"/>
          <w:highlight w:val="none"/>
        </w:rPr>
        <w:t>3.</w:t>
      </w:r>
      <w:r>
        <w:rPr>
          <w:rFonts w:hint="eastAsia" w:ascii="宋体"/>
          <w:color w:val="auto"/>
          <w:sz w:val="24"/>
          <w:highlight w:val="none"/>
        </w:rPr>
        <w:t>3</w:t>
      </w:r>
      <w:r>
        <w:rPr>
          <w:rFonts w:ascii="宋体"/>
          <w:color w:val="auto"/>
          <w:sz w:val="24"/>
          <w:highlight w:val="none"/>
        </w:rPr>
        <w:t>.</w:t>
      </w:r>
      <w:r>
        <w:rPr>
          <w:rFonts w:hint="eastAsia" w:ascii="宋体"/>
          <w:color w:val="auto"/>
          <w:sz w:val="24"/>
          <w:highlight w:val="none"/>
        </w:rPr>
        <w:t xml:space="preserve">2 </w:t>
      </w:r>
      <w:r>
        <w:rPr>
          <w:rFonts w:hint="eastAsia" w:ascii="宋体" w:hAnsi="宋体"/>
          <w:color w:val="auto"/>
          <w:sz w:val="24"/>
          <w:highlight w:val="none"/>
        </w:rPr>
        <w:t>提供相同品牌产品的不同投标人参加同一合同项下投标的，以其中通过资格审查、符合性审查且报价最低的参加评标；报价相同的，由谈判小组按照随机抽取方式确定一个参加评标的投标人，其他投标无效。</w:t>
      </w:r>
    </w:p>
    <w:p>
      <w:pPr>
        <w:adjustRightInd w:val="0"/>
        <w:snapToGrid w:val="0"/>
        <w:spacing w:line="300" w:lineRule="auto"/>
        <w:ind w:firstLine="480"/>
        <w:jc w:val="left"/>
        <w:rPr>
          <w:rFonts w:ascii="宋体" w:cs="宋体"/>
          <w:color w:val="auto"/>
          <w:sz w:val="24"/>
          <w:highlight w:val="none"/>
        </w:rPr>
      </w:pPr>
      <w:r>
        <w:rPr>
          <w:rFonts w:hint="eastAsia" w:ascii="宋体" w:hAnsi="宋体" w:cs="宋体"/>
          <w:color w:val="auto"/>
          <w:sz w:val="24"/>
          <w:highlight w:val="none"/>
        </w:rPr>
        <w:t>多家投标人提供的核心产品品牌相同的，按前项规定处理。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w:t>
      </w:r>
      <w:r>
        <w:rPr>
          <w:rFonts w:hint="eastAsia" w:ascii="宋体" w:hAnsi="宋体"/>
          <w:color w:val="auto"/>
          <w:sz w:val="24"/>
          <w:highlight w:val="none"/>
        </w:rPr>
        <w:t>3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投标文件（响应文件）的澄清</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投标文件（响应文件）的澄清在谈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3.4.2</w:t>
      </w:r>
      <w:r>
        <w:rPr>
          <w:rFonts w:hint="eastAsia" w:ascii="宋体" w:hAnsi="宋体"/>
          <w:color w:val="auto"/>
          <w:sz w:val="24"/>
          <w:highlight w:val="none"/>
        </w:rPr>
        <w:t>　为有助于对投标文件（响应文件）进行审查、评估和比较，谈判小组有权个别的向投标人提出质疑，请投标人澄清其投标内容。</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3.4.3</w:t>
      </w:r>
      <w:r>
        <w:rPr>
          <w:rFonts w:hint="eastAsia" w:ascii="宋体" w:hAnsi="宋体"/>
          <w:color w:val="auto"/>
          <w:sz w:val="24"/>
          <w:highlight w:val="none"/>
        </w:rPr>
        <w:t>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3.4.4</w:t>
      </w:r>
      <w:r>
        <w:rPr>
          <w:rFonts w:hint="eastAsia" w:ascii="宋体" w:hAnsi="宋体"/>
          <w:b/>
          <w:color w:val="auto"/>
          <w:sz w:val="24"/>
          <w:highlight w:val="none"/>
        </w:rPr>
        <w:t>　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3.4.5</w:t>
      </w:r>
      <w:r>
        <w:rPr>
          <w:rFonts w:hint="eastAsia" w:ascii="宋体" w:hAnsi="宋体"/>
          <w:color w:val="auto"/>
          <w:sz w:val="24"/>
          <w:highlight w:val="none"/>
        </w:rPr>
        <w:t>　投标人的澄清文件是投标文件（响应文件）的组成部分，并取代投标文件（响应文件）中被澄清的部分。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3.4.6</w:t>
      </w:r>
      <w:r>
        <w:rPr>
          <w:rFonts w:hint="eastAsia" w:ascii="宋体" w:hAnsi="宋体"/>
          <w:color w:val="auto"/>
          <w:sz w:val="24"/>
          <w:highlight w:val="none"/>
        </w:rPr>
        <w:t>　澄清文件应按谈判小组规定的时间提交。</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谈判规则</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w:t>
      </w:r>
      <w:r>
        <w:rPr>
          <w:rFonts w:ascii="宋体" w:hAnsi="宋体"/>
          <w:b/>
          <w:color w:val="auto"/>
          <w:sz w:val="24"/>
          <w:highlight w:val="none"/>
        </w:rPr>
        <w:t>审</w:t>
      </w:r>
      <w:r>
        <w:rPr>
          <w:rFonts w:hint="eastAsia" w:ascii="宋体" w:hAnsi="宋体"/>
          <w:b/>
          <w:color w:val="auto"/>
          <w:sz w:val="24"/>
          <w:highlight w:val="none"/>
        </w:rPr>
        <w:t>谈判在谈</w:t>
      </w:r>
      <w:r>
        <w:rPr>
          <w:rFonts w:ascii="宋体" w:hAnsi="宋体"/>
          <w:b/>
          <w:color w:val="auto"/>
          <w:sz w:val="24"/>
          <w:highlight w:val="none"/>
        </w:rPr>
        <w:t>判公告所述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pPr>
        <w:autoSpaceDE w:val="0"/>
        <w:autoSpaceDN w:val="0"/>
        <w:adjustRightInd w:val="0"/>
        <w:snapToGrid w:val="0"/>
        <w:spacing w:before="156" w:beforeLines="50" w:line="300" w:lineRule="auto"/>
        <w:ind w:firstLine="566" w:firstLineChars="236"/>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本次政府采购采取竞争性谈判方式。谈判小组将据评审情况就所投货物的技术、服务、价格等事项与有关投标人分别进行谈判。谈判的任何一方不得将与谈判有关的技术资料、价格和其他信息透露给其他供应商。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谈判小组根据谈判文件规定的程序、评定成交的标准等事项与实质性响应谈判文件要求的投标人进行谈判。</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3.5.3 </w:t>
      </w:r>
      <w:r>
        <w:rPr>
          <w:rFonts w:hint="eastAsia" w:ascii="宋体" w:hAnsi="宋体"/>
          <w:color w:val="auto"/>
          <w:sz w:val="24"/>
          <w:highlight w:val="none"/>
        </w:rPr>
        <w:t>谈判小组所有成员集中与单一投标人分别进行谈判，并给予所有参加谈判的投标人平等的谈判机会。</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3.5.4 </w:t>
      </w:r>
      <w:r>
        <w:rPr>
          <w:rFonts w:hint="eastAsia" w:ascii="宋体" w:hAnsi="宋体"/>
          <w:color w:val="auto"/>
          <w:sz w:val="24"/>
          <w:highlight w:val="none"/>
        </w:rPr>
        <w:t>在谈判过程中，谈判小组可以根据谈判文件和谈判情况实质性变动采购需求中的技术、服务要求以及合同草案条款，谈判文件中的其他内容将不再变动。实质性变动的内容，经采购人代表确认</w:t>
      </w:r>
      <w:r>
        <w:rPr>
          <w:rFonts w:hint="eastAsia" w:ascii="宋体" w:hAnsi="宋体"/>
          <w:b/>
          <w:color w:val="auto"/>
          <w:sz w:val="24"/>
          <w:highlight w:val="none"/>
        </w:rPr>
        <w:t>后，谈判小组将在评审界面的对话框及时通知所有参加谈判的供应商。评审期间，供应商可通过评审界面的对话框接受询问。谈判结束后，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3.5.5 </w:t>
      </w:r>
      <w:r>
        <w:rPr>
          <w:rFonts w:hint="eastAsia" w:ascii="宋体" w:hAnsi="宋体"/>
          <w:color w:val="auto"/>
          <w:sz w:val="24"/>
          <w:highlight w:val="none"/>
        </w:rPr>
        <w:t>对谈判文件作出的实质性变动是谈判文件的有效组成部分。</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3.5.6 </w:t>
      </w:r>
      <w:r>
        <w:rPr>
          <w:rFonts w:hint="eastAsia" w:ascii="宋体" w:hAnsi="宋体"/>
          <w:color w:val="auto"/>
          <w:sz w:val="24"/>
          <w:highlight w:val="none"/>
        </w:rPr>
        <w:t>投标人应当按照谈判文件的变动情况和谈判小组的要求重新提交投标文件（响应文件）或修订投标文件相应条款，</w:t>
      </w:r>
      <w:r>
        <w:rPr>
          <w:rFonts w:hint="eastAsia" w:ascii="宋体" w:hAnsi="宋体"/>
          <w:b/>
          <w:color w:val="auto"/>
          <w:sz w:val="24"/>
          <w:highlight w:val="none"/>
        </w:rPr>
        <w:t>并应加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 </w:t>
      </w:r>
      <w:r>
        <w:rPr>
          <w:rFonts w:hint="eastAsia" w:ascii="宋体" w:hAnsi="宋体"/>
          <w:color w:val="auto"/>
          <w:sz w:val="24"/>
          <w:highlight w:val="none"/>
        </w:rPr>
        <w:t>价格谈判</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3.5.7.1 </w:t>
      </w:r>
      <w:r>
        <w:rPr>
          <w:rFonts w:hint="eastAsia" w:ascii="宋体" w:hAnsi="宋体"/>
          <w:color w:val="auto"/>
          <w:sz w:val="24"/>
          <w:highlight w:val="none"/>
        </w:rPr>
        <w:t>见第二章“采购项目及技术服务要求”</w:t>
      </w:r>
      <w:r>
        <w:rPr>
          <w:rFonts w:ascii="宋体" w:hAnsi="宋体"/>
          <w:color w:val="auto"/>
          <w:sz w:val="24"/>
          <w:highlight w:val="none"/>
        </w:rPr>
        <w:t>1.3.2</w:t>
      </w:r>
      <w:r>
        <w:rPr>
          <w:rFonts w:hint="eastAsia" w:ascii="宋体" w:hAnsi="宋体"/>
          <w:color w:val="auto"/>
          <w:sz w:val="24"/>
          <w:highlight w:val="none"/>
        </w:rPr>
        <w:t>项规定</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3.5.7.2 </w:t>
      </w:r>
      <w:r>
        <w:rPr>
          <w:rFonts w:hint="eastAsia" w:ascii="宋体" w:hAnsi="宋体"/>
          <w:color w:val="auto"/>
          <w:sz w:val="24"/>
          <w:highlight w:val="none"/>
        </w:rPr>
        <w:t>谈判小组应当要求所有继续参加谈判的供应商在规定时间内提交最后报价，提交最后报价的供应商不得少于</w:t>
      </w:r>
      <w:r>
        <w:rPr>
          <w:rFonts w:ascii="宋体" w:hAnsi="宋体"/>
          <w:color w:val="auto"/>
          <w:sz w:val="24"/>
          <w:highlight w:val="none"/>
        </w:rPr>
        <w:t>3</w:t>
      </w:r>
      <w:r>
        <w:rPr>
          <w:rFonts w:hint="eastAsia" w:ascii="宋体" w:hAnsi="宋体"/>
          <w:color w:val="auto"/>
          <w:sz w:val="24"/>
          <w:highlight w:val="none"/>
        </w:rPr>
        <w:t>家。最后报价是投标文件（响应文件）的有效组成部分。</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3.5.8</w:t>
      </w:r>
      <w:r>
        <w:rPr>
          <w:rFonts w:hint="eastAsia" w:ascii="宋体" w:hAnsi="宋体"/>
          <w:color w:val="auto"/>
          <w:sz w:val="24"/>
          <w:highlight w:val="none"/>
        </w:rPr>
        <w:t xml:space="preserve"> 谈判文件的实质性变动影响到投标人因此无法继续参加谈判的，投标人可以在提交最后报价之前退出谈判。其响应文件按无效处理的投标人，所提交的最后报价也按无效处理。</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3.5.9</w:t>
      </w:r>
      <w:r>
        <w:rPr>
          <w:rFonts w:hint="eastAsia" w:ascii="宋体" w:hAnsi="宋体"/>
          <w:b/>
          <w:color w:val="auto"/>
          <w:sz w:val="24"/>
          <w:highlight w:val="none"/>
        </w:rPr>
        <w:t xml:space="preserve"> 投标人提交最后报价应在系统中填列。</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3.5.10</w:t>
      </w:r>
      <w:r>
        <w:rPr>
          <w:rFonts w:hint="eastAsia" w:ascii="宋体" w:hAnsi="宋体"/>
          <w:b/>
          <w:color w:val="auto"/>
          <w:sz w:val="24"/>
          <w:highlight w:val="none"/>
        </w:rPr>
        <w:t xml:space="preserve"> </w:t>
      </w:r>
      <w:r>
        <w:rPr>
          <w:rFonts w:hint="eastAsia"/>
          <w:b/>
          <w:color w:val="auto"/>
          <w:sz w:val="24"/>
          <w:szCs w:val="24"/>
          <w:highlight w:val="none"/>
        </w:rPr>
        <w:t>本项目在开标后只进行一轮报价，即最后报价。网</w:t>
      </w:r>
      <w:r>
        <w:rPr>
          <w:b/>
          <w:color w:val="auto"/>
          <w:sz w:val="24"/>
          <w:szCs w:val="24"/>
          <w:highlight w:val="none"/>
        </w:rPr>
        <w:t>上交易系统中</w:t>
      </w:r>
      <w:r>
        <w:rPr>
          <w:rFonts w:hint="eastAsia"/>
          <w:b/>
          <w:color w:val="auto"/>
          <w:sz w:val="24"/>
          <w:szCs w:val="24"/>
          <w:highlight w:val="none"/>
        </w:rPr>
        <w:t>管理员发起最后报价后，</w:t>
      </w:r>
      <w:r>
        <w:rPr>
          <w:rFonts w:hint="eastAsia" w:ascii="宋体" w:hAnsi="宋体"/>
          <w:b/>
          <w:color w:val="auto"/>
          <w:sz w:val="24"/>
          <w:highlight w:val="none"/>
        </w:rPr>
        <w:t>如投标人未在指定时限内提交最后报价，视为该供应商根据谈判情况退出谈判。</w:t>
      </w:r>
    </w:p>
    <w:p>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 xml:space="preserve">3.5.11 </w:t>
      </w:r>
      <w:r>
        <w:rPr>
          <w:rFonts w:hint="eastAsia" w:ascii="宋体" w:hAnsi="宋体"/>
          <w:b/>
          <w:color w:val="auto"/>
          <w:sz w:val="24"/>
          <w:highlight w:val="none"/>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w:t>
      </w:r>
      <w:r>
        <w:rPr>
          <w:rFonts w:ascii="宋体" w:hAnsi="宋体"/>
          <w:b/>
          <w:color w:val="auto"/>
          <w:sz w:val="24"/>
          <w:highlight w:val="none"/>
        </w:rPr>
        <w:t>标</w:t>
      </w:r>
      <w:r>
        <w:rPr>
          <w:rFonts w:hint="eastAsia" w:ascii="宋体" w:hAnsi="宋体"/>
          <w:b/>
          <w:color w:val="auto"/>
          <w:sz w:val="24"/>
          <w:highlight w:val="none"/>
        </w:rPr>
        <w:t>。</w:t>
      </w:r>
    </w:p>
    <w:p>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hAnsi="宋体"/>
          <w:color w:val="auto"/>
          <w:sz w:val="24"/>
          <w:highlight w:val="none"/>
        </w:rPr>
        <w:t>：谈判小组对排名第一的、报价最低的、投标或相应文件被认定为无效的情形按谈判文件实质性要求进行重点复核。</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p>
    <w:p>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7 </w:t>
      </w:r>
      <w:r>
        <w:rPr>
          <w:rFonts w:ascii="宋体" w:hAnsi="宋体"/>
          <w:color w:val="auto"/>
          <w:sz w:val="24"/>
          <w:highlight w:val="none"/>
        </w:rPr>
        <w:t>.1</w:t>
      </w:r>
      <w:r>
        <w:rPr>
          <w:rFonts w:hint="eastAsia" w:ascii="宋体" w:hAnsi="宋体"/>
          <w:color w:val="auto"/>
          <w:sz w:val="24"/>
          <w:highlight w:val="none"/>
        </w:rPr>
        <w:t xml:space="preserve"> 谈判小组从质量和服务均能满足谈判文件实质性响应要求的投标人中，按照报价（扣除经评审合格的“价格扣除”，见本章第</w:t>
      </w:r>
      <w:r>
        <w:rPr>
          <w:rFonts w:ascii="宋体" w:hAnsi="宋体"/>
          <w:color w:val="auto"/>
          <w:sz w:val="24"/>
          <w:highlight w:val="none"/>
        </w:rPr>
        <w:t>4</w:t>
      </w:r>
      <w:r>
        <w:rPr>
          <w:rFonts w:hint="eastAsia" w:ascii="宋体" w:hAnsi="宋体"/>
          <w:color w:val="auto"/>
          <w:sz w:val="24"/>
          <w:highlight w:val="none"/>
        </w:rPr>
        <w:t>条）由低到高的顺序提出</w:t>
      </w:r>
      <w:r>
        <w:rPr>
          <w:rFonts w:ascii="宋体" w:hAnsi="宋体"/>
          <w:color w:val="auto"/>
          <w:sz w:val="24"/>
          <w:highlight w:val="none"/>
        </w:rPr>
        <w:t>3</w:t>
      </w:r>
      <w:r>
        <w:rPr>
          <w:rFonts w:hint="eastAsia" w:ascii="宋体" w:hAnsi="宋体"/>
          <w:color w:val="auto"/>
          <w:sz w:val="24"/>
          <w:highlight w:val="none"/>
        </w:rPr>
        <w:t>名以上成交候选人，并编写书面评审报告。</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确定成交供应商：按第三章“投标人须知前附表”</w:t>
      </w:r>
      <w:r>
        <w:rPr>
          <w:rFonts w:ascii="宋体" w:hAnsi="宋体"/>
          <w:color w:val="auto"/>
          <w:sz w:val="24"/>
          <w:highlight w:val="none"/>
        </w:rPr>
        <w:t>7.1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谈判终止</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出现下列情形之一的，终止竞争性谈判活动：</w:t>
      </w:r>
    </w:p>
    <w:p>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）因情况变化，不再符合规定的竞争性谈判方式适用情形的；</w:t>
      </w:r>
    </w:p>
    <w:p>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）在采购过程中符合竞争要求的供应商或者报价未超过预算金额的供应商不足</w:t>
      </w:r>
      <w:r>
        <w:rPr>
          <w:rFonts w:ascii="宋体" w:hAnsi="宋体"/>
          <w:color w:val="auto"/>
          <w:sz w:val="24"/>
          <w:highlight w:val="none"/>
        </w:rPr>
        <w:t>3</w:t>
      </w:r>
      <w:r>
        <w:rPr>
          <w:rFonts w:hint="eastAsia" w:ascii="宋体" w:hAnsi="宋体"/>
          <w:color w:val="auto"/>
          <w:sz w:val="24"/>
          <w:highlight w:val="none"/>
        </w:rPr>
        <w:t>家的。</w:t>
      </w:r>
    </w:p>
    <w:p>
      <w:pPr>
        <w:autoSpaceDE w:val="0"/>
        <w:autoSpaceDN w:val="0"/>
        <w:adjustRightInd w:val="0"/>
        <w:snapToGrid w:val="0"/>
        <w:spacing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）在采购活动中因重大变故，采购任务取消的</w:t>
      </w:r>
      <w:r>
        <w:rPr>
          <w:rFonts w:ascii="宋体" w:hAnsi="宋体"/>
          <w:color w:val="auto"/>
          <w:sz w:val="24"/>
          <w:highlight w:val="none"/>
        </w:rPr>
        <w:t>.</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谈判小组要在采购项目（标段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）谈判失败时，出具谈判文件是否存在不合理条款的论证意见，要协助采购人、采购代理机构、财政部门答复质疑或处理投诉事项。　</w:t>
      </w:r>
    </w:p>
    <w:p>
      <w:pPr>
        <w:autoSpaceDE w:val="0"/>
        <w:autoSpaceDN w:val="0"/>
        <w:adjustRightInd w:val="0"/>
        <w:snapToGrid w:val="0"/>
        <w:spacing w:before="156" w:beforeLines="50" w:line="300" w:lineRule="auto"/>
        <w:ind w:firstLine="566" w:firstLineChars="236"/>
        <w:jc w:val="left"/>
        <w:rPr>
          <w:rFonts w:ascii="宋体"/>
          <w:color w:val="auto"/>
          <w:sz w:val="24"/>
          <w:highlight w:val="none"/>
        </w:rPr>
      </w:pPr>
    </w:p>
    <w:p>
      <w:pPr>
        <w:pStyle w:val="48"/>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lang w:val="zh-CN"/>
        </w:rPr>
      </w:pPr>
      <w:bookmarkStart w:id="45" w:name="_Toc209083646"/>
      <w:bookmarkStart w:id="46" w:name="_Toc60844012"/>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5"/>
      <w:bookmarkEnd w:id="46"/>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（2）依法与安置的每位残疾人签订了一年以上（含一年）的劳动合同或服务协议；</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（3）为安置的每位残疾人按月足额缴纳了基本养老保险、基本医疗保险、失业保险、工伤保险和生育保险等社会保险费；</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（4）通过银行等金融机构向安置的每位残疾人，按月支付了不低于单位所在区县适用的经省级人民政府批准的月最低工资标准的工资；</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before="156" w:beforeLines="50" w:line="300" w:lineRule="auto"/>
        <w:ind w:firstLine="539"/>
        <w:rPr>
          <w:rFonts w:ascii="宋体" w:hAnsi="宋体"/>
          <w:color w:val="auto"/>
          <w:sz w:val="24"/>
          <w:szCs w:val="22"/>
          <w:highlight w:val="none"/>
        </w:rPr>
      </w:pPr>
      <w:r>
        <w:rPr>
          <w:rFonts w:hint="eastAsia" w:ascii="宋体" w:hAnsi="宋体"/>
          <w:color w:val="auto"/>
          <w:sz w:val="24"/>
          <w:highlight w:val="none"/>
        </w:rPr>
        <w:t xml:space="preserve">4.4 </w:t>
      </w:r>
      <w:r>
        <w:rPr>
          <w:rFonts w:hint="eastAsia"/>
          <w:color w:val="auto"/>
          <w:sz w:val="24"/>
          <w:szCs w:val="24"/>
          <w:highlight w:val="none"/>
        </w:rPr>
        <w:t>参加</w:t>
      </w:r>
      <w:r>
        <w:rPr>
          <w:rFonts w:hint="eastAsia" w:ascii="宋体" w:hAnsi="宋体"/>
          <w:color w:val="auto"/>
          <w:sz w:val="24"/>
          <w:highlight w:val="none"/>
        </w:rPr>
        <w:t>本次政府采购项目的中小企业应按附件格式提供《中小企业声明函》。</w:t>
      </w:r>
      <w:r>
        <w:rPr>
          <w:rFonts w:hint="eastAsia" w:ascii="宋体" w:hAnsi="宋体" w:cs="宋体"/>
          <w:color w:val="auto"/>
          <w:sz w:val="24"/>
          <w:szCs w:val="24"/>
          <w:highlight w:val="none"/>
        </w:rPr>
        <w:t>如谈判文件接受以联合体形式参加投标的，联合体各方均应按附件格式提供《中小企业声明函》。</w:t>
      </w:r>
    </w:p>
    <w:p>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供应商按照财库〔2020〕46号规定及谈判文件要求提供声明函内容不实的，属于提供虚假材料谋取中标、成交，依照《中华人民共和国政府采购法》等国家有关规定追究相应责任。</w:t>
      </w:r>
    </w:p>
    <w:p>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4.5 《政府采购促进中小企业发展管理办法》各项中小企业扶持政策中，价格扣除扶持政策仅小型、微型企业适用。</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 小微企业价格扣除扶持政策：</w:t>
      </w:r>
    </w:p>
    <w:p>
      <w:pPr>
        <w:adjustRightInd w:val="0"/>
        <w:snapToGrid w:val="0"/>
        <w:spacing w:before="156"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4.6.1本次政府采购项目对符合《政府采购促进中小企业发展管理办法》小型和微型企业的报价给予20%的扣除，用扣除后的价格参与评审。</w:t>
      </w:r>
    </w:p>
    <w:p>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（1）投标人所投货物均由小型和微型企业制造，享受小微企业价格扣除扶持政策。</w:t>
      </w:r>
    </w:p>
    <w:p>
      <w:pPr>
        <w:autoSpaceDE w:val="0"/>
        <w:autoSpaceDN w:val="0"/>
        <w:adjustRightInd w:val="0"/>
        <w:snapToGrid w:val="0"/>
        <w:spacing w:before="156" w:beforeLines="50" w:line="300" w:lineRule="auto"/>
        <w:ind w:firstLine="684" w:firstLineChars="285"/>
        <w:jc w:val="left"/>
        <w:rPr>
          <w:rFonts w:ascii="宋体" w:hAnsi="宋体"/>
          <w:color w:val="auto"/>
          <w:sz w:val="24"/>
          <w:szCs w:val="22"/>
          <w:highlight w:val="none"/>
        </w:rPr>
      </w:pPr>
      <w:r>
        <w:rPr>
          <w:rFonts w:hint="eastAsia" w:ascii="宋体" w:hAnsi="宋体"/>
          <w:color w:val="auto"/>
          <w:sz w:val="24"/>
          <w:highlight w:val="none"/>
        </w:rPr>
        <w:t>（2）投标人所投货物既有小型和微型企业制造，也有中型企业制造或大型企业制造的，不享受小微企业价格扣除扶持政策。</w:t>
      </w:r>
    </w:p>
    <w:p>
      <w:pPr>
        <w:adjustRightInd w:val="0"/>
        <w:snapToGrid w:val="0"/>
        <w:spacing w:before="156" w:beforeLines="50" w:line="300" w:lineRule="auto"/>
        <w:ind w:firstLine="600" w:firstLineChars="250"/>
        <w:rPr>
          <w:rFonts w:ascii="宋体" w:hAnsi="宋体"/>
          <w:color w:val="auto"/>
          <w:sz w:val="24"/>
          <w:highlight w:val="none"/>
        </w:rPr>
      </w:pPr>
      <w:r>
        <w:rPr>
          <w:rFonts w:hint="eastAsia" w:ascii="宋体" w:hAnsi="宋体"/>
          <w:color w:val="auto"/>
          <w:sz w:val="24"/>
          <w:szCs w:val="24"/>
          <w:highlight w:val="none"/>
        </w:rPr>
        <w:t>4.6.2</w:t>
      </w:r>
      <w:r>
        <w:rPr>
          <w:rFonts w:hint="eastAsia" w:ascii="宋体" w:hAnsi="宋体"/>
          <w:color w:val="auto"/>
          <w:sz w:val="24"/>
          <w:highlight w:val="none"/>
        </w:rPr>
        <w:t>如谈判文件接受大中型企业与小微企业组成联合体或者允许大中型企业向一家或者多家小微企业分包时，联合协议或分包意向协议约定小微型企业的合同份额占到合同总金额30%以上的，给予联合体或大中型企业6%的价格扣除，用扣除后的价格参加评审。</w:t>
      </w:r>
    </w:p>
    <w:p>
      <w:pPr>
        <w:adjustRightInd w:val="0"/>
        <w:snapToGrid w:val="0"/>
        <w:spacing w:before="156" w:beforeLines="50" w:line="300" w:lineRule="auto"/>
        <w:ind w:firstLine="600" w:firstLineChars="250"/>
        <w:rPr>
          <w:rFonts w:ascii="宋体" w:hAnsi="宋体"/>
          <w:color w:val="auto"/>
          <w:sz w:val="24"/>
          <w:highlight w:val="none"/>
        </w:rPr>
      </w:pPr>
      <w:r>
        <w:rPr>
          <w:rFonts w:hint="eastAsia" w:ascii="宋体" w:hAnsi="宋体"/>
          <w:color w:val="auto"/>
          <w:sz w:val="24"/>
          <w:highlight w:val="none"/>
        </w:rPr>
        <w:t>组成联合体或者接受分包合同的中小企业与联合体内其他企业、分包企业之间不得存在直接控股、管理关系。</w:t>
      </w:r>
    </w:p>
    <w:p>
      <w:pPr>
        <w:adjustRightInd w:val="0"/>
        <w:snapToGrid w:val="0"/>
        <w:spacing w:before="156"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4.6.3价格扣除比例或者价格分加分比例对小型企业和微型企业同等对待，不作区分。</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7 谈判小组对投标人申报的小型和微型企业价格扣除事项进行评审。鉴于小微企业价格扣除政策与合同执行价格无关，为避免投标人申报价格扣除事项的随意性，故特别规定：</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）谈判小组对投标人申报的小型和微型企业价格扣除事项的评审结论，分为合格与不合格。</w:t>
      </w:r>
    </w:p>
    <w:p>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（2） A.投标人所投货物均由小型和微型企业制造，享受小微企业价格扣除扶持政策。</w:t>
      </w:r>
    </w:p>
    <w:p>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B.投标人所投货物既有小型和微型企业制造，也有中型企业制造或大型企业制造的，不享受小微企业价格扣除扶持政策。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经评审，申报的小微价格扣除事项缺失中小企业声明函、中小企业声明函含有大型中型企业制造产品、中小企业声明函中少列产品、《中小企业声明函》中产品承诺与投标产品不一致、联合协议或分包意向协议不符合中小企业价格扣除规定等任一不符合政策要求及不准确的事项，谈判小组均将评审为不合格，该投标人申报的价格扣除事项不予接受、为</w:t>
      </w:r>
      <w:r>
        <w:rPr>
          <w:rFonts w:ascii="宋体" w:hAnsi="宋体"/>
          <w:color w:val="auto"/>
          <w:sz w:val="24"/>
          <w:highlight w:val="none"/>
        </w:rPr>
        <w:t>0</w:t>
      </w:r>
      <w:r>
        <w:rPr>
          <w:rFonts w:hint="eastAsia" w:ascii="宋体" w:hAnsi="宋体"/>
          <w:color w:val="auto"/>
          <w:sz w:val="24"/>
          <w:highlight w:val="none"/>
        </w:rPr>
        <w:t>。</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提供虚假材料的为无效投标、并承担相应的法律责任。</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（4）评审合格的，接受其申报的小型和微型企业价格扣除（最后报价的价格扣除），用扣除后的价格参与评审。</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（5）评审不合格的，不接受其小微企业价格扣除，但将不作为无效投标。</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注：小微企业价格扣除，仅作为价格评审的依据，并不影响合同执行价格，合同执行价格为成交供应商的最后报价。</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4.9</w:t>
      </w:r>
      <w:r>
        <w:rPr>
          <w:rFonts w:ascii="宋体" w:hAnsi="宋体"/>
          <w:color w:val="auto"/>
          <w:sz w:val="24"/>
          <w:highlight w:val="none"/>
        </w:rPr>
        <w:t xml:space="preserve"> </w:t>
      </w:r>
      <w:r>
        <w:rPr>
          <w:rFonts w:hint="eastAsia" w:ascii="宋体" w:hAnsi="宋体"/>
          <w:color w:val="auto"/>
          <w:sz w:val="24"/>
          <w:highlight w:val="none"/>
        </w:rPr>
        <w:t>中标、成交供应商享受中小企业扶持政策的，中标、成交供应商的《中小企业声明函》将随中标、成交结果公开。</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4.10</w:t>
      </w:r>
      <w:r>
        <w:rPr>
          <w:rFonts w:ascii="宋体" w:hAnsi="宋体"/>
          <w:color w:val="auto"/>
          <w:sz w:val="24"/>
          <w:highlight w:val="none"/>
        </w:rPr>
        <w:t xml:space="preserve"> </w:t>
      </w:r>
      <w:r>
        <w:rPr>
          <w:rFonts w:hint="eastAsia" w:ascii="宋体" w:hAnsi="宋体"/>
          <w:color w:val="auto"/>
          <w:sz w:val="24"/>
          <w:highlight w:val="none"/>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4.11</w:t>
      </w:r>
      <w:r>
        <w:rPr>
          <w:rFonts w:ascii="宋体" w:hAnsi="宋体"/>
          <w:color w:val="auto"/>
          <w:sz w:val="24"/>
          <w:highlight w:val="none"/>
        </w:rPr>
        <w:t xml:space="preserve"> </w:t>
      </w:r>
      <w:r>
        <w:rPr>
          <w:rFonts w:hint="eastAsia" w:ascii="宋体" w:hAnsi="宋体"/>
          <w:color w:val="auto"/>
          <w:sz w:val="24"/>
          <w:highlight w:val="none"/>
        </w:rPr>
        <w:t>政府采购监督检查、投诉处理及政府采购行政处罚中对中小企业的认定，由货物制造商或者工程、服务供应商注册登记所在地的县级以上人民政府中小企业主管部门负责。</w:t>
      </w:r>
    </w:p>
    <w:p>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p>
    <w:p>
      <w:pPr>
        <w:widowControl w:val="0"/>
        <w:snapToGrid w:val="0"/>
        <w:spacing w:line="657" w:lineRule="atLeast"/>
        <w:jc w:val="center"/>
        <w:outlineLvl w:val="0"/>
        <w:rPr>
          <w:rFonts w:ascii="黑体" w:eastAsia="黑体"/>
          <w:b/>
          <w:color w:val="auto"/>
          <w:sz w:val="36"/>
          <w:szCs w:val="36"/>
          <w:highlight w:val="none"/>
        </w:rPr>
      </w:pPr>
      <w:bookmarkStart w:id="47" w:name="_Toc209083647"/>
      <w:r>
        <w:rPr>
          <w:rFonts w:hint="eastAsia" w:ascii="黑体" w:eastAsia="黑体"/>
          <w:b/>
          <w:color w:val="auto"/>
          <w:sz w:val="36"/>
          <w:szCs w:val="36"/>
          <w:highlight w:val="none"/>
        </w:rPr>
        <w:t>第五章 合同主要条款</w:t>
      </w:r>
      <w:bookmarkEnd w:id="47"/>
    </w:p>
    <w:p>
      <w:pPr>
        <w:widowControl w:val="0"/>
        <w:snapToGrid w:val="0"/>
        <w:spacing w:line="657" w:lineRule="atLeast"/>
        <w:jc w:val="center"/>
        <w:rPr>
          <w:rFonts w:ascii="黑体" w:eastAsia="黑体"/>
          <w:b/>
          <w:color w:val="auto"/>
          <w:spacing w:val="20"/>
          <w:sz w:val="36"/>
          <w:szCs w:val="36"/>
          <w:highlight w:val="none"/>
        </w:rPr>
      </w:pPr>
    </w:p>
    <w:p>
      <w:pPr>
        <w:pStyle w:val="5"/>
        <w:spacing w:after="0"/>
        <w:ind w:left="5250"/>
        <w:jc w:val="center"/>
        <w:rPr>
          <w:rFonts w:ascii="宋体" w:hAnsi="宋体" w:cs="宋体"/>
          <w:b/>
          <w:bCs/>
          <w:color w:val="auto"/>
          <w:spacing w:val="-20"/>
          <w:kern w:val="44"/>
          <w:sz w:val="48"/>
          <w:szCs w:val="48"/>
          <w:highlight w:val="none"/>
        </w:rPr>
      </w:pPr>
    </w:p>
    <w:p>
      <w:pPr>
        <w:pStyle w:val="5"/>
        <w:spacing w:after="0"/>
        <w:ind w:left="5250"/>
        <w:jc w:val="center"/>
        <w:rPr>
          <w:rFonts w:ascii="宋体" w:hAnsi="宋体" w:cs="宋体"/>
          <w:b/>
          <w:bCs/>
          <w:color w:val="auto"/>
          <w:spacing w:val="-20"/>
          <w:kern w:val="44"/>
          <w:sz w:val="48"/>
          <w:szCs w:val="48"/>
          <w:highlight w:val="none"/>
        </w:rPr>
      </w:pPr>
    </w:p>
    <w:p>
      <w:pPr>
        <w:pStyle w:val="5"/>
        <w:spacing w:after="0"/>
        <w:ind w:left="5250"/>
        <w:jc w:val="center"/>
        <w:rPr>
          <w:rFonts w:ascii="宋体" w:hAnsi="宋体" w:cs="宋体"/>
          <w:b/>
          <w:bCs/>
          <w:color w:val="auto"/>
          <w:spacing w:val="-20"/>
          <w:kern w:val="44"/>
          <w:sz w:val="48"/>
          <w:szCs w:val="48"/>
          <w:highlight w:val="none"/>
        </w:rPr>
      </w:pPr>
    </w:p>
    <w:p>
      <w:pPr>
        <w:pStyle w:val="5"/>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pPr>
        <w:pStyle w:val="5"/>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spacing w:line="360" w:lineRule="auto"/>
        <w:ind w:left="420" w:leftChars="20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pPr>
        <w:rPr>
          <w:color w:val="auto"/>
          <w:highlight w:val="none"/>
        </w:rPr>
      </w:pPr>
    </w:p>
    <w:p>
      <w:pPr>
        <w:rPr>
          <w:rFonts w:eastAsia="黑体"/>
          <w:color w:val="auto"/>
          <w:sz w:val="44"/>
          <w:szCs w:val="44"/>
          <w:highlight w:val="none"/>
        </w:rPr>
      </w:pPr>
      <w:r>
        <w:rPr>
          <w:rFonts w:eastAsia="黑体"/>
          <w:color w:val="auto"/>
          <w:sz w:val="44"/>
          <w:szCs w:val="44"/>
          <w:highlight w:val="none"/>
        </w:rPr>
        <w:br w:type="page"/>
      </w:r>
    </w:p>
    <w:p>
      <w:pPr>
        <w:rPr>
          <w:rFonts w:eastAsia="黑体"/>
          <w:color w:val="auto"/>
          <w:sz w:val="44"/>
          <w:szCs w:val="44"/>
          <w:highlight w:val="none"/>
        </w:rPr>
      </w:pPr>
    </w:p>
    <w:p>
      <w:pPr>
        <w:rPr>
          <w:rFonts w:eastAsia="黑体"/>
          <w:color w:val="auto"/>
          <w:sz w:val="44"/>
          <w:szCs w:val="44"/>
          <w:highlight w:val="none"/>
        </w:rPr>
      </w:pPr>
    </w:p>
    <w:p>
      <w:pPr>
        <w:jc w:val="center"/>
        <w:rPr>
          <w:rFonts w:eastAsia="黑体"/>
          <w:color w:val="auto"/>
          <w:sz w:val="44"/>
          <w:szCs w:val="44"/>
          <w:highlight w:val="none"/>
        </w:rPr>
      </w:pPr>
      <w:r>
        <w:rPr>
          <w:rFonts w:hint="eastAsia" w:eastAsia="黑体"/>
          <w:color w:val="auto"/>
          <w:sz w:val="44"/>
          <w:szCs w:val="44"/>
          <w:highlight w:val="none"/>
        </w:rPr>
        <w:t>使 用 说 明</w:t>
      </w:r>
    </w:p>
    <w:p>
      <w:pPr>
        <w:ind w:firstLine="640" w:firstLineChars="200"/>
        <w:rPr>
          <w:rFonts w:ascii="仿宋_GB2312" w:hAnsi="仿宋_GB2312" w:eastAsia="仿宋_GB2312" w:cs="仿宋_GB2312"/>
          <w:color w:val="auto"/>
          <w:sz w:val="32"/>
          <w:szCs w:val="32"/>
          <w:highlight w:val="none"/>
        </w:rPr>
      </w:pP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pPr>
        <w:ind w:firstLine="560" w:firstLineChars="200"/>
        <w:rPr>
          <w:rFonts w:ascii="仿宋_GB2312" w:hAnsi="仿宋_GB2312" w:eastAsia="仿宋_GB2312" w:cs="仿宋_GB2312"/>
          <w:color w:val="auto"/>
          <w:sz w:val="28"/>
          <w:szCs w:val="28"/>
          <w:highlight w:val="none"/>
        </w:rPr>
        <w:sectPr>
          <w:pgSz w:w="11906" w:h="16838"/>
          <w:pgMar w:top="1440" w:right="991" w:bottom="1440" w:left="156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据中标文件、采购文件填列修订。</w:t>
      </w:r>
    </w:p>
    <w:p>
      <w:pPr>
        <w:pStyle w:val="3"/>
        <w:adjustRightInd w:val="0"/>
        <w:snapToGrid w:val="0"/>
        <w:spacing w:line="400" w:lineRule="exact"/>
        <w:jc w:val="center"/>
        <w:rPr>
          <w:rFonts w:ascii="黑体" w:hAnsi="黑体" w:eastAsia="黑体"/>
          <w:color w:val="auto"/>
          <w:sz w:val="28"/>
          <w:szCs w:val="28"/>
          <w:highlight w:val="none"/>
        </w:rPr>
      </w:pPr>
      <w:bookmarkStart w:id="48" w:name="_Toc22209"/>
    </w:p>
    <w:p>
      <w:pPr>
        <w:pStyle w:val="3"/>
        <w:adjustRightInd w:val="0"/>
        <w:snapToGrid w:val="0"/>
        <w:spacing w:line="400" w:lineRule="exact"/>
        <w:jc w:val="center"/>
        <w:rPr>
          <w:rFonts w:ascii="黑体" w:hAnsi="华文中宋" w:eastAsia="黑体"/>
          <w:b w:val="0"/>
          <w:bCs w:val="0"/>
          <w:color w:val="auto"/>
          <w:sz w:val="28"/>
          <w:szCs w:val="28"/>
          <w:highlight w:val="none"/>
        </w:rPr>
      </w:pPr>
      <w:bookmarkStart w:id="49" w:name="_Toc191287885"/>
      <w:bookmarkStart w:id="50" w:name="_Toc209083648"/>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8"/>
      <w:bookmarkEnd w:id="49"/>
      <w:bookmarkEnd w:id="50"/>
    </w:p>
    <w:p>
      <w:pPr>
        <w:pStyle w:val="3"/>
        <w:adjustRightInd w:val="0"/>
        <w:snapToGrid w:val="0"/>
        <w:spacing w:line="400" w:lineRule="exact"/>
        <w:jc w:val="center"/>
        <w:rPr>
          <w:rFonts w:ascii="黑体" w:hAnsi="华文中宋" w:eastAsia="黑体"/>
          <w:b w:val="0"/>
          <w:bCs w:val="0"/>
          <w:color w:val="auto"/>
          <w:sz w:val="28"/>
          <w:szCs w:val="28"/>
          <w:highlight w:val="none"/>
        </w:rPr>
      </w:pP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pPr>
        <w:spacing w:line="400" w:lineRule="exact"/>
        <w:rPr>
          <w:color w:val="auto"/>
          <w:highlight w:val="none"/>
        </w:rPr>
      </w:pPr>
    </w:p>
    <w:p>
      <w:pPr>
        <w:pStyle w:val="6"/>
        <w:adjustRightIn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项目信息</w:t>
      </w:r>
    </w:p>
    <w:p>
      <w:pPr>
        <w:pStyle w:val="6"/>
        <w:numPr>
          <w:ilvl w:val="0"/>
          <w:numId w:val="2"/>
        </w:numPr>
        <w:adjustRightInd w:val="0"/>
        <w:spacing w:before="0" w:line="400" w:lineRule="exact"/>
        <w:ind w:firstLine="560" w:firstLineChars="200"/>
        <w:textAlignment w:val="auto"/>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pPr>
        <w:pStyle w:val="6"/>
        <w:numPr>
          <w:ilvl w:val="255"/>
          <w:numId w:val="0"/>
        </w:numPr>
        <w:tabs>
          <w:tab w:val="left" w:pos="999"/>
        </w:tabs>
        <w:adjustRightIn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pPr>
        <w:pStyle w:val="6"/>
        <w:adjustRightInd w:val="0"/>
        <w:spacing w:line="400" w:lineRule="exact"/>
        <w:ind w:firstLine="56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pPr>
        <w:numPr>
          <w:ilvl w:val="255"/>
          <w:numId w:val="0"/>
        </w:num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p>
    <w:p>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pPr>
        <w:pStyle w:val="65"/>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pPr>
        <w:pStyle w:val="65"/>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pPr>
        <w:pStyle w:val="65"/>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pPr>
        <w:pStyle w:val="65"/>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pPr>
        <w:pStyle w:val="65"/>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pPr>
        <w:pStyle w:val="65"/>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pPr>
        <w:pStyle w:val="65"/>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pPr>
        <w:pStyle w:val="65"/>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pPr>
        <w:pStyle w:val="65"/>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合同金额</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pPr>
        <w:pStyle w:val="66"/>
        <w:spacing w:line="400" w:lineRule="exact"/>
        <w:rPr>
          <w:color w:val="auto"/>
          <w:highlight w:val="none"/>
        </w:rPr>
      </w:pPr>
      <w:r>
        <w:rPr>
          <w:rFonts w:hint="eastAsia" w:ascii="宋体" w:hAnsi="宋体"/>
          <w:color w:val="auto"/>
          <w:highlight w:val="none"/>
        </w:rPr>
        <w:t>（3）付款方式（按项目实际勾选填写）：</w:t>
      </w:r>
    </w:p>
    <w:p>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u w:val="single"/>
        </w:rPr>
      </w:pPr>
      <w:r>
        <w:rPr>
          <w:rFonts w:hint="eastAsia" w:ascii="宋体" w:hAnsi="宋体"/>
          <w:b/>
          <w:color w:val="auto"/>
          <w:szCs w:val="21"/>
          <w:highlight w:val="none"/>
        </w:rPr>
        <w:t>合同履行</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否</w:t>
      </w:r>
    </w:p>
    <w:p>
      <w:pPr>
        <w:pStyle w:val="65"/>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合同验收</w:t>
      </w:r>
    </w:p>
    <w:p>
      <w:pPr>
        <w:widowControl w:val="0"/>
        <w:numPr>
          <w:ilvl w:val="0"/>
          <w:numId w:val="3"/>
        </w:numPr>
        <w:adjustRightInd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pPr>
        <w:pStyle w:val="65"/>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组成合同的文件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pPr>
        <w:pStyle w:val="65"/>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合同生效</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合同份数</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pPr>
        <w:pStyle w:val="66"/>
        <w:spacing w:line="400" w:lineRule="exact"/>
        <w:rPr>
          <w:color w:val="auto"/>
          <w:highlight w:val="none"/>
        </w:rPr>
      </w:pPr>
    </w:p>
    <w:p>
      <w:pPr>
        <w:pStyle w:val="3"/>
        <w:spacing w:line="400" w:lineRule="exact"/>
        <w:rPr>
          <w:rFonts w:ascii="宋体" w:hAnsi="宋体"/>
          <w:b w:val="0"/>
          <w:bCs w:val="0"/>
          <w:color w:val="auto"/>
          <w:sz w:val="21"/>
          <w:szCs w:val="21"/>
          <w:highlight w:val="none"/>
        </w:rPr>
      </w:pPr>
      <w:r>
        <w:rPr>
          <w:color w:val="auto"/>
          <w:highlight w:val="none"/>
          <w:lang w:val="en"/>
        </w:rPr>
        <w:t xml:space="preserve">   </w:t>
      </w:r>
    </w:p>
    <w:p>
      <w:pPr>
        <w:rPr>
          <w:color w:val="auto"/>
          <w:highlight w:val="none"/>
        </w:rPr>
      </w:pPr>
      <w:r>
        <w:rPr>
          <w:rFonts w:hint="eastAsia"/>
          <w:color w:val="auto"/>
          <w:highlight w:val="none"/>
        </w:rPr>
        <w:br w:type="page"/>
      </w:r>
    </w:p>
    <w:p>
      <w:pPr>
        <w:pStyle w:val="66"/>
        <w:rPr>
          <w:color w:val="auto"/>
          <w:highlight w:val="none"/>
        </w:rPr>
      </w:pPr>
    </w:p>
    <w:tbl>
      <w:tblPr>
        <w:tblStyle w:val="20"/>
        <w:tblW w:w="945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0"/>
        <w:gridCol w:w="2716"/>
        <w:gridCol w:w="2228"/>
        <w:gridCol w:w="238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846" w:type="dxa"/>
            <w:gridSpan w:val="2"/>
            <w:tcBorders>
              <w:bottom w:val="single" w:color="auto" w:sz="2" w:space="0"/>
              <w:right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4611" w:type="dxa"/>
            <w:gridSpan w:val="2"/>
            <w:tcBorders>
              <w:left w:val="single" w:color="auto" w:sz="2" w:space="0"/>
              <w:bottom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2130" w:type="dxa"/>
            <w:vMerge w:val="restart"/>
            <w:tcBorders>
              <w:top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716"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vMerge w:val="continue"/>
            <w:tcBorders>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开户名称</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开户银行</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213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71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2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银行账号</w:t>
            </w:r>
          </w:p>
        </w:tc>
        <w:tc>
          <w:tcPr>
            <w:tcW w:w="2383"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9457" w:type="dxa"/>
            <w:gridSpan w:val="4"/>
            <w:tcBorders>
              <w:top w:val="single" w:color="auto" w:sz="2" w:space="0"/>
            </w:tcBorders>
            <w:vAlign w:val="center"/>
          </w:tcPr>
          <w:p>
            <w:pPr>
              <w:pStyle w:val="6"/>
              <w:adjustRightInd w:val="0"/>
              <w:spacing w:before="156" w:beforeLines="50" w:line="360" w:lineRule="auto"/>
              <w:jc w:val="left"/>
              <w:rPr>
                <w:color w:val="auto"/>
                <w:spacing w:val="20"/>
                <w:sz w:val="21"/>
                <w:szCs w:val="21"/>
                <w:highlight w:val="none"/>
              </w:rPr>
            </w:pPr>
            <w:r>
              <w:rPr>
                <w:rFonts w:hint="eastAsia" w:ascii="宋体" w:hAnsi="宋体"/>
                <w:color w:val="auto"/>
                <w:sz w:val="21"/>
                <w:szCs w:val="21"/>
                <w:highlight w:val="none"/>
              </w:rPr>
              <w:t>注：涉及联合体或其他合同主体的信息应按上表格式加列。</w:t>
            </w:r>
          </w:p>
        </w:tc>
      </w:tr>
    </w:tbl>
    <w:p>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51" w:name="_Toc27624"/>
      <w:bookmarkStart w:id="52" w:name="_Toc191287886"/>
      <w:bookmarkStart w:id="53" w:name="_Toc209083649"/>
      <w:r>
        <w:rPr>
          <w:rFonts w:hint="eastAsia" w:ascii="黑体" w:hAnsi="黑体" w:eastAsia="黑体"/>
          <w:b w:val="0"/>
          <w:bCs w:val="0"/>
          <w:color w:val="auto"/>
          <w:sz w:val="28"/>
          <w:szCs w:val="28"/>
          <w:highlight w:val="none"/>
        </w:rPr>
        <w:t>第二节 政府采购合同通用条款</w:t>
      </w:r>
      <w:bookmarkEnd w:id="51"/>
      <w:bookmarkEnd w:id="52"/>
      <w:bookmarkEnd w:id="53"/>
    </w:p>
    <w:p>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widowControl w:val="0"/>
        <w:numPr>
          <w:ilvl w:val="0"/>
          <w:numId w:val="4"/>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color w:val="auto"/>
          <w:sz w:val="24"/>
          <w:highlight w:val="none"/>
        </w:rPr>
        <w:t>合同标的及金额</w:t>
      </w:r>
    </w:p>
    <w:p>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pPr>
        <w:pStyle w:val="5"/>
        <w:spacing w:after="0" w:line="400" w:lineRule="exact"/>
        <w:ind w:firstLine="315" w:firstLineChars="15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pPr>
        <w:pStyle w:val="5"/>
        <w:spacing w:after="0" w:line="400" w:lineRule="exact"/>
        <w:ind w:firstLine="210" w:firstLineChars="1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pPr>
        <w:widowControl w:val="0"/>
        <w:numPr>
          <w:ilvl w:val="0"/>
          <w:numId w:val="5"/>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合同履行</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pPr>
        <w:pStyle w:val="65"/>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pPr>
        <w:pStyle w:val="7"/>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7"/>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54"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4"/>
      <w:r>
        <w:rPr>
          <w:rFonts w:hint="eastAsia" w:ascii="宋体" w:hAnsi="宋体"/>
          <w:color w:val="auto"/>
          <w:szCs w:val="21"/>
          <w:highlight w:val="none"/>
        </w:rPr>
        <w:t>。</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pPr>
        <w:pStyle w:val="3"/>
        <w:spacing w:line="400" w:lineRule="exact"/>
        <w:ind w:firstLine="420" w:firstLineChars="200"/>
        <w:rPr>
          <w:color w:val="auto"/>
          <w:highlight w:val="none"/>
        </w:rPr>
      </w:pPr>
      <w:bookmarkStart w:id="55" w:name="_Toc191287887"/>
      <w:bookmarkStart w:id="56" w:name="_Toc209083650"/>
      <w:r>
        <w:rPr>
          <w:rFonts w:hint="eastAsia" w:ascii="宋体" w:hAnsi="宋体"/>
          <w:b w:val="0"/>
          <w:bCs w:val="0"/>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bookmarkEnd w:id="55"/>
      <w:bookmarkEnd w:id="56"/>
    </w:p>
    <w:p>
      <w:pPr>
        <w:pStyle w:val="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65"/>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widowControl w:val="0"/>
        <w:numPr>
          <w:ilvl w:val="0"/>
          <w:numId w:val="6"/>
        </w:numPr>
        <w:autoSpaceDE w:val="0"/>
        <w:autoSpaceDN w:val="0"/>
        <w:adjustRightInd w:val="0"/>
        <w:snapToGrid w:val="0"/>
        <w:spacing w:line="400" w:lineRule="exact"/>
        <w:jc w:val="left"/>
        <w:textAlignment w:val="auto"/>
        <w:rPr>
          <w:rFonts w:ascii="宋体" w:hAnsi="宋体"/>
          <w:b/>
          <w:color w:val="auto"/>
          <w:sz w:val="24"/>
          <w:highlight w:val="none"/>
        </w:rPr>
      </w:pPr>
      <w:r>
        <w:rPr>
          <w:rFonts w:hint="eastAsia" w:ascii="宋体" w:hAnsi="宋体"/>
          <w:b/>
          <w:color w:val="auto"/>
          <w:sz w:val="24"/>
          <w:highlight w:val="none"/>
        </w:rPr>
        <w:t>合同变更、中止与终止</w:t>
      </w:r>
    </w:p>
    <w:p>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5"/>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pPr>
        <w:pStyle w:val="65"/>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pPr>
        <w:pStyle w:val="65"/>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pPr>
        <w:pStyle w:val="65"/>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65"/>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pPr>
        <w:widowControl w:val="0"/>
        <w:numPr>
          <w:ilvl w:val="0"/>
          <w:numId w:val="7"/>
        </w:numPr>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57" w:name="_Toc20313"/>
    </w:p>
    <w:p>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pPr>
        <w:pStyle w:val="3"/>
        <w:adjustRightInd w:val="0"/>
        <w:snapToGrid w:val="0"/>
        <w:jc w:val="center"/>
        <w:rPr>
          <w:rFonts w:ascii="黑体" w:hAnsi="华文中宋" w:eastAsia="黑体"/>
          <w:b w:val="0"/>
          <w:bCs w:val="0"/>
          <w:color w:val="auto"/>
          <w:sz w:val="28"/>
          <w:szCs w:val="28"/>
          <w:highlight w:val="none"/>
        </w:rPr>
      </w:pPr>
      <w:bookmarkStart w:id="58" w:name="_Toc209083651"/>
      <w:bookmarkStart w:id="59" w:name="_Toc191287888"/>
      <w:r>
        <w:rPr>
          <w:rFonts w:hint="eastAsia" w:ascii="黑体" w:hAnsi="华文中宋" w:eastAsia="黑体"/>
          <w:b w:val="0"/>
          <w:bCs w:val="0"/>
          <w:color w:val="auto"/>
          <w:sz w:val="28"/>
          <w:szCs w:val="28"/>
          <w:highlight w:val="none"/>
        </w:rPr>
        <w:t>第三节 政府采购合同专用条款</w:t>
      </w:r>
      <w:bookmarkEnd w:id="57"/>
      <w:bookmarkEnd w:id="58"/>
      <w:bookmarkEnd w:id="59"/>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ascii="宋体" w:hAnsi="宋体"/>
                <w:color w:val="auto"/>
                <w:szCs w:val="21"/>
                <w:highlight w:val="none"/>
              </w:rPr>
            </w:pP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pPr>
              <w:autoSpaceDE w:val="0"/>
              <w:autoSpaceDN w:val="0"/>
              <w:adjustRightInd w:val="0"/>
              <w:snapToGrid w:val="0"/>
              <w:ind w:firstLine="420" w:firstLineChars="20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pPr>
              <w:pStyle w:val="65"/>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pPr>
              <w:adjustRightInd w:val="0"/>
              <w:snapToGrid w:val="0"/>
              <w:jc w:val="left"/>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pPr>
              <w:adjustRightInd w:val="0"/>
              <w:snapToGrid w:val="0"/>
              <w:jc w:val="left"/>
              <w:rPr>
                <w:rFonts w:ascii="宋体" w:hAnsi="宋体"/>
                <w:color w:val="auto"/>
                <w:szCs w:val="21"/>
                <w:highlight w:val="none"/>
              </w:rPr>
            </w:pPr>
          </w:p>
        </w:tc>
      </w:tr>
    </w:tbl>
    <w:p>
      <w:pPr>
        <w:rPr>
          <w:color w:val="auto"/>
          <w:highlight w:val="none"/>
        </w:rPr>
      </w:pPr>
    </w:p>
    <w:p>
      <w:pPr>
        <w:rPr>
          <w:color w:val="auto"/>
          <w:highlight w:val="none"/>
        </w:rPr>
      </w:pPr>
    </w:p>
    <w:p>
      <w:pPr>
        <w:spacing w:line="240" w:lineRule="auto"/>
        <w:jc w:val="left"/>
        <w:textAlignment w:val="auto"/>
        <w:rPr>
          <w:rFonts w:ascii="宋体"/>
          <w:b/>
          <w:color w:val="auto"/>
          <w:sz w:val="36"/>
          <w:szCs w:val="36"/>
          <w:highlight w:val="none"/>
          <w:lang w:val="zh-CN"/>
        </w:rPr>
      </w:pPr>
      <w:r>
        <w:rPr>
          <w:rFonts w:ascii="宋体"/>
          <w:b/>
          <w:color w:val="auto"/>
          <w:sz w:val="36"/>
          <w:szCs w:val="36"/>
          <w:highlight w:val="none"/>
          <w:lang w:val="zh-CN"/>
        </w:rPr>
        <w:br w:type="page"/>
      </w:r>
    </w:p>
    <w:p>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60" w:name="_Toc209083652"/>
      <w:r>
        <w:rPr>
          <w:rFonts w:hint="eastAsia" w:ascii="黑体" w:hAnsi="黑体" w:eastAsia="黑体"/>
          <w:b/>
          <w:color w:val="auto"/>
          <w:sz w:val="36"/>
          <w:szCs w:val="36"/>
          <w:highlight w:val="none"/>
          <w:lang w:val="zh-CN"/>
        </w:rPr>
        <w:t>第六章 投标文件格式</w:t>
      </w:r>
      <w:bookmarkEnd w:id="60"/>
    </w:p>
    <w:p>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pPr>
        <w:autoSpaceDE w:val="0"/>
        <w:autoSpaceDN w:val="0"/>
        <w:adjustRightInd w:val="0"/>
        <w:spacing w:line="276" w:lineRule="auto"/>
        <w:ind w:firstLine="882" w:firstLineChars="245"/>
        <w:jc w:val="left"/>
        <w:rPr>
          <w:rFonts w:ascii="宋体"/>
          <w:color w:val="auto"/>
          <w:sz w:val="36"/>
          <w:szCs w:val="36"/>
          <w:highlight w:val="none"/>
          <w:lang w:val="zh-CN"/>
        </w:rPr>
      </w:pPr>
    </w:p>
    <w:p>
      <w:pPr>
        <w:autoSpaceDE w:val="0"/>
        <w:autoSpaceDN w:val="0"/>
        <w:adjustRightInd w:val="0"/>
        <w:spacing w:line="360" w:lineRule="auto"/>
        <w:ind w:right="-817"/>
        <w:rPr>
          <w:rFonts w:ascii="宋体"/>
          <w:color w:val="auto"/>
          <w:sz w:val="24"/>
          <w:highlight w:val="none"/>
          <w:u w:val="single"/>
        </w:rPr>
      </w:pPr>
    </w:p>
    <w:p>
      <w:pPr>
        <w:autoSpaceDE w:val="0"/>
        <w:autoSpaceDN w:val="0"/>
        <w:adjustRightInd w:val="0"/>
        <w:spacing w:line="360" w:lineRule="auto"/>
        <w:ind w:firstLine="480" w:firstLineChars="200"/>
        <w:jc w:val="left"/>
        <w:rPr>
          <w:rFonts w:ascii="宋体"/>
          <w:color w:val="auto"/>
          <w:sz w:val="24"/>
          <w:highlight w:val="none"/>
          <w:u w:val="single"/>
        </w:rPr>
      </w:pPr>
    </w:p>
    <w:p>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r>
        <w:rPr>
          <w:rFonts w:ascii="宋体" w:hAnsi="宋体"/>
          <w:color w:val="auto"/>
          <w:sz w:val="44"/>
          <w:szCs w:val="44"/>
          <w:highlight w:val="none"/>
          <w:u w:val="single"/>
        </w:rPr>
        <w:t xml:space="preserve">                                 </w:t>
      </w:r>
    </w:p>
    <w:p>
      <w:pPr>
        <w:autoSpaceDE w:val="0"/>
        <w:autoSpaceDN w:val="0"/>
        <w:adjustRightInd w:val="0"/>
        <w:spacing w:line="360" w:lineRule="auto"/>
        <w:jc w:val="left"/>
        <w:rPr>
          <w:rFonts w:ascii="宋体"/>
          <w:color w:val="auto"/>
          <w:sz w:val="24"/>
          <w:highlight w:val="none"/>
        </w:rPr>
      </w:pPr>
      <w:r>
        <w:rPr>
          <w:rFonts w:hint="eastAsia" w:ascii="宋体" w:hAnsi="宋体"/>
          <w:color w:val="auto"/>
          <w:sz w:val="44"/>
          <w:szCs w:val="44"/>
          <w:highlight w:val="none"/>
        </w:rPr>
        <w:t>项目编号：</w:t>
      </w:r>
      <w:r>
        <w:rPr>
          <w:rFonts w:ascii="宋体" w:hAnsi="宋体"/>
          <w:color w:val="auto"/>
          <w:sz w:val="44"/>
          <w:szCs w:val="44"/>
          <w:highlight w:val="none"/>
          <w:u w:val="single"/>
        </w:rPr>
        <w:t xml:space="preserve">                                 </w:t>
      </w:r>
    </w:p>
    <w:p>
      <w:pPr>
        <w:autoSpaceDE w:val="0"/>
        <w:autoSpaceDN w:val="0"/>
        <w:adjustRightInd w:val="0"/>
        <w:spacing w:line="360" w:lineRule="auto"/>
        <w:jc w:val="center"/>
        <w:rPr>
          <w:rFonts w:ascii="黑体" w:hAnsi="黑体" w:eastAsia="黑体"/>
          <w:b/>
          <w:color w:val="auto"/>
          <w:spacing w:val="60"/>
          <w:sz w:val="84"/>
          <w:szCs w:val="84"/>
          <w:highlight w:val="none"/>
        </w:rPr>
      </w:pPr>
    </w:p>
    <w:p>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投</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件</w:t>
      </w:r>
    </w:p>
    <w:p>
      <w:pPr>
        <w:autoSpaceDE w:val="0"/>
        <w:autoSpaceDN w:val="0"/>
        <w:adjustRightInd w:val="0"/>
        <w:spacing w:line="360" w:lineRule="auto"/>
        <w:jc w:val="center"/>
        <w:rPr>
          <w:rFonts w:ascii="宋体"/>
          <w:color w:val="auto"/>
          <w:sz w:val="24"/>
          <w:highlight w:val="none"/>
        </w:rPr>
      </w:pPr>
    </w:p>
    <w:p>
      <w:pPr>
        <w:autoSpaceDE w:val="0"/>
        <w:autoSpaceDN w:val="0"/>
        <w:adjustRightInd w:val="0"/>
        <w:spacing w:line="360" w:lineRule="auto"/>
        <w:jc w:val="center"/>
        <w:rPr>
          <w:rFonts w:ascii="宋体"/>
          <w:color w:val="auto"/>
          <w:sz w:val="24"/>
          <w:highlight w:val="none"/>
        </w:rPr>
      </w:pPr>
    </w:p>
    <w:p>
      <w:pPr>
        <w:autoSpaceDE w:val="0"/>
        <w:autoSpaceDN w:val="0"/>
        <w:adjustRightInd w:val="0"/>
        <w:spacing w:line="360" w:lineRule="auto"/>
        <w:jc w:val="center"/>
        <w:rPr>
          <w:rFonts w:ascii="宋体"/>
          <w:color w:val="auto"/>
          <w:sz w:val="24"/>
          <w:highlight w:val="none"/>
        </w:rPr>
      </w:pPr>
    </w:p>
    <w:p>
      <w:pPr>
        <w:autoSpaceDE w:val="0"/>
        <w:autoSpaceDN w:val="0"/>
        <w:adjustRightInd w:val="0"/>
        <w:spacing w:line="360" w:lineRule="auto"/>
        <w:jc w:val="center"/>
        <w:rPr>
          <w:rFonts w:ascii="宋体"/>
          <w:color w:val="auto"/>
          <w:sz w:val="24"/>
          <w:highlight w:val="none"/>
        </w:rPr>
      </w:pPr>
    </w:p>
    <w:p>
      <w:pPr>
        <w:pStyle w:val="48"/>
        <w:spacing w:line="360" w:lineRule="auto"/>
        <w:rPr>
          <w:rFonts w:hAnsi="宋体"/>
          <w:color w:val="auto"/>
          <w:szCs w:val="24"/>
          <w:highlight w:val="none"/>
          <w:u w:val="single"/>
        </w:rPr>
      </w:pPr>
    </w:p>
    <w:p>
      <w:pPr>
        <w:pStyle w:val="48"/>
        <w:spacing w:line="360" w:lineRule="auto"/>
        <w:jc w:val="both"/>
        <w:rPr>
          <w:rFonts w:hAnsi="宋体"/>
          <w:color w:val="auto"/>
          <w:sz w:val="28"/>
          <w:szCs w:val="28"/>
          <w:highlight w:val="none"/>
          <w:u w:val="single"/>
        </w:rPr>
      </w:pPr>
      <w:r>
        <w:rPr>
          <w:rFonts w:hAnsi="宋体"/>
          <w:color w:val="auto"/>
          <w:sz w:val="28"/>
          <w:szCs w:val="28"/>
          <w:highlight w:val="none"/>
        </w:rPr>
        <w:t xml:space="preserve">  </w:t>
      </w:r>
      <w:r>
        <w:rPr>
          <w:rFonts w:hint="eastAsia" w:hAnsi="宋体"/>
          <w:color w:val="auto"/>
          <w:sz w:val="28"/>
          <w:szCs w:val="28"/>
          <w:highlight w:val="none"/>
        </w:rPr>
        <w:t>投标人（</w:t>
      </w:r>
      <w:r>
        <w:rPr>
          <w:rFonts w:hint="eastAsia"/>
          <w:color w:val="auto"/>
          <w:szCs w:val="24"/>
          <w:highlight w:val="none"/>
        </w:rPr>
        <w:t>电子签</w:t>
      </w:r>
      <w:r>
        <w:rPr>
          <w:rFonts w:hint="eastAsia" w:hAnsi="宋体"/>
          <w:color w:val="auto"/>
          <w:szCs w:val="24"/>
          <w:highlight w:val="none"/>
        </w:rPr>
        <w:t>章</w:t>
      </w:r>
      <w:r>
        <w:rPr>
          <w:rFonts w:hint="eastAsia" w:hAnsi="宋体"/>
          <w:color w:val="auto"/>
          <w:sz w:val="28"/>
          <w:szCs w:val="28"/>
          <w:highlight w:val="none"/>
        </w:rPr>
        <w:t>）：</w:t>
      </w:r>
      <w:r>
        <w:rPr>
          <w:rFonts w:hAnsi="宋体"/>
          <w:color w:val="auto"/>
          <w:sz w:val="28"/>
          <w:szCs w:val="28"/>
          <w:highlight w:val="none"/>
          <w:u w:val="single"/>
        </w:rPr>
        <w:t xml:space="preserve">                                       </w:t>
      </w:r>
    </w:p>
    <w:p>
      <w:pPr>
        <w:pStyle w:val="48"/>
        <w:spacing w:line="360" w:lineRule="auto"/>
        <w:ind w:firstLine="280" w:firstLineChars="100"/>
        <w:rPr>
          <w:rFonts w:hAnsi="宋体"/>
          <w:color w:val="auto"/>
          <w:sz w:val="28"/>
          <w:szCs w:val="28"/>
          <w:highlight w:val="none"/>
        </w:rPr>
      </w:pPr>
    </w:p>
    <w:p>
      <w:pPr>
        <w:pStyle w:val="48"/>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r>
        <w:rPr>
          <w:rFonts w:hAnsi="宋体"/>
          <w:color w:val="auto"/>
          <w:sz w:val="28"/>
          <w:szCs w:val="28"/>
          <w:highlight w:val="none"/>
          <w:u w:val="single"/>
        </w:rPr>
        <w:t xml:space="preserve">                                    </w:t>
      </w:r>
    </w:p>
    <w:p>
      <w:pPr>
        <w:pStyle w:val="48"/>
        <w:spacing w:line="360" w:lineRule="auto"/>
        <w:jc w:val="center"/>
        <w:rPr>
          <w:rFonts w:hAnsi="宋体"/>
          <w:color w:val="auto"/>
          <w:sz w:val="28"/>
          <w:szCs w:val="28"/>
          <w:highlight w:val="none"/>
        </w:rPr>
      </w:pPr>
    </w:p>
    <w:p>
      <w:pPr>
        <w:pStyle w:val="48"/>
        <w:spacing w:line="360" w:lineRule="auto"/>
        <w:jc w:val="both"/>
        <w:rPr>
          <w:rFonts w:hAnsi="宋体"/>
          <w:color w:val="auto"/>
          <w:sz w:val="28"/>
          <w:szCs w:val="28"/>
          <w:highlight w:val="none"/>
        </w:rPr>
      </w:pPr>
    </w:p>
    <w:p>
      <w:pPr>
        <w:widowControl w:val="0"/>
        <w:tabs>
          <w:tab w:val="left" w:pos="9365"/>
        </w:tabs>
        <w:snapToGrid w:val="0"/>
        <w:spacing w:before="56" w:after="56" w:line="560" w:lineRule="atLeast"/>
        <w:jc w:val="left"/>
        <w:textAlignment w:val="top"/>
        <w:rPr>
          <w:color w:val="auto"/>
          <w:sz w:val="28"/>
          <w:highlight w:val="none"/>
        </w:rPr>
      </w:pPr>
      <w:r>
        <w:rPr>
          <w:rFonts w:ascii="宋体" w:cs="楷体_GB2312"/>
          <w:b/>
          <w:bCs/>
          <w:color w:val="auto"/>
          <w:sz w:val="44"/>
          <w:szCs w:val="44"/>
          <w:highlight w:val="none"/>
          <w:lang w:val="zh-CN"/>
        </w:rPr>
        <w:br w:type="page"/>
      </w:r>
      <w:bookmarkStart w:id="61" w:name="OLE_LINK35"/>
      <w:bookmarkStart w:id="62" w:name="OLE_LINK10"/>
    </w:p>
    <w:p>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61"/>
    </w:p>
    <w:bookmarkEnd w:id="62"/>
    <w:p>
      <w:pPr>
        <w:widowControl w:val="0"/>
        <w:snapToGrid w:val="0"/>
        <w:spacing w:line="560" w:lineRule="exact"/>
        <w:rPr>
          <w:color w:val="auto"/>
          <w:sz w:val="28"/>
          <w:highlight w:val="none"/>
        </w:rPr>
      </w:pPr>
    </w:p>
    <w:p>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根据贵方竞争性谈判采购</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的谈判文件（项目编号：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）投标书。</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ascii="宋体" w:hAnsi="宋体"/>
          <w:color w:val="auto"/>
          <w:sz w:val="24"/>
          <w:highlight w:val="none"/>
        </w:rPr>
        <w:t>投标报价明细表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ascii="宋体" w:hAnsi="宋体"/>
          <w:color w:val="auto"/>
          <w:sz w:val="24"/>
          <w:highlight w:val="none"/>
        </w:rPr>
        <w:t>投标产品清单及其技术参数，安装调试方案</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）技术偏差表。</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ascii="宋体" w:hAnsi="宋体"/>
          <w:color w:val="auto"/>
          <w:sz w:val="24"/>
          <w:highlight w:val="none"/>
        </w:rPr>
        <w:t>其他偏差表</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ascii="宋体" w:hAnsi="宋体"/>
          <w:color w:val="auto"/>
          <w:sz w:val="24"/>
          <w:highlight w:val="none"/>
        </w:rPr>
        <w:t>售后服务计划</w:t>
      </w:r>
    </w:p>
    <w:p>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ascii="宋体" w:hAnsi="宋体"/>
          <w:color w:val="auto"/>
          <w:sz w:val="24"/>
          <w:highlight w:val="none"/>
        </w:rPr>
        <w:t>关于资格的声明函</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ascii="宋体" w:hAnsi="宋体"/>
          <w:color w:val="auto"/>
          <w:sz w:val="24"/>
          <w:highlight w:val="none"/>
        </w:rPr>
        <w:t>反商业贿赂承诺书。</w:t>
      </w:r>
    </w:p>
    <w:p>
      <w:pPr>
        <w:adjustRightInd w:val="0"/>
        <w:snapToGrid w:val="0"/>
        <w:spacing w:line="300" w:lineRule="auto"/>
        <w:ind w:firstLine="539"/>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ascii="宋体" w:hAnsi="宋体"/>
          <w:color w:val="auto"/>
          <w:sz w:val="24"/>
          <w:highlight w:val="none"/>
        </w:rPr>
        <w:t>履约承诺书。</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）资格要求相关证件材料及证明材料</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）采购项目及技术服务要求所需的其他材料</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13</w:t>
      </w:r>
      <w:r>
        <w:rPr>
          <w:rFonts w:hint="eastAsia" w:ascii="宋体" w:hAnsi="宋体"/>
          <w:color w:val="auto"/>
          <w:sz w:val="24"/>
          <w:highlight w:val="none"/>
        </w:rPr>
        <w:t>）投标人须知所需的其他材料</w:t>
      </w:r>
    </w:p>
    <w:p>
      <w:pPr>
        <w:widowControl w:val="0"/>
        <w:adjustRightInd w:val="0"/>
        <w:snapToGrid w:val="0"/>
        <w:spacing w:line="300" w:lineRule="auto"/>
        <w:ind w:firstLine="539"/>
        <w:textAlignment w:val="top"/>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14</w:t>
      </w:r>
      <w:r>
        <w:rPr>
          <w:rFonts w:hint="eastAsia" w:ascii="宋体" w:hAnsi="宋体"/>
          <w:color w:val="auto"/>
          <w:sz w:val="24"/>
          <w:highlight w:val="none"/>
        </w:rPr>
        <w:t>）评审办法所需的其他材料</w:t>
      </w:r>
    </w:p>
    <w:p>
      <w:pPr>
        <w:widowControl w:val="0"/>
        <w:adjustRightInd w:val="0"/>
        <w:snapToGrid w:val="0"/>
        <w:spacing w:line="300" w:lineRule="auto"/>
        <w:ind w:firstLine="720" w:firstLineChars="300"/>
        <w:textAlignment w:val="top"/>
        <w:rPr>
          <w:rFonts w:ascii="宋体" w:hAnsi="宋体"/>
          <w:color w:val="auto"/>
          <w:sz w:val="24"/>
          <w:highlight w:val="none"/>
        </w:rPr>
      </w:pPr>
      <w:r>
        <w:rPr>
          <w:rFonts w:hint="eastAsia" w:ascii="宋体" w:hAnsi="宋体"/>
          <w:color w:val="auto"/>
          <w:sz w:val="24"/>
          <w:highlight w:val="none"/>
        </w:rPr>
        <w:t>14-1. 其它材料</w:t>
      </w:r>
    </w:p>
    <w:p>
      <w:pPr>
        <w:widowControl w:val="0"/>
        <w:adjustRightInd w:val="0"/>
        <w:snapToGrid w:val="0"/>
        <w:spacing w:line="300" w:lineRule="auto"/>
        <w:ind w:firstLine="720" w:firstLineChars="300"/>
        <w:textAlignment w:val="top"/>
        <w:rPr>
          <w:rFonts w:ascii="宋体" w:hAnsi="宋体"/>
          <w:color w:val="auto"/>
          <w:sz w:val="24"/>
          <w:highlight w:val="none"/>
        </w:rPr>
      </w:pPr>
      <w:r>
        <w:rPr>
          <w:rFonts w:hint="eastAsia" w:ascii="宋体" w:hAnsi="宋体"/>
          <w:color w:val="auto"/>
          <w:sz w:val="24"/>
          <w:highlight w:val="none"/>
        </w:rPr>
        <w:t>14-2.附件（如需）：关于台式计算机、便携式计算机、一体式计算机、工作站、通用服务器、操作系统、数据库的投标要求、评审注意事项、承诺函。</w:t>
      </w:r>
    </w:p>
    <w:p>
      <w:pPr>
        <w:adjustRightInd w:val="0"/>
        <w:snapToGrid w:val="0"/>
        <w:spacing w:line="300" w:lineRule="auto"/>
        <w:ind w:firstLine="657" w:firstLineChars="274"/>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14-3附件：证明材料查询核验工作的清单及要求</w:t>
      </w:r>
    </w:p>
    <w:p>
      <w:pPr>
        <w:autoSpaceDE w:val="0"/>
        <w:autoSpaceDN w:val="0"/>
        <w:adjustRightInd w:val="0"/>
        <w:snapToGrid w:val="0"/>
        <w:spacing w:line="300" w:lineRule="auto"/>
        <w:ind w:firstLine="520" w:firstLineChars="217"/>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pPr>
        <w:widowControl w:val="0"/>
        <w:snapToGrid w:val="0"/>
        <w:spacing w:line="560" w:lineRule="exact"/>
        <w:ind w:firstLine="555"/>
        <w:rPr>
          <w:rFonts w:ascii="宋体" w:hAnsi="宋体"/>
          <w:color w:val="auto"/>
          <w:sz w:val="24"/>
          <w:szCs w:val="24"/>
          <w:highlight w:val="none"/>
        </w:rPr>
      </w:pPr>
      <w:r>
        <w:rPr>
          <w:rFonts w:ascii="宋体" w:hAnsi="宋体"/>
          <w:color w:val="auto"/>
          <w:sz w:val="24"/>
          <w:szCs w:val="24"/>
          <w:highlight w:val="none"/>
        </w:rPr>
        <w:t>.........</w:t>
      </w:r>
    </w:p>
    <w:p>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据此函，签字代表宣布同意如下：</w:t>
      </w:r>
    </w:p>
    <w:p>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所附开标一览表中规定的应提供和交付的投标总价为：人民币</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olor w:val="auto"/>
          <w:sz w:val="24"/>
          <w:szCs w:val="24"/>
          <w:highlight w:val="none"/>
        </w:rPr>
        <w:t>（文字表述）</w:t>
      </w:r>
      <w:r>
        <w:rPr>
          <w:rFonts w:hint="eastAsia"/>
          <w:color w:val="auto"/>
          <w:sz w:val="24"/>
          <w:szCs w:val="24"/>
          <w:highlight w:val="none"/>
        </w:rPr>
        <w:t>交验期：</w:t>
      </w:r>
      <w:r>
        <w:rPr>
          <w:rFonts w:hint="eastAsia"/>
          <w:color w:val="auto"/>
          <w:sz w:val="24"/>
          <w:szCs w:val="24"/>
          <w:highlight w:val="none"/>
          <w:u w:val="single"/>
        </w:rPr>
        <w:t xml:space="preserve">             </w:t>
      </w:r>
      <w:r>
        <w:rPr>
          <w:rFonts w:hint="eastAsia"/>
          <w:color w:val="auto"/>
          <w:sz w:val="24"/>
          <w:szCs w:val="24"/>
          <w:highlight w:val="none"/>
        </w:rPr>
        <w:t>，交验地点：</w:t>
      </w:r>
      <w:r>
        <w:rPr>
          <w:rFonts w:hint="eastAsia"/>
          <w:color w:val="auto"/>
          <w:sz w:val="24"/>
          <w:szCs w:val="24"/>
          <w:highlight w:val="none"/>
          <w:u w:val="single"/>
        </w:rPr>
        <w:t xml:space="preserve">               </w:t>
      </w:r>
      <w:r>
        <w:rPr>
          <w:rFonts w:hint="eastAsia"/>
          <w:color w:val="auto"/>
          <w:sz w:val="24"/>
          <w:szCs w:val="24"/>
          <w:highlight w:val="none"/>
        </w:rPr>
        <w:t>。</w:t>
      </w:r>
    </w:p>
    <w:p>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如果我单位的投标书被接受，我单位将履行谈判文件中规定的每一项要求，按期、按质、按量履行合同。</w:t>
      </w:r>
    </w:p>
    <w:p>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3. </w:t>
      </w:r>
      <w:r>
        <w:rPr>
          <w:rFonts w:hint="eastAsia" w:ascii="宋体" w:hAnsi="宋体"/>
          <w:color w:val="auto"/>
          <w:sz w:val="24"/>
          <w:szCs w:val="24"/>
          <w:highlight w:val="none"/>
        </w:rPr>
        <w:t>我单位愿按《中华人民共和国民法典》履行我单位的全部责任。</w:t>
      </w:r>
    </w:p>
    <w:p>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 xml:space="preserve">4. </w:t>
      </w:r>
      <w:r>
        <w:rPr>
          <w:rFonts w:hint="eastAsia" w:ascii="宋体" w:hAnsi="宋体"/>
          <w:color w:val="auto"/>
          <w:sz w:val="24"/>
          <w:szCs w:val="24"/>
          <w:highlight w:val="none"/>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pPr>
        <w:widowControl w:val="0"/>
        <w:snapToGrid w:val="0"/>
        <w:spacing w:before="156" w:beforeLines="50" w:line="300" w:lineRule="auto"/>
        <w:ind w:firstLine="556"/>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本投标自开标日起有效期为</w:t>
      </w:r>
      <w:r>
        <w:rPr>
          <w:rFonts w:ascii="宋体" w:hAnsi="宋体"/>
          <w:color w:val="auto"/>
          <w:sz w:val="24"/>
          <w:szCs w:val="24"/>
          <w:highlight w:val="none"/>
        </w:rPr>
        <w:t>90</w:t>
      </w:r>
      <w:r>
        <w:rPr>
          <w:rFonts w:hint="eastAsia" w:ascii="宋体" w:hAnsi="宋体"/>
          <w:color w:val="auto"/>
          <w:sz w:val="24"/>
          <w:szCs w:val="24"/>
          <w:highlight w:val="none"/>
        </w:rPr>
        <w:t>日历天。</w:t>
      </w:r>
    </w:p>
    <w:p>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6.我单位承诺按照《谈判文件》规定的付款方式执行。</w:t>
      </w:r>
    </w:p>
    <w:p>
      <w:pPr>
        <w:widowControl w:val="0"/>
        <w:snapToGrid w:val="0"/>
        <w:spacing w:before="156" w:beforeLines="50" w:line="300" w:lineRule="auto"/>
        <w:ind w:firstLine="556"/>
        <w:rPr>
          <w:rFonts w:ascii="宋体" w:hAnsi="宋体"/>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谈判</w:t>
      </w:r>
      <w:r>
        <w:rPr>
          <w:rFonts w:hint="eastAsia"/>
          <w:color w:val="auto"/>
          <w:sz w:val="24"/>
          <w:szCs w:val="24"/>
          <w:highlight w:val="none"/>
        </w:rPr>
        <w:t>文件“第三章3.5.5 违背承诺的责任追究措施”，我单位承担相应法律责任及违约责任。</w:t>
      </w:r>
    </w:p>
    <w:p>
      <w:pPr>
        <w:widowControl w:val="0"/>
        <w:snapToGrid w:val="0"/>
        <w:spacing w:before="156" w:beforeLines="50" w:line="300" w:lineRule="auto"/>
        <w:ind w:firstLine="556"/>
        <w:rPr>
          <w:rFonts w:ascii="宋体" w:hAns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 xml:space="preserve">. </w:t>
      </w:r>
      <w:r>
        <w:rPr>
          <w:rFonts w:hint="eastAsia" w:ascii="宋体" w:hAnsi="宋体"/>
          <w:color w:val="auto"/>
          <w:sz w:val="24"/>
          <w:szCs w:val="24"/>
          <w:highlight w:val="none"/>
        </w:rPr>
        <w:t>我单位同意提供按照贵方可能要求的与投标有关的一切数据或资料，理解贵方不一定要接受最低价的投标或收到的任何投标。</w:t>
      </w:r>
    </w:p>
    <w:p>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与本投标有关的一切正式往来请寄：</w:t>
      </w:r>
    </w:p>
    <w:p>
      <w:pPr>
        <w:widowControl w:val="0"/>
        <w:snapToGrid w:val="0"/>
        <w:spacing w:line="560" w:lineRule="exact"/>
        <w:ind w:firstLine="555"/>
        <w:jc w:val="left"/>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邮政编码：</w:t>
      </w:r>
      <w:r>
        <w:rPr>
          <w:rFonts w:ascii="宋体" w:hAnsi="宋体"/>
          <w:color w:val="auto"/>
          <w:sz w:val="24"/>
          <w:szCs w:val="24"/>
          <w:highlight w:val="none"/>
        </w:rPr>
        <w:tab/>
      </w:r>
    </w:p>
    <w:p>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ab/>
      </w:r>
      <w:r>
        <w:rPr>
          <w:rFonts w:ascii="宋体" w:hAnsi="宋体"/>
          <w:color w:val="auto"/>
          <w:sz w:val="24"/>
          <w:szCs w:val="24"/>
          <w:highlight w:val="none"/>
        </w:rPr>
        <w:tab/>
      </w:r>
      <w:r>
        <w:rPr>
          <w:rFonts w:hint="eastAsia" w:ascii="宋体" w:hAnsi="宋体"/>
          <w:color w:val="auto"/>
          <w:sz w:val="24"/>
          <w:szCs w:val="24"/>
          <w:highlight w:val="none"/>
        </w:rPr>
        <w:t>传真：</w:t>
      </w:r>
    </w:p>
    <w:p>
      <w:pPr>
        <w:widowControl w:val="0"/>
        <w:snapToGrid w:val="0"/>
        <w:spacing w:line="560" w:lineRule="exact"/>
        <w:ind w:firstLine="555"/>
        <w:rPr>
          <w:rFonts w:ascii="宋体" w:hAnsi="宋体"/>
          <w:color w:val="auto"/>
          <w:sz w:val="24"/>
          <w:szCs w:val="24"/>
          <w:highlight w:val="none"/>
        </w:rPr>
      </w:pPr>
    </w:p>
    <w:p>
      <w:pPr>
        <w:widowControl w:val="0"/>
        <w:snapToGrid w:val="0"/>
        <w:spacing w:line="560" w:lineRule="exact"/>
        <w:ind w:firstLine="555"/>
        <w:rPr>
          <w:rFonts w:ascii="宋体" w:hAnsi="宋体"/>
          <w:color w:val="auto"/>
          <w:sz w:val="24"/>
          <w:szCs w:val="24"/>
          <w:highlight w:val="none"/>
        </w:rPr>
      </w:pPr>
    </w:p>
    <w:p>
      <w:pPr>
        <w:widowControl w:val="0"/>
        <w:snapToGrid w:val="0"/>
        <w:spacing w:line="560" w:lineRule="exact"/>
        <w:ind w:firstLine="555"/>
        <w:rPr>
          <w:rFonts w:ascii="宋体" w:hAnsi="宋体"/>
          <w:color w:val="auto"/>
          <w:sz w:val="24"/>
          <w:szCs w:val="24"/>
          <w:highlight w:val="none"/>
        </w:rPr>
      </w:pPr>
    </w:p>
    <w:p>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pPr>
        <w:autoSpaceDE w:val="0"/>
        <w:autoSpaceDN w:val="0"/>
        <w:adjustRightInd w:val="0"/>
        <w:spacing w:line="360" w:lineRule="auto"/>
        <w:ind w:right="-817"/>
        <w:rPr>
          <w:rFonts w:ascii="宋体" w:hAns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pacing w:line="240" w:lineRule="auto"/>
        <w:jc w:val="left"/>
        <w:textAlignment w:val="auto"/>
        <w:rPr>
          <w:rFonts w:ascii="宋体" w:hAnsi="宋体"/>
          <w:color w:val="auto"/>
          <w:sz w:val="24"/>
          <w:szCs w:val="24"/>
          <w:highlight w:val="none"/>
        </w:rPr>
      </w:pPr>
      <w:r>
        <w:rPr>
          <w:rFonts w:ascii="宋体" w:hAnsi="宋体"/>
          <w:color w:val="auto"/>
          <w:sz w:val="24"/>
          <w:szCs w:val="24"/>
          <w:highlight w:val="none"/>
        </w:rPr>
        <w:br w:type="page"/>
      </w:r>
    </w:p>
    <w:p>
      <w:pPr>
        <w:widowControl w:val="0"/>
        <w:snapToGrid w:val="0"/>
        <w:spacing w:line="560" w:lineRule="exact"/>
        <w:jc w:val="center"/>
        <w:rPr>
          <w:rFonts w:eastAsia="方正黑体简体"/>
          <w:b/>
          <w:color w:val="auto"/>
          <w:sz w:val="30"/>
          <w:szCs w:val="30"/>
          <w:highlight w:val="none"/>
        </w:rPr>
      </w:pPr>
      <w:r>
        <w:rPr>
          <w:rFonts w:hint="eastAsia" w:ascii="黑体" w:hAnsi="黑体" w:eastAsia="黑体"/>
          <w:b/>
          <w:color w:val="auto"/>
          <w:sz w:val="30"/>
          <w:szCs w:val="30"/>
          <w:highlight w:val="none"/>
        </w:rPr>
        <w:t>二、</w:t>
      </w:r>
      <w:r>
        <w:rPr>
          <w:rFonts w:hint="eastAsia" w:eastAsia="方正黑体简体"/>
          <w:b/>
          <w:color w:val="auto"/>
          <w:sz w:val="30"/>
          <w:szCs w:val="30"/>
          <w:highlight w:val="none"/>
        </w:rPr>
        <w:t>开标一览表</w:t>
      </w:r>
      <w:r>
        <w:rPr>
          <w:rFonts w:hint="eastAsia" w:ascii="宋体" w:hAnsi="宋体"/>
          <w:b/>
          <w:color w:val="auto"/>
          <w:sz w:val="24"/>
          <w:szCs w:val="24"/>
          <w:highlight w:val="none"/>
        </w:rPr>
        <w:t>（即交易系统中报价一览表）</w:t>
      </w:r>
    </w:p>
    <w:p>
      <w:pPr>
        <w:pStyle w:val="15"/>
        <w:adjustRightInd w:val="0"/>
        <w:snapToGrid w:val="0"/>
        <w:spacing w:before="0" w:beforeAutospacing="0" w:after="0" w:afterAutospacing="0"/>
        <w:rPr>
          <w:color w:val="auto"/>
          <w:highlight w:val="none"/>
        </w:rPr>
      </w:pPr>
    </w:p>
    <w:p>
      <w:pPr>
        <w:widowControl w:val="0"/>
        <w:snapToGrid w:val="0"/>
        <w:spacing w:before="156"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、投标人需在安阳市公共资源电子交易平台投标文件制作工具中、按系统要求填列报价一览表（即开标一览表），系统中填列的报价一览表（即开标一览表）为投标人《投标文件》的一部分。</w:t>
      </w:r>
    </w:p>
    <w:p>
      <w:pPr>
        <w:widowControl w:val="0"/>
        <w:snapToGrid w:val="0"/>
        <w:spacing w:before="156"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、投标人的投标报价（价格构成）应包括谈判文件所述投标报价的所有内容。</w:t>
      </w:r>
    </w:p>
    <w:p>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、投标人可对谈判文件中所列的所有标段（包）进行分别投标，也可选择其中一个标段（包）或几个标段（包）投标，但不得将谈判文件规定的同一标段（包）的内容拆开投标，否则将按无效投标处理。</w:t>
      </w:r>
    </w:p>
    <w:p>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pPr>
        <w:widowControl w:val="0"/>
        <w:snapToGrid w:val="0"/>
        <w:spacing w:line="360" w:lineRule="auto"/>
        <w:textAlignment w:val="top"/>
        <w:rPr>
          <w:b/>
          <w:color w:val="auto"/>
          <w:sz w:val="24"/>
          <w:szCs w:val="24"/>
          <w:highlight w:val="none"/>
        </w:rPr>
      </w:pPr>
    </w:p>
    <w:p>
      <w:pPr>
        <w:widowControl w:val="0"/>
        <w:snapToGrid w:val="0"/>
        <w:spacing w:line="360" w:lineRule="auto"/>
        <w:textAlignment w:val="top"/>
        <w:rPr>
          <w:b/>
          <w:color w:val="auto"/>
          <w:sz w:val="24"/>
          <w:szCs w:val="24"/>
          <w:highlight w:val="none"/>
        </w:rPr>
      </w:pPr>
    </w:p>
    <w:p>
      <w:pPr>
        <w:widowControl w:val="0"/>
        <w:snapToGrid w:val="0"/>
        <w:spacing w:line="560" w:lineRule="exact"/>
        <w:jc w:val="center"/>
        <w:rPr>
          <w:color w:val="auto"/>
          <w:highlight w:val="none"/>
        </w:rPr>
      </w:pPr>
    </w:p>
    <w:p>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r>
        <w:rPr>
          <w:rFonts w:ascii="宋体" w:hAnsi="宋体" w:cs="楷体_GB2312"/>
          <w:color w:val="auto"/>
          <w:sz w:val="24"/>
          <w:highlight w:val="none"/>
          <w:lang w:val="zh-CN"/>
        </w:rPr>
        <w:t xml:space="preserve">  </w:t>
      </w:r>
    </w:p>
    <w:p>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tabs>
          <w:tab w:val="left" w:pos="9365"/>
        </w:tabs>
        <w:snapToGrid w:val="0"/>
        <w:spacing w:before="56" w:after="56" w:line="560" w:lineRule="atLeast"/>
        <w:jc w:val="left"/>
        <w:textAlignment w:val="top"/>
        <w:rPr>
          <w:color w:val="auto"/>
          <w:highlight w:val="none"/>
        </w:rPr>
      </w:pPr>
      <w:r>
        <w:rPr>
          <w:color w:val="auto"/>
          <w:highlight w:val="none"/>
        </w:rPr>
        <w:br w:type="page"/>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三、投标报价明细表</w:t>
      </w:r>
    </w:p>
    <w:p>
      <w:pPr>
        <w:pStyle w:val="15"/>
        <w:adjustRightInd w:val="0"/>
        <w:snapToGrid w:val="0"/>
        <w:spacing w:before="156" w:beforeLines="50" w:beforeAutospacing="0" w:after="0" w:afterAutospacing="0"/>
        <w:rPr>
          <w:color w:val="auto"/>
          <w:highlight w:val="none"/>
        </w:rPr>
      </w:pPr>
    </w:p>
    <w:p>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20"/>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910"/>
        <w:gridCol w:w="2977"/>
        <w:gridCol w:w="851"/>
        <w:gridCol w:w="850"/>
        <w:gridCol w:w="119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7" w:hRule="atLeast"/>
          <w:jc w:val="center"/>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序号</w:t>
            </w:r>
          </w:p>
        </w:tc>
        <w:tc>
          <w:tcPr>
            <w:tcW w:w="191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产品名称</w:t>
            </w:r>
          </w:p>
        </w:tc>
        <w:tc>
          <w:tcPr>
            <w:tcW w:w="2977" w:type="dxa"/>
            <w:tcBorders>
              <w:top w:val="single" w:color="000000" w:sz="8" w:space="0"/>
              <w:bottom w:val="single" w:color="000000" w:sz="4" w:space="0"/>
              <w:right w:val="single" w:color="000000" w:sz="4" w:space="0"/>
            </w:tcBorders>
            <w:vAlign w:val="center"/>
          </w:tcPr>
          <w:p>
            <w:pPr>
              <w:spacing w:line="300" w:lineRule="exact"/>
              <w:jc w:val="center"/>
              <w:rPr>
                <w:b/>
                <w:color w:val="auto"/>
                <w:szCs w:val="21"/>
                <w:highlight w:val="none"/>
              </w:rPr>
            </w:pPr>
            <w:r>
              <w:rPr>
                <w:rFonts w:hint="eastAsia"/>
                <w:b/>
                <w:color w:val="auto"/>
                <w:highlight w:val="none"/>
              </w:rPr>
              <w:t>品牌型号规格</w:t>
            </w:r>
          </w:p>
        </w:tc>
        <w:tc>
          <w:tcPr>
            <w:tcW w:w="851"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单位</w:t>
            </w:r>
          </w:p>
        </w:tc>
        <w:tc>
          <w:tcPr>
            <w:tcW w:w="85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数量</w:t>
            </w:r>
          </w:p>
        </w:tc>
        <w:tc>
          <w:tcPr>
            <w:tcW w:w="119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单价</w:t>
            </w:r>
          </w:p>
        </w:tc>
        <w:tc>
          <w:tcPr>
            <w:tcW w:w="1000"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highlight w:val="none"/>
              </w:rPr>
            </w:pPr>
            <w:r>
              <w:rPr>
                <w:rFonts w:hint="eastAsia"/>
                <w:b/>
                <w:color w:val="auto"/>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3"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8"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8"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jc w:val="center"/>
        </w:trPr>
        <w:tc>
          <w:tcPr>
            <w:tcW w:w="465"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191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atLeast"/>
          <w:jc w:val="center"/>
        </w:trPr>
        <w:tc>
          <w:tcPr>
            <w:tcW w:w="9243" w:type="dxa"/>
            <w:gridSpan w:val="7"/>
            <w:tcBorders>
              <w:left w:val="single" w:color="000000" w:sz="8" w:space="0"/>
              <w:bottom w:val="single" w:color="000000" w:sz="8" w:space="0"/>
              <w:right w:val="single" w:color="000000" w:sz="8" w:space="0"/>
            </w:tcBorders>
            <w:vAlign w:val="center"/>
          </w:tcPr>
          <w:p>
            <w:pPr>
              <w:spacing w:line="560" w:lineRule="exact"/>
              <w:jc w:val="left"/>
              <w:rPr>
                <w:color w:val="auto"/>
                <w:highlight w:val="none"/>
              </w:rPr>
            </w:pPr>
            <w:r>
              <w:rPr>
                <w:rFonts w:hint="eastAsia"/>
                <w:color w:val="auto"/>
                <w:highlight w:val="none"/>
              </w:rPr>
              <w:t>投标报价：拾万仟佰拾元整</w:t>
            </w:r>
          </w:p>
          <w:p>
            <w:pPr>
              <w:spacing w:line="560" w:lineRule="exact"/>
              <w:jc w:val="center"/>
              <w:rPr>
                <w:color w:val="auto"/>
                <w:sz w:val="28"/>
                <w:highlight w:val="none"/>
              </w:rPr>
            </w:pPr>
            <w:r>
              <w:rPr>
                <w:rFonts w:hint="eastAsia"/>
                <w:color w:val="auto"/>
                <w:highlight w:val="none"/>
              </w:rPr>
              <w:t>（小写：¥　　　　元）</w:t>
            </w:r>
          </w:p>
        </w:tc>
      </w:tr>
    </w:tbl>
    <w:p>
      <w:pPr>
        <w:widowControl w:val="0"/>
        <w:tabs>
          <w:tab w:val="left" w:pos="9365"/>
        </w:tabs>
        <w:snapToGrid w:val="0"/>
        <w:spacing w:after="56" w:line="360" w:lineRule="exact"/>
        <w:ind w:right="85" w:firstLine="601"/>
        <w:textAlignment w:val="top"/>
        <w:rPr>
          <w:b/>
          <w:color w:val="auto"/>
          <w:highlight w:val="none"/>
        </w:rPr>
      </w:pPr>
    </w:p>
    <w:p>
      <w:pPr>
        <w:widowControl w:val="0"/>
        <w:tabs>
          <w:tab w:val="left" w:pos="9365"/>
        </w:tabs>
        <w:snapToGrid w:val="0"/>
        <w:spacing w:after="56" w:line="240" w:lineRule="auto"/>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240" w:lineRule="auto"/>
        <w:ind w:right="85"/>
        <w:jc w:val="left"/>
        <w:textAlignment w:val="top"/>
        <w:rPr>
          <w:rFonts w:ascii="宋体" w:cs="楷体_GB2312"/>
          <w:color w:val="auto"/>
          <w:sz w:val="24"/>
          <w:highlight w:val="none"/>
          <w:lang w:val="zh-CN"/>
        </w:rPr>
      </w:pPr>
      <w:r>
        <w:rPr>
          <w:rFonts w:hint="eastAsia"/>
          <w:color w:val="auto"/>
          <w:sz w:val="24"/>
          <w:szCs w:val="24"/>
          <w:highlight w:val="none"/>
        </w:rPr>
        <w:t>法定代表人（电子签名或签章）：</w:t>
      </w:r>
      <w:r>
        <w:rPr>
          <w:rFonts w:ascii="宋体" w:hAnsi="宋体" w:cs="楷体_GB2312"/>
          <w:color w:val="auto"/>
          <w:sz w:val="24"/>
          <w:highlight w:val="none"/>
          <w:lang w:val="zh-CN"/>
        </w:rPr>
        <w:t xml:space="preserve">  </w:t>
      </w:r>
    </w:p>
    <w:p>
      <w:pPr>
        <w:widowControl w:val="0"/>
        <w:tabs>
          <w:tab w:val="left" w:pos="9365"/>
        </w:tabs>
        <w:snapToGrid w:val="0"/>
        <w:spacing w:after="56" w:line="240" w:lineRule="auto"/>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jc w:val="left"/>
        <w:rPr>
          <w:color w:val="auto"/>
          <w:sz w:val="28"/>
          <w:highlight w:val="none"/>
        </w:rPr>
      </w:pPr>
      <w:r>
        <w:rPr>
          <w:color w:val="auto"/>
          <w:sz w:val="28"/>
          <w:highlight w:val="none"/>
        </w:rPr>
        <w:br w:type="page"/>
      </w:r>
    </w:p>
    <w:p>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四、标产品清单及具体技术参数</w:t>
      </w:r>
    </w:p>
    <w:p>
      <w:pPr>
        <w:pStyle w:val="15"/>
        <w:adjustRightInd w:val="0"/>
        <w:snapToGrid w:val="0"/>
        <w:spacing w:before="0" w:beforeAutospacing="0" w:after="0" w:afterAutospacing="0"/>
        <w:rPr>
          <w:color w:val="auto"/>
          <w:highlight w:val="none"/>
        </w:rPr>
      </w:pPr>
    </w:p>
    <w:p>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20"/>
        <w:tblW w:w="9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200"/>
        <w:gridCol w:w="567"/>
        <w:gridCol w:w="567"/>
        <w:gridCol w:w="1134"/>
        <w:gridCol w:w="1912"/>
        <w:gridCol w:w="1559"/>
        <w:gridCol w:w="567"/>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8" w:hRule="atLeast"/>
          <w:jc w:val="center"/>
        </w:trPr>
        <w:tc>
          <w:tcPr>
            <w:tcW w:w="480"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highlight w:val="none"/>
              </w:rPr>
            </w:pPr>
            <w:r>
              <w:rPr>
                <w:rFonts w:hint="eastAsia"/>
                <w:b/>
                <w:color w:val="auto"/>
                <w:highlight w:val="none"/>
              </w:rPr>
              <w:t>序号</w:t>
            </w:r>
          </w:p>
        </w:tc>
        <w:tc>
          <w:tcPr>
            <w:tcW w:w="1200"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b/>
                <w:color w:val="auto"/>
                <w:sz w:val="28"/>
                <w:highlight w:val="none"/>
              </w:rPr>
            </w:pPr>
            <w:r>
              <w:rPr>
                <w:rFonts w:hint="eastAsia"/>
                <w:b/>
                <w:color w:val="auto"/>
                <w:highlight w:val="none"/>
              </w:rPr>
              <w:t>产品名称</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highlight w:val="none"/>
              </w:rPr>
            </w:pPr>
            <w:r>
              <w:rPr>
                <w:rFonts w:hint="eastAsia"/>
                <w:b/>
                <w:color w:val="auto"/>
                <w:highlight w:val="none"/>
              </w:rPr>
              <w:t>单位</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highlight w:val="none"/>
              </w:rPr>
            </w:pPr>
            <w:r>
              <w:rPr>
                <w:rFonts w:hint="eastAsia"/>
                <w:b/>
                <w:color w:val="auto"/>
                <w:highlight w:val="none"/>
              </w:rPr>
              <w:t>数量</w:t>
            </w:r>
          </w:p>
        </w:tc>
        <w:tc>
          <w:tcPr>
            <w:tcW w:w="1134"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highlight w:val="none"/>
              </w:rPr>
            </w:pPr>
            <w:r>
              <w:rPr>
                <w:rFonts w:hint="eastAsia"/>
                <w:b/>
                <w:color w:val="auto"/>
                <w:highlight w:val="none"/>
              </w:rPr>
              <w:t>品牌型号</w:t>
            </w:r>
          </w:p>
        </w:tc>
        <w:tc>
          <w:tcPr>
            <w:tcW w:w="1912"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highlight w:val="none"/>
              </w:rPr>
            </w:pPr>
            <w:r>
              <w:rPr>
                <w:rFonts w:hint="eastAsia"/>
                <w:b/>
                <w:color w:val="auto"/>
                <w:highlight w:val="none"/>
              </w:rPr>
              <w:t>技术参数</w:t>
            </w:r>
          </w:p>
        </w:tc>
        <w:tc>
          <w:tcPr>
            <w:tcW w:w="1559"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highlight w:val="none"/>
              </w:rPr>
            </w:pPr>
            <w:r>
              <w:rPr>
                <w:rFonts w:hint="eastAsia"/>
                <w:b/>
                <w:color w:val="auto"/>
                <w:highlight w:val="none"/>
              </w:rPr>
              <w:t>原产地及制造商</w:t>
            </w:r>
          </w:p>
        </w:tc>
        <w:tc>
          <w:tcPr>
            <w:tcW w:w="567" w:type="dxa"/>
            <w:tcBorders>
              <w:top w:val="single" w:color="000000" w:sz="8" w:space="0"/>
              <w:bottom w:val="single" w:color="000000" w:sz="4" w:space="0"/>
              <w:right w:val="single" w:color="000000" w:sz="8" w:space="0"/>
            </w:tcBorders>
            <w:vAlign w:val="center"/>
          </w:tcPr>
          <w:p>
            <w:pPr>
              <w:spacing w:line="360" w:lineRule="exact"/>
              <w:jc w:val="center"/>
              <w:rPr>
                <w:b/>
                <w:color w:val="auto"/>
                <w:sz w:val="28"/>
                <w:highlight w:val="none"/>
              </w:rPr>
            </w:pPr>
            <w:r>
              <w:rPr>
                <w:rFonts w:hint="eastAsia"/>
                <w:b/>
                <w:color w:val="auto"/>
                <w:highlight w:val="none"/>
              </w:rPr>
              <w:t>附件</w:t>
            </w:r>
          </w:p>
        </w:tc>
        <w:tc>
          <w:tcPr>
            <w:tcW w:w="1490" w:type="dxa"/>
            <w:tcBorders>
              <w:top w:val="single" w:color="000000" w:sz="8" w:space="0"/>
              <w:bottom w:val="single" w:color="000000" w:sz="4" w:space="0"/>
              <w:right w:val="single" w:color="000000" w:sz="8" w:space="0"/>
            </w:tcBorders>
          </w:tcPr>
          <w:p>
            <w:pPr>
              <w:spacing w:line="360" w:lineRule="exact"/>
              <w:jc w:val="center"/>
              <w:rPr>
                <w:b/>
                <w:color w:val="auto"/>
                <w:highlight w:val="none"/>
              </w:rPr>
            </w:pPr>
            <w:r>
              <w:rPr>
                <w:rFonts w:hint="eastAsia"/>
                <w:b/>
                <w:color w:val="auto"/>
                <w:szCs w:val="21"/>
                <w:highlight w:val="none"/>
              </w:rPr>
              <w:t>节能产品、环境标志产品的标注</w:t>
            </w:r>
            <w:r>
              <w:rPr>
                <w:b/>
                <w:color w:val="auto"/>
                <w:sz w:val="18"/>
                <w:szCs w:val="18"/>
                <w:highlight w:val="none"/>
              </w:rPr>
              <w:t>(</w:t>
            </w:r>
            <w:r>
              <w:rPr>
                <w:rFonts w:hint="eastAsia"/>
                <w:b/>
                <w:color w:val="auto"/>
                <w:sz w:val="18"/>
                <w:szCs w:val="18"/>
                <w:highlight w:val="none"/>
              </w:rPr>
              <w:t>按需填列</w:t>
            </w:r>
            <w:r>
              <w:rPr>
                <w:b/>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553" w:hRule="atLeast"/>
          <w:jc w:val="center"/>
        </w:trPr>
        <w:tc>
          <w:tcPr>
            <w:tcW w:w="480" w:type="dxa"/>
            <w:tcBorders>
              <w:bottom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1</w:t>
            </w:r>
          </w:p>
        </w:tc>
        <w:tc>
          <w:tcPr>
            <w:tcW w:w="120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134"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912"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559"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8" w:space="0"/>
            </w:tcBorders>
            <w:vAlign w:val="center"/>
          </w:tcPr>
          <w:p>
            <w:pPr>
              <w:spacing w:line="360" w:lineRule="exact"/>
              <w:jc w:val="center"/>
              <w:rPr>
                <w:color w:val="auto"/>
                <w:sz w:val="28"/>
                <w:highlight w:val="none"/>
              </w:rPr>
            </w:pPr>
          </w:p>
        </w:tc>
        <w:tc>
          <w:tcPr>
            <w:tcW w:w="1490" w:type="dxa"/>
            <w:tcBorders>
              <w:bottom w:val="single" w:color="000000" w:sz="4" w:space="0"/>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49" w:hRule="atLeast"/>
          <w:jc w:val="center"/>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2</w:t>
            </w:r>
          </w:p>
        </w:tc>
        <w:tc>
          <w:tcPr>
            <w:tcW w:w="1200"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134"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912"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1559" w:type="dxa"/>
            <w:tcBorders>
              <w:bottom w:val="single" w:color="000000" w:sz="4" w:space="0"/>
              <w:right w:val="single" w:color="000000" w:sz="4" w:space="0"/>
            </w:tcBorders>
            <w:vAlign w:val="center"/>
          </w:tcPr>
          <w:p>
            <w:pPr>
              <w:spacing w:line="360" w:lineRule="exact"/>
              <w:jc w:val="center"/>
              <w:rPr>
                <w:color w:val="auto"/>
                <w:sz w:val="28"/>
                <w:highlight w:val="none"/>
              </w:rPr>
            </w:pPr>
          </w:p>
        </w:tc>
        <w:tc>
          <w:tcPr>
            <w:tcW w:w="567" w:type="dxa"/>
            <w:tcBorders>
              <w:bottom w:val="single" w:color="000000" w:sz="4" w:space="0"/>
              <w:right w:val="single" w:color="000000" w:sz="8" w:space="0"/>
            </w:tcBorders>
            <w:vAlign w:val="center"/>
          </w:tcPr>
          <w:p>
            <w:pPr>
              <w:spacing w:line="360" w:lineRule="exact"/>
              <w:jc w:val="center"/>
              <w:rPr>
                <w:color w:val="auto"/>
                <w:sz w:val="28"/>
                <w:highlight w:val="none"/>
              </w:rPr>
            </w:pPr>
          </w:p>
        </w:tc>
        <w:tc>
          <w:tcPr>
            <w:tcW w:w="1490" w:type="dxa"/>
            <w:tcBorders>
              <w:bottom w:val="single" w:color="000000" w:sz="4" w:space="0"/>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sz w:val="28"/>
                <w:highlight w:val="none"/>
              </w:rPr>
            </w:pPr>
            <w:r>
              <w:rPr>
                <w:color w:val="auto"/>
                <w:highlight w:val="none"/>
              </w:rPr>
              <w:t>3</w:t>
            </w:r>
          </w:p>
        </w:tc>
        <w:tc>
          <w:tcPr>
            <w:tcW w:w="1200"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1134" w:type="dxa"/>
            <w:tcBorders>
              <w:right w:val="single" w:color="000000" w:sz="4" w:space="0"/>
            </w:tcBorders>
            <w:vAlign w:val="center"/>
          </w:tcPr>
          <w:p>
            <w:pPr>
              <w:spacing w:line="360" w:lineRule="exact"/>
              <w:jc w:val="center"/>
              <w:rPr>
                <w:color w:val="auto"/>
                <w:sz w:val="28"/>
                <w:highlight w:val="none"/>
              </w:rPr>
            </w:pPr>
          </w:p>
        </w:tc>
        <w:tc>
          <w:tcPr>
            <w:tcW w:w="1912" w:type="dxa"/>
            <w:tcBorders>
              <w:right w:val="single" w:color="000000" w:sz="4" w:space="0"/>
            </w:tcBorders>
            <w:vAlign w:val="center"/>
          </w:tcPr>
          <w:p>
            <w:pPr>
              <w:spacing w:line="360" w:lineRule="exact"/>
              <w:jc w:val="center"/>
              <w:rPr>
                <w:color w:val="auto"/>
                <w:sz w:val="28"/>
                <w:highlight w:val="none"/>
              </w:rPr>
            </w:pPr>
          </w:p>
        </w:tc>
        <w:tc>
          <w:tcPr>
            <w:tcW w:w="1559"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8" w:space="0"/>
            </w:tcBorders>
            <w:vAlign w:val="center"/>
          </w:tcPr>
          <w:p>
            <w:pPr>
              <w:spacing w:line="360" w:lineRule="exact"/>
              <w:jc w:val="center"/>
              <w:rPr>
                <w:color w:val="auto"/>
                <w:sz w:val="28"/>
                <w:highlight w:val="none"/>
              </w:rPr>
            </w:pPr>
          </w:p>
        </w:tc>
        <w:tc>
          <w:tcPr>
            <w:tcW w:w="1490" w:type="dxa"/>
            <w:tcBorders>
              <w:right w:val="single" w:color="000000" w:sz="8" w:space="0"/>
            </w:tcBorders>
          </w:tcPr>
          <w:p>
            <w:pPr>
              <w:spacing w:line="3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highlight w:val="none"/>
              </w:rPr>
            </w:pPr>
            <w:r>
              <w:rPr>
                <w:rFonts w:hint="eastAsia"/>
                <w:color w:val="auto"/>
                <w:highlight w:val="none"/>
              </w:rPr>
              <w:t>……</w:t>
            </w:r>
          </w:p>
        </w:tc>
        <w:tc>
          <w:tcPr>
            <w:tcW w:w="1200"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4" w:space="0"/>
            </w:tcBorders>
            <w:vAlign w:val="center"/>
          </w:tcPr>
          <w:p>
            <w:pPr>
              <w:spacing w:line="360" w:lineRule="exact"/>
              <w:jc w:val="center"/>
              <w:rPr>
                <w:color w:val="auto"/>
                <w:sz w:val="28"/>
                <w:highlight w:val="none"/>
              </w:rPr>
            </w:pPr>
          </w:p>
        </w:tc>
        <w:tc>
          <w:tcPr>
            <w:tcW w:w="1134" w:type="dxa"/>
            <w:tcBorders>
              <w:right w:val="single" w:color="000000" w:sz="4" w:space="0"/>
            </w:tcBorders>
            <w:vAlign w:val="center"/>
          </w:tcPr>
          <w:p>
            <w:pPr>
              <w:spacing w:line="360" w:lineRule="exact"/>
              <w:jc w:val="center"/>
              <w:rPr>
                <w:color w:val="auto"/>
                <w:sz w:val="28"/>
                <w:highlight w:val="none"/>
              </w:rPr>
            </w:pPr>
          </w:p>
        </w:tc>
        <w:tc>
          <w:tcPr>
            <w:tcW w:w="1912" w:type="dxa"/>
            <w:tcBorders>
              <w:right w:val="single" w:color="000000" w:sz="4" w:space="0"/>
            </w:tcBorders>
            <w:vAlign w:val="center"/>
          </w:tcPr>
          <w:p>
            <w:pPr>
              <w:spacing w:line="360" w:lineRule="exact"/>
              <w:jc w:val="center"/>
              <w:rPr>
                <w:color w:val="auto"/>
                <w:sz w:val="28"/>
                <w:highlight w:val="none"/>
              </w:rPr>
            </w:pPr>
          </w:p>
        </w:tc>
        <w:tc>
          <w:tcPr>
            <w:tcW w:w="1559" w:type="dxa"/>
            <w:tcBorders>
              <w:right w:val="single" w:color="000000" w:sz="4" w:space="0"/>
            </w:tcBorders>
            <w:vAlign w:val="center"/>
          </w:tcPr>
          <w:p>
            <w:pPr>
              <w:spacing w:line="360" w:lineRule="exact"/>
              <w:jc w:val="center"/>
              <w:rPr>
                <w:color w:val="auto"/>
                <w:sz w:val="28"/>
                <w:highlight w:val="none"/>
              </w:rPr>
            </w:pPr>
          </w:p>
        </w:tc>
        <w:tc>
          <w:tcPr>
            <w:tcW w:w="567" w:type="dxa"/>
            <w:tcBorders>
              <w:right w:val="single" w:color="000000" w:sz="8" w:space="0"/>
            </w:tcBorders>
            <w:vAlign w:val="center"/>
          </w:tcPr>
          <w:p>
            <w:pPr>
              <w:spacing w:line="360" w:lineRule="exact"/>
              <w:jc w:val="center"/>
              <w:rPr>
                <w:color w:val="auto"/>
                <w:sz w:val="28"/>
                <w:highlight w:val="none"/>
              </w:rPr>
            </w:pPr>
          </w:p>
        </w:tc>
        <w:tc>
          <w:tcPr>
            <w:tcW w:w="1490" w:type="dxa"/>
            <w:tcBorders>
              <w:right w:val="single" w:color="000000" w:sz="8" w:space="0"/>
            </w:tcBorders>
          </w:tcPr>
          <w:p>
            <w:pPr>
              <w:spacing w:line="360" w:lineRule="exact"/>
              <w:jc w:val="center"/>
              <w:rPr>
                <w:color w:val="auto"/>
                <w:sz w:val="28"/>
                <w:highlight w:val="none"/>
              </w:rPr>
            </w:pPr>
          </w:p>
        </w:tc>
      </w:tr>
    </w:tbl>
    <w:p>
      <w:pPr>
        <w:spacing w:line="240" w:lineRule="auto"/>
        <w:rPr>
          <w:rFonts w:ascii="宋体" w:hAnsi="宋体" w:cs="宋体"/>
          <w:color w:val="auto"/>
          <w:highlight w:val="none"/>
        </w:rPr>
      </w:pPr>
      <w:r>
        <w:rPr>
          <w:rFonts w:hint="eastAsia"/>
          <w:color w:val="auto"/>
          <w:sz w:val="24"/>
          <w:highlight w:val="none"/>
        </w:rPr>
        <w:t>　</w:t>
      </w:r>
      <w:r>
        <w:rPr>
          <w:rFonts w:hint="eastAsia"/>
          <w:color w:val="auto"/>
          <w:highlight w:val="none"/>
        </w:rPr>
        <w:t>注：</w:t>
      </w:r>
      <w:r>
        <w:rPr>
          <w:rFonts w:hint="eastAsia" w:ascii="宋体" w:hAnsi="宋体" w:cs="宋体"/>
          <w:color w:val="auto"/>
          <w:highlight w:val="none"/>
        </w:rPr>
        <w:t>1、投标人应详细填写投标产品具体技术参数。包括产品的品牌、规格、型号、产地等技术参数。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2、如采购产品属于政府强制采购品目清单的，投标人须在本表对应栏中标明 “为节能产品，节能产品认证证书后附”，认证证书应当为国家确定的认证机构出具、且应处于有效期之内。不符合的、按谈判文件规定为无效投标。</w:t>
      </w:r>
    </w:p>
    <w:p>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3、如采购产品不属于政府强制采购品目清单的，投标人自主填列。</w:t>
      </w:r>
    </w:p>
    <w:p>
      <w:pPr>
        <w:autoSpaceDE w:val="0"/>
        <w:autoSpaceDN w:val="0"/>
        <w:adjustRightInd w:val="0"/>
        <w:spacing w:line="360" w:lineRule="auto"/>
        <w:jc w:val="center"/>
        <w:rPr>
          <w:color w:val="auto"/>
          <w:sz w:val="28"/>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bookmarkStart w:id="63" w:name="OLE_LINK22"/>
    </w:p>
    <w:p>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五、技术偏差表</w:t>
      </w:r>
      <w:bookmarkEnd w:id="63"/>
    </w:p>
    <w:p>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20"/>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4"/>
        <w:gridCol w:w="2180"/>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序号</w:t>
            </w:r>
          </w:p>
        </w:tc>
        <w:tc>
          <w:tcPr>
            <w:tcW w:w="164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产品名称</w:t>
            </w:r>
          </w:p>
        </w:tc>
        <w:tc>
          <w:tcPr>
            <w:tcW w:w="218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投标产品参数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highlight w:val="none"/>
              </w:rPr>
            </w:pPr>
            <w:r>
              <w:rPr>
                <w:rFonts w:hint="eastAsia"/>
                <w:b/>
                <w:color w:val="auto"/>
                <w:highlight w:val="none"/>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highlight w:val="none"/>
              </w:rPr>
            </w:pPr>
            <w:r>
              <w:rPr>
                <w:rFonts w:hint="eastAsia"/>
                <w:b/>
                <w:color w:val="auto"/>
                <w:highlight w:val="none"/>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1644"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4" w:space="0"/>
              <w:right w:val="single" w:color="000000" w:sz="8" w:space="0"/>
            </w:tcBorders>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1644"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180"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077"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1859" w:type="dxa"/>
            <w:tcBorders>
              <w:bottom w:val="single" w:color="000000" w:sz="8" w:space="0"/>
              <w:right w:val="single" w:color="000000" w:sz="8" w:space="0"/>
            </w:tcBorders>
            <w:vAlign w:val="center"/>
          </w:tcPr>
          <w:p>
            <w:pPr>
              <w:spacing w:line="560" w:lineRule="exact"/>
              <w:jc w:val="center"/>
              <w:rPr>
                <w:color w:val="auto"/>
                <w:sz w:val="28"/>
                <w:highlight w:val="none"/>
              </w:rPr>
            </w:pPr>
          </w:p>
        </w:tc>
        <w:tc>
          <w:tcPr>
            <w:tcW w:w="1260" w:type="dxa"/>
            <w:tcBorders>
              <w:bottom w:val="single" w:color="000000" w:sz="8" w:space="0"/>
              <w:right w:val="single" w:color="000000" w:sz="8" w:space="0"/>
            </w:tcBorders>
          </w:tcPr>
          <w:p>
            <w:pPr>
              <w:spacing w:line="560" w:lineRule="exact"/>
              <w:jc w:val="center"/>
              <w:rPr>
                <w:color w:val="auto"/>
                <w:sz w:val="28"/>
                <w:highlight w:val="none"/>
              </w:rPr>
            </w:pPr>
          </w:p>
        </w:tc>
      </w:tr>
    </w:tbl>
    <w:p>
      <w:pPr>
        <w:widowControl w:val="0"/>
        <w:tabs>
          <w:tab w:val="left" w:pos="9365"/>
        </w:tabs>
        <w:snapToGrid w:val="0"/>
        <w:spacing w:line="360" w:lineRule="auto"/>
        <w:ind w:firstLine="624"/>
        <w:textAlignment w:val="top"/>
        <w:rPr>
          <w:rFonts w:ascii="宋体" w:cs="宋体"/>
          <w:color w:val="auto"/>
          <w:highlight w:val="none"/>
        </w:rPr>
      </w:pPr>
      <w:r>
        <w:rPr>
          <w:rFonts w:hint="eastAsia"/>
          <w:color w:val="auto"/>
          <w:highlight w:val="none"/>
        </w:rPr>
        <w:t>注：</w:t>
      </w:r>
      <w:r>
        <w:rPr>
          <w:rFonts w:ascii="宋体" w:hAnsi="宋体" w:cs="宋体"/>
          <w:color w:val="auto"/>
          <w:highlight w:val="none"/>
        </w:rPr>
        <w:t>1</w:t>
      </w:r>
      <w:r>
        <w:rPr>
          <w:rFonts w:hint="eastAsia"/>
          <w:color w:val="auto"/>
          <w:highlight w:val="none"/>
        </w:rPr>
        <w:t>、“偏差”栏中详细注明所投产品参数与《谈判文件》中要求有何不同，并说明其符合性。投标人应分标段（包）填制本表。</w:t>
      </w:r>
    </w:p>
    <w:p>
      <w:pPr>
        <w:widowControl w:val="0"/>
        <w:tabs>
          <w:tab w:val="left" w:pos="9365"/>
        </w:tabs>
        <w:snapToGrid w:val="0"/>
        <w:spacing w:line="360" w:lineRule="auto"/>
        <w:ind w:firstLine="624"/>
        <w:textAlignment w:val="top"/>
        <w:rPr>
          <w:color w:val="auto"/>
          <w:highlight w:val="none"/>
        </w:rPr>
      </w:pPr>
      <w:r>
        <w:rPr>
          <w:rFonts w:ascii="宋体" w:hAnsi="宋体" w:cs="宋体"/>
          <w:color w:val="auto"/>
          <w:highlight w:val="none"/>
        </w:rPr>
        <w:t>2</w:t>
      </w:r>
      <w:r>
        <w:rPr>
          <w:rFonts w:hint="eastAsia"/>
          <w:color w:val="auto"/>
          <w:highlight w:val="none"/>
        </w:rPr>
        <w:t>、如所投产品配置及技术参数与“技术要求”一致的部分，仍需在本表填列“与《谈判文件》技术要求一致”等相似表述。</w:t>
      </w:r>
    </w:p>
    <w:p>
      <w:pPr>
        <w:autoSpaceDE w:val="0"/>
        <w:autoSpaceDN w:val="0"/>
        <w:adjustRightInd w:val="0"/>
        <w:spacing w:line="360" w:lineRule="auto"/>
        <w:jc w:val="center"/>
        <w:rPr>
          <w:rFonts w:ascii="宋体"/>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六、其他偏差表（除技术偏差外）</w:t>
      </w:r>
    </w:p>
    <w:p>
      <w:pPr>
        <w:pStyle w:val="15"/>
        <w:adjustRightInd w:val="0"/>
        <w:snapToGrid w:val="0"/>
        <w:spacing w:before="0" w:beforeAutospacing="0" w:after="0" w:afterAutospacing="0"/>
        <w:rPr>
          <w:color w:val="auto"/>
          <w:highlight w:val="none"/>
          <w:u w:val="single"/>
        </w:rPr>
      </w:pPr>
      <w:r>
        <w:rPr>
          <w:rFonts w:hint="eastAsia"/>
          <w:color w:val="auto"/>
          <w:highlight w:val="none"/>
        </w:rPr>
        <w:t>项目名称：</w:t>
      </w:r>
    </w:p>
    <w:p>
      <w:pPr>
        <w:pStyle w:val="15"/>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20"/>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谈判文件要求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highlight w:val="none"/>
              </w:rPr>
            </w:pPr>
            <w:r>
              <w:rPr>
                <w:rFonts w:hint="eastAsia"/>
                <w:b/>
                <w:color w:val="auto"/>
                <w:highlight w:val="none"/>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pPr>
              <w:spacing w:line="560" w:lineRule="exact"/>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pPr>
              <w:spacing w:line="560" w:lineRule="exact"/>
              <w:jc w:val="center"/>
              <w:rPr>
                <w:color w:val="auto"/>
                <w:sz w:val="28"/>
                <w:highlight w:val="none"/>
              </w:rPr>
            </w:pPr>
          </w:p>
        </w:tc>
      </w:tr>
    </w:tbl>
    <w:p>
      <w:pPr>
        <w:tabs>
          <w:tab w:val="left" w:pos="0"/>
        </w:tabs>
        <w:adjustRightInd w:val="0"/>
        <w:snapToGrid w:val="0"/>
        <w:spacing w:before="156" w:beforeLines="50" w:line="300" w:lineRule="auto"/>
        <w:ind w:right="25" w:firstLine="452" w:firstLineChars="200"/>
        <w:rPr>
          <w:rFonts w:ascii="宋体" w:hAns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、“其他偏差表”应详细注明与《谈判文件》中各项要求（除技术条款外的所有条款）有何不同，并说明其符合性（优于、或低于《谈判文件》要求）。</w:t>
      </w:r>
    </w:p>
    <w:p>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、如投标条款与《谈判文件》其他要求一致，仍需在本表填列“除技术条款外，与《谈判文件》所有条款要求一致，无偏差”等相似表述。</w:t>
      </w:r>
    </w:p>
    <w:p>
      <w:pPr>
        <w:tabs>
          <w:tab w:val="left" w:pos="0"/>
        </w:tabs>
        <w:adjustRightInd w:val="0"/>
        <w:snapToGrid w:val="0"/>
        <w:spacing w:before="156" w:beforeLines="50" w:line="300" w:lineRule="auto"/>
        <w:ind w:right="510"/>
        <w:rPr>
          <w:rFonts w:ascii="宋体"/>
          <w:color w:val="auto"/>
          <w:spacing w:val="8"/>
          <w:szCs w:val="21"/>
          <w:highlight w:val="none"/>
        </w:rPr>
      </w:pPr>
    </w:p>
    <w:p>
      <w:pPr>
        <w:tabs>
          <w:tab w:val="left" w:pos="0"/>
        </w:tabs>
        <w:adjustRightInd w:val="0"/>
        <w:snapToGrid w:val="0"/>
        <w:spacing w:before="156" w:beforeLines="50" w:line="300" w:lineRule="auto"/>
        <w:ind w:right="510"/>
        <w:rPr>
          <w:rFonts w:ascii="宋体"/>
          <w:color w:val="auto"/>
          <w:spacing w:val="8"/>
          <w:szCs w:val="21"/>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tabs>
          <w:tab w:val="left" w:pos="540"/>
        </w:tabs>
        <w:spacing w:line="440" w:lineRule="exact"/>
        <w:jc w:val="center"/>
        <w:rPr>
          <w:rFonts w:ascii="宋体" w:cs="楷体_GB2312"/>
          <w:b/>
          <w:color w:val="auto"/>
          <w:sz w:val="30"/>
          <w:szCs w:val="30"/>
          <w:highlight w:val="none"/>
          <w:lang w:val="zh-CN"/>
        </w:rPr>
      </w:pPr>
    </w:p>
    <w:p>
      <w:pPr>
        <w:widowControl w:val="0"/>
        <w:snapToGrid w:val="0"/>
        <w:spacing w:line="560" w:lineRule="exact"/>
        <w:jc w:val="left"/>
        <w:textAlignment w:val="top"/>
        <w:rPr>
          <w:color w:val="auto"/>
          <w:highlight w:val="none"/>
        </w:rPr>
      </w:pPr>
      <w:r>
        <w:rPr>
          <w:color w:val="auto"/>
          <w:highlight w:val="none"/>
        </w:rPr>
        <w:br w:type="page"/>
      </w:r>
    </w:p>
    <w:p>
      <w:pPr>
        <w:tabs>
          <w:tab w:val="left" w:pos="540"/>
        </w:tabs>
        <w:spacing w:line="440" w:lineRule="exact"/>
        <w:jc w:val="center"/>
        <w:rPr>
          <w:rFonts w:ascii="黑体" w:hAnsi="黑体" w:eastAsia="黑体"/>
          <w:b/>
          <w:color w:val="auto"/>
          <w:sz w:val="30"/>
          <w:szCs w:val="30"/>
          <w:highlight w:val="none"/>
        </w:rPr>
      </w:pPr>
      <w:bookmarkStart w:id="64" w:name="OLE_LINK27"/>
      <w:r>
        <w:rPr>
          <w:rFonts w:hint="eastAsia" w:ascii="黑体" w:hAnsi="黑体" w:eastAsia="黑体"/>
          <w:b/>
          <w:color w:val="auto"/>
          <w:sz w:val="30"/>
          <w:szCs w:val="30"/>
          <w:highlight w:val="none"/>
        </w:rPr>
        <w:t>七、售后服务计划</w:t>
      </w:r>
      <w:bookmarkEnd w:id="64"/>
    </w:p>
    <w:p>
      <w:pPr>
        <w:snapToGrid w:val="0"/>
        <w:spacing w:line="560" w:lineRule="exact"/>
        <w:ind w:firstLine="839"/>
        <w:rPr>
          <w:color w:val="auto"/>
          <w:highlight w:val="none"/>
        </w:rPr>
      </w:pP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、质量保证措施。</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、培训计划</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p>
    <w:p>
      <w:pPr>
        <w:autoSpaceDE w:val="0"/>
        <w:autoSpaceDN w:val="0"/>
        <w:adjustRightInd w:val="0"/>
        <w:spacing w:line="360" w:lineRule="auto"/>
        <w:ind w:left="1" w:firstLine="560"/>
        <w:rPr>
          <w:rFonts w:ascii="宋体" w:cs="楷体_GB2312"/>
          <w:color w:val="auto"/>
          <w:sz w:val="24"/>
          <w:highlight w:val="none"/>
          <w:lang w:val="zh-CN"/>
        </w:rPr>
      </w:pPr>
      <w:r>
        <w:rPr>
          <w:rFonts w:hint="eastAsia" w:ascii="宋体" w:hAnsi="宋体" w:cs="楷体_GB2312"/>
          <w:color w:val="auto"/>
          <w:sz w:val="24"/>
          <w:highlight w:val="none"/>
          <w:lang w:val="zh-CN"/>
        </w:rPr>
        <w:t>注：</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、投标人应按要求详细制定出所列条款。</w:t>
      </w:r>
    </w:p>
    <w:p>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、“售后服务计划”按谈判文件相应条款要求电子签名&lt;签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r>
        <w:rPr>
          <w:rFonts w:hint="eastAsia" w:ascii="宋体" w:hAnsi="宋体" w:cs="楷体_GB2312"/>
          <w:color w:val="auto"/>
          <w:sz w:val="24"/>
          <w:highlight w:val="none"/>
          <w:lang w:val="zh-CN"/>
        </w:rPr>
        <w:t>。</w:t>
      </w:r>
      <w:r>
        <w:rPr>
          <w:rFonts w:ascii="宋体" w:hAnsi="宋体" w:cs="楷体_GB2312"/>
          <w:color w:val="auto"/>
          <w:sz w:val="24"/>
          <w:highlight w:val="none"/>
          <w:lang w:val="zh-CN"/>
        </w:rPr>
        <w:t xml:space="preserve">     </w:t>
      </w:r>
    </w:p>
    <w:p>
      <w:pPr>
        <w:snapToGrid w:val="0"/>
        <w:spacing w:line="560" w:lineRule="exact"/>
        <w:rPr>
          <w:color w:val="auto"/>
          <w:highlight w:val="none"/>
        </w:rPr>
      </w:pPr>
    </w:p>
    <w:p>
      <w:pPr>
        <w:tabs>
          <w:tab w:val="left" w:pos="540"/>
        </w:tabs>
        <w:spacing w:line="440" w:lineRule="exact"/>
        <w:jc w:val="center"/>
        <w:rPr>
          <w:color w:val="auto"/>
          <w:sz w:val="28"/>
          <w:highlight w:val="none"/>
        </w:rPr>
      </w:pPr>
      <w:r>
        <w:rPr>
          <w:color w:val="auto"/>
          <w:sz w:val="28"/>
          <w:highlight w:val="none"/>
        </w:rPr>
        <w:br w:type="page"/>
      </w:r>
      <w:bookmarkStart w:id="65" w:name="OLE_LINK28"/>
    </w:p>
    <w:p>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八、关于资格的声明函</w:t>
      </w:r>
      <w:bookmarkEnd w:id="65"/>
    </w:p>
    <w:p>
      <w:pPr>
        <w:snapToGrid w:val="0"/>
        <w:spacing w:line="560" w:lineRule="exact"/>
        <w:ind w:firstLine="839"/>
        <w:rPr>
          <w:color w:val="auto"/>
          <w:highlight w:val="none"/>
        </w:rPr>
      </w:pPr>
    </w:p>
    <w:p>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的谈</w:t>
      </w:r>
      <w:r>
        <w:rPr>
          <w:rFonts w:ascii="宋体" w:hAnsi="宋体"/>
          <w:color w:val="auto"/>
          <w:sz w:val="24"/>
          <w:highlight w:val="none"/>
        </w:rPr>
        <w:t>判公告</w:t>
      </w:r>
      <w:r>
        <w:rPr>
          <w:rFonts w:hint="eastAsia" w:ascii="宋体" w:hAnsi="宋体"/>
          <w:color w:val="auto"/>
          <w:sz w:val="24"/>
          <w:highlight w:val="none"/>
        </w:rPr>
        <w:t>，本签字人愿意参加投标，提供谈判文件中规定的产品及服务，并声明提交下列文件是准确的、真实的和有效的。</w:t>
      </w:r>
    </w:p>
    <w:p>
      <w:pPr>
        <w:numPr>
          <w:ilvl w:val="0"/>
          <w:numId w:val="8"/>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《谈判文件》第一章“谈判公告”第二条所要求的资格性证明文件（证件或证明资料或承诺）</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pPr>
        <w:snapToGrid w:val="0"/>
        <w:spacing w:line="560" w:lineRule="exact"/>
        <w:ind w:firstLine="555"/>
        <w:rPr>
          <w:rFonts w:ascii="宋体"/>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napToGrid w:val="0"/>
        <w:spacing w:line="560" w:lineRule="exact"/>
        <w:rPr>
          <w:rFonts w:ascii="宋体"/>
          <w:color w:val="auto"/>
          <w:sz w:val="24"/>
          <w:highlight w:val="none"/>
        </w:rPr>
      </w:pPr>
      <w:r>
        <w:rPr>
          <w:rFonts w:ascii="宋体" w:hAnsi="宋体"/>
          <w:color w:val="auto"/>
          <w:sz w:val="24"/>
          <w:highlight w:val="none"/>
        </w:rPr>
        <w:t xml:space="preserve"> </w:t>
      </w:r>
    </w:p>
    <w:p>
      <w:pPr>
        <w:tabs>
          <w:tab w:val="left" w:pos="540"/>
        </w:tabs>
        <w:spacing w:line="440" w:lineRule="exact"/>
        <w:jc w:val="center"/>
        <w:rPr>
          <w:color w:val="auto"/>
          <w:sz w:val="28"/>
          <w:highlight w:val="none"/>
        </w:rPr>
      </w:pPr>
      <w:r>
        <w:rPr>
          <w:rFonts w:ascii="宋体"/>
          <w:color w:val="auto"/>
          <w:sz w:val="24"/>
          <w:highlight w:val="none"/>
        </w:rPr>
        <w:br w:type="page"/>
      </w:r>
    </w:p>
    <w:p>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九、反商业贿赂承诺书</w:t>
      </w:r>
    </w:p>
    <w:p>
      <w:pPr>
        <w:rPr>
          <w:b/>
          <w:color w:val="auto"/>
          <w:sz w:val="48"/>
          <w:szCs w:val="48"/>
          <w:highlight w:val="none"/>
        </w:rPr>
      </w:pPr>
    </w:p>
    <w:p>
      <w:pPr>
        <w:snapToGrid w:val="0"/>
        <w:spacing w:line="560" w:lineRule="atLeast"/>
        <w:ind w:right="56" w:firstLine="555"/>
        <w:rPr>
          <w:color w:val="auto"/>
          <w:sz w:val="24"/>
          <w:highlight w:val="none"/>
        </w:rPr>
      </w:pPr>
      <w:r>
        <w:rPr>
          <w:rFonts w:hint="eastAsia"/>
          <w:color w:val="auto"/>
          <w:sz w:val="24"/>
          <w:highlight w:val="none"/>
        </w:rPr>
        <w:t>我公司承诺：</w:t>
      </w:r>
    </w:p>
    <w:p>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pPr>
        <w:snapToGrid w:val="0"/>
        <w:spacing w:line="560" w:lineRule="atLeast"/>
        <w:ind w:right="56" w:firstLine="555"/>
        <w:rPr>
          <w:color w:val="auto"/>
          <w:sz w:val="24"/>
          <w:highlight w:val="none"/>
        </w:rPr>
      </w:pPr>
    </w:p>
    <w:p>
      <w:pPr>
        <w:snapToGrid w:val="0"/>
        <w:spacing w:line="560" w:lineRule="atLeast"/>
        <w:ind w:right="56" w:firstLine="555"/>
        <w:rPr>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tabs>
          <w:tab w:val="left" w:pos="540"/>
        </w:tabs>
        <w:spacing w:line="440" w:lineRule="exact"/>
        <w:jc w:val="center"/>
        <w:rPr>
          <w:color w:val="auto"/>
          <w:highlight w:val="none"/>
        </w:rPr>
      </w:pPr>
      <w:r>
        <w:rPr>
          <w:color w:val="auto"/>
          <w:highlight w:val="none"/>
        </w:rPr>
        <w:br w:type="page"/>
      </w:r>
    </w:p>
    <w:p>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w:t>
      </w:r>
      <w:bookmarkStart w:id="66" w:name="OLE_LINK19"/>
      <w:r>
        <w:rPr>
          <w:rFonts w:hint="eastAsia" w:ascii="黑体" w:hAnsi="黑体" w:eastAsia="黑体"/>
          <w:b/>
          <w:color w:val="auto"/>
          <w:sz w:val="30"/>
          <w:szCs w:val="30"/>
          <w:highlight w:val="none"/>
        </w:rPr>
        <w:t>履约承诺书</w:t>
      </w:r>
      <w:bookmarkEnd w:id="66"/>
    </w:p>
    <w:p>
      <w:pPr>
        <w:adjustRightInd w:val="0"/>
        <w:snapToGrid w:val="0"/>
        <w:spacing w:before="156" w:beforeLines="50" w:line="300" w:lineRule="auto"/>
        <w:ind w:right="56" w:firstLine="555"/>
        <w:rPr>
          <w:color w:val="auto"/>
          <w:sz w:val="24"/>
          <w:highlight w:val="none"/>
        </w:rPr>
      </w:pPr>
      <w:r>
        <w:rPr>
          <w:rFonts w:hint="eastAsia"/>
          <w:color w:val="auto"/>
          <w:sz w:val="24"/>
          <w:highlight w:val="none"/>
        </w:rPr>
        <w:t>一、我单位承诺：</w:t>
      </w:r>
    </w:p>
    <w:p>
      <w:pPr>
        <w:adjustRightInd w:val="0"/>
        <w:snapToGrid w:val="0"/>
        <w:spacing w:before="156" w:beforeLines="50" w:line="300" w:lineRule="auto"/>
        <w:ind w:firstLine="555"/>
        <w:rPr>
          <w:color w:val="auto"/>
          <w:sz w:val="24"/>
          <w:highlight w:val="none"/>
        </w:rPr>
      </w:pPr>
      <w:r>
        <w:rPr>
          <w:rFonts w:hint="eastAsia"/>
          <w:color w:val="auto"/>
          <w:sz w:val="24"/>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我单位保证按谈判文件要求及投标承诺的质量诚信履约。</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二、我单位承诺：</w:t>
      </w:r>
    </w:p>
    <w:p>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谈判文件技术、交验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依据谈判文件“第三章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156" w:beforeLines="50" w:line="300" w:lineRule="auto"/>
        <w:ind w:firstLine="480" w:firstLineChars="200"/>
        <w:rPr>
          <w:color w:val="auto"/>
          <w:sz w:val="24"/>
          <w:highlight w:val="none"/>
        </w:rPr>
      </w:pPr>
    </w:p>
    <w:p>
      <w:pPr>
        <w:tabs>
          <w:tab w:val="left" w:pos="9354"/>
        </w:tabs>
        <w:adjustRightInd w:val="0"/>
        <w:snapToGrid w:val="0"/>
        <w:spacing w:before="156" w:beforeLines="50" w:line="300" w:lineRule="auto"/>
        <w:ind w:firstLine="480" w:firstLineChars="200"/>
        <w:rPr>
          <w:color w:val="auto"/>
          <w:sz w:val="24"/>
          <w:highlight w:val="none"/>
        </w:rPr>
      </w:pP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pPr>
        <w:autoSpaceDE w:val="0"/>
        <w:autoSpaceDN w:val="0"/>
        <w:adjustRightInd w:val="0"/>
        <w:spacing w:line="360" w:lineRule="auto"/>
        <w:jc w:val="left"/>
        <w:rPr>
          <w:rFonts w:eastAsia="方正黑体简体"/>
          <w:b/>
          <w:color w:val="auto"/>
          <w:sz w:val="30"/>
          <w:szCs w:val="30"/>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十一、资格要求相关证明材料（文件）</w:t>
      </w: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黑体" w:hAnsi="黑体" w:eastAsia="黑体"/>
          <w:b/>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pPr>
        <w:autoSpaceDE w:val="0"/>
        <w:autoSpaceDN w:val="0"/>
        <w:adjustRightInd w:val="0"/>
        <w:spacing w:line="360" w:lineRule="auto"/>
        <w:jc w:val="center"/>
        <w:rPr>
          <w:rFonts w:ascii="宋体"/>
          <w:color w:val="auto"/>
          <w:sz w:val="24"/>
          <w:szCs w:val="24"/>
          <w:highlight w:val="none"/>
        </w:rPr>
      </w:pPr>
    </w:p>
    <w:p>
      <w:pPr>
        <w:spacing w:line="588" w:lineRule="exact"/>
        <w:jc w:val="center"/>
        <w:rPr>
          <w:rFonts w:ascii="黑体" w:hAnsi="黑体" w:eastAsia="黑体"/>
          <w:b/>
          <w:color w:val="auto"/>
          <w:sz w:val="30"/>
          <w:szCs w:val="30"/>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请注意：未按谈判公告要求电子签名&lt;签章&gt;的将导致无效投标，特此提醒】</w:t>
      </w:r>
      <w:r>
        <w:rPr>
          <w:rFonts w:ascii="黑体" w:hAnsi="黑体" w:eastAsia="黑体"/>
          <w:b/>
          <w:color w:val="auto"/>
          <w:sz w:val="30"/>
          <w:szCs w:val="30"/>
          <w:highlight w:val="none"/>
        </w:rPr>
        <w:br w:type="page"/>
      </w:r>
      <w:bookmarkStart w:id="67" w:name="bookmark1"/>
    </w:p>
    <w:bookmarkEnd w:id="67"/>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近三年无重大违法记录的声明函</w:t>
      </w:r>
    </w:p>
    <w:p>
      <w:pPr>
        <w:tabs>
          <w:tab w:val="left" w:pos="9365"/>
        </w:tabs>
        <w:spacing w:before="57" w:after="57" w:line="586" w:lineRule="atLeast"/>
        <w:ind w:right="85"/>
        <w:jc w:val="left"/>
        <w:textAlignment w:val="top"/>
        <w:rPr>
          <w:rFonts w:ascii="宋体" w:hAnsi="宋体"/>
          <w:color w:val="auto"/>
          <w:sz w:val="24"/>
          <w:szCs w:val="24"/>
          <w:highlight w:val="none"/>
        </w:rPr>
      </w:pPr>
    </w:p>
    <w:p>
      <w:pPr>
        <w:tabs>
          <w:tab w:val="left" w:pos="9365"/>
        </w:tabs>
        <w:spacing w:before="57" w:after="57" w:line="586" w:lineRule="atLeast"/>
        <w:ind w:right="85"/>
        <w:jc w:val="left"/>
        <w:textAlignment w:val="top"/>
        <w:rPr>
          <w:rFonts w:ascii="宋体" w:hAnsi="宋体"/>
          <w:color w:val="auto"/>
          <w:sz w:val="24"/>
          <w:szCs w:val="24"/>
          <w:highlight w:val="none"/>
        </w:rPr>
      </w:pPr>
      <w:r>
        <w:rPr>
          <w:rFonts w:hint="eastAsia" w:ascii="宋体" w:hAnsi="宋体"/>
          <w:color w:val="auto"/>
          <w:sz w:val="24"/>
          <w:highlight w:val="none"/>
        </w:rPr>
        <w:t>安阳市方正招标采购服务有限责任公司：</w:t>
      </w:r>
    </w:p>
    <w:p>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我单位在参加政府采购活动前三年内，在经营活动中没有重大违法记录。</w:t>
      </w:r>
    </w:p>
    <w:p>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特此承诺。</w:t>
      </w:r>
    </w:p>
    <w:p>
      <w:pPr>
        <w:tabs>
          <w:tab w:val="left" w:pos="9365"/>
        </w:tabs>
        <w:spacing w:before="57" w:after="57" w:line="586" w:lineRule="atLeast"/>
        <w:ind w:right="85"/>
        <w:jc w:val="left"/>
        <w:textAlignment w:val="top"/>
        <w:rPr>
          <w:rFonts w:ascii="宋体" w:hAnsi="宋体"/>
          <w:color w:val="auto"/>
          <w:sz w:val="24"/>
          <w:szCs w:val="24"/>
          <w:highlight w:val="none"/>
        </w:rPr>
      </w:pPr>
    </w:p>
    <w:p>
      <w:pPr>
        <w:tabs>
          <w:tab w:val="left" w:pos="9365"/>
        </w:tabs>
        <w:spacing w:before="57" w:after="57" w:line="586" w:lineRule="atLeast"/>
        <w:ind w:right="85"/>
        <w:jc w:val="left"/>
        <w:textAlignment w:val="top"/>
        <w:rPr>
          <w:rFonts w:ascii="宋体" w:hAnsi="宋体"/>
          <w:color w:val="auto"/>
          <w:sz w:val="24"/>
          <w:szCs w:val="24"/>
          <w:highlight w:val="none"/>
        </w:rPr>
      </w:pPr>
    </w:p>
    <w:p>
      <w:pPr>
        <w:tabs>
          <w:tab w:val="left" w:pos="9365"/>
        </w:tabs>
        <w:spacing w:before="57" w:after="57" w:line="586" w:lineRule="atLeast"/>
        <w:ind w:right="85"/>
        <w:jc w:val="left"/>
        <w:textAlignment w:val="top"/>
        <w:rPr>
          <w:rFonts w:ascii="宋体" w:hAnsi="宋体"/>
          <w:color w:val="auto"/>
          <w:sz w:val="24"/>
          <w:szCs w:val="24"/>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pPr>
        <w:snapToGrid w:val="0"/>
        <w:spacing w:line="560" w:lineRule="atLeast"/>
        <w:jc w:val="center"/>
        <w:rPr>
          <w:rFonts w:ascii="宋体"/>
          <w:color w:val="auto"/>
          <w:sz w:val="24"/>
          <w:highlight w:val="none"/>
        </w:rPr>
      </w:pPr>
      <w:r>
        <w:rPr>
          <w:rFonts w:ascii="宋体"/>
          <w:color w:val="auto"/>
          <w:sz w:val="24"/>
          <w:highlight w:val="none"/>
        </w:rPr>
        <w:br w:type="page"/>
      </w:r>
    </w:p>
    <w:p>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投标人（电子签章）：</w:t>
      </w:r>
    </w:p>
    <w:p>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autoSpaceDE w:val="0"/>
        <w:autoSpaceDN w:val="0"/>
        <w:adjustRightInd w:val="0"/>
        <w:spacing w:line="360" w:lineRule="auto"/>
        <w:rPr>
          <w:rFonts w:ascii="黑体" w:hAnsi="黑体" w:eastAsia="黑体"/>
          <w:b/>
          <w:color w:val="auto"/>
          <w:sz w:val="30"/>
          <w:szCs w:val="30"/>
          <w:highlight w:val="none"/>
        </w:rPr>
      </w:pPr>
    </w:p>
    <w:p>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投标承诺函</w:t>
      </w:r>
    </w:p>
    <w:p>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按照谈判文件规定，在提交投标文件截止时间后，在谈判文件规定的投标有效期限内不撤回投标文件；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除不可抗拒力或谈判文件认可的情形外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遵守法律法规及谈判文件规定的其他情况；</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w:t>
      </w:r>
      <w:r>
        <w:rPr>
          <w:rFonts w:hint="eastAsia" w:ascii="宋体" w:hAnsi="宋体"/>
          <w:color w:val="auto"/>
          <w:sz w:val="24"/>
          <w:szCs w:val="24"/>
          <w:highlight w:val="none"/>
          <w:lang w:val="zh-CN"/>
        </w:rPr>
        <w:t>谈判</w:t>
      </w:r>
      <w:r>
        <w:rPr>
          <w:rFonts w:hint="eastAsia" w:ascii="宋体" w:hAnsi="宋体"/>
          <w:color w:val="auto"/>
          <w:sz w:val="24"/>
          <w:szCs w:val="24"/>
          <w:highlight w:val="none"/>
        </w:rPr>
        <w:t>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pPr>
        <w:widowControl w:val="0"/>
        <w:tabs>
          <w:tab w:val="left" w:pos="65"/>
        </w:tabs>
        <w:spacing w:line="460" w:lineRule="atLeast"/>
        <w:ind w:firstLine="480" w:firstLineChars="200"/>
        <w:textAlignment w:val="auto"/>
        <w:rPr>
          <w:color w:val="auto"/>
          <w:sz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十二、采购项目及技术服务要求所需的其他材料</w:t>
      </w:r>
    </w:p>
    <w:p>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章&gt;未作明确要求的，由法定代表人电子签名</w:t>
      </w:r>
      <w:r>
        <w:rPr>
          <w:rFonts w:hint="eastAsia" w:ascii="宋体" w:hAnsi="宋体" w:cs="楷体_GB2312"/>
          <w:color w:val="auto"/>
          <w:sz w:val="24"/>
          <w:highlight w:val="none"/>
          <w:lang w:val="zh-CN"/>
        </w:rPr>
        <w:t>&lt;签</w:t>
      </w:r>
      <w:r>
        <w:rPr>
          <w:rFonts w:hint="eastAsia" w:ascii="宋体" w:hAnsi="宋体"/>
          <w:color w:val="auto"/>
          <w:sz w:val="24"/>
          <w:szCs w:val="24"/>
          <w:highlight w:val="none"/>
        </w:rPr>
        <w:t>章&gt;或投标人电子签章）</w:t>
      </w:r>
    </w:p>
    <w:p>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如采购产品属于政府强制采购品目清单的，投标文件中应当提供相应的认证证书，认证证书应当为国家确定的认证机构出具、且应处于有效期之内。不符合的、为无效投标。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十三、投标人须知所需的其他材料</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eastAsia="方正黑体简体"/>
          <w:b/>
          <w:color w:val="auto"/>
          <w:sz w:val="30"/>
          <w:szCs w:val="30"/>
          <w:highlight w:val="none"/>
        </w:rPr>
      </w:pP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十四、评审办法所需的其他材料</w:t>
      </w:r>
    </w:p>
    <w:p>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jc w:val="center"/>
        <w:rPr>
          <w:rFonts w:ascii="宋体"/>
          <w:color w:val="auto"/>
          <w:sz w:val="24"/>
          <w:szCs w:val="24"/>
          <w:highlight w:val="none"/>
        </w:rPr>
      </w:pPr>
    </w:p>
    <w:p>
      <w:pPr>
        <w:autoSpaceDE w:val="0"/>
        <w:autoSpaceDN w:val="0"/>
        <w:adjustRightInd w:val="0"/>
        <w:spacing w:line="360" w:lineRule="auto"/>
        <w:jc w:val="center"/>
        <w:rPr>
          <w:rFonts w:ascii="宋体"/>
          <w:color w:val="auto"/>
          <w:sz w:val="24"/>
          <w:szCs w:val="24"/>
          <w:highlight w:val="none"/>
        </w:rPr>
      </w:pPr>
    </w:p>
    <w:p>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14</w:t>
      </w:r>
      <w:r>
        <w:rPr>
          <w:rFonts w:ascii="黑体" w:hAnsi="黑体" w:eastAsia="黑体"/>
          <w:b/>
          <w:color w:val="auto"/>
          <w:sz w:val="30"/>
          <w:szCs w:val="30"/>
          <w:highlight w:val="none"/>
        </w:rPr>
        <w:t>-</w:t>
      </w:r>
      <w:r>
        <w:rPr>
          <w:rFonts w:hint="eastAsia" w:ascii="黑体" w:hAnsi="黑体" w:eastAsia="黑体"/>
          <w:b/>
          <w:color w:val="auto"/>
          <w:sz w:val="30"/>
          <w:szCs w:val="30"/>
          <w:highlight w:val="none"/>
        </w:rPr>
        <w:t>1、其它材料</w:t>
      </w:r>
    </w:p>
    <w:p>
      <w:pPr>
        <w:autoSpaceDE w:val="0"/>
        <w:autoSpaceDN w:val="0"/>
        <w:adjustRightInd w:val="0"/>
        <w:spacing w:line="360" w:lineRule="auto"/>
        <w:rPr>
          <w:rFonts w:ascii="宋体"/>
          <w:color w:val="auto"/>
          <w:sz w:val="24"/>
          <w:szCs w:val="24"/>
          <w:highlight w:val="none"/>
        </w:rPr>
      </w:pPr>
    </w:p>
    <w:p>
      <w:pPr>
        <w:autoSpaceDE w:val="0"/>
        <w:autoSpaceDN w:val="0"/>
        <w:adjustRightInd w:val="0"/>
        <w:spacing w:line="360" w:lineRule="auto"/>
        <w:rPr>
          <w:rFonts w:ascii="宋体"/>
          <w:color w:val="auto"/>
          <w:sz w:val="24"/>
          <w:szCs w:val="24"/>
          <w:highlight w:val="none"/>
        </w:rPr>
      </w:pPr>
      <w:r>
        <w:rPr>
          <w:rFonts w:ascii="宋体"/>
          <w:color w:val="auto"/>
          <w:sz w:val="24"/>
          <w:szCs w:val="24"/>
          <w:highlight w:val="none"/>
        </w:rPr>
        <w:br w:type="page"/>
      </w:r>
    </w:p>
    <w:p>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14-2附件：</w:t>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关于“台式计算机、便携式计算机、一体式计算机、工作站、通用服务器、操作系统、数据库”《需求标准》政策规定所涉及的</w:t>
      </w:r>
    </w:p>
    <w:p>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投标要求、评审注意事项</w:t>
      </w:r>
    </w:p>
    <w:p>
      <w:pPr>
        <w:widowControl w:val="0"/>
        <w:tabs>
          <w:tab w:val="left" w:pos="65"/>
        </w:tabs>
        <w:spacing w:line="460" w:lineRule="atLeast"/>
        <w:ind w:firstLine="557" w:firstLineChars="198"/>
        <w:jc w:val="center"/>
        <w:textAlignment w:val="auto"/>
        <w:rPr>
          <w:b/>
          <w:color w:val="auto"/>
          <w:sz w:val="28"/>
          <w:szCs w:val="28"/>
          <w:highlight w:val="none"/>
        </w:rPr>
      </w:pPr>
      <w:r>
        <w:rPr>
          <w:rFonts w:hint="eastAsia"/>
          <w:b/>
          <w:color w:val="auto"/>
          <w:sz w:val="28"/>
          <w:szCs w:val="28"/>
          <w:highlight w:val="none"/>
        </w:rPr>
        <w:t>（投标产品如涉及）</w:t>
      </w:r>
    </w:p>
    <w:p>
      <w:pPr>
        <w:widowControl w:val="0"/>
        <w:tabs>
          <w:tab w:val="left" w:pos="65"/>
        </w:tabs>
        <w:spacing w:line="460" w:lineRule="atLeast"/>
        <w:ind w:firstLine="595" w:firstLineChars="247"/>
        <w:textAlignment w:val="auto"/>
        <w:rPr>
          <w:rFonts w:ascii="宋体" w:hAnsi="宋体"/>
          <w:color w:val="auto"/>
          <w:sz w:val="24"/>
          <w:szCs w:val="24"/>
          <w:highlight w:val="none"/>
        </w:rPr>
      </w:pPr>
      <w:r>
        <w:rPr>
          <w:rFonts w:hint="eastAsia" w:ascii="宋体" w:hAnsi="宋体"/>
          <w:b/>
          <w:color w:val="auto"/>
          <w:sz w:val="24"/>
          <w:szCs w:val="24"/>
          <w:highlight w:val="none"/>
        </w:rPr>
        <w:t>本次采购产品中、如涉及台式计算机、便携式计算机、一体式计算机、工作站、通用服务器、操作系统、数据库的，</w:t>
      </w:r>
      <w:r>
        <w:rPr>
          <w:rFonts w:hint="eastAsia" w:ascii="宋体" w:hAnsi="宋体"/>
          <w:color w:val="auto"/>
          <w:sz w:val="24"/>
          <w:szCs w:val="24"/>
          <w:highlight w:val="none"/>
        </w:rPr>
        <w:t>应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的要求。</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一、投标要求：</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无论《谈判文件》采购需求中是否列示说明，投标上述产品的、均应当符合上述需求标准。投标人对《谈判文件》采购需求及所涉需求标准有疑义、认为影响投标的，均应在投标前在法定时间内依法提出书面质疑，否则、将视为投标人对《谈判文件》采购需求及所涉需求标准的完全确认接受，采购人可以按有利于采购人工作需要的条款进行监督履行。</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2、投标人应当按《谈判文件》要求编制“投标产品清单及具体技术参数”、“技术偏差表”，以供谈判小组对投标产品是否符合《谈判文件》采购需求进行评审；不符合《谈判文件》采购需求的为无效投标。</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3、按照“台式计算机、便携式计算机、一体式计算机、工作站、通用服务器、操作系统、数据库”《需求标准》的相关政策规定，在投标、响应环节，不再对相关产品是否符合《需求标准》进行检测、认证，不再要求供应商提供符合《需求标准》的检测、认证报告的相应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按相关政策规定，供应商在投标、响应环节出具关于所提供产品满足采购文件要求承诺函（见后附格式）的，即视为相关产品符合要求，无需检测、认证报告的佐证材料。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4、按相关政策规定，履约验收中，采购人认为必要时委托依法取得检测、认证资质的机构进行检测、认证时，成交人将无条件配合。</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5、如采购人委托依法取得检测、认证资质的机构进行检测、认证后，与采购要求或投标文件承诺不一的，中标无效、并接受相应的调查处理、承担相应的违约责任。</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二、评审注意事项</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1、供应商在投标、响应环节出具关于所提供产品满足采购文件要求承诺函（见后附格式）的，即视为相关产品符合要求，无需检测、认证报告的佐证材料。</w:t>
      </w:r>
    </w:p>
    <w:p>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2、投标人应当按《谈判文件》要求编制“投标产品清单及具体技术参数”、“技术偏差表”，以供谈判小组对投标产品是否符合《谈判文件》采购需求进行评审；不符合《谈判文件》采购需求的为无效投标。</w:t>
      </w:r>
    </w:p>
    <w:p>
      <w:pPr>
        <w:widowControl w:val="0"/>
        <w:tabs>
          <w:tab w:val="left" w:pos="65"/>
        </w:tabs>
        <w:spacing w:line="460" w:lineRule="atLeast"/>
        <w:ind w:firstLine="240" w:firstLineChars="100"/>
        <w:textAlignment w:val="auto"/>
        <w:rPr>
          <w:rFonts w:ascii="宋体" w:hAnsi="宋体"/>
          <w:color w:val="auto"/>
          <w:sz w:val="24"/>
          <w:szCs w:val="24"/>
          <w:highlight w:val="none"/>
        </w:rPr>
      </w:pPr>
      <w:r>
        <w:rPr>
          <w:rFonts w:ascii="宋体" w:hAnsi="宋体"/>
          <w:color w:val="auto"/>
          <w:sz w:val="24"/>
          <w:szCs w:val="24"/>
          <w:highlight w:val="none"/>
        </w:rPr>
        <w:br w:type="page"/>
      </w:r>
    </w:p>
    <w:p>
      <w:pPr>
        <w:widowControl w:val="0"/>
        <w:tabs>
          <w:tab w:val="left" w:pos="65"/>
        </w:tabs>
        <w:spacing w:line="460" w:lineRule="atLeast"/>
        <w:ind w:firstLine="301" w:firstLineChars="100"/>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关于“台式计算机、便携式计算机、一体式计算机、工作站、通用服务器、操作系统、数据库”《需求标准》相关的承诺函</w:t>
      </w:r>
    </w:p>
    <w:p>
      <w:pPr>
        <w:widowControl w:val="0"/>
        <w:tabs>
          <w:tab w:val="left" w:pos="65"/>
        </w:tabs>
        <w:spacing w:line="460" w:lineRule="atLeast"/>
        <w:ind w:firstLine="281" w:firstLineChars="100"/>
        <w:jc w:val="center"/>
        <w:textAlignment w:val="auto"/>
        <w:rPr>
          <w:rFonts w:ascii="黑体" w:hAnsi="黑体" w:eastAsia="黑体"/>
          <w:b/>
          <w:color w:val="auto"/>
          <w:sz w:val="30"/>
          <w:szCs w:val="30"/>
          <w:highlight w:val="none"/>
        </w:rPr>
      </w:pPr>
      <w:r>
        <w:rPr>
          <w:rFonts w:hint="eastAsia"/>
          <w:b/>
          <w:color w:val="auto"/>
          <w:sz w:val="28"/>
          <w:szCs w:val="28"/>
          <w:highlight w:val="none"/>
        </w:rPr>
        <w:t>（投标产品如涉及）</w:t>
      </w:r>
    </w:p>
    <w:p>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pPr>
        <w:widowControl w:val="0"/>
        <w:tabs>
          <w:tab w:val="left" w:pos="65"/>
        </w:tabs>
        <w:spacing w:line="460" w:lineRule="atLeast"/>
        <w:ind w:firstLine="480" w:firstLineChars="200"/>
        <w:textAlignment w:val="auto"/>
        <w:rPr>
          <w:color w:val="auto"/>
          <w:sz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按《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相关政策规定，我</w:t>
      </w:r>
      <w:r>
        <w:rPr>
          <w:rFonts w:hint="eastAsia"/>
          <w:color w:val="auto"/>
          <w:sz w:val="24"/>
          <w:highlight w:val="none"/>
        </w:rPr>
        <w:t>单位承诺：</w:t>
      </w:r>
    </w:p>
    <w:p>
      <w:pPr>
        <w:widowControl w:val="0"/>
        <w:tabs>
          <w:tab w:val="left" w:pos="65"/>
        </w:tabs>
        <w:spacing w:line="480" w:lineRule="auto"/>
        <w:ind w:firstLine="480" w:firstLineChars="200"/>
        <w:textAlignment w:val="auto"/>
        <w:rPr>
          <w:rFonts w:ascii="宋体" w:hAnsi="宋体"/>
          <w:color w:val="auto"/>
          <w:sz w:val="24"/>
          <w:szCs w:val="24"/>
          <w:highlight w:val="none"/>
        </w:rPr>
      </w:pPr>
      <w:r>
        <w:rPr>
          <w:rFonts w:hint="eastAsia"/>
          <w:color w:val="auto"/>
          <w:sz w:val="24"/>
          <w:highlight w:val="none"/>
        </w:rPr>
        <w:t>一</w:t>
      </w:r>
      <w:r>
        <w:rPr>
          <w:rFonts w:hint="eastAsia" w:ascii="宋体" w:hAnsi="宋体"/>
          <w:color w:val="auto"/>
          <w:sz w:val="24"/>
          <w:szCs w:val="24"/>
          <w:highlight w:val="none"/>
        </w:rPr>
        <w:t>、我单位承诺所投产品均满足上述《需求标准》要求。</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承诺所投产品均满足谈判文件技术、商务要求，并按《谈判文件》要求编制“投标产品清单及具体技术参数”、“技术偏差表”，以供谈判小组对投标产品是否符合《谈判文件》采购需求进行评审；不符合《谈判文件》采购需求的为无效投标。</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三、按相关政策规定，履约验收中，采购人认为必要时委托依法取得检测、认证资质的机构进行检测、认证时，我单位将无条件配合。</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如采购人委托依法取得检测、认证资质的机构进行检测、认证后，与采购要求或投标文件承诺不一的，中标无效、并接受相应的调查处理、承担相应的违约责任。</w:t>
      </w:r>
    </w:p>
    <w:p>
      <w:pPr>
        <w:widowControl w:val="0"/>
        <w:tabs>
          <w:tab w:val="left" w:pos="65"/>
        </w:tabs>
        <w:spacing w:line="460" w:lineRule="atLeast"/>
        <w:ind w:firstLine="301" w:firstLineChars="100"/>
        <w:jc w:val="center"/>
        <w:textAlignment w:val="auto"/>
        <w:rPr>
          <w:rFonts w:eastAsia="方正黑体简体"/>
          <w:b/>
          <w:color w:val="auto"/>
          <w:sz w:val="30"/>
          <w:szCs w:val="30"/>
          <w:highlight w:val="none"/>
        </w:rPr>
      </w:pPr>
    </w:p>
    <w:p>
      <w:pPr>
        <w:widowControl w:val="0"/>
        <w:tabs>
          <w:tab w:val="left" w:pos="65"/>
        </w:tabs>
        <w:spacing w:line="460" w:lineRule="atLeast"/>
        <w:ind w:firstLine="301" w:firstLineChars="100"/>
        <w:jc w:val="center"/>
        <w:textAlignment w:val="auto"/>
        <w:rPr>
          <w:rFonts w:eastAsia="方正黑体简体"/>
          <w:b/>
          <w:color w:val="auto"/>
          <w:sz w:val="30"/>
          <w:szCs w:val="30"/>
          <w:highlight w:val="none"/>
        </w:rPr>
      </w:pPr>
    </w:p>
    <w:p>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pPr>
        <w:widowControl w:val="0"/>
        <w:snapToGrid w:val="0"/>
        <w:spacing w:line="360" w:lineRule="auto"/>
        <w:textAlignment w:val="top"/>
        <w:rPr>
          <w:rFonts w:ascii="宋体" w:hAnsi="宋体"/>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pPr>
        <w:adjustRightInd w:val="0"/>
        <w:snapToGrid w:val="0"/>
        <w:spacing w:line="300" w:lineRule="auto"/>
        <w:textAlignment w:val="top"/>
        <w:rPr>
          <w:rFonts w:ascii="宋体" w:cs="楷体_GB2312"/>
          <w:b/>
          <w:color w:val="auto"/>
          <w:sz w:val="30"/>
          <w:szCs w:val="30"/>
          <w:highlight w:val="none"/>
        </w:rPr>
      </w:pPr>
    </w:p>
    <w:p>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14-3附件：</w:t>
      </w:r>
    </w:p>
    <w:p>
      <w:pPr>
        <w:spacing w:line="360" w:lineRule="auto"/>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投标人按照 “证明材料查询核验工作的清单及要求” （下述）提供核验材料。</w:t>
      </w:r>
    </w:p>
    <w:p>
      <w:pPr>
        <w:spacing w:line="520" w:lineRule="exact"/>
        <w:rPr>
          <w:rFonts w:ascii="宋体" w:hAnsi="宋体"/>
          <w:color w:val="auto"/>
          <w:sz w:val="28"/>
          <w:szCs w:val="28"/>
          <w:highlight w:val="none"/>
        </w:rPr>
      </w:pPr>
    </w:p>
    <w:p>
      <w:pPr>
        <w:spacing w:line="520" w:lineRule="exact"/>
        <w:jc w:val="center"/>
        <w:rPr>
          <w:rFonts w:ascii="宋体" w:hAnsi="宋体"/>
          <w:color w:val="auto"/>
          <w:sz w:val="28"/>
          <w:szCs w:val="28"/>
          <w:highlight w:val="none"/>
        </w:rPr>
      </w:pPr>
      <w:r>
        <w:rPr>
          <w:rFonts w:hint="eastAsia" w:ascii="宋体" w:hAnsi="宋体"/>
          <w:color w:val="auto"/>
          <w:sz w:val="28"/>
          <w:szCs w:val="28"/>
          <w:highlight w:val="none"/>
        </w:rPr>
        <w:t>（核验材料需加盖投标人电子签章）</w:t>
      </w:r>
    </w:p>
    <w:p>
      <w:pPr>
        <w:spacing w:line="520" w:lineRule="exact"/>
        <w:rPr>
          <w:rFonts w:ascii="宋体" w:hAnsi="宋体"/>
          <w:color w:val="auto"/>
          <w:sz w:val="28"/>
          <w:szCs w:val="28"/>
          <w:highlight w:val="none"/>
        </w:rPr>
      </w:pPr>
    </w:p>
    <w:p>
      <w:pPr>
        <w:spacing w:line="520" w:lineRule="exact"/>
        <w:rPr>
          <w:rFonts w:ascii="宋体" w:hAnsi="宋体"/>
          <w:color w:val="auto"/>
          <w:sz w:val="28"/>
          <w:szCs w:val="28"/>
          <w:highlight w:val="none"/>
        </w:rPr>
      </w:pPr>
    </w:p>
    <w:p>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pPr>
        <w:spacing w:line="360" w:lineRule="auto"/>
        <w:ind w:firstLine="560" w:firstLineChars="200"/>
        <w:jc w:val="left"/>
        <w:rPr>
          <w:rFonts w:ascii="宋体" w:hAnsi="宋体"/>
          <w:color w:val="auto"/>
          <w:sz w:val="28"/>
          <w:szCs w:val="28"/>
          <w:highlight w:val="none"/>
        </w:rPr>
      </w:pPr>
    </w:p>
    <w:p>
      <w:pPr>
        <w:spacing w:line="360" w:lineRule="auto"/>
        <w:ind w:firstLine="607" w:firstLineChars="253"/>
        <w:jc w:val="left"/>
        <w:rPr>
          <w:rFonts w:ascii="宋体" w:hAnsi="宋体"/>
          <w:color w:val="auto"/>
          <w:sz w:val="24"/>
          <w:szCs w:val="24"/>
          <w:highlight w:val="none"/>
        </w:rPr>
      </w:pPr>
      <w:r>
        <w:rPr>
          <w:rFonts w:hint="eastAsia" w:ascii="宋体" w:hAnsi="宋体"/>
          <w:color w:val="auto"/>
          <w:sz w:val="24"/>
          <w:szCs w:val="24"/>
          <w:highlight w:val="none"/>
        </w:rPr>
        <w:t>一、投标文件所提供的证明材料中 、需网上公开查询核验的材料清单（依据2023年度监督检查工作指引网上公开查验网址）</w:t>
      </w:r>
    </w:p>
    <w:tbl>
      <w:tblPr>
        <w:tblStyle w:val="20"/>
        <w:tblW w:w="93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查验网址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1</w:t>
            </w:r>
          </w:p>
        </w:tc>
        <w:tc>
          <w:tcPr>
            <w:tcW w:w="31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软件著作权</w:t>
            </w:r>
          </w:p>
        </w:tc>
        <w:tc>
          <w:tcPr>
            <w:tcW w:w="5699"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"https://register.ccopyright.com.cn/query.html" </w:instrText>
            </w:r>
            <w:r>
              <w:rPr>
                <w:color w:val="auto"/>
                <w:highlight w:val="none"/>
              </w:rPr>
              <w:fldChar w:fldCharType="separate"/>
            </w:r>
            <w:r>
              <w:rPr>
                <w:rStyle w:val="19"/>
                <w:rFonts w:ascii="宋体" w:hAnsi="宋体"/>
                <w:color w:val="auto"/>
                <w:sz w:val="24"/>
                <w:szCs w:val="24"/>
                <w:highlight w:val="none"/>
              </w:rPr>
              <w:t>https://register.ccopyright.com.cn/query.html</w:t>
            </w:r>
            <w:r>
              <w:rPr>
                <w:rStyle w:val="19"/>
                <w:rFonts w:ascii="宋体" w:hAnsi="宋体"/>
                <w:color w:val="auto"/>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2</w:t>
            </w:r>
          </w:p>
        </w:tc>
        <w:tc>
          <w:tcPr>
            <w:tcW w:w="31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检测报告</w:t>
            </w:r>
          </w:p>
        </w:tc>
        <w:tc>
          <w:tcPr>
            <w:tcW w:w="5699"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olor w:val="auto"/>
                <w:sz w:val="24"/>
                <w:szCs w:val="24"/>
                <w:highlight w:val="none"/>
              </w:rPr>
            </w:pPr>
            <w:r>
              <w:rPr>
                <w:rFonts w:hint="eastAsia" w:ascii="宋体" w:hAnsi="宋体"/>
                <w:color w:val="auto"/>
                <w:sz w:val="24"/>
                <w:szCs w:val="24"/>
                <w:highlight w:val="none"/>
              </w:rPr>
              <w:t>优先检索市场监管总局的认证认可平台，其次检索检测机构官网。</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rPr>
                <w:rFonts w:ascii="宋体" w:hAnsi="宋体"/>
                <w:color w:val="auto"/>
                <w:sz w:val="24"/>
                <w:szCs w:val="24"/>
                <w:highlight w:val="none"/>
              </w:rPr>
            </w:pPr>
            <w:r>
              <w:rPr>
                <w:rFonts w:hint="eastAsia" w:ascii="宋体" w:hAnsi="宋体"/>
                <w:color w:val="auto"/>
                <w:sz w:val="24"/>
                <w:szCs w:val="24"/>
                <w:highlight w:val="none"/>
              </w:rPr>
              <w:t>注：根据深圳市市场监督管理局计量认证处的复函显示，深圳市倍通检测股份有限公司、中检测试技术（广东）集团有限公司、信达检测技术(深圳) 有限公司自2020年7月7日起出具的检测报告均属于无效报告。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color w:val="auto"/>
                <w:sz w:val="24"/>
                <w:szCs w:val="24"/>
                <w:highlight w:val="none"/>
              </w:rPr>
            </w:pPr>
            <w:r>
              <w:rPr>
                <w:rFonts w:hint="eastAsia" w:ascii="宋体" w:hAnsi="宋体"/>
                <w:color w:val="auto"/>
                <w:sz w:val="24"/>
                <w:szCs w:val="24"/>
                <w:highlight w:val="none"/>
              </w:rPr>
              <w:t>3</w:t>
            </w:r>
          </w:p>
        </w:tc>
        <w:tc>
          <w:tcPr>
            <w:tcW w:w="311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社保缴费记录</w:t>
            </w:r>
          </w:p>
        </w:tc>
        <w:tc>
          <w:tcPr>
            <w:tcW w:w="5699"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olor w:val="auto"/>
                <w:sz w:val="24"/>
                <w:szCs w:val="24"/>
                <w:highlight w:val="none"/>
              </w:rPr>
            </w:pPr>
            <w:r>
              <w:rPr>
                <w:rFonts w:hint="eastAsia" w:ascii="宋体" w:hAnsi="宋体"/>
                <w:color w:val="auto"/>
                <w:sz w:val="24"/>
                <w:szCs w:val="24"/>
                <w:highlight w:val="none"/>
              </w:rPr>
              <w:t>缴费地人力资源和社会保障局官网。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4</w:t>
            </w:r>
          </w:p>
        </w:tc>
        <w:tc>
          <w:tcPr>
            <w:tcW w:w="881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ascii="宋体" w:hAnsi="宋体"/>
                <w:color w:val="auto"/>
                <w:sz w:val="24"/>
                <w:szCs w:val="24"/>
                <w:highlight w:val="none"/>
              </w:rPr>
            </w:pPr>
            <w:r>
              <w:rPr>
                <w:rFonts w:hint="eastAsia" w:ascii="宋体" w:hAnsi="宋体"/>
                <w:color w:val="auto"/>
                <w:sz w:val="24"/>
                <w:szCs w:val="24"/>
                <w:highlight w:val="none"/>
              </w:rPr>
              <w:t>除上述外，投标人认为有必要的相关核实官方证明材料。（可选）</w:t>
            </w:r>
          </w:p>
        </w:tc>
      </w:tr>
    </w:tbl>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二、对投标文件所提供的证明材料中、需网上查询核验的说明及要求。</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（一）投标文件中</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基于当前监督检查工作要求，为防范虚假材料，投标人应按本14-3附件“证明材料查询核验工作的清单及要求”列示的证明材料及对应网址（监督检查工作指引列示的网上公开查询核验网址）、对投标文件中所提供证明材料进行核验，并将查询结果截图作为所提供证明材料的附件，以佐证所提供证明材料的真实性。</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投标文件中、对本14-3附件“证明材料查询核验工作的清单及要求”中的每份证明材料，均应在该证明材料后附对应的查询结果截图（并注明该截图的对应网址）、或查询异常情况说明资料。否则，谈判小组按缺少要件不予认可该份证明材料。</w:t>
      </w:r>
    </w:p>
    <w:p>
      <w:pPr>
        <w:spacing w:line="360" w:lineRule="auto"/>
        <w:ind w:firstLine="532" w:firstLineChars="22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、投标人查询异常情况的处理</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投标人按本附件列示网址查询异常的，但投标人确保其真实性的，投标人应当单独对异常情况作出说明解释，并可提供同等及以上权威部门（政府职能部门或下属机构、或其公开的认可机构）的可公开验证的查询资料、以证实证明材料的真实性。</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投标人无法按本附件列示网址（监督检查工作指引列示的网上公开查询核验网址）核验投标文件中所提供证明材料的真实性的，无法确保证明材料真实性的，不建议投标，以免中标（成交）后，在质疑处理、监督检查等工作中核验不一致、被视为虚假材料而承责。</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（2）网站异常</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全国政务持续发展、持续革新的大好局面，投标人在按本附件列示网址查询核验时，如遇部分网站更新等无法查询情况时，需及时书面反馈（请按第一章采购公告联系方式书面反馈）。经核实会商、将对此证明材料的查询核验事项发布澄清修改公告。</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未发布查询核验事项的澄清修改公告的，为投标人自身原因的查询异常，请该投标人深入认真自查自身原因或向相应网站反馈解决。</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（3）网站异常产生的外在投标风险由投标人自行承担。</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（二）评审时的要件审核</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部分证明材料的查询核验需投标人（或个人）相关信息登录查询，基于评审工作保密性不具备查询条件等客观因素，评审中，谈判小组只对核验材料进行形式要件审核（评委对证明材料按采购文件要求进行详细评审），对核验材料的形式要件审核为：核对有无查询结果截图（或查询异常情况说明资料）、核对证明材料与查询结果截图的对应一致性。</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证明材料未附查询结果截图或查询异常情况说明资料的，谈判小组按缺少要件不予认可该份证明材料。</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在质疑处理（或其他工作要求）中，成交人（被质疑方）应当配合提供相应信息，以对投标文件中所提供证明材料进行核验工作（按照监督检查工作指引列示的网上公开查询核验网址进行核验）。如查询异常或虚假，均将上报监督部门按提供虚假材料规定给予处罚。</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查询异常的，成交人如无其他权威证明，将视作提供虚假材料。</w:t>
      </w:r>
    </w:p>
    <w:p>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三、除本14-3附件列示的网上公开查询核验的材料清单外，对其他证明材料，在质疑处理（或其他工作要求）中，成交人应当提供证明材料原件以证实证明材料的真实性。</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本14-3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注：投标人对投标文件中所提供证明材料及核验证明材料的真实性负责、自行承担相应责任。</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核验过程中涉及投标人（或个人）自身账号、密码等信息时，投标人（或个人）应积极配合核验工作。</w:t>
      </w:r>
    </w:p>
    <w:p>
      <w:pPr>
        <w:autoSpaceDE w:val="0"/>
        <w:autoSpaceDN w:val="0"/>
        <w:adjustRightInd w:val="0"/>
        <w:spacing w:line="360" w:lineRule="auto"/>
        <w:rPr>
          <w:rFonts w:eastAsia="方正黑体简体"/>
          <w:b/>
          <w:color w:val="auto"/>
          <w:sz w:val="30"/>
          <w:szCs w:val="30"/>
          <w:highlight w:val="none"/>
        </w:rPr>
      </w:pPr>
      <w:r>
        <w:rPr>
          <w:rFonts w:eastAsia="方正黑体简体"/>
          <w:b/>
          <w:color w:val="auto"/>
          <w:sz w:val="30"/>
          <w:szCs w:val="30"/>
          <w:highlight w:val="none"/>
        </w:rPr>
        <w:br w:type="page"/>
      </w:r>
    </w:p>
    <w:p>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十五、投标人认为有必要提交的其它材料</w:t>
      </w:r>
    </w:p>
    <w:p>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w:t>
      </w:r>
      <w:r>
        <w:rPr>
          <w:rFonts w:hint="eastAsia"/>
          <w:color w:val="auto"/>
          <w:sz w:val="24"/>
          <w:szCs w:val="24"/>
          <w:highlight w:val="none"/>
        </w:rPr>
        <w:t>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pPr>
        <w:autoSpaceDE w:val="0"/>
        <w:autoSpaceDN w:val="0"/>
        <w:adjustRightInd w:val="0"/>
        <w:spacing w:line="360" w:lineRule="auto"/>
        <w:rPr>
          <w:rFonts w:ascii="宋体"/>
          <w:b/>
          <w:bCs/>
          <w:color w:val="auto"/>
          <w:sz w:val="24"/>
          <w:highlight w:val="none"/>
        </w:rPr>
      </w:pPr>
      <w:r>
        <w:rPr>
          <w:rFonts w:ascii="宋体" w:hAnsi="宋体"/>
          <w:color w:val="auto"/>
          <w:sz w:val="24"/>
          <w:szCs w:val="24"/>
          <w:highlight w:val="none"/>
        </w:rPr>
        <w:br w:type="page"/>
      </w:r>
    </w:p>
    <w:p>
      <w:pPr>
        <w:spacing w:line="588" w:lineRule="exact"/>
        <w:jc w:val="center"/>
        <w:rPr>
          <w:rFonts w:ascii="黑体" w:hAnsi="黑体" w:eastAsia="黑体"/>
          <w:b/>
          <w:color w:val="auto"/>
          <w:sz w:val="24"/>
          <w:szCs w:val="24"/>
          <w:highlight w:val="none"/>
        </w:rPr>
      </w:pPr>
      <w:r>
        <w:rPr>
          <w:rFonts w:hint="eastAsia" w:ascii="黑体" w:hAnsi="黑体" w:eastAsia="黑体"/>
          <w:b/>
          <w:color w:val="auto"/>
          <w:sz w:val="30"/>
          <w:szCs w:val="30"/>
          <w:highlight w:val="none"/>
        </w:rPr>
        <w:t>十六、</w:t>
      </w:r>
      <w:r>
        <w:rPr>
          <w:rFonts w:ascii="黑体" w:hAnsi="黑体" w:eastAsia="黑体"/>
          <w:b/>
          <w:color w:val="auto"/>
          <w:sz w:val="30"/>
          <w:szCs w:val="30"/>
          <w:highlight w:val="none"/>
        </w:rPr>
        <w:t>中小企业声明函</w:t>
      </w:r>
      <w:r>
        <w:rPr>
          <w:rFonts w:hint="eastAsia" w:ascii="宋体" w:hAnsi="宋体" w:cs="MingLiU"/>
          <w:color w:val="auto"/>
          <w:spacing w:val="30"/>
          <w:sz w:val="24"/>
          <w:szCs w:val="24"/>
          <w:highlight w:val="none"/>
        </w:rPr>
        <w:t>（如有）</w:t>
      </w:r>
    </w:p>
    <w:p>
      <w:pPr>
        <w:spacing w:line="588" w:lineRule="exact"/>
        <w:jc w:val="center"/>
        <w:rPr>
          <w:rFonts w:ascii="黑体" w:hAnsi="黑体" w:eastAsia="黑体"/>
          <w:b/>
          <w:color w:val="auto"/>
          <w:sz w:val="30"/>
          <w:szCs w:val="30"/>
          <w:highlight w:val="none"/>
        </w:rPr>
      </w:pP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本公司（联合体）郑重声明，根据《政府采购促进中小企业发展管理办法》（财库〔2020〕46号）的规定，本公司(联合体）参加</w:t>
      </w:r>
      <w:r>
        <w:rPr>
          <w:rFonts w:ascii="宋体" w:hAnsi="宋体"/>
          <w:color w:val="auto"/>
          <w:spacing w:val="6"/>
          <w:sz w:val="24"/>
          <w:szCs w:val="24"/>
          <w:highlight w:val="none"/>
          <w:u w:val="single"/>
        </w:rPr>
        <w:t>（单位名称）</w:t>
      </w:r>
      <w:r>
        <w:rPr>
          <w:rFonts w:ascii="宋体" w:hAnsi="宋体"/>
          <w:color w:val="auto"/>
          <w:spacing w:val="6"/>
          <w:sz w:val="24"/>
          <w:szCs w:val="24"/>
          <w:highlight w:val="none"/>
        </w:rPr>
        <w:t>的</w:t>
      </w:r>
      <w:r>
        <w:rPr>
          <w:rFonts w:ascii="宋体" w:hAnsi="宋体"/>
          <w:color w:val="auto"/>
          <w:spacing w:val="6"/>
          <w:sz w:val="24"/>
          <w:szCs w:val="24"/>
          <w:highlight w:val="none"/>
          <w:u w:val="single"/>
        </w:rPr>
        <w:t>（项目名称）</w:t>
      </w:r>
      <w:r>
        <w:rPr>
          <w:rFonts w:ascii="宋体" w:hAnsi="宋体"/>
          <w:color w:val="auto"/>
          <w:spacing w:val="6"/>
          <w:sz w:val="24"/>
          <w:szCs w:val="24"/>
          <w:highlight w:val="none"/>
        </w:rPr>
        <w:t>采购活动，提供的货物全部由符合政策要求的中小企业制造。相关企业 (含联合体中的中小企业、签订分包意向协议的中小企业）的具体情况如下：</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1.</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vertAlign w:val="superscript"/>
        </w:rPr>
        <w:t>1</w:t>
      </w:r>
      <w:r>
        <w:rPr>
          <w:rFonts w:hint="eastAsia" w:ascii="宋体" w:hAnsi="宋体"/>
          <w:color w:val="auto"/>
          <w:spacing w:val="6"/>
          <w:sz w:val="24"/>
          <w:szCs w:val="24"/>
          <w:highlight w:val="none"/>
        </w:rPr>
        <w:t>，采购文件中明确的所属行业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2.</w:t>
      </w:r>
      <w:r>
        <w:rPr>
          <w:rFonts w:ascii="宋体" w:hAnsi="宋体"/>
          <w:color w:val="auto"/>
          <w:spacing w:val="6"/>
          <w:sz w:val="24"/>
          <w:szCs w:val="24"/>
          <w:highlight w:val="none"/>
        </w:rPr>
        <w:t xml:space="preserve"> </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rPr>
        <w:t>，采购文件中明确的所属行业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w:t>
      </w: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本企业对上述声明内容的真实性负责。如有虚假，将依法承担相应责任。</w:t>
      </w:r>
    </w:p>
    <w:p>
      <w:pPr>
        <w:spacing w:line="588" w:lineRule="exact"/>
        <w:rPr>
          <w:rFonts w:ascii="宋体" w:hAnsi="宋体"/>
          <w:color w:val="auto"/>
          <w:spacing w:val="6"/>
          <w:sz w:val="24"/>
          <w:szCs w:val="24"/>
          <w:highlight w:val="none"/>
        </w:rPr>
      </w:pPr>
    </w:p>
    <w:p>
      <w:pPr>
        <w:pStyle w:val="60"/>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pPr>
        <w:spacing w:line="588" w:lineRule="exact"/>
        <w:ind w:firstLine="504" w:firstLineChars="200"/>
        <w:rPr>
          <w:rFonts w:ascii="宋体" w:hAnsi="宋体"/>
          <w:color w:val="auto"/>
          <w:spacing w:val="6"/>
          <w:sz w:val="24"/>
          <w:szCs w:val="24"/>
          <w:highlight w:val="none"/>
        </w:rPr>
      </w:pPr>
    </w:p>
    <w:p>
      <w:pPr>
        <w:spacing w:line="240" w:lineRule="auto"/>
        <w:jc w:val="center"/>
        <w:textAlignment w:val="auto"/>
        <w:rPr>
          <w:rFonts w:ascii="黑体" w:hAnsi="黑体" w:eastAsia="黑体"/>
          <w:b/>
          <w:color w:val="auto"/>
          <w:sz w:val="30"/>
          <w:szCs w:val="30"/>
          <w:highlight w:val="none"/>
        </w:rPr>
      </w:pPr>
    </w:p>
    <w:p>
      <w:pPr>
        <w:spacing w:line="240" w:lineRule="auto"/>
        <w:rPr>
          <w:rFonts w:ascii="宋体" w:hAnsi="宋体"/>
          <w:color w:val="auto"/>
          <w:sz w:val="18"/>
          <w:szCs w:val="18"/>
          <w:highlight w:val="none"/>
        </w:rPr>
      </w:pPr>
      <w:r>
        <w:rPr>
          <w:rFonts w:hint="eastAsia" w:ascii="宋体" w:hAnsi="宋体"/>
          <w:color w:val="auto"/>
          <w:sz w:val="18"/>
          <w:szCs w:val="18"/>
          <w:highlight w:val="none"/>
        </w:rPr>
        <w:t>注：1、</w:t>
      </w:r>
      <w:r>
        <w:rPr>
          <w:rStyle w:val="58"/>
          <w:rFonts w:ascii="宋体" w:hAnsi="宋体" w:eastAsia="宋体"/>
          <w:color w:val="auto"/>
          <w:sz w:val="18"/>
          <w:szCs w:val="18"/>
          <w:highlight w:val="none"/>
          <w:vertAlign w:val="superscript"/>
        </w:rPr>
        <w:t>1</w:t>
      </w:r>
      <w:r>
        <w:rPr>
          <w:rStyle w:val="59"/>
          <w:rFonts w:ascii="宋体" w:hAnsi="宋体" w:eastAsia="宋体"/>
          <w:color w:val="auto"/>
          <w:highlight w:val="none"/>
        </w:rPr>
        <w:t>从业人员、营业收入、资产总额填报上一年度数据，无上一年度数据的新成立企业可不填报</w:t>
      </w:r>
      <w:r>
        <w:rPr>
          <w:rStyle w:val="59"/>
          <w:rFonts w:hint="eastAsia" w:ascii="宋体" w:hAnsi="宋体" w:eastAsia="宋体"/>
          <w:color w:val="auto"/>
          <w:highlight w:val="none"/>
        </w:rPr>
        <w:t>。</w:t>
      </w:r>
    </w:p>
    <w:p>
      <w:pPr>
        <w:spacing w:line="240" w:lineRule="auto"/>
        <w:rPr>
          <w:rFonts w:ascii="宋体" w:hAnsi="宋体"/>
          <w:color w:val="auto"/>
          <w:sz w:val="18"/>
          <w:szCs w:val="18"/>
          <w:highlight w:val="none"/>
        </w:rPr>
      </w:pPr>
      <w:r>
        <w:rPr>
          <w:rFonts w:hint="eastAsia" w:ascii="宋体" w:hAnsi="宋体"/>
          <w:color w:val="auto"/>
          <w:sz w:val="18"/>
          <w:szCs w:val="18"/>
          <w:highlight w:val="none"/>
        </w:rPr>
        <w:t xml:space="preserve"> 2、</w:t>
      </w:r>
      <w:r>
        <w:rPr>
          <w:rStyle w:val="59"/>
          <w:rFonts w:hint="eastAsia" w:ascii="宋体" w:hAnsi="宋体" w:eastAsia="宋体"/>
          <w:color w:val="auto"/>
          <w:highlight w:val="none"/>
        </w:rPr>
        <w:t>谈判文件中未标注“专门面向中小企业采购”的未预留（非预留）项目，投标人可以根据自身情况提供《中小企业声明函》，未提供《中小企业声明函》的、将不享受小微企业价格扣除扶持政策。</w:t>
      </w:r>
    </w:p>
    <w:p>
      <w:pPr>
        <w:widowControl w:val="0"/>
        <w:tabs>
          <w:tab w:val="left" w:pos="9365"/>
        </w:tabs>
        <w:snapToGrid w:val="0"/>
        <w:spacing w:after="56" w:line="560" w:lineRule="exact"/>
        <w:ind w:right="85" w:firstLine="452" w:firstLineChars="150"/>
        <w:textAlignment w:val="top"/>
        <w:rPr>
          <w:rFonts w:ascii="黑体" w:hAnsi="黑体" w:eastAsia="黑体"/>
          <w:b/>
          <w:color w:val="auto"/>
          <w:sz w:val="30"/>
          <w:szCs w:val="30"/>
          <w:highlight w:val="none"/>
        </w:rPr>
      </w:pPr>
      <w:r>
        <w:rPr>
          <w:rFonts w:ascii="黑体" w:hAnsi="黑体" w:eastAsia="黑体"/>
          <w:b/>
          <w:color w:val="auto"/>
          <w:sz w:val="30"/>
          <w:szCs w:val="30"/>
          <w:highlight w:val="none"/>
        </w:rPr>
        <w:br w:type="page"/>
      </w:r>
    </w:p>
    <w:p>
      <w:pPr>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pPr>
        <w:spacing w:line="588" w:lineRule="exact"/>
        <w:rPr>
          <w:rFonts w:ascii="仿宋_GB2312" w:eastAsia="仿宋_GB2312"/>
          <w:b/>
          <w:color w:val="auto"/>
          <w:spacing w:val="6"/>
          <w:sz w:val="30"/>
          <w:szCs w:val="30"/>
          <w:highlight w:val="none"/>
        </w:rPr>
      </w:pP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pPr>
        <w:spacing w:line="588" w:lineRule="exact"/>
        <w:ind w:firstLine="504" w:firstLineChars="200"/>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p>
    <w:p>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pPr>
        <w:snapToGrid w:val="0"/>
        <w:spacing w:before="100" w:beforeAutospacing="1" w:after="100" w:afterAutospacing="1" w:line="540" w:lineRule="exact"/>
        <w:ind w:right="85"/>
        <w:jc w:val="left"/>
        <w:textAlignment w:val="top"/>
        <w:rPr>
          <w:rFonts w:ascii="宋体" w:hAnsi="宋体"/>
          <w:color w:val="auto"/>
          <w:sz w:val="24"/>
          <w:szCs w:val="24"/>
          <w:highlight w:val="none"/>
        </w:rPr>
      </w:pPr>
    </w:p>
    <w:p>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pPr>
        <w:spacing w:line="240" w:lineRule="auto"/>
        <w:jc w:val="left"/>
        <w:textAlignment w:val="auto"/>
        <w:rPr>
          <w:rFonts w:ascii="宋体" w:cs="楷体_GB2312"/>
          <w:b/>
          <w:color w:val="auto"/>
          <w:sz w:val="30"/>
          <w:szCs w:val="30"/>
          <w:highlight w:val="none"/>
          <w:lang w:val="zh-CN"/>
        </w:rPr>
      </w:pPr>
    </w:p>
    <w:sectPr>
      <w:pgSz w:w="11905" w:h="16837"/>
      <w:pgMar w:top="1091" w:right="1106" w:bottom="993" w:left="1418"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MingLiU">
    <w:altName w:val="Microsoft JhengHei UI"/>
    <w:panose1 w:val="020203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MS Mincho">
    <w:altName w:val="Times New Roman"/>
    <w:panose1 w:val="02020609040205080304"/>
    <w:charset w:val="80"/>
    <w:family w:val="modern"/>
    <w:pitch w:val="default"/>
    <w:sig w:usb0="00000000" w:usb1="00000000" w:usb2="00000010" w:usb3="00000000" w:csb0="4002009F" w:csb1="DFD7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18"/>
        <w:rFonts w:ascii="宋体" w:hAnsi="宋体"/>
        <w:szCs w:val="21"/>
        <w:u w:val="single"/>
      </w:rPr>
      <w:fldChar w:fldCharType="begin"/>
    </w:r>
    <w:r>
      <w:rPr>
        <w:rStyle w:val="18"/>
        <w:rFonts w:ascii="宋体" w:hAnsi="宋体"/>
        <w:szCs w:val="21"/>
        <w:u w:val="single"/>
      </w:rPr>
      <w:instrText xml:space="preserve"> PAGE </w:instrText>
    </w:r>
    <w:r>
      <w:rPr>
        <w:rStyle w:val="18"/>
        <w:rFonts w:ascii="宋体" w:hAnsi="宋体"/>
        <w:szCs w:val="21"/>
        <w:u w:val="single"/>
      </w:rPr>
      <w:fldChar w:fldCharType="separate"/>
    </w:r>
    <w:r>
      <w:rPr>
        <w:rStyle w:val="18"/>
        <w:rFonts w:ascii="宋体" w:hAnsi="宋体"/>
        <w:szCs w:val="21"/>
        <w:u w:val="single"/>
      </w:rPr>
      <w:t>- 78 -</w:t>
    </w:r>
    <w:r>
      <w:rPr>
        <w:rStyle w:val="18"/>
        <w:rFonts w:ascii="宋体" w:hAnsi="宋体"/>
        <w:szCs w:val="21"/>
        <w:u w:val="single"/>
      </w:rPr>
      <w:fldChar w:fldCharType="end"/>
    </w:r>
    <w:r>
      <w:rPr>
        <w:rStyle w:val="18"/>
        <w:rFonts w:ascii="宋体" w:hAnsi="宋体"/>
        <w:szCs w:val="21"/>
        <w:u w:val="single"/>
      </w:rPr>
      <w:t xml:space="preserve"> </w:t>
    </w:r>
    <w:r>
      <w:rPr>
        <w:rStyle w:val="18"/>
        <w:rFonts w:hint="eastAsia" w:ascii="宋体" w:hAnsi="宋体"/>
        <w:szCs w:val="21"/>
        <w:u w:val="single"/>
      </w:rPr>
      <w:t>（</w:t>
    </w:r>
    <w:r>
      <w:rPr>
        <w:rFonts w:hint="eastAsia" w:ascii="宋体" w:hAnsi="宋体"/>
        <w:szCs w:val="21"/>
        <w:u w:val="single"/>
      </w:rPr>
      <w:t>共</w:t>
    </w:r>
    <w:r>
      <w:rPr>
        <w:rFonts w:hint="eastAsia"/>
        <w:u w:val="single"/>
      </w:rPr>
      <w:t>85</w:t>
    </w:r>
    <w:r>
      <w:rPr>
        <w:rFonts w:hint="eastAsia" w:ascii="宋体" w:hAnsi="宋体"/>
        <w:szCs w:val="21"/>
        <w:u w:val="single"/>
      </w:rPr>
      <w:t>页</w:t>
    </w:r>
    <w:r>
      <w:rPr>
        <w:rFonts w:ascii="宋体" w:hAnsi="宋体"/>
        <w:szCs w:val="21"/>
        <w:u w:val="single"/>
      </w:rPr>
      <w:t>)</w:t>
    </w:r>
    <w:r>
      <w:rPr>
        <w:rFonts w:ascii="宋体" w:hAnsi="宋体"/>
      </w:rPr>
      <w:pict>
        <v:shape id="_x0000_s4098" o:spid="_x0000_s4098" o:spt="202" type="#_x0000_t202" style="position:absolute;left:0pt;margin-left:70.85pt;margin-top:799.35pt;height:14.15pt;width:453.5pt;mso-position-horizontal-relative:page;mso-position-vertical-relative:page;z-index:-251656192;mso-width-relative:page;mso-height-relative:page;" filled="f" o:preferrelative="t" stroked="f" coordsize="21600,21600" o:allowincell="f">
          <v:path/>
          <v:fill on="f" opacity="0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o:preferrelative="t" stroked="f" coordsize="21600,21600" o:allowincell="f">
          <v:path/>
          <v:fill on="f" opacity="0f" focussize="0,0"/>
          <v:stroke on="f" joinstyle="miter"/>
          <v:imagedata o:title=""/>
          <o:lock v:ext="edi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90B"/>
    <w:rsid w:val="000009A9"/>
    <w:rsid w:val="00001B2F"/>
    <w:rsid w:val="00001D7A"/>
    <w:rsid w:val="00003060"/>
    <w:rsid w:val="000055BB"/>
    <w:rsid w:val="0001285D"/>
    <w:rsid w:val="00012C28"/>
    <w:rsid w:val="00013814"/>
    <w:rsid w:val="00013DB2"/>
    <w:rsid w:val="00017CFC"/>
    <w:rsid w:val="00017E1E"/>
    <w:rsid w:val="00021EFD"/>
    <w:rsid w:val="00022C34"/>
    <w:rsid w:val="00023676"/>
    <w:rsid w:val="00024608"/>
    <w:rsid w:val="00025F1E"/>
    <w:rsid w:val="0002643A"/>
    <w:rsid w:val="0002701F"/>
    <w:rsid w:val="000339BC"/>
    <w:rsid w:val="00034EBE"/>
    <w:rsid w:val="00035118"/>
    <w:rsid w:val="0003567F"/>
    <w:rsid w:val="00035CA9"/>
    <w:rsid w:val="00036AA4"/>
    <w:rsid w:val="00041891"/>
    <w:rsid w:val="00042CA8"/>
    <w:rsid w:val="00043821"/>
    <w:rsid w:val="00043CBA"/>
    <w:rsid w:val="00044F84"/>
    <w:rsid w:val="00045540"/>
    <w:rsid w:val="00046A4B"/>
    <w:rsid w:val="00046C08"/>
    <w:rsid w:val="00051B50"/>
    <w:rsid w:val="0005241B"/>
    <w:rsid w:val="000565C4"/>
    <w:rsid w:val="00057834"/>
    <w:rsid w:val="00057F78"/>
    <w:rsid w:val="000602CF"/>
    <w:rsid w:val="0006134B"/>
    <w:rsid w:val="00062821"/>
    <w:rsid w:val="000651DA"/>
    <w:rsid w:val="00072834"/>
    <w:rsid w:val="000738CA"/>
    <w:rsid w:val="0007390E"/>
    <w:rsid w:val="00073931"/>
    <w:rsid w:val="00073A45"/>
    <w:rsid w:val="00074766"/>
    <w:rsid w:val="00077629"/>
    <w:rsid w:val="00080AE9"/>
    <w:rsid w:val="00081092"/>
    <w:rsid w:val="00081801"/>
    <w:rsid w:val="00081ACD"/>
    <w:rsid w:val="00081C6C"/>
    <w:rsid w:val="00081EB8"/>
    <w:rsid w:val="00081F16"/>
    <w:rsid w:val="00081F58"/>
    <w:rsid w:val="000823AD"/>
    <w:rsid w:val="000829A8"/>
    <w:rsid w:val="00082FC4"/>
    <w:rsid w:val="000832B2"/>
    <w:rsid w:val="0008431C"/>
    <w:rsid w:val="0008447C"/>
    <w:rsid w:val="000847D3"/>
    <w:rsid w:val="00084AB6"/>
    <w:rsid w:val="00086706"/>
    <w:rsid w:val="00086B70"/>
    <w:rsid w:val="00087637"/>
    <w:rsid w:val="000900BA"/>
    <w:rsid w:val="00090D6B"/>
    <w:rsid w:val="00090EB6"/>
    <w:rsid w:val="00090FEC"/>
    <w:rsid w:val="00091C5E"/>
    <w:rsid w:val="00092A9B"/>
    <w:rsid w:val="00092FFF"/>
    <w:rsid w:val="000933F0"/>
    <w:rsid w:val="00093A6B"/>
    <w:rsid w:val="000956CE"/>
    <w:rsid w:val="00096A9B"/>
    <w:rsid w:val="0009779D"/>
    <w:rsid w:val="000A152E"/>
    <w:rsid w:val="000A1C72"/>
    <w:rsid w:val="000A2E93"/>
    <w:rsid w:val="000A3597"/>
    <w:rsid w:val="000A36C8"/>
    <w:rsid w:val="000A3FE8"/>
    <w:rsid w:val="000A4640"/>
    <w:rsid w:val="000A4F8E"/>
    <w:rsid w:val="000A55EE"/>
    <w:rsid w:val="000A6CD3"/>
    <w:rsid w:val="000A6D2F"/>
    <w:rsid w:val="000A7E88"/>
    <w:rsid w:val="000B1334"/>
    <w:rsid w:val="000B1BD0"/>
    <w:rsid w:val="000B22A3"/>
    <w:rsid w:val="000B380C"/>
    <w:rsid w:val="000B4758"/>
    <w:rsid w:val="000B5412"/>
    <w:rsid w:val="000B6571"/>
    <w:rsid w:val="000B709F"/>
    <w:rsid w:val="000C1E47"/>
    <w:rsid w:val="000C2A71"/>
    <w:rsid w:val="000C2AA6"/>
    <w:rsid w:val="000C2ED3"/>
    <w:rsid w:val="000C4940"/>
    <w:rsid w:val="000C4BA5"/>
    <w:rsid w:val="000C4C3B"/>
    <w:rsid w:val="000D0476"/>
    <w:rsid w:val="000D2631"/>
    <w:rsid w:val="000D46DD"/>
    <w:rsid w:val="000D5549"/>
    <w:rsid w:val="000D619E"/>
    <w:rsid w:val="000D7406"/>
    <w:rsid w:val="000D7EA9"/>
    <w:rsid w:val="000E02FC"/>
    <w:rsid w:val="000E1639"/>
    <w:rsid w:val="000E2414"/>
    <w:rsid w:val="000E2432"/>
    <w:rsid w:val="000E4B27"/>
    <w:rsid w:val="000E4CE0"/>
    <w:rsid w:val="000E5379"/>
    <w:rsid w:val="000E54A0"/>
    <w:rsid w:val="000E632B"/>
    <w:rsid w:val="000E6AAA"/>
    <w:rsid w:val="000F0324"/>
    <w:rsid w:val="000F108C"/>
    <w:rsid w:val="000F3188"/>
    <w:rsid w:val="000F3D46"/>
    <w:rsid w:val="000F4146"/>
    <w:rsid w:val="000F6070"/>
    <w:rsid w:val="000F71A3"/>
    <w:rsid w:val="000F73C6"/>
    <w:rsid w:val="000F7917"/>
    <w:rsid w:val="001013AB"/>
    <w:rsid w:val="001019D8"/>
    <w:rsid w:val="00101EAB"/>
    <w:rsid w:val="001023AB"/>
    <w:rsid w:val="001041CB"/>
    <w:rsid w:val="00107435"/>
    <w:rsid w:val="00110434"/>
    <w:rsid w:val="001118D4"/>
    <w:rsid w:val="00113293"/>
    <w:rsid w:val="00114EE3"/>
    <w:rsid w:val="001163D8"/>
    <w:rsid w:val="00116DFD"/>
    <w:rsid w:val="00120C96"/>
    <w:rsid w:val="001212EB"/>
    <w:rsid w:val="00122298"/>
    <w:rsid w:val="0012307F"/>
    <w:rsid w:val="00123128"/>
    <w:rsid w:val="001234C9"/>
    <w:rsid w:val="00124F88"/>
    <w:rsid w:val="00126132"/>
    <w:rsid w:val="0012648C"/>
    <w:rsid w:val="0012732E"/>
    <w:rsid w:val="001279FE"/>
    <w:rsid w:val="001304AB"/>
    <w:rsid w:val="00131B13"/>
    <w:rsid w:val="00131CCB"/>
    <w:rsid w:val="00132172"/>
    <w:rsid w:val="001321E1"/>
    <w:rsid w:val="00132364"/>
    <w:rsid w:val="00132A89"/>
    <w:rsid w:val="001342A5"/>
    <w:rsid w:val="00135227"/>
    <w:rsid w:val="00135251"/>
    <w:rsid w:val="00137369"/>
    <w:rsid w:val="001378C9"/>
    <w:rsid w:val="001401E4"/>
    <w:rsid w:val="00141D13"/>
    <w:rsid w:val="00142572"/>
    <w:rsid w:val="00142EF6"/>
    <w:rsid w:val="00143832"/>
    <w:rsid w:val="00144E92"/>
    <w:rsid w:val="001507A5"/>
    <w:rsid w:val="00152007"/>
    <w:rsid w:val="00152E6D"/>
    <w:rsid w:val="00152FD1"/>
    <w:rsid w:val="001532B2"/>
    <w:rsid w:val="001537D5"/>
    <w:rsid w:val="00154FBD"/>
    <w:rsid w:val="00155298"/>
    <w:rsid w:val="00155525"/>
    <w:rsid w:val="00161255"/>
    <w:rsid w:val="00161B8C"/>
    <w:rsid w:val="00164692"/>
    <w:rsid w:val="00165AF5"/>
    <w:rsid w:val="00166938"/>
    <w:rsid w:val="0016693E"/>
    <w:rsid w:val="001672C3"/>
    <w:rsid w:val="0016783C"/>
    <w:rsid w:val="001678FA"/>
    <w:rsid w:val="001708C3"/>
    <w:rsid w:val="00170AE1"/>
    <w:rsid w:val="00170E55"/>
    <w:rsid w:val="00170F9A"/>
    <w:rsid w:val="00170FDB"/>
    <w:rsid w:val="001719D7"/>
    <w:rsid w:val="00172A27"/>
    <w:rsid w:val="00172A7E"/>
    <w:rsid w:val="00174C97"/>
    <w:rsid w:val="00175E3A"/>
    <w:rsid w:val="001777B6"/>
    <w:rsid w:val="0017792A"/>
    <w:rsid w:val="0018076B"/>
    <w:rsid w:val="00180E2F"/>
    <w:rsid w:val="001813F3"/>
    <w:rsid w:val="00181A4E"/>
    <w:rsid w:val="00182803"/>
    <w:rsid w:val="00183BF5"/>
    <w:rsid w:val="00183C38"/>
    <w:rsid w:val="00184540"/>
    <w:rsid w:val="00184FE8"/>
    <w:rsid w:val="00186AF5"/>
    <w:rsid w:val="00193FCE"/>
    <w:rsid w:val="001941B8"/>
    <w:rsid w:val="00194451"/>
    <w:rsid w:val="001949DF"/>
    <w:rsid w:val="00194D1C"/>
    <w:rsid w:val="00195036"/>
    <w:rsid w:val="0019595A"/>
    <w:rsid w:val="00195ACA"/>
    <w:rsid w:val="0019697C"/>
    <w:rsid w:val="001A0309"/>
    <w:rsid w:val="001A0470"/>
    <w:rsid w:val="001A1BB5"/>
    <w:rsid w:val="001A1D5B"/>
    <w:rsid w:val="001A246D"/>
    <w:rsid w:val="001A29EC"/>
    <w:rsid w:val="001A6EC8"/>
    <w:rsid w:val="001A733E"/>
    <w:rsid w:val="001A786E"/>
    <w:rsid w:val="001B0C40"/>
    <w:rsid w:val="001B1895"/>
    <w:rsid w:val="001B399F"/>
    <w:rsid w:val="001B3DD4"/>
    <w:rsid w:val="001B46BC"/>
    <w:rsid w:val="001B5626"/>
    <w:rsid w:val="001B6072"/>
    <w:rsid w:val="001B63AC"/>
    <w:rsid w:val="001C050D"/>
    <w:rsid w:val="001C0CBE"/>
    <w:rsid w:val="001C2D34"/>
    <w:rsid w:val="001C397C"/>
    <w:rsid w:val="001C6505"/>
    <w:rsid w:val="001C71F2"/>
    <w:rsid w:val="001C78A1"/>
    <w:rsid w:val="001D0621"/>
    <w:rsid w:val="001D0DA4"/>
    <w:rsid w:val="001D14A1"/>
    <w:rsid w:val="001D17A7"/>
    <w:rsid w:val="001D23F7"/>
    <w:rsid w:val="001D2F63"/>
    <w:rsid w:val="001D3921"/>
    <w:rsid w:val="001D3B0B"/>
    <w:rsid w:val="001D4968"/>
    <w:rsid w:val="001D57AD"/>
    <w:rsid w:val="001D5C73"/>
    <w:rsid w:val="001D61CE"/>
    <w:rsid w:val="001D6398"/>
    <w:rsid w:val="001E04F2"/>
    <w:rsid w:val="001E0A3F"/>
    <w:rsid w:val="001E1A46"/>
    <w:rsid w:val="001E30AE"/>
    <w:rsid w:val="001E45BE"/>
    <w:rsid w:val="001E4F93"/>
    <w:rsid w:val="001E58CE"/>
    <w:rsid w:val="001E60F3"/>
    <w:rsid w:val="001E66B1"/>
    <w:rsid w:val="001E7368"/>
    <w:rsid w:val="001F0376"/>
    <w:rsid w:val="001F0470"/>
    <w:rsid w:val="001F0931"/>
    <w:rsid w:val="001F15D0"/>
    <w:rsid w:val="001F1A30"/>
    <w:rsid w:val="001F1AC5"/>
    <w:rsid w:val="001F4C70"/>
    <w:rsid w:val="001F58D1"/>
    <w:rsid w:val="001F5DAF"/>
    <w:rsid w:val="001F6921"/>
    <w:rsid w:val="001F6D7D"/>
    <w:rsid w:val="001F7A0D"/>
    <w:rsid w:val="00200A06"/>
    <w:rsid w:val="00200B9A"/>
    <w:rsid w:val="00200E90"/>
    <w:rsid w:val="0020112A"/>
    <w:rsid w:val="002011F8"/>
    <w:rsid w:val="00201E27"/>
    <w:rsid w:val="00202132"/>
    <w:rsid w:val="00204071"/>
    <w:rsid w:val="002052BF"/>
    <w:rsid w:val="002053C1"/>
    <w:rsid w:val="00205670"/>
    <w:rsid w:val="00205D86"/>
    <w:rsid w:val="00205DC9"/>
    <w:rsid w:val="0020635B"/>
    <w:rsid w:val="002064E1"/>
    <w:rsid w:val="00206EA4"/>
    <w:rsid w:val="00207173"/>
    <w:rsid w:val="00207193"/>
    <w:rsid w:val="00210346"/>
    <w:rsid w:val="00212022"/>
    <w:rsid w:val="002146E7"/>
    <w:rsid w:val="002149A3"/>
    <w:rsid w:val="00214DD7"/>
    <w:rsid w:val="00214F54"/>
    <w:rsid w:val="00215479"/>
    <w:rsid w:val="002155C5"/>
    <w:rsid w:val="00217326"/>
    <w:rsid w:val="0022065A"/>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2B40"/>
    <w:rsid w:val="00244532"/>
    <w:rsid w:val="00246DB1"/>
    <w:rsid w:val="00247523"/>
    <w:rsid w:val="00247993"/>
    <w:rsid w:val="002511FE"/>
    <w:rsid w:val="00252113"/>
    <w:rsid w:val="002529D6"/>
    <w:rsid w:val="00253C25"/>
    <w:rsid w:val="002551E0"/>
    <w:rsid w:val="0025530F"/>
    <w:rsid w:val="00255F14"/>
    <w:rsid w:val="002574D7"/>
    <w:rsid w:val="00257B22"/>
    <w:rsid w:val="002602F6"/>
    <w:rsid w:val="00263C39"/>
    <w:rsid w:val="002645C9"/>
    <w:rsid w:val="002665E4"/>
    <w:rsid w:val="002673AF"/>
    <w:rsid w:val="00267440"/>
    <w:rsid w:val="0027067C"/>
    <w:rsid w:val="00270EED"/>
    <w:rsid w:val="00270FE1"/>
    <w:rsid w:val="00271ABB"/>
    <w:rsid w:val="00272B6B"/>
    <w:rsid w:val="00272DEC"/>
    <w:rsid w:val="002751DF"/>
    <w:rsid w:val="002759A2"/>
    <w:rsid w:val="00276204"/>
    <w:rsid w:val="00276967"/>
    <w:rsid w:val="00280E45"/>
    <w:rsid w:val="002810F8"/>
    <w:rsid w:val="00281565"/>
    <w:rsid w:val="00283074"/>
    <w:rsid w:val="00285049"/>
    <w:rsid w:val="00290B53"/>
    <w:rsid w:val="00290D50"/>
    <w:rsid w:val="00292F27"/>
    <w:rsid w:val="00293F3F"/>
    <w:rsid w:val="0029442F"/>
    <w:rsid w:val="002954F0"/>
    <w:rsid w:val="0029595B"/>
    <w:rsid w:val="00295A34"/>
    <w:rsid w:val="00296289"/>
    <w:rsid w:val="00296501"/>
    <w:rsid w:val="002975BF"/>
    <w:rsid w:val="002A0347"/>
    <w:rsid w:val="002A2B5C"/>
    <w:rsid w:val="002A4898"/>
    <w:rsid w:val="002A4B7F"/>
    <w:rsid w:val="002A4B93"/>
    <w:rsid w:val="002A4F6F"/>
    <w:rsid w:val="002A5411"/>
    <w:rsid w:val="002A5636"/>
    <w:rsid w:val="002A673F"/>
    <w:rsid w:val="002A7325"/>
    <w:rsid w:val="002A7814"/>
    <w:rsid w:val="002B3F5D"/>
    <w:rsid w:val="002B5E0D"/>
    <w:rsid w:val="002B784E"/>
    <w:rsid w:val="002C00FF"/>
    <w:rsid w:val="002C11FF"/>
    <w:rsid w:val="002C13E7"/>
    <w:rsid w:val="002C13ED"/>
    <w:rsid w:val="002C1681"/>
    <w:rsid w:val="002C3330"/>
    <w:rsid w:val="002C6208"/>
    <w:rsid w:val="002C6933"/>
    <w:rsid w:val="002D0379"/>
    <w:rsid w:val="002D0845"/>
    <w:rsid w:val="002D14BE"/>
    <w:rsid w:val="002D26AE"/>
    <w:rsid w:val="002D272C"/>
    <w:rsid w:val="002D35EE"/>
    <w:rsid w:val="002D40A9"/>
    <w:rsid w:val="002D5868"/>
    <w:rsid w:val="002D6349"/>
    <w:rsid w:val="002D6B6F"/>
    <w:rsid w:val="002D7623"/>
    <w:rsid w:val="002D7628"/>
    <w:rsid w:val="002D7A77"/>
    <w:rsid w:val="002D7BE8"/>
    <w:rsid w:val="002E002C"/>
    <w:rsid w:val="002E0250"/>
    <w:rsid w:val="002E098C"/>
    <w:rsid w:val="002E15EE"/>
    <w:rsid w:val="002E2367"/>
    <w:rsid w:val="002E3E40"/>
    <w:rsid w:val="002E5245"/>
    <w:rsid w:val="002E5D37"/>
    <w:rsid w:val="002E60E6"/>
    <w:rsid w:val="002E650E"/>
    <w:rsid w:val="002E76EF"/>
    <w:rsid w:val="002E7E70"/>
    <w:rsid w:val="002F08C6"/>
    <w:rsid w:val="002F0DCD"/>
    <w:rsid w:val="002F24F3"/>
    <w:rsid w:val="002F2754"/>
    <w:rsid w:val="002F32BA"/>
    <w:rsid w:val="002F37CB"/>
    <w:rsid w:val="002F4ADA"/>
    <w:rsid w:val="002F5465"/>
    <w:rsid w:val="002F7AD0"/>
    <w:rsid w:val="002F7EF3"/>
    <w:rsid w:val="00300192"/>
    <w:rsid w:val="00300564"/>
    <w:rsid w:val="0030169A"/>
    <w:rsid w:val="00302091"/>
    <w:rsid w:val="00305143"/>
    <w:rsid w:val="00306123"/>
    <w:rsid w:val="00307858"/>
    <w:rsid w:val="00307CF1"/>
    <w:rsid w:val="0031007D"/>
    <w:rsid w:val="00311B9B"/>
    <w:rsid w:val="00313D63"/>
    <w:rsid w:val="00313DA1"/>
    <w:rsid w:val="0031405F"/>
    <w:rsid w:val="003144F4"/>
    <w:rsid w:val="003157D1"/>
    <w:rsid w:val="003167BE"/>
    <w:rsid w:val="00316A48"/>
    <w:rsid w:val="00317222"/>
    <w:rsid w:val="00320800"/>
    <w:rsid w:val="003214B1"/>
    <w:rsid w:val="00322799"/>
    <w:rsid w:val="0032321A"/>
    <w:rsid w:val="003241F1"/>
    <w:rsid w:val="0032467A"/>
    <w:rsid w:val="0032568F"/>
    <w:rsid w:val="00332B99"/>
    <w:rsid w:val="003343B3"/>
    <w:rsid w:val="00334BAE"/>
    <w:rsid w:val="00334CC7"/>
    <w:rsid w:val="0033552B"/>
    <w:rsid w:val="003355B7"/>
    <w:rsid w:val="00336881"/>
    <w:rsid w:val="00336AAB"/>
    <w:rsid w:val="00340B42"/>
    <w:rsid w:val="00341021"/>
    <w:rsid w:val="00341F13"/>
    <w:rsid w:val="0034236C"/>
    <w:rsid w:val="003429CA"/>
    <w:rsid w:val="003431FD"/>
    <w:rsid w:val="00343634"/>
    <w:rsid w:val="00343A1D"/>
    <w:rsid w:val="00343D9C"/>
    <w:rsid w:val="003445EE"/>
    <w:rsid w:val="0034487B"/>
    <w:rsid w:val="00344CFC"/>
    <w:rsid w:val="003500BA"/>
    <w:rsid w:val="0035121B"/>
    <w:rsid w:val="00351933"/>
    <w:rsid w:val="00352D4E"/>
    <w:rsid w:val="00355DB8"/>
    <w:rsid w:val="00357F64"/>
    <w:rsid w:val="0036067C"/>
    <w:rsid w:val="003612D6"/>
    <w:rsid w:val="003634F4"/>
    <w:rsid w:val="00363B02"/>
    <w:rsid w:val="003642B6"/>
    <w:rsid w:val="00364E6B"/>
    <w:rsid w:val="00365311"/>
    <w:rsid w:val="00365BD8"/>
    <w:rsid w:val="00371760"/>
    <w:rsid w:val="00372115"/>
    <w:rsid w:val="003738EA"/>
    <w:rsid w:val="00374103"/>
    <w:rsid w:val="00374310"/>
    <w:rsid w:val="00374E90"/>
    <w:rsid w:val="00376869"/>
    <w:rsid w:val="00380598"/>
    <w:rsid w:val="00381B01"/>
    <w:rsid w:val="003829D9"/>
    <w:rsid w:val="003832F9"/>
    <w:rsid w:val="00383B07"/>
    <w:rsid w:val="00383B17"/>
    <w:rsid w:val="00384A92"/>
    <w:rsid w:val="003854F3"/>
    <w:rsid w:val="00386518"/>
    <w:rsid w:val="0038748E"/>
    <w:rsid w:val="00391A61"/>
    <w:rsid w:val="0039316A"/>
    <w:rsid w:val="0039491D"/>
    <w:rsid w:val="00397B1C"/>
    <w:rsid w:val="00397E86"/>
    <w:rsid w:val="003A092F"/>
    <w:rsid w:val="003A1388"/>
    <w:rsid w:val="003A139A"/>
    <w:rsid w:val="003A1D20"/>
    <w:rsid w:val="003A258C"/>
    <w:rsid w:val="003A40E7"/>
    <w:rsid w:val="003A4472"/>
    <w:rsid w:val="003A5C2B"/>
    <w:rsid w:val="003A78B7"/>
    <w:rsid w:val="003B095A"/>
    <w:rsid w:val="003B2393"/>
    <w:rsid w:val="003B2F1D"/>
    <w:rsid w:val="003B30E9"/>
    <w:rsid w:val="003B3B94"/>
    <w:rsid w:val="003B4EE5"/>
    <w:rsid w:val="003B50F5"/>
    <w:rsid w:val="003B5D7B"/>
    <w:rsid w:val="003B5F19"/>
    <w:rsid w:val="003B638F"/>
    <w:rsid w:val="003B67A0"/>
    <w:rsid w:val="003B6E79"/>
    <w:rsid w:val="003B70F6"/>
    <w:rsid w:val="003B72E5"/>
    <w:rsid w:val="003C0C7E"/>
    <w:rsid w:val="003C0E0B"/>
    <w:rsid w:val="003C1220"/>
    <w:rsid w:val="003C2DA4"/>
    <w:rsid w:val="003C3607"/>
    <w:rsid w:val="003C4595"/>
    <w:rsid w:val="003C47B5"/>
    <w:rsid w:val="003C5626"/>
    <w:rsid w:val="003C58B5"/>
    <w:rsid w:val="003C6339"/>
    <w:rsid w:val="003C6B76"/>
    <w:rsid w:val="003C779C"/>
    <w:rsid w:val="003C7C2C"/>
    <w:rsid w:val="003D1F56"/>
    <w:rsid w:val="003D1FCD"/>
    <w:rsid w:val="003D3512"/>
    <w:rsid w:val="003D3B92"/>
    <w:rsid w:val="003D4056"/>
    <w:rsid w:val="003D415D"/>
    <w:rsid w:val="003D46D1"/>
    <w:rsid w:val="003D5A77"/>
    <w:rsid w:val="003D681C"/>
    <w:rsid w:val="003D719F"/>
    <w:rsid w:val="003E0C29"/>
    <w:rsid w:val="003E4A4E"/>
    <w:rsid w:val="003E4AEB"/>
    <w:rsid w:val="003E58E5"/>
    <w:rsid w:val="003E5EE1"/>
    <w:rsid w:val="003E6A13"/>
    <w:rsid w:val="003E7C9B"/>
    <w:rsid w:val="003E7D25"/>
    <w:rsid w:val="003F0417"/>
    <w:rsid w:val="003F180D"/>
    <w:rsid w:val="003F404C"/>
    <w:rsid w:val="003F45C6"/>
    <w:rsid w:val="003F66A4"/>
    <w:rsid w:val="003F6764"/>
    <w:rsid w:val="0040196C"/>
    <w:rsid w:val="00402F4C"/>
    <w:rsid w:val="004031A9"/>
    <w:rsid w:val="00403958"/>
    <w:rsid w:val="004075E0"/>
    <w:rsid w:val="00407C0B"/>
    <w:rsid w:val="0041149D"/>
    <w:rsid w:val="004128F3"/>
    <w:rsid w:val="00412960"/>
    <w:rsid w:val="00412A5D"/>
    <w:rsid w:val="00412CA6"/>
    <w:rsid w:val="00413557"/>
    <w:rsid w:val="004137F3"/>
    <w:rsid w:val="00415470"/>
    <w:rsid w:val="004156E5"/>
    <w:rsid w:val="00415CFA"/>
    <w:rsid w:val="00415E18"/>
    <w:rsid w:val="00416388"/>
    <w:rsid w:val="00416EA9"/>
    <w:rsid w:val="00417214"/>
    <w:rsid w:val="0041769D"/>
    <w:rsid w:val="00417D4F"/>
    <w:rsid w:val="00421EEA"/>
    <w:rsid w:val="00422027"/>
    <w:rsid w:val="004221B2"/>
    <w:rsid w:val="004223F4"/>
    <w:rsid w:val="0042390E"/>
    <w:rsid w:val="00425B45"/>
    <w:rsid w:val="00425C82"/>
    <w:rsid w:val="00425D4D"/>
    <w:rsid w:val="00427D04"/>
    <w:rsid w:val="004300B5"/>
    <w:rsid w:val="00430F93"/>
    <w:rsid w:val="00433AB6"/>
    <w:rsid w:val="004342C9"/>
    <w:rsid w:val="004374D0"/>
    <w:rsid w:val="00440412"/>
    <w:rsid w:val="00443935"/>
    <w:rsid w:val="00443D5A"/>
    <w:rsid w:val="004442B3"/>
    <w:rsid w:val="00444482"/>
    <w:rsid w:val="0044498E"/>
    <w:rsid w:val="004460B8"/>
    <w:rsid w:val="00447613"/>
    <w:rsid w:val="00447654"/>
    <w:rsid w:val="00450A1C"/>
    <w:rsid w:val="004513F9"/>
    <w:rsid w:val="00451F87"/>
    <w:rsid w:val="00452D92"/>
    <w:rsid w:val="00452DB9"/>
    <w:rsid w:val="00452F36"/>
    <w:rsid w:val="00453130"/>
    <w:rsid w:val="0045394E"/>
    <w:rsid w:val="004543BF"/>
    <w:rsid w:val="00454B5D"/>
    <w:rsid w:val="00454E5F"/>
    <w:rsid w:val="00455B44"/>
    <w:rsid w:val="00456FA3"/>
    <w:rsid w:val="0045706F"/>
    <w:rsid w:val="0045754E"/>
    <w:rsid w:val="004575C3"/>
    <w:rsid w:val="00460E98"/>
    <w:rsid w:val="00461AA0"/>
    <w:rsid w:val="0046225F"/>
    <w:rsid w:val="004640E1"/>
    <w:rsid w:val="00465462"/>
    <w:rsid w:val="004666B5"/>
    <w:rsid w:val="004667DA"/>
    <w:rsid w:val="004669E3"/>
    <w:rsid w:val="00467112"/>
    <w:rsid w:val="00467B60"/>
    <w:rsid w:val="00467ECF"/>
    <w:rsid w:val="004722EC"/>
    <w:rsid w:val="0047305B"/>
    <w:rsid w:val="004736BA"/>
    <w:rsid w:val="004745C6"/>
    <w:rsid w:val="00475A0F"/>
    <w:rsid w:val="004771A7"/>
    <w:rsid w:val="00477DF1"/>
    <w:rsid w:val="00480562"/>
    <w:rsid w:val="004805E1"/>
    <w:rsid w:val="0048194E"/>
    <w:rsid w:val="00481D33"/>
    <w:rsid w:val="004830D3"/>
    <w:rsid w:val="00483137"/>
    <w:rsid w:val="004833C3"/>
    <w:rsid w:val="00483BCD"/>
    <w:rsid w:val="00484BA8"/>
    <w:rsid w:val="004851E7"/>
    <w:rsid w:val="00486BD8"/>
    <w:rsid w:val="00486D4E"/>
    <w:rsid w:val="00487F50"/>
    <w:rsid w:val="004905D0"/>
    <w:rsid w:val="0049352F"/>
    <w:rsid w:val="00494A80"/>
    <w:rsid w:val="0049585B"/>
    <w:rsid w:val="00496C53"/>
    <w:rsid w:val="00497400"/>
    <w:rsid w:val="004A07AF"/>
    <w:rsid w:val="004A465C"/>
    <w:rsid w:val="004A5A5E"/>
    <w:rsid w:val="004A5AA9"/>
    <w:rsid w:val="004A64A5"/>
    <w:rsid w:val="004A7097"/>
    <w:rsid w:val="004A791C"/>
    <w:rsid w:val="004B10CD"/>
    <w:rsid w:val="004B1FA9"/>
    <w:rsid w:val="004B2765"/>
    <w:rsid w:val="004B672E"/>
    <w:rsid w:val="004B67C9"/>
    <w:rsid w:val="004B6984"/>
    <w:rsid w:val="004B74ED"/>
    <w:rsid w:val="004B7B30"/>
    <w:rsid w:val="004C05F2"/>
    <w:rsid w:val="004C1E28"/>
    <w:rsid w:val="004C2800"/>
    <w:rsid w:val="004C3306"/>
    <w:rsid w:val="004C407E"/>
    <w:rsid w:val="004C40F4"/>
    <w:rsid w:val="004C506F"/>
    <w:rsid w:val="004C5CD3"/>
    <w:rsid w:val="004C7A15"/>
    <w:rsid w:val="004D11B7"/>
    <w:rsid w:val="004D2194"/>
    <w:rsid w:val="004D2778"/>
    <w:rsid w:val="004D4274"/>
    <w:rsid w:val="004D57A0"/>
    <w:rsid w:val="004D5F36"/>
    <w:rsid w:val="004D63F1"/>
    <w:rsid w:val="004D72A6"/>
    <w:rsid w:val="004D7563"/>
    <w:rsid w:val="004E0791"/>
    <w:rsid w:val="004E0F8E"/>
    <w:rsid w:val="004E1013"/>
    <w:rsid w:val="004E2848"/>
    <w:rsid w:val="004E3ADE"/>
    <w:rsid w:val="004E44CC"/>
    <w:rsid w:val="004E5CA5"/>
    <w:rsid w:val="004E67F0"/>
    <w:rsid w:val="004E7065"/>
    <w:rsid w:val="004E7529"/>
    <w:rsid w:val="004F16A1"/>
    <w:rsid w:val="004F2DDA"/>
    <w:rsid w:val="004F352D"/>
    <w:rsid w:val="004F4CDB"/>
    <w:rsid w:val="004F568A"/>
    <w:rsid w:val="004F581C"/>
    <w:rsid w:val="004F68CE"/>
    <w:rsid w:val="004F718A"/>
    <w:rsid w:val="0050062C"/>
    <w:rsid w:val="005021E6"/>
    <w:rsid w:val="005034A8"/>
    <w:rsid w:val="005034FC"/>
    <w:rsid w:val="00503F67"/>
    <w:rsid w:val="0050436C"/>
    <w:rsid w:val="005044B9"/>
    <w:rsid w:val="0050525B"/>
    <w:rsid w:val="005055E2"/>
    <w:rsid w:val="00506583"/>
    <w:rsid w:val="00507D74"/>
    <w:rsid w:val="00510644"/>
    <w:rsid w:val="005106D5"/>
    <w:rsid w:val="005112F3"/>
    <w:rsid w:val="0051190D"/>
    <w:rsid w:val="00512281"/>
    <w:rsid w:val="0051562D"/>
    <w:rsid w:val="00517BF1"/>
    <w:rsid w:val="00517FDD"/>
    <w:rsid w:val="00520645"/>
    <w:rsid w:val="00520920"/>
    <w:rsid w:val="0052213E"/>
    <w:rsid w:val="00524D6D"/>
    <w:rsid w:val="00524D76"/>
    <w:rsid w:val="00524D8B"/>
    <w:rsid w:val="005252C0"/>
    <w:rsid w:val="00525E8C"/>
    <w:rsid w:val="00527F92"/>
    <w:rsid w:val="00530CE7"/>
    <w:rsid w:val="00530D4A"/>
    <w:rsid w:val="00530DC4"/>
    <w:rsid w:val="00530E45"/>
    <w:rsid w:val="0053101C"/>
    <w:rsid w:val="005316A8"/>
    <w:rsid w:val="00531FA9"/>
    <w:rsid w:val="005323A1"/>
    <w:rsid w:val="00533B7E"/>
    <w:rsid w:val="00535C65"/>
    <w:rsid w:val="00535D41"/>
    <w:rsid w:val="00535ECA"/>
    <w:rsid w:val="0053682D"/>
    <w:rsid w:val="00536D1D"/>
    <w:rsid w:val="0054099F"/>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605F8"/>
    <w:rsid w:val="0056183F"/>
    <w:rsid w:val="005622D1"/>
    <w:rsid w:val="00563224"/>
    <w:rsid w:val="005633AF"/>
    <w:rsid w:val="0056380E"/>
    <w:rsid w:val="005645A9"/>
    <w:rsid w:val="005650C2"/>
    <w:rsid w:val="00565A8C"/>
    <w:rsid w:val="00567720"/>
    <w:rsid w:val="005723C2"/>
    <w:rsid w:val="00572F0A"/>
    <w:rsid w:val="00573012"/>
    <w:rsid w:val="00573562"/>
    <w:rsid w:val="00574068"/>
    <w:rsid w:val="00575306"/>
    <w:rsid w:val="005761C9"/>
    <w:rsid w:val="005773BE"/>
    <w:rsid w:val="00577C90"/>
    <w:rsid w:val="00580954"/>
    <w:rsid w:val="00580F4C"/>
    <w:rsid w:val="005824F8"/>
    <w:rsid w:val="00583A5C"/>
    <w:rsid w:val="00584ED2"/>
    <w:rsid w:val="005850D6"/>
    <w:rsid w:val="00586357"/>
    <w:rsid w:val="0058643C"/>
    <w:rsid w:val="00586EDA"/>
    <w:rsid w:val="00586F03"/>
    <w:rsid w:val="00587114"/>
    <w:rsid w:val="005927CD"/>
    <w:rsid w:val="00593176"/>
    <w:rsid w:val="0059343A"/>
    <w:rsid w:val="00593CA2"/>
    <w:rsid w:val="00595979"/>
    <w:rsid w:val="00595B4A"/>
    <w:rsid w:val="005964EC"/>
    <w:rsid w:val="00597221"/>
    <w:rsid w:val="005977ED"/>
    <w:rsid w:val="00597D94"/>
    <w:rsid w:val="005A0661"/>
    <w:rsid w:val="005A0FEB"/>
    <w:rsid w:val="005A1FDF"/>
    <w:rsid w:val="005A2B40"/>
    <w:rsid w:val="005A2DB1"/>
    <w:rsid w:val="005A3025"/>
    <w:rsid w:val="005A3B60"/>
    <w:rsid w:val="005A4192"/>
    <w:rsid w:val="005A4F1F"/>
    <w:rsid w:val="005A5A1C"/>
    <w:rsid w:val="005A6732"/>
    <w:rsid w:val="005B1C02"/>
    <w:rsid w:val="005B1F53"/>
    <w:rsid w:val="005B33DC"/>
    <w:rsid w:val="005B4FF7"/>
    <w:rsid w:val="005B5511"/>
    <w:rsid w:val="005B6269"/>
    <w:rsid w:val="005B6A2F"/>
    <w:rsid w:val="005B6E58"/>
    <w:rsid w:val="005C115C"/>
    <w:rsid w:val="005C31C8"/>
    <w:rsid w:val="005C4416"/>
    <w:rsid w:val="005C4D85"/>
    <w:rsid w:val="005C5184"/>
    <w:rsid w:val="005C6CE7"/>
    <w:rsid w:val="005D184D"/>
    <w:rsid w:val="005D1BF1"/>
    <w:rsid w:val="005D2C74"/>
    <w:rsid w:val="005D2CB5"/>
    <w:rsid w:val="005D32D1"/>
    <w:rsid w:val="005D386F"/>
    <w:rsid w:val="005D5929"/>
    <w:rsid w:val="005D6DB1"/>
    <w:rsid w:val="005D72C1"/>
    <w:rsid w:val="005D7663"/>
    <w:rsid w:val="005E31E2"/>
    <w:rsid w:val="005E3DC5"/>
    <w:rsid w:val="005E3E03"/>
    <w:rsid w:val="005E4813"/>
    <w:rsid w:val="005E4FE7"/>
    <w:rsid w:val="005E6AD9"/>
    <w:rsid w:val="005E6E82"/>
    <w:rsid w:val="005F0E56"/>
    <w:rsid w:val="005F1007"/>
    <w:rsid w:val="005F6167"/>
    <w:rsid w:val="006005D4"/>
    <w:rsid w:val="00600B40"/>
    <w:rsid w:val="0060178F"/>
    <w:rsid w:val="00602576"/>
    <w:rsid w:val="00602663"/>
    <w:rsid w:val="006031DC"/>
    <w:rsid w:val="00604A07"/>
    <w:rsid w:val="0060535C"/>
    <w:rsid w:val="00607400"/>
    <w:rsid w:val="006074A6"/>
    <w:rsid w:val="00611849"/>
    <w:rsid w:val="006120D5"/>
    <w:rsid w:val="00613D71"/>
    <w:rsid w:val="00615523"/>
    <w:rsid w:val="006159BC"/>
    <w:rsid w:val="006167BD"/>
    <w:rsid w:val="006173BB"/>
    <w:rsid w:val="00617D6A"/>
    <w:rsid w:val="006206B9"/>
    <w:rsid w:val="00620BD0"/>
    <w:rsid w:val="00621770"/>
    <w:rsid w:val="00622459"/>
    <w:rsid w:val="00623CBC"/>
    <w:rsid w:val="006243E7"/>
    <w:rsid w:val="00625C51"/>
    <w:rsid w:val="0063027F"/>
    <w:rsid w:val="00630D29"/>
    <w:rsid w:val="006313EC"/>
    <w:rsid w:val="00631AFB"/>
    <w:rsid w:val="0063261A"/>
    <w:rsid w:val="0063473B"/>
    <w:rsid w:val="0063507E"/>
    <w:rsid w:val="006359D2"/>
    <w:rsid w:val="006369CC"/>
    <w:rsid w:val="006374EF"/>
    <w:rsid w:val="00640F02"/>
    <w:rsid w:val="00641153"/>
    <w:rsid w:val="00643E16"/>
    <w:rsid w:val="00645028"/>
    <w:rsid w:val="00646086"/>
    <w:rsid w:val="00646631"/>
    <w:rsid w:val="00647F26"/>
    <w:rsid w:val="00650587"/>
    <w:rsid w:val="00650B1A"/>
    <w:rsid w:val="00652372"/>
    <w:rsid w:val="00653480"/>
    <w:rsid w:val="006536D6"/>
    <w:rsid w:val="00654B00"/>
    <w:rsid w:val="0065532F"/>
    <w:rsid w:val="006560FF"/>
    <w:rsid w:val="00656196"/>
    <w:rsid w:val="006567E7"/>
    <w:rsid w:val="00656CC4"/>
    <w:rsid w:val="00657569"/>
    <w:rsid w:val="00657C0D"/>
    <w:rsid w:val="00657C6F"/>
    <w:rsid w:val="00662875"/>
    <w:rsid w:val="00663399"/>
    <w:rsid w:val="00663AA5"/>
    <w:rsid w:val="0066466F"/>
    <w:rsid w:val="00664915"/>
    <w:rsid w:val="006656A2"/>
    <w:rsid w:val="00665738"/>
    <w:rsid w:val="006657A8"/>
    <w:rsid w:val="00666247"/>
    <w:rsid w:val="00666E5A"/>
    <w:rsid w:val="00667933"/>
    <w:rsid w:val="006679EB"/>
    <w:rsid w:val="00671F59"/>
    <w:rsid w:val="006726B9"/>
    <w:rsid w:val="006743EB"/>
    <w:rsid w:val="00674F5E"/>
    <w:rsid w:val="006763B3"/>
    <w:rsid w:val="00681E1D"/>
    <w:rsid w:val="00682F0F"/>
    <w:rsid w:val="00683222"/>
    <w:rsid w:val="006841FA"/>
    <w:rsid w:val="006849DD"/>
    <w:rsid w:val="00685608"/>
    <w:rsid w:val="00685CFC"/>
    <w:rsid w:val="00686774"/>
    <w:rsid w:val="00686A7A"/>
    <w:rsid w:val="00686F46"/>
    <w:rsid w:val="00687755"/>
    <w:rsid w:val="00687AE9"/>
    <w:rsid w:val="00687B51"/>
    <w:rsid w:val="006900BC"/>
    <w:rsid w:val="006907CD"/>
    <w:rsid w:val="00690CDA"/>
    <w:rsid w:val="00691002"/>
    <w:rsid w:val="00691AC6"/>
    <w:rsid w:val="0069218D"/>
    <w:rsid w:val="006924FD"/>
    <w:rsid w:val="00692DD7"/>
    <w:rsid w:val="00692DDF"/>
    <w:rsid w:val="0069376A"/>
    <w:rsid w:val="00694936"/>
    <w:rsid w:val="00694F25"/>
    <w:rsid w:val="00695074"/>
    <w:rsid w:val="00695709"/>
    <w:rsid w:val="00696321"/>
    <w:rsid w:val="00696DB6"/>
    <w:rsid w:val="00697007"/>
    <w:rsid w:val="00697FCE"/>
    <w:rsid w:val="006A077D"/>
    <w:rsid w:val="006A1725"/>
    <w:rsid w:val="006A1DAF"/>
    <w:rsid w:val="006A211F"/>
    <w:rsid w:val="006A2156"/>
    <w:rsid w:val="006A5AD0"/>
    <w:rsid w:val="006A5E4F"/>
    <w:rsid w:val="006A5EAE"/>
    <w:rsid w:val="006A72B3"/>
    <w:rsid w:val="006A7652"/>
    <w:rsid w:val="006A76FE"/>
    <w:rsid w:val="006B1F2E"/>
    <w:rsid w:val="006B34CD"/>
    <w:rsid w:val="006B3AD2"/>
    <w:rsid w:val="006B46DC"/>
    <w:rsid w:val="006B666A"/>
    <w:rsid w:val="006B78F3"/>
    <w:rsid w:val="006B7F89"/>
    <w:rsid w:val="006C1199"/>
    <w:rsid w:val="006C1CDA"/>
    <w:rsid w:val="006C1DCC"/>
    <w:rsid w:val="006C3846"/>
    <w:rsid w:val="006C3BF0"/>
    <w:rsid w:val="006C4725"/>
    <w:rsid w:val="006C7DEE"/>
    <w:rsid w:val="006D221B"/>
    <w:rsid w:val="006D3D69"/>
    <w:rsid w:val="006D3EE2"/>
    <w:rsid w:val="006D4845"/>
    <w:rsid w:val="006D5657"/>
    <w:rsid w:val="006D6C4A"/>
    <w:rsid w:val="006D7839"/>
    <w:rsid w:val="006E02B1"/>
    <w:rsid w:val="006E14ED"/>
    <w:rsid w:val="006E157D"/>
    <w:rsid w:val="006E19C5"/>
    <w:rsid w:val="006E3E44"/>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0CC"/>
    <w:rsid w:val="007064D1"/>
    <w:rsid w:val="00710C82"/>
    <w:rsid w:val="00713691"/>
    <w:rsid w:val="0071564F"/>
    <w:rsid w:val="0071663D"/>
    <w:rsid w:val="00720431"/>
    <w:rsid w:val="00720556"/>
    <w:rsid w:val="00721ECC"/>
    <w:rsid w:val="00721FF0"/>
    <w:rsid w:val="0072273A"/>
    <w:rsid w:val="00722DD9"/>
    <w:rsid w:val="0072548B"/>
    <w:rsid w:val="00725682"/>
    <w:rsid w:val="007269A4"/>
    <w:rsid w:val="00730182"/>
    <w:rsid w:val="00732018"/>
    <w:rsid w:val="007333DB"/>
    <w:rsid w:val="00733E60"/>
    <w:rsid w:val="00733EA7"/>
    <w:rsid w:val="00734BF0"/>
    <w:rsid w:val="00734E14"/>
    <w:rsid w:val="007358D1"/>
    <w:rsid w:val="007358D4"/>
    <w:rsid w:val="00736CC9"/>
    <w:rsid w:val="00737149"/>
    <w:rsid w:val="00737A72"/>
    <w:rsid w:val="00737D3F"/>
    <w:rsid w:val="007409C3"/>
    <w:rsid w:val="00740D11"/>
    <w:rsid w:val="007420CC"/>
    <w:rsid w:val="007420E8"/>
    <w:rsid w:val="00742808"/>
    <w:rsid w:val="00743C96"/>
    <w:rsid w:val="00745FC7"/>
    <w:rsid w:val="00746653"/>
    <w:rsid w:val="00746699"/>
    <w:rsid w:val="00746BCB"/>
    <w:rsid w:val="00747E14"/>
    <w:rsid w:val="007502C8"/>
    <w:rsid w:val="007506CA"/>
    <w:rsid w:val="00753442"/>
    <w:rsid w:val="00754000"/>
    <w:rsid w:val="0075584E"/>
    <w:rsid w:val="0075697B"/>
    <w:rsid w:val="007569C0"/>
    <w:rsid w:val="00756EFF"/>
    <w:rsid w:val="00757282"/>
    <w:rsid w:val="0075758D"/>
    <w:rsid w:val="00757D7F"/>
    <w:rsid w:val="00757E2B"/>
    <w:rsid w:val="00760447"/>
    <w:rsid w:val="00760C76"/>
    <w:rsid w:val="00760FA3"/>
    <w:rsid w:val="00761DD0"/>
    <w:rsid w:val="007623A6"/>
    <w:rsid w:val="00762B8C"/>
    <w:rsid w:val="00763CB4"/>
    <w:rsid w:val="0076453A"/>
    <w:rsid w:val="00765019"/>
    <w:rsid w:val="0076738D"/>
    <w:rsid w:val="00770F20"/>
    <w:rsid w:val="00771779"/>
    <w:rsid w:val="00771BDB"/>
    <w:rsid w:val="00776C9E"/>
    <w:rsid w:val="00780B22"/>
    <w:rsid w:val="0078114B"/>
    <w:rsid w:val="00781799"/>
    <w:rsid w:val="007817BC"/>
    <w:rsid w:val="007830DD"/>
    <w:rsid w:val="00783340"/>
    <w:rsid w:val="00784AE6"/>
    <w:rsid w:val="00784CA4"/>
    <w:rsid w:val="00784D51"/>
    <w:rsid w:val="0078521D"/>
    <w:rsid w:val="00785C40"/>
    <w:rsid w:val="00785CC6"/>
    <w:rsid w:val="00786F43"/>
    <w:rsid w:val="00787769"/>
    <w:rsid w:val="0079060C"/>
    <w:rsid w:val="00792F17"/>
    <w:rsid w:val="00794E0D"/>
    <w:rsid w:val="00795740"/>
    <w:rsid w:val="007957E4"/>
    <w:rsid w:val="00797162"/>
    <w:rsid w:val="007A0742"/>
    <w:rsid w:val="007A2DB4"/>
    <w:rsid w:val="007A2FF0"/>
    <w:rsid w:val="007A31E6"/>
    <w:rsid w:val="007A3201"/>
    <w:rsid w:val="007A4951"/>
    <w:rsid w:val="007A5EC1"/>
    <w:rsid w:val="007A5F2E"/>
    <w:rsid w:val="007A6334"/>
    <w:rsid w:val="007A69E3"/>
    <w:rsid w:val="007A78B2"/>
    <w:rsid w:val="007A7D92"/>
    <w:rsid w:val="007B1943"/>
    <w:rsid w:val="007B1D8C"/>
    <w:rsid w:val="007B2424"/>
    <w:rsid w:val="007B39B5"/>
    <w:rsid w:val="007B76CF"/>
    <w:rsid w:val="007C0637"/>
    <w:rsid w:val="007C06DB"/>
    <w:rsid w:val="007C07F2"/>
    <w:rsid w:val="007C3581"/>
    <w:rsid w:val="007C3666"/>
    <w:rsid w:val="007C442F"/>
    <w:rsid w:val="007C4873"/>
    <w:rsid w:val="007C52C9"/>
    <w:rsid w:val="007C7289"/>
    <w:rsid w:val="007C7F1C"/>
    <w:rsid w:val="007D1A76"/>
    <w:rsid w:val="007D26D0"/>
    <w:rsid w:val="007D2F6E"/>
    <w:rsid w:val="007D3256"/>
    <w:rsid w:val="007D36C0"/>
    <w:rsid w:val="007D502C"/>
    <w:rsid w:val="007D542C"/>
    <w:rsid w:val="007D55F3"/>
    <w:rsid w:val="007D6DE9"/>
    <w:rsid w:val="007D71B9"/>
    <w:rsid w:val="007E01BD"/>
    <w:rsid w:val="007E03DA"/>
    <w:rsid w:val="007E12B5"/>
    <w:rsid w:val="007E21C1"/>
    <w:rsid w:val="007E35AA"/>
    <w:rsid w:val="007E5DC0"/>
    <w:rsid w:val="007E6E61"/>
    <w:rsid w:val="007E7CC7"/>
    <w:rsid w:val="007F12B7"/>
    <w:rsid w:val="007F228D"/>
    <w:rsid w:val="007F25A9"/>
    <w:rsid w:val="007F27D7"/>
    <w:rsid w:val="007F33A7"/>
    <w:rsid w:val="007F3C74"/>
    <w:rsid w:val="007F485C"/>
    <w:rsid w:val="007F4F92"/>
    <w:rsid w:val="007F5537"/>
    <w:rsid w:val="007F7311"/>
    <w:rsid w:val="008002E6"/>
    <w:rsid w:val="00800944"/>
    <w:rsid w:val="00801036"/>
    <w:rsid w:val="0080125B"/>
    <w:rsid w:val="00801575"/>
    <w:rsid w:val="00803AE7"/>
    <w:rsid w:val="00803C35"/>
    <w:rsid w:val="00804F81"/>
    <w:rsid w:val="008067D7"/>
    <w:rsid w:val="0080764D"/>
    <w:rsid w:val="008106CA"/>
    <w:rsid w:val="008107B2"/>
    <w:rsid w:val="00810E4C"/>
    <w:rsid w:val="00811D7A"/>
    <w:rsid w:val="008132FD"/>
    <w:rsid w:val="00813D21"/>
    <w:rsid w:val="00813D5B"/>
    <w:rsid w:val="00815D71"/>
    <w:rsid w:val="00816D5E"/>
    <w:rsid w:val="00817158"/>
    <w:rsid w:val="00820836"/>
    <w:rsid w:val="0082164E"/>
    <w:rsid w:val="00821820"/>
    <w:rsid w:val="00821E9A"/>
    <w:rsid w:val="008231BA"/>
    <w:rsid w:val="008236C3"/>
    <w:rsid w:val="00823CAB"/>
    <w:rsid w:val="008244AB"/>
    <w:rsid w:val="00824E2B"/>
    <w:rsid w:val="00826779"/>
    <w:rsid w:val="00826980"/>
    <w:rsid w:val="008302D6"/>
    <w:rsid w:val="00830674"/>
    <w:rsid w:val="008306DE"/>
    <w:rsid w:val="00830CE7"/>
    <w:rsid w:val="00830D9C"/>
    <w:rsid w:val="008313B2"/>
    <w:rsid w:val="008317AE"/>
    <w:rsid w:val="00831D28"/>
    <w:rsid w:val="00831E17"/>
    <w:rsid w:val="00831EAF"/>
    <w:rsid w:val="00831ECB"/>
    <w:rsid w:val="008321F6"/>
    <w:rsid w:val="00832B98"/>
    <w:rsid w:val="00833627"/>
    <w:rsid w:val="00833CB2"/>
    <w:rsid w:val="00834FEF"/>
    <w:rsid w:val="0083592F"/>
    <w:rsid w:val="00835D47"/>
    <w:rsid w:val="00835FAC"/>
    <w:rsid w:val="008361BE"/>
    <w:rsid w:val="00837F0A"/>
    <w:rsid w:val="00840199"/>
    <w:rsid w:val="008401D7"/>
    <w:rsid w:val="008405A7"/>
    <w:rsid w:val="008406C7"/>
    <w:rsid w:val="0084130A"/>
    <w:rsid w:val="00841C1C"/>
    <w:rsid w:val="00842423"/>
    <w:rsid w:val="00846B25"/>
    <w:rsid w:val="00846F36"/>
    <w:rsid w:val="008477B5"/>
    <w:rsid w:val="0085224F"/>
    <w:rsid w:val="00852A75"/>
    <w:rsid w:val="00853B1B"/>
    <w:rsid w:val="008577D4"/>
    <w:rsid w:val="00860BCB"/>
    <w:rsid w:val="00860DDC"/>
    <w:rsid w:val="00862065"/>
    <w:rsid w:val="00863DB6"/>
    <w:rsid w:val="00863FD0"/>
    <w:rsid w:val="008651BA"/>
    <w:rsid w:val="00865A6D"/>
    <w:rsid w:val="00865FC5"/>
    <w:rsid w:val="00867539"/>
    <w:rsid w:val="00870BB3"/>
    <w:rsid w:val="00870FE9"/>
    <w:rsid w:val="0087158F"/>
    <w:rsid w:val="00871B0F"/>
    <w:rsid w:val="008720D8"/>
    <w:rsid w:val="0087367F"/>
    <w:rsid w:val="00873A06"/>
    <w:rsid w:val="00874D70"/>
    <w:rsid w:val="00875555"/>
    <w:rsid w:val="00875F47"/>
    <w:rsid w:val="008817DA"/>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37DA"/>
    <w:rsid w:val="008945FD"/>
    <w:rsid w:val="008951AC"/>
    <w:rsid w:val="008961B7"/>
    <w:rsid w:val="0089637A"/>
    <w:rsid w:val="0089677E"/>
    <w:rsid w:val="00896C73"/>
    <w:rsid w:val="008974E7"/>
    <w:rsid w:val="008978CC"/>
    <w:rsid w:val="00897A5B"/>
    <w:rsid w:val="008A027A"/>
    <w:rsid w:val="008A1032"/>
    <w:rsid w:val="008A1053"/>
    <w:rsid w:val="008A2418"/>
    <w:rsid w:val="008A3408"/>
    <w:rsid w:val="008A377A"/>
    <w:rsid w:val="008A6931"/>
    <w:rsid w:val="008B01CC"/>
    <w:rsid w:val="008B1D55"/>
    <w:rsid w:val="008B351C"/>
    <w:rsid w:val="008B5987"/>
    <w:rsid w:val="008B67D7"/>
    <w:rsid w:val="008B6FE5"/>
    <w:rsid w:val="008B76D2"/>
    <w:rsid w:val="008B776F"/>
    <w:rsid w:val="008C04EC"/>
    <w:rsid w:val="008C06E9"/>
    <w:rsid w:val="008C097F"/>
    <w:rsid w:val="008C1721"/>
    <w:rsid w:val="008C2312"/>
    <w:rsid w:val="008C2A3C"/>
    <w:rsid w:val="008C2A46"/>
    <w:rsid w:val="008C2E65"/>
    <w:rsid w:val="008C338C"/>
    <w:rsid w:val="008C34BC"/>
    <w:rsid w:val="008C37C8"/>
    <w:rsid w:val="008C392B"/>
    <w:rsid w:val="008C4474"/>
    <w:rsid w:val="008C4EB9"/>
    <w:rsid w:val="008D0652"/>
    <w:rsid w:val="008D0BF5"/>
    <w:rsid w:val="008D114B"/>
    <w:rsid w:val="008D1720"/>
    <w:rsid w:val="008D3F22"/>
    <w:rsid w:val="008D5E04"/>
    <w:rsid w:val="008D7DDB"/>
    <w:rsid w:val="008E0176"/>
    <w:rsid w:val="008E08F8"/>
    <w:rsid w:val="008E1F19"/>
    <w:rsid w:val="008E752A"/>
    <w:rsid w:val="008F11E2"/>
    <w:rsid w:val="008F2097"/>
    <w:rsid w:val="008F3660"/>
    <w:rsid w:val="008F3F09"/>
    <w:rsid w:val="008F5DC5"/>
    <w:rsid w:val="008F60F9"/>
    <w:rsid w:val="008F7B87"/>
    <w:rsid w:val="00901CCF"/>
    <w:rsid w:val="00902C55"/>
    <w:rsid w:val="00905802"/>
    <w:rsid w:val="00906098"/>
    <w:rsid w:val="009066CD"/>
    <w:rsid w:val="0090707A"/>
    <w:rsid w:val="00907206"/>
    <w:rsid w:val="0090744F"/>
    <w:rsid w:val="00907611"/>
    <w:rsid w:val="00907D5A"/>
    <w:rsid w:val="00911C69"/>
    <w:rsid w:val="009129DD"/>
    <w:rsid w:val="00912DEC"/>
    <w:rsid w:val="0091364C"/>
    <w:rsid w:val="009149A9"/>
    <w:rsid w:val="00914C10"/>
    <w:rsid w:val="00914CB6"/>
    <w:rsid w:val="00915D80"/>
    <w:rsid w:val="00916308"/>
    <w:rsid w:val="009172F1"/>
    <w:rsid w:val="00917556"/>
    <w:rsid w:val="009175E5"/>
    <w:rsid w:val="009205BD"/>
    <w:rsid w:val="009209E2"/>
    <w:rsid w:val="00920AD0"/>
    <w:rsid w:val="00920B88"/>
    <w:rsid w:val="00923923"/>
    <w:rsid w:val="009258F6"/>
    <w:rsid w:val="0092595A"/>
    <w:rsid w:val="00926BBA"/>
    <w:rsid w:val="00926CA6"/>
    <w:rsid w:val="00927F3E"/>
    <w:rsid w:val="00930562"/>
    <w:rsid w:val="0093084B"/>
    <w:rsid w:val="00930A46"/>
    <w:rsid w:val="00930D8F"/>
    <w:rsid w:val="0093157A"/>
    <w:rsid w:val="009322A7"/>
    <w:rsid w:val="009322EF"/>
    <w:rsid w:val="00933FEE"/>
    <w:rsid w:val="00934A69"/>
    <w:rsid w:val="00935B17"/>
    <w:rsid w:val="00935CDC"/>
    <w:rsid w:val="00936722"/>
    <w:rsid w:val="009376A3"/>
    <w:rsid w:val="00937836"/>
    <w:rsid w:val="00937CD1"/>
    <w:rsid w:val="009405F0"/>
    <w:rsid w:val="009410CF"/>
    <w:rsid w:val="0094210A"/>
    <w:rsid w:val="00942356"/>
    <w:rsid w:val="0094437C"/>
    <w:rsid w:val="00945087"/>
    <w:rsid w:val="009451C2"/>
    <w:rsid w:val="0094536D"/>
    <w:rsid w:val="009467C3"/>
    <w:rsid w:val="00946F8D"/>
    <w:rsid w:val="00947449"/>
    <w:rsid w:val="0095018E"/>
    <w:rsid w:val="0095073A"/>
    <w:rsid w:val="00950C28"/>
    <w:rsid w:val="0095143A"/>
    <w:rsid w:val="0095144D"/>
    <w:rsid w:val="00952605"/>
    <w:rsid w:val="009528ED"/>
    <w:rsid w:val="009548FE"/>
    <w:rsid w:val="00954B36"/>
    <w:rsid w:val="009558BD"/>
    <w:rsid w:val="009601E0"/>
    <w:rsid w:val="00961332"/>
    <w:rsid w:val="00962CDC"/>
    <w:rsid w:val="00963225"/>
    <w:rsid w:val="00964509"/>
    <w:rsid w:val="00965A62"/>
    <w:rsid w:val="00965A8D"/>
    <w:rsid w:val="00966C54"/>
    <w:rsid w:val="0096730B"/>
    <w:rsid w:val="009678FD"/>
    <w:rsid w:val="0097267E"/>
    <w:rsid w:val="00972CB3"/>
    <w:rsid w:val="00975828"/>
    <w:rsid w:val="00975DA4"/>
    <w:rsid w:val="0097649D"/>
    <w:rsid w:val="00976EC3"/>
    <w:rsid w:val="00977588"/>
    <w:rsid w:val="00977948"/>
    <w:rsid w:val="00977987"/>
    <w:rsid w:val="0098287F"/>
    <w:rsid w:val="00982A30"/>
    <w:rsid w:val="009843D7"/>
    <w:rsid w:val="00984601"/>
    <w:rsid w:val="00984F86"/>
    <w:rsid w:val="009853EE"/>
    <w:rsid w:val="00986463"/>
    <w:rsid w:val="009867FF"/>
    <w:rsid w:val="00990627"/>
    <w:rsid w:val="00990A28"/>
    <w:rsid w:val="00990D29"/>
    <w:rsid w:val="009916C7"/>
    <w:rsid w:val="00991817"/>
    <w:rsid w:val="00991914"/>
    <w:rsid w:val="00992276"/>
    <w:rsid w:val="009922CD"/>
    <w:rsid w:val="009944E0"/>
    <w:rsid w:val="009965A7"/>
    <w:rsid w:val="00997229"/>
    <w:rsid w:val="009A0A5F"/>
    <w:rsid w:val="009A14E1"/>
    <w:rsid w:val="009A1567"/>
    <w:rsid w:val="009A32F5"/>
    <w:rsid w:val="009A4397"/>
    <w:rsid w:val="009A4B80"/>
    <w:rsid w:val="009A4E3E"/>
    <w:rsid w:val="009A5462"/>
    <w:rsid w:val="009A58EC"/>
    <w:rsid w:val="009A5BBB"/>
    <w:rsid w:val="009A6C21"/>
    <w:rsid w:val="009A70F0"/>
    <w:rsid w:val="009A7DF7"/>
    <w:rsid w:val="009B0310"/>
    <w:rsid w:val="009B09C6"/>
    <w:rsid w:val="009B13D3"/>
    <w:rsid w:val="009B1ACA"/>
    <w:rsid w:val="009B2ABD"/>
    <w:rsid w:val="009B3566"/>
    <w:rsid w:val="009B4A2A"/>
    <w:rsid w:val="009B5780"/>
    <w:rsid w:val="009B7831"/>
    <w:rsid w:val="009C071C"/>
    <w:rsid w:val="009C08A0"/>
    <w:rsid w:val="009C0A02"/>
    <w:rsid w:val="009C11F4"/>
    <w:rsid w:val="009C2FC2"/>
    <w:rsid w:val="009C3782"/>
    <w:rsid w:val="009C3BD8"/>
    <w:rsid w:val="009C4B02"/>
    <w:rsid w:val="009D0586"/>
    <w:rsid w:val="009D0B61"/>
    <w:rsid w:val="009D1313"/>
    <w:rsid w:val="009D14AA"/>
    <w:rsid w:val="009D182C"/>
    <w:rsid w:val="009D1B2E"/>
    <w:rsid w:val="009D21C8"/>
    <w:rsid w:val="009D2960"/>
    <w:rsid w:val="009D4ED5"/>
    <w:rsid w:val="009D5869"/>
    <w:rsid w:val="009D6BC0"/>
    <w:rsid w:val="009D6D9F"/>
    <w:rsid w:val="009D7CE9"/>
    <w:rsid w:val="009E031E"/>
    <w:rsid w:val="009E1DFA"/>
    <w:rsid w:val="009E40DD"/>
    <w:rsid w:val="009E56B5"/>
    <w:rsid w:val="009E585B"/>
    <w:rsid w:val="009E6BFC"/>
    <w:rsid w:val="009E72C9"/>
    <w:rsid w:val="009E74C5"/>
    <w:rsid w:val="009E776F"/>
    <w:rsid w:val="009F0482"/>
    <w:rsid w:val="009F06EF"/>
    <w:rsid w:val="009F0C2E"/>
    <w:rsid w:val="009F0DB1"/>
    <w:rsid w:val="009F185E"/>
    <w:rsid w:val="009F2104"/>
    <w:rsid w:val="009F2584"/>
    <w:rsid w:val="009F2800"/>
    <w:rsid w:val="009F29AD"/>
    <w:rsid w:val="009F31A1"/>
    <w:rsid w:val="009F32DB"/>
    <w:rsid w:val="009F378B"/>
    <w:rsid w:val="009F6808"/>
    <w:rsid w:val="009F703D"/>
    <w:rsid w:val="00A00717"/>
    <w:rsid w:val="00A00951"/>
    <w:rsid w:val="00A012FF"/>
    <w:rsid w:val="00A01679"/>
    <w:rsid w:val="00A01D2E"/>
    <w:rsid w:val="00A034E8"/>
    <w:rsid w:val="00A03655"/>
    <w:rsid w:val="00A03BF8"/>
    <w:rsid w:val="00A056EE"/>
    <w:rsid w:val="00A066EA"/>
    <w:rsid w:val="00A06CEB"/>
    <w:rsid w:val="00A07920"/>
    <w:rsid w:val="00A1300D"/>
    <w:rsid w:val="00A145FC"/>
    <w:rsid w:val="00A14F80"/>
    <w:rsid w:val="00A17418"/>
    <w:rsid w:val="00A202B2"/>
    <w:rsid w:val="00A20770"/>
    <w:rsid w:val="00A209E3"/>
    <w:rsid w:val="00A21B6A"/>
    <w:rsid w:val="00A22797"/>
    <w:rsid w:val="00A2594E"/>
    <w:rsid w:val="00A2673F"/>
    <w:rsid w:val="00A30F8F"/>
    <w:rsid w:val="00A32C0E"/>
    <w:rsid w:val="00A32EFD"/>
    <w:rsid w:val="00A3358B"/>
    <w:rsid w:val="00A33F36"/>
    <w:rsid w:val="00A35F40"/>
    <w:rsid w:val="00A36004"/>
    <w:rsid w:val="00A40524"/>
    <w:rsid w:val="00A409A4"/>
    <w:rsid w:val="00A4131F"/>
    <w:rsid w:val="00A45004"/>
    <w:rsid w:val="00A45711"/>
    <w:rsid w:val="00A46853"/>
    <w:rsid w:val="00A46AEC"/>
    <w:rsid w:val="00A46EF7"/>
    <w:rsid w:val="00A47342"/>
    <w:rsid w:val="00A5003A"/>
    <w:rsid w:val="00A5278B"/>
    <w:rsid w:val="00A529C0"/>
    <w:rsid w:val="00A52E90"/>
    <w:rsid w:val="00A53896"/>
    <w:rsid w:val="00A53900"/>
    <w:rsid w:val="00A5500C"/>
    <w:rsid w:val="00A55D15"/>
    <w:rsid w:val="00A56C27"/>
    <w:rsid w:val="00A56DA2"/>
    <w:rsid w:val="00A60D25"/>
    <w:rsid w:val="00A64632"/>
    <w:rsid w:val="00A6575E"/>
    <w:rsid w:val="00A65E12"/>
    <w:rsid w:val="00A66021"/>
    <w:rsid w:val="00A66A79"/>
    <w:rsid w:val="00A66C5E"/>
    <w:rsid w:val="00A66FC6"/>
    <w:rsid w:val="00A67467"/>
    <w:rsid w:val="00A7088F"/>
    <w:rsid w:val="00A7196F"/>
    <w:rsid w:val="00A71D48"/>
    <w:rsid w:val="00A72CDF"/>
    <w:rsid w:val="00A73361"/>
    <w:rsid w:val="00A73677"/>
    <w:rsid w:val="00A73F02"/>
    <w:rsid w:val="00A74B2E"/>
    <w:rsid w:val="00A758F4"/>
    <w:rsid w:val="00A76A82"/>
    <w:rsid w:val="00A77BB3"/>
    <w:rsid w:val="00A81F6C"/>
    <w:rsid w:val="00A82518"/>
    <w:rsid w:val="00A8371B"/>
    <w:rsid w:val="00A83E3B"/>
    <w:rsid w:val="00A9407A"/>
    <w:rsid w:val="00A9411B"/>
    <w:rsid w:val="00A943CA"/>
    <w:rsid w:val="00A94A12"/>
    <w:rsid w:val="00A95ABA"/>
    <w:rsid w:val="00A9668B"/>
    <w:rsid w:val="00AA0E28"/>
    <w:rsid w:val="00AA118E"/>
    <w:rsid w:val="00AA1FDC"/>
    <w:rsid w:val="00AA347C"/>
    <w:rsid w:val="00AA51FF"/>
    <w:rsid w:val="00AA63E7"/>
    <w:rsid w:val="00AA66A4"/>
    <w:rsid w:val="00AA6CAA"/>
    <w:rsid w:val="00AA6DB0"/>
    <w:rsid w:val="00AA6E9C"/>
    <w:rsid w:val="00AA7061"/>
    <w:rsid w:val="00AB0A4C"/>
    <w:rsid w:val="00AB1AA8"/>
    <w:rsid w:val="00AB3041"/>
    <w:rsid w:val="00AB3BDD"/>
    <w:rsid w:val="00AB3D2E"/>
    <w:rsid w:val="00AB4415"/>
    <w:rsid w:val="00AB46FD"/>
    <w:rsid w:val="00AB4FB6"/>
    <w:rsid w:val="00AB54F9"/>
    <w:rsid w:val="00AB694F"/>
    <w:rsid w:val="00AB6C79"/>
    <w:rsid w:val="00AB7905"/>
    <w:rsid w:val="00AB7B74"/>
    <w:rsid w:val="00AC0346"/>
    <w:rsid w:val="00AC078F"/>
    <w:rsid w:val="00AC1068"/>
    <w:rsid w:val="00AC1936"/>
    <w:rsid w:val="00AC1D75"/>
    <w:rsid w:val="00AC298F"/>
    <w:rsid w:val="00AC2E7C"/>
    <w:rsid w:val="00AC32EE"/>
    <w:rsid w:val="00AC3ADB"/>
    <w:rsid w:val="00AC4054"/>
    <w:rsid w:val="00AC6612"/>
    <w:rsid w:val="00AC7624"/>
    <w:rsid w:val="00AC777E"/>
    <w:rsid w:val="00AD067A"/>
    <w:rsid w:val="00AD0EAF"/>
    <w:rsid w:val="00AD1007"/>
    <w:rsid w:val="00AD14A9"/>
    <w:rsid w:val="00AD3AD2"/>
    <w:rsid w:val="00AD450B"/>
    <w:rsid w:val="00AD482B"/>
    <w:rsid w:val="00AD5870"/>
    <w:rsid w:val="00AD5C4D"/>
    <w:rsid w:val="00AD5D06"/>
    <w:rsid w:val="00AD5E53"/>
    <w:rsid w:val="00AD6DC2"/>
    <w:rsid w:val="00AD7175"/>
    <w:rsid w:val="00AD7394"/>
    <w:rsid w:val="00AE02C3"/>
    <w:rsid w:val="00AE09B8"/>
    <w:rsid w:val="00AE35E2"/>
    <w:rsid w:val="00AE407C"/>
    <w:rsid w:val="00AE40AD"/>
    <w:rsid w:val="00AE4B00"/>
    <w:rsid w:val="00AE5259"/>
    <w:rsid w:val="00AE5BDE"/>
    <w:rsid w:val="00AE61A5"/>
    <w:rsid w:val="00AE6B15"/>
    <w:rsid w:val="00AE7150"/>
    <w:rsid w:val="00AF0B6C"/>
    <w:rsid w:val="00AF1245"/>
    <w:rsid w:val="00AF153D"/>
    <w:rsid w:val="00AF15AB"/>
    <w:rsid w:val="00AF2763"/>
    <w:rsid w:val="00AF4737"/>
    <w:rsid w:val="00AF5E03"/>
    <w:rsid w:val="00AF7161"/>
    <w:rsid w:val="00B000FF"/>
    <w:rsid w:val="00B00A87"/>
    <w:rsid w:val="00B02A63"/>
    <w:rsid w:val="00B0328B"/>
    <w:rsid w:val="00B03857"/>
    <w:rsid w:val="00B03A54"/>
    <w:rsid w:val="00B03E26"/>
    <w:rsid w:val="00B04CE3"/>
    <w:rsid w:val="00B0583F"/>
    <w:rsid w:val="00B0669C"/>
    <w:rsid w:val="00B06B06"/>
    <w:rsid w:val="00B07121"/>
    <w:rsid w:val="00B0728F"/>
    <w:rsid w:val="00B101F6"/>
    <w:rsid w:val="00B11C68"/>
    <w:rsid w:val="00B11E69"/>
    <w:rsid w:val="00B12E1D"/>
    <w:rsid w:val="00B133A1"/>
    <w:rsid w:val="00B14565"/>
    <w:rsid w:val="00B15AE4"/>
    <w:rsid w:val="00B165E3"/>
    <w:rsid w:val="00B1664E"/>
    <w:rsid w:val="00B17419"/>
    <w:rsid w:val="00B222C9"/>
    <w:rsid w:val="00B24207"/>
    <w:rsid w:val="00B24A9B"/>
    <w:rsid w:val="00B25CD2"/>
    <w:rsid w:val="00B27B0E"/>
    <w:rsid w:val="00B308A3"/>
    <w:rsid w:val="00B31078"/>
    <w:rsid w:val="00B3268E"/>
    <w:rsid w:val="00B32F20"/>
    <w:rsid w:val="00B33815"/>
    <w:rsid w:val="00B33D16"/>
    <w:rsid w:val="00B341C1"/>
    <w:rsid w:val="00B3460C"/>
    <w:rsid w:val="00B347DC"/>
    <w:rsid w:val="00B35E7F"/>
    <w:rsid w:val="00B36160"/>
    <w:rsid w:val="00B36561"/>
    <w:rsid w:val="00B400EA"/>
    <w:rsid w:val="00B40306"/>
    <w:rsid w:val="00B41904"/>
    <w:rsid w:val="00B423C8"/>
    <w:rsid w:val="00B43095"/>
    <w:rsid w:val="00B43416"/>
    <w:rsid w:val="00B438AE"/>
    <w:rsid w:val="00B448A6"/>
    <w:rsid w:val="00B46129"/>
    <w:rsid w:val="00B46ADD"/>
    <w:rsid w:val="00B50649"/>
    <w:rsid w:val="00B50F48"/>
    <w:rsid w:val="00B52694"/>
    <w:rsid w:val="00B52B03"/>
    <w:rsid w:val="00B535E8"/>
    <w:rsid w:val="00B5470E"/>
    <w:rsid w:val="00B56264"/>
    <w:rsid w:val="00B571F8"/>
    <w:rsid w:val="00B57631"/>
    <w:rsid w:val="00B61A16"/>
    <w:rsid w:val="00B630CF"/>
    <w:rsid w:val="00B6328F"/>
    <w:rsid w:val="00B63F49"/>
    <w:rsid w:val="00B65358"/>
    <w:rsid w:val="00B65ACE"/>
    <w:rsid w:val="00B65C97"/>
    <w:rsid w:val="00B65EC2"/>
    <w:rsid w:val="00B6616F"/>
    <w:rsid w:val="00B66FE1"/>
    <w:rsid w:val="00B67FF1"/>
    <w:rsid w:val="00B7007B"/>
    <w:rsid w:val="00B7023D"/>
    <w:rsid w:val="00B708B1"/>
    <w:rsid w:val="00B7110D"/>
    <w:rsid w:val="00B711FB"/>
    <w:rsid w:val="00B71667"/>
    <w:rsid w:val="00B72BAD"/>
    <w:rsid w:val="00B73982"/>
    <w:rsid w:val="00B73ECE"/>
    <w:rsid w:val="00B74DFB"/>
    <w:rsid w:val="00B756C9"/>
    <w:rsid w:val="00B75D74"/>
    <w:rsid w:val="00B77029"/>
    <w:rsid w:val="00B77183"/>
    <w:rsid w:val="00B77A25"/>
    <w:rsid w:val="00B815A9"/>
    <w:rsid w:val="00B817E0"/>
    <w:rsid w:val="00B818C8"/>
    <w:rsid w:val="00B82738"/>
    <w:rsid w:val="00B83416"/>
    <w:rsid w:val="00B843CD"/>
    <w:rsid w:val="00B84AE8"/>
    <w:rsid w:val="00B86B09"/>
    <w:rsid w:val="00B86B3C"/>
    <w:rsid w:val="00B86B7A"/>
    <w:rsid w:val="00B86FC6"/>
    <w:rsid w:val="00B87418"/>
    <w:rsid w:val="00B876EF"/>
    <w:rsid w:val="00B87F3A"/>
    <w:rsid w:val="00B90BF3"/>
    <w:rsid w:val="00B92014"/>
    <w:rsid w:val="00B9360B"/>
    <w:rsid w:val="00B94616"/>
    <w:rsid w:val="00B951EF"/>
    <w:rsid w:val="00B96979"/>
    <w:rsid w:val="00B97946"/>
    <w:rsid w:val="00BA0E76"/>
    <w:rsid w:val="00BA19EC"/>
    <w:rsid w:val="00BA1E39"/>
    <w:rsid w:val="00BA2225"/>
    <w:rsid w:val="00BA30A1"/>
    <w:rsid w:val="00BA39C4"/>
    <w:rsid w:val="00BA3BB4"/>
    <w:rsid w:val="00BA474B"/>
    <w:rsid w:val="00BA510E"/>
    <w:rsid w:val="00BA51EF"/>
    <w:rsid w:val="00BB3926"/>
    <w:rsid w:val="00BB3AEE"/>
    <w:rsid w:val="00BB6334"/>
    <w:rsid w:val="00BC2097"/>
    <w:rsid w:val="00BC2AA4"/>
    <w:rsid w:val="00BC375A"/>
    <w:rsid w:val="00BC55A1"/>
    <w:rsid w:val="00BC618A"/>
    <w:rsid w:val="00BD14A4"/>
    <w:rsid w:val="00BD25BF"/>
    <w:rsid w:val="00BD32FA"/>
    <w:rsid w:val="00BD5667"/>
    <w:rsid w:val="00BD6D7C"/>
    <w:rsid w:val="00BD7083"/>
    <w:rsid w:val="00BE0054"/>
    <w:rsid w:val="00BE0F2C"/>
    <w:rsid w:val="00BE0F82"/>
    <w:rsid w:val="00BE11C4"/>
    <w:rsid w:val="00BE1CB8"/>
    <w:rsid w:val="00BE1DE5"/>
    <w:rsid w:val="00BE2061"/>
    <w:rsid w:val="00BE309E"/>
    <w:rsid w:val="00BE3476"/>
    <w:rsid w:val="00BE3942"/>
    <w:rsid w:val="00BE41DE"/>
    <w:rsid w:val="00BE51FD"/>
    <w:rsid w:val="00BE5796"/>
    <w:rsid w:val="00BE5D49"/>
    <w:rsid w:val="00BE79B4"/>
    <w:rsid w:val="00BF0691"/>
    <w:rsid w:val="00BF0778"/>
    <w:rsid w:val="00BF13A5"/>
    <w:rsid w:val="00BF1DA5"/>
    <w:rsid w:val="00BF243B"/>
    <w:rsid w:val="00BF2441"/>
    <w:rsid w:val="00BF2689"/>
    <w:rsid w:val="00BF283C"/>
    <w:rsid w:val="00BF2914"/>
    <w:rsid w:val="00BF3213"/>
    <w:rsid w:val="00BF35ED"/>
    <w:rsid w:val="00BF3F63"/>
    <w:rsid w:val="00BF44BF"/>
    <w:rsid w:val="00BF5896"/>
    <w:rsid w:val="00BF760E"/>
    <w:rsid w:val="00C0084D"/>
    <w:rsid w:val="00C00872"/>
    <w:rsid w:val="00C02243"/>
    <w:rsid w:val="00C03A5A"/>
    <w:rsid w:val="00C0489E"/>
    <w:rsid w:val="00C04C66"/>
    <w:rsid w:val="00C04E48"/>
    <w:rsid w:val="00C05EBE"/>
    <w:rsid w:val="00C06F93"/>
    <w:rsid w:val="00C07061"/>
    <w:rsid w:val="00C0725D"/>
    <w:rsid w:val="00C102DA"/>
    <w:rsid w:val="00C10437"/>
    <w:rsid w:val="00C107BE"/>
    <w:rsid w:val="00C10B14"/>
    <w:rsid w:val="00C116D2"/>
    <w:rsid w:val="00C11A77"/>
    <w:rsid w:val="00C126FA"/>
    <w:rsid w:val="00C12952"/>
    <w:rsid w:val="00C14230"/>
    <w:rsid w:val="00C143B5"/>
    <w:rsid w:val="00C1633A"/>
    <w:rsid w:val="00C167AC"/>
    <w:rsid w:val="00C1758D"/>
    <w:rsid w:val="00C20564"/>
    <w:rsid w:val="00C206A7"/>
    <w:rsid w:val="00C20CD5"/>
    <w:rsid w:val="00C220E7"/>
    <w:rsid w:val="00C22229"/>
    <w:rsid w:val="00C22776"/>
    <w:rsid w:val="00C2476B"/>
    <w:rsid w:val="00C250DA"/>
    <w:rsid w:val="00C25E5D"/>
    <w:rsid w:val="00C273FF"/>
    <w:rsid w:val="00C3000A"/>
    <w:rsid w:val="00C30101"/>
    <w:rsid w:val="00C32997"/>
    <w:rsid w:val="00C32D3F"/>
    <w:rsid w:val="00C3386A"/>
    <w:rsid w:val="00C34E17"/>
    <w:rsid w:val="00C35333"/>
    <w:rsid w:val="00C374B1"/>
    <w:rsid w:val="00C40CEC"/>
    <w:rsid w:val="00C424C7"/>
    <w:rsid w:val="00C42C0F"/>
    <w:rsid w:val="00C43038"/>
    <w:rsid w:val="00C430E3"/>
    <w:rsid w:val="00C43613"/>
    <w:rsid w:val="00C45F57"/>
    <w:rsid w:val="00C46500"/>
    <w:rsid w:val="00C50250"/>
    <w:rsid w:val="00C50F3C"/>
    <w:rsid w:val="00C51EDF"/>
    <w:rsid w:val="00C5250C"/>
    <w:rsid w:val="00C5363E"/>
    <w:rsid w:val="00C559EA"/>
    <w:rsid w:val="00C55A5E"/>
    <w:rsid w:val="00C55A7D"/>
    <w:rsid w:val="00C56936"/>
    <w:rsid w:val="00C62C80"/>
    <w:rsid w:val="00C62CB0"/>
    <w:rsid w:val="00C63ECE"/>
    <w:rsid w:val="00C64F66"/>
    <w:rsid w:val="00C65BD6"/>
    <w:rsid w:val="00C671F1"/>
    <w:rsid w:val="00C700AE"/>
    <w:rsid w:val="00C72DC4"/>
    <w:rsid w:val="00C72E1E"/>
    <w:rsid w:val="00C747F3"/>
    <w:rsid w:val="00C74B7D"/>
    <w:rsid w:val="00C7516B"/>
    <w:rsid w:val="00C75296"/>
    <w:rsid w:val="00C75E32"/>
    <w:rsid w:val="00C764DA"/>
    <w:rsid w:val="00C767EA"/>
    <w:rsid w:val="00C8145D"/>
    <w:rsid w:val="00C81DFC"/>
    <w:rsid w:val="00C854EB"/>
    <w:rsid w:val="00C8592B"/>
    <w:rsid w:val="00C85EA8"/>
    <w:rsid w:val="00C86BD4"/>
    <w:rsid w:val="00C94DF9"/>
    <w:rsid w:val="00C96E35"/>
    <w:rsid w:val="00CA020E"/>
    <w:rsid w:val="00CA0B79"/>
    <w:rsid w:val="00CA19A4"/>
    <w:rsid w:val="00CA279F"/>
    <w:rsid w:val="00CA2FF1"/>
    <w:rsid w:val="00CA3DA2"/>
    <w:rsid w:val="00CA652B"/>
    <w:rsid w:val="00CA6FFD"/>
    <w:rsid w:val="00CA7199"/>
    <w:rsid w:val="00CA7AE0"/>
    <w:rsid w:val="00CB001B"/>
    <w:rsid w:val="00CB2BAE"/>
    <w:rsid w:val="00CB303B"/>
    <w:rsid w:val="00CB481B"/>
    <w:rsid w:val="00CB6913"/>
    <w:rsid w:val="00CB6EAC"/>
    <w:rsid w:val="00CB6F73"/>
    <w:rsid w:val="00CB732D"/>
    <w:rsid w:val="00CB7F74"/>
    <w:rsid w:val="00CC14C1"/>
    <w:rsid w:val="00CC157B"/>
    <w:rsid w:val="00CC172B"/>
    <w:rsid w:val="00CC206B"/>
    <w:rsid w:val="00CC25EB"/>
    <w:rsid w:val="00CC3232"/>
    <w:rsid w:val="00CC3309"/>
    <w:rsid w:val="00CC4269"/>
    <w:rsid w:val="00CC4E3C"/>
    <w:rsid w:val="00CC4E5C"/>
    <w:rsid w:val="00CC5A84"/>
    <w:rsid w:val="00CC5EE7"/>
    <w:rsid w:val="00CC70DC"/>
    <w:rsid w:val="00CC7112"/>
    <w:rsid w:val="00CC7CE2"/>
    <w:rsid w:val="00CD1819"/>
    <w:rsid w:val="00CD2896"/>
    <w:rsid w:val="00CD2CCE"/>
    <w:rsid w:val="00CD40C4"/>
    <w:rsid w:val="00CD44D2"/>
    <w:rsid w:val="00CD5625"/>
    <w:rsid w:val="00CD57D3"/>
    <w:rsid w:val="00CD6149"/>
    <w:rsid w:val="00CD69B2"/>
    <w:rsid w:val="00CD6FD1"/>
    <w:rsid w:val="00CD7D98"/>
    <w:rsid w:val="00CE06EC"/>
    <w:rsid w:val="00CE19AF"/>
    <w:rsid w:val="00CE1D8D"/>
    <w:rsid w:val="00CE2754"/>
    <w:rsid w:val="00CE3598"/>
    <w:rsid w:val="00CE4A50"/>
    <w:rsid w:val="00CE64BC"/>
    <w:rsid w:val="00CE6A45"/>
    <w:rsid w:val="00CF1C30"/>
    <w:rsid w:val="00CF230E"/>
    <w:rsid w:val="00CF23E3"/>
    <w:rsid w:val="00CF328E"/>
    <w:rsid w:val="00CF380C"/>
    <w:rsid w:val="00CF3CDC"/>
    <w:rsid w:val="00CF6310"/>
    <w:rsid w:val="00CF6CE9"/>
    <w:rsid w:val="00CF7CD6"/>
    <w:rsid w:val="00D00BB9"/>
    <w:rsid w:val="00D00C66"/>
    <w:rsid w:val="00D01253"/>
    <w:rsid w:val="00D01398"/>
    <w:rsid w:val="00D03688"/>
    <w:rsid w:val="00D0500C"/>
    <w:rsid w:val="00D056BF"/>
    <w:rsid w:val="00D06DA1"/>
    <w:rsid w:val="00D101B1"/>
    <w:rsid w:val="00D102B9"/>
    <w:rsid w:val="00D14E9B"/>
    <w:rsid w:val="00D1584D"/>
    <w:rsid w:val="00D15B80"/>
    <w:rsid w:val="00D16651"/>
    <w:rsid w:val="00D169E9"/>
    <w:rsid w:val="00D20263"/>
    <w:rsid w:val="00D21F09"/>
    <w:rsid w:val="00D238E8"/>
    <w:rsid w:val="00D2444C"/>
    <w:rsid w:val="00D24A23"/>
    <w:rsid w:val="00D25CA2"/>
    <w:rsid w:val="00D2737B"/>
    <w:rsid w:val="00D27A78"/>
    <w:rsid w:val="00D3579F"/>
    <w:rsid w:val="00D363F6"/>
    <w:rsid w:val="00D36DD6"/>
    <w:rsid w:val="00D37B8E"/>
    <w:rsid w:val="00D400B5"/>
    <w:rsid w:val="00D4118C"/>
    <w:rsid w:val="00D41FA1"/>
    <w:rsid w:val="00D42C43"/>
    <w:rsid w:val="00D43C91"/>
    <w:rsid w:val="00D44FF9"/>
    <w:rsid w:val="00D45775"/>
    <w:rsid w:val="00D4610E"/>
    <w:rsid w:val="00D46228"/>
    <w:rsid w:val="00D4654C"/>
    <w:rsid w:val="00D46AC3"/>
    <w:rsid w:val="00D46CB0"/>
    <w:rsid w:val="00D46DF1"/>
    <w:rsid w:val="00D51C9A"/>
    <w:rsid w:val="00D541DC"/>
    <w:rsid w:val="00D56733"/>
    <w:rsid w:val="00D56AFD"/>
    <w:rsid w:val="00D6227C"/>
    <w:rsid w:val="00D62402"/>
    <w:rsid w:val="00D628A2"/>
    <w:rsid w:val="00D63859"/>
    <w:rsid w:val="00D63C60"/>
    <w:rsid w:val="00D63FF1"/>
    <w:rsid w:val="00D64231"/>
    <w:rsid w:val="00D64683"/>
    <w:rsid w:val="00D651DD"/>
    <w:rsid w:val="00D66ACF"/>
    <w:rsid w:val="00D70984"/>
    <w:rsid w:val="00D70BC5"/>
    <w:rsid w:val="00D70F0D"/>
    <w:rsid w:val="00D71800"/>
    <w:rsid w:val="00D726B6"/>
    <w:rsid w:val="00D74FDA"/>
    <w:rsid w:val="00D75C87"/>
    <w:rsid w:val="00D7649C"/>
    <w:rsid w:val="00D77749"/>
    <w:rsid w:val="00D82AD9"/>
    <w:rsid w:val="00D83165"/>
    <w:rsid w:val="00D8376F"/>
    <w:rsid w:val="00D87C87"/>
    <w:rsid w:val="00D87E6F"/>
    <w:rsid w:val="00D9045F"/>
    <w:rsid w:val="00D9279B"/>
    <w:rsid w:val="00D927CE"/>
    <w:rsid w:val="00D92838"/>
    <w:rsid w:val="00D92A8A"/>
    <w:rsid w:val="00D9387B"/>
    <w:rsid w:val="00D93BDF"/>
    <w:rsid w:val="00D94630"/>
    <w:rsid w:val="00D94BD4"/>
    <w:rsid w:val="00D94E6E"/>
    <w:rsid w:val="00D96227"/>
    <w:rsid w:val="00D9633C"/>
    <w:rsid w:val="00D96679"/>
    <w:rsid w:val="00D97347"/>
    <w:rsid w:val="00D97BD6"/>
    <w:rsid w:val="00DA1115"/>
    <w:rsid w:val="00DA19BC"/>
    <w:rsid w:val="00DA4A55"/>
    <w:rsid w:val="00DA4AE2"/>
    <w:rsid w:val="00DA5380"/>
    <w:rsid w:val="00DA5895"/>
    <w:rsid w:val="00DA6ACF"/>
    <w:rsid w:val="00DA79F6"/>
    <w:rsid w:val="00DB11F4"/>
    <w:rsid w:val="00DB2FF3"/>
    <w:rsid w:val="00DB4784"/>
    <w:rsid w:val="00DB5B36"/>
    <w:rsid w:val="00DB6685"/>
    <w:rsid w:val="00DB6850"/>
    <w:rsid w:val="00DB69D4"/>
    <w:rsid w:val="00DB6C15"/>
    <w:rsid w:val="00DB74DE"/>
    <w:rsid w:val="00DB7917"/>
    <w:rsid w:val="00DC1C82"/>
    <w:rsid w:val="00DC1CA3"/>
    <w:rsid w:val="00DC224F"/>
    <w:rsid w:val="00DC25CB"/>
    <w:rsid w:val="00DC393D"/>
    <w:rsid w:val="00DC511E"/>
    <w:rsid w:val="00DC5DD9"/>
    <w:rsid w:val="00DC6149"/>
    <w:rsid w:val="00DD091C"/>
    <w:rsid w:val="00DD1D9A"/>
    <w:rsid w:val="00DD26B1"/>
    <w:rsid w:val="00DD427D"/>
    <w:rsid w:val="00DD4B99"/>
    <w:rsid w:val="00DD4C82"/>
    <w:rsid w:val="00DD4E68"/>
    <w:rsid w:val="00DD5033"/>
    <w:rsid w:val="00DD5786"/>
    <w:rsid w:val="00DD66B5"/>
    <w:rsid w:val="00DE3DFD"/>
    <w:rsid w:val="00DE4511"/>
    <w:rsid w:val="00DE584B"/>
    <w:rsid w:val="00DE6F54"/>
    <w:rsid w:val="00DE794D"/>
    <w:rsid w:val="00DE7C24"/>
    <w:rsid w:val="00DF02D6"/>
    <w:rsid w:val="00DF102A"/>
    <w:rsid w:val="00DF2D6D"/>
    <w:rsid w:val="00DF2E49"/>
    <w:rsid w:val="00DF4116"/>
    <w:rsid w:val="00DF5D49"/>
    <w:rsid w:val="00DF5DB8"/>
    <w:rsid w:val="00DF6A98"/>
    <w:rsid w:val="00E004C0"/>
    <w:rsid w:val="00E0183D"/>
    <w:rsid w:val="00E032D8"/>
    <w:rsid w:val="00E0344B"/>
    <w:rsid w:val="00E0405E"/>
    <w:rsid w:val="00E05182"/>
    <w:rsid w:val="00E0520E"/>
    <w:rsid w:val="00E054BB"/>
    <w:rsid w:val="00E05DE6"/>
    <w:rsid w:val="00E06CC8"/>
    <w:rsid w:val="00E107B3"/>
    <w:rsid w:val="00E10F19"/>
    <w:rsid w:val="00E114DC"/>
    <w:rsid w:val="00E1181B"/>
    <w:rsid w:val="00E11E49"/>
    <w:rsid w:val="00E1374D"/>
    <w:rsid w:val="00E14272"/>
    <w:rsid w:val="00E1457C"/>
    <w:rsid w:val="00E14D21"/>
    <w:rsid w:val="00E15791"/>
    <w:rsid w:val="00E15BB6"/>
    <w:rsid w:val="00E1750C"/>
    <w:rsid w:val="00E200B1"/>
    <w:rsid w:val="00E20784"/>
    <w:rsid w:val="00E20CA3"/>
    <w:rsid w:val="00E23D18"/>
    <w:rsid w:val="00E240A5"/>
    <w:rsid w:val="00E243BB"/>
    <w:rsid w:val="00E245B2"/>
    <w:rsid w:val="00E247F0"/>
    <w:rsid w:val="00E24943"/>
    <w:rsid w:val="00E24E94"/>
    <w:rsid w:val="00E25817"/>
    <w:rsid w:val="00E25A3C"/>
    <w:rsid w:val="00E25E6E"/>
    <w:rsid w:val="00E26336"/>
    <w:rsid w:val="00E266D4"/>
    <w:rsid w:val="00E307AD"/>
    <w:rsid w:val="00E308A5"/>
    <w:rsid w:val="00E30918"/>
    <w:rsid w:val="00E3091B"/>
    <w:rsid w:val="00E3153D"/>
    <w:rsid w:val="00E3482E"/>
    <w:rsid w:val="00E34934"/>
    <w:rsid w:val="00E3722F"/>
    <w:rsid w:val="00E37966"/>
    <w:rsid w:val="00E37B70"/>
    <w:rsid w:val="00E4194D"/>
    <w:rsid w:val="00E43F01"/>
    <w:rsid w:val="00E449A7"/>
    <w:rsid w:val="00E45DEC"/>
    <w:rsid w:val="00E465EC"/>
    <w:rsid w:val="00E46B33"/>
    <w:rsid w:val="00E515EB"/>
    <w:rsid w:val="00E523EB"/>
    <w:rsid w:val="00E530DB"/>
    <w:rsid w:val="00E56A92"/>
    <w:rsid w:val="00E617CE"/>
    <w:rsid w:val="00E62F3C"/>
    <w:rsid w:val="00E63478"/>
    <w:rsid w:val="00E63B87"/>
    <w:rsid w:val="00E63CFB"/>
    <w:rsid w:val="00E63EA7"/>
    <w:rsid w:val="00E644E0"/>
    <w:rsid w:val="00E65E72"/>
    <w:rsid w:val="00E6627D"/>
    <w:rsid w:val="00E665AA"/>
    <w:rsid w:val="00E6763A"/>
    <w:rsid w:val="00E679D7"/>
    <w:rsid w:val="00E701BC"/>
    <w:rsid w:val="00E70F72"/>
    <w:rsid w:val="00E752A8"/>
    <w:rsid w:val="00E7671D"/>
    <w:rsid w:val="00E76C6F"/>
    <w:rsid w:val="00E77246"/>
    <w:rsid w:val="00E80091"/>
    <w:rsid w:val="00E80344"/>
    <w:rsid w:val="00E80B46"/>
    <w:rsid w:val="00E80CCF"/>
    <w:rsid w:val="00E818AD"/>
    <w:rsid w:val="00E81ABF"/>
    <w:rsid w:val="00E81F1F"/>
    <w:rsid w:val="00E83763"/>
    <w:rsid w:val="00E848FF"/>
    <w:rsid w:val="00E84974"/>
    <w:rsid w:val="00E84F24"/>
    <w:rsid w:val="00E85EB4"/>
    <w:rsid w:val="00E87817"/>
    <w:rsid w:val="00E8794D"/>
    <w:rsid w:val="00E917E6"/>
    <w:rsid w:val="00E92021"/>
    <w:rsid w:val="00E92213"/>
    <w:rsid w:val="00E92980"/>
    <w:rsid w:val="00E933F2"/>
    <w:rsid w:val="00E93838"/>
    <w:rsid w:val="00E96D6B"/>
    <w:rsid w:val="00E97229"/>
    <w:rsid w:val="00EA1510"/>
    <w:rsid w:val="00EA21C9"/>
    <w:rsid w:val="00EA3FCF"/>
    <w:rsid w:val="00EA4294"/>
    <w:rsid w:val="00EA42E9"/>
    <w:rsid w:val="00EA499B"/>
    <w:rsid w:val="00EA4F20"/>
    <w:rsid w:val="00EA6050"/>
    <w:rsid w:val="00EA6552"/>
    <w:rsid w:val="00EA73DB"/>
    <w:rsid w:val="00EA77E5"/>
    <w:rsid w:val="00EB0C2C"/>
    <w:rsid w:val="00EB0E5E"/>
    <w:rsid w:val="00EB1A49"/>
    <w:rsid w:val="00EB1EBB"/>
    <w:rsid w:val="00EB20C1"/>
    <w:rsid w:val="00EB23AB"/>
    <w:rsid w:val="00EB30F1"/>
    <w:rsid w:val="00EB32EB"/>
    <w:rsid w:val="00EB41A2"/>
    <w:rsid w:val="00EB4D7D"/>
    <w:rsid w:val="00EB5E0E"/>
    <w:rsid w:val="00EB6BC3"/>
    <w:rsid w:val="00EB70CD"/>
    <w:rsid w:val="00EB736F"/>
    <w:rsid w:val="00EC0FD7"/>
    <w:rsid w:val="00EC2F5A"/>
    <w:rsid w:val="00EC42F6"/>
    <w:rsid w:val="00EC5B6B"/>
    <w:rsid w:val="00ED02A1"/>
    <w:rsid w:val="00ED1498"/>
    <w:rsid w:val="00ED1FF5"/>
    <w:rsid w:val="00ED4A57"/>
    <w:rsid w:val="00ED6410"/>
    <w:rsid w:val="00EE04A5"/>
    <w:rsid w:val="00EE04CD"/>
    <w:rsid w:val="00EE1F40"/>
    <w:rsid w:val="00EE28AB"/>
    <w:rsid w:val="00EE326E"/>
    <w:rsid w:val="00EE34E9"/>
    <w:rsid w:val="00EE45E9"/>
    <w:rsid w:val="00EE5CB2"/>
    <w:rsid w:val="00EE650F"/>
    <w:rsid w:val="00EF08E2"/>
    <w:rsid w:val="00EF14CF"/>
    <w:rsid w:val="00EF2A9D"/>
    <w:rsid w:val="00EF2EED"/>
    <w:rsid w:val="00EF3306"/>
    <w:rsid w:val="00EF36C8"/>
    <w:rsid w:val="00EF3AE1"/>
    <w:rsid w:val="00EF3F8C"/>
    <w:rsid w:val="00EF41DC"/>
    <w:rsid w:val="00EF5D3F"/>
    <w:rsid w:val="00EF712B"/>
    <w:rsid w:val="00EF77E5"/>
    <w:rsid w:val="00EF7D5A"/>
    <w:rsid w:val="00F008F3"/>
    <w:rsid w:val="00F0091F"/>
    <w:rsid w:val="00F00E6D"/>
    <w:rsid w:val="00F012F0"/>
    <w:rsid w:val="00F01F2D"/>
    <w:rsid w:val="00F020DD"/>
    <w:rsid w:val="00F03617"/>
    <w:rsid w:val="00F04EF2"/>
    <w:rsid w:val="00F05860"/>
    <w:rsid w:val="00F05FA7"/>
    <w:rsid w:val="00F06535"/>
    <w:rsid w:val="00F06DF4"/>
    <w:rsid w:val="00F06EAB"/>
    <w:rsid w:val="00F07D95"/>
    <w:rsid w:val="00F101C0"/>
    <w:rsid w:val="00F10503"/>
    <w:rsid w:val="00F112EA"/>
    <w:rsid w:val="00F11A3C"/>
    <w:rsid w:val="00F127BA"/>
    <w:rsid w:val="00F13519"/>
    <w:rsid w:val="00F16C66"/>
    <w:rsid w:val="00F17781"/>
    <w:rsid w:val="00F17B80"/>
    <w:rsid w:val="00F22322"/>
    <w:rsid w:val="00F2325E"/>
    <w:rsid w:val="00F23E3D"/>
    <w:rsid w:val="00F23EB6"/>
    <w:rsid w:val="00F24853"/>
    <w:rsid w:val="00F25C21"/>
    <w:rsid w:val="00F25F07"/>
    <w:rsid w:val="00F26B4C"/>
    <w:rsid w:val="00F26EB0"/>
    <w:rsid w:val="00F2797A"/>
    <w:rsid w:val="00F344EC"/>
    <w:rsid w:val="00F34C3E"/>
    <w:rsid w:val="00F34DA5"/>
    <w:rsid w:val="00F35EC8"/>
    <w:rsid w:val="00F36D1D"/>
    <w:rsid w:val="00F36FE1"/>
    <w:rsid w:val="00F377A4"/>
    <w:rsid w:val="00F37BF1"/>
    <w:rsid w:val="00F4091A"/>
    <w:rsid w:val="00F41368"/>
    <w:rsid w:val="00F41834"/>
    <w:rsid w:val="00F44056"/>
    <w:rsid w:val="00F44420"/>
    <w:rsid w:val="00F45CFC"/>
    <w:rsid w:val="00F469BA"/>
    <w:rsid w:val="00F47C18"/>
    <w:rsid w:val="00F50437"/>
    <w:rsid w:val="00F507D9"/>
    <w:rsid w:val="00F5134A"/>
    <w:rsid w:val="00F52628"/>
    <w:rsid w:val="00F530D1"/>
    <w:rsid w:val="00F54BAD"/>
    <w:rsid w:val="00F5502C"/>
    <w:rsid w:val="00F55FA6"/>
    <w:rsid w:val="00F5774B"/>
    <w:rsid w:val="00F60480"/>
    <w:rsid w:val="00F614FB"/>
    <w:rsid w:val="00F61FE9"/>
    <w:rsid w:val="00F6396E"/>
    <w:rsid w:val="00F63C90"/>
    <w:rsid w:val="00F64D99"/>
    <w:rsid w:val="00F65492"/>
    <w:rsid w:val="00F678E0"/>
    <w:rsid w:val="00F67CEC"/>
    <w:rsid w:val="00F703CA"/>
    <w:rsid w:val="00F7122C"/>
    <w:rsid w:val="00F715E6"/>
    <w:rsid w:val="00F715FD"/>
    <w:rsid w:val="00F7263B"/>
    <w:rsid w:val="00F732B5"/>
    <w:rsid w:val="00F733ED"/>
    <w:rsid w:val="00F743FE"/>
    <w:rsid w:val="00F76B51"/>
    <w:rsid w:val="00F774B6"/>
    <w:rsid w:val="00F779CD"/>
    <w:rsid w:val="00F80A6A"/>
    <w:rsid w:val="00F8149C"/>
    <w:rsid w:val="00F82F40"/>
    <w:rsid w:val="00F831C9"/>
    <w:rsid w:val="00F837B8"/>
    <w:rsid w:val="00F83DE5"/>
    <w:rsid w:val="00F83FAF"/>
    <w:rsid w:val="00F84381"/>
    <w:rsid w:val="00F84D96"/>
    <w:rsid w:val="00F8690D"/>
    <w:rsid w:val="00F91422"/>
    <w:rsid w:val="00F9167A"/>
    <w:rsid w:val="00F91DBB"/>
    <w:rsid w:val="00F9293F"/>
    <w:rsid w:val="00F931F4"/>
    <w:rsid w:val="00F946BD"/>
    <w:rsid w:val="00F94944"/>
    <w:rsid w:val="00F961B9"/>
    <w:rsid w:val="00F97E5C"/>
    <w:rsid w:val="00FA01A4"/>
    <w:rsid w:val="00FA145E"/>
    <w:rsid w:val="00FA20CA"/>
    <w:rsid w:val="00FA3EAA"/>
    <w:rsid w:val="00FA3F43"/>
    <w:rsid w:val="00FA49AE"/>
    <w:rsid w:val="00FA4B6A"/>
    <w:rsid w:val="00FA4C10"/>
    <w:rsid w:val="00FA6EF4"/>
    <w:rsid w:val="00FB094D"/>
    <w:rsid w:val="00FB16CB"/>
    <w:rsid w:val="00FB1BE3"/>
    <w:rsid w:val="00FB202B"/>
    <w:rsid w:val="00FB2256"/>
    <w:rsid w:val="00FB2595"/>
    <w:rsid w:val="00FB2B62"/>
    <w:rsid w:val="00FB3398"/>
    <w:rsid w:val="00FB38B9"/>
    <w:rsid w:val="00FB3EF3"/>
    <w:rsid w:val="00FB497C"/>
    <w:rsid w:val="00FB4B0F"/>
    <w:rsid w:val="00FB4FC4"/>
    <w:rsid w:val="00FB50D6"/>
    <w:rsid w:val="00FB665C"/>
    <w:rsid w:val="00FB668B"/>
    <w:rsid w:val="00FB6733"/>
    <w:rsid w:val="00FC072E"/>
    <w:rsid w:val="00FC388D"/>
    <w:rsid w:val="00FC3EEF"/>
    <w:rsid w:val="00FC4DF9"/>
    <w:rsid w:val="00FC5AEE"/>
    <w:rsid w:val="00FC656E"/>
    <w:rsid w:val="00FD46D1"/>
    <w:rsid w:val="00FD54DB"/>
    <w:rsid w:val="00FD58F2"/>
    <w:rsid w:val="00FD5E24"/>
    <w:rsid w:val="00FD6B91"/>
    <w:rsid w:val="00FD71D6"/>
    <w:rsid w:val="00FE1080"/>
    <w:rsid w:val="00FE133D"/>
    <w:rsid w:val="00FE1E83"/>
    <w:rsid w:val="00FE2FC1"/>
    <w:rsid w:val="00FE4D17"/>
    <w:rsid w:val="00FE4E04"/>
    <w:rsid w:val="00FE5427"/>
    <w:rsid w:val="00FE63A1"/>
    <w:rsid w:val="00FE71C5"/>
    <w:rsid w:val="00FF1DF1"/>
    <w:rsid w:val="00FF23BD"/>
    <w:rsid w:val="00FF25E8"/>
    <w:rsid w:val="00FF30D2"/>
    <w:rsid w:val="00FF4CA5"/>
    <w:rsid w:val="00FF50E8"/>
    <w:rsid w:val="00FF536D"/>
    <w:rsid w:val="00FF5408"/>
    <w:rsid w:val="00FF5B07"/>
    <w:rsid w:val="00FF623A"/>
    <w:rsid w:val="00FF6240"/>
    <w:rsid w:val="00FF6644"/>
    <w:rsid w:val="00FF680E"/>
    <w:rsid w:val="00FF6975"/>
    <w:rsid w:val="00FF7339"/>
    <w:rsid w:val="029F0571"/>
    <w:rsid w:val="045625A1"/>
    <w:rsid w:val="05972FDC"/>
    <w:rsid w:val="07F832D5"/>
    <w:rsid w:val="0B9A318B"/>
    <w:rsid w:val="0C917190"/>
    <w:rsid w:val="104208F6"/>
    <w:rsid w:val="104D2A05"/>
    <w:rsid w:val="14BD72BF"/>
    <w:rsid w:val="16463906"/>
    <w:rsid w:val="18E2597E"/>
    <w:rsid w:val="19D31D53"/>
    <w:rsid w:val="1F1225CF"/>
    <w:rsid w:val="22EC3DEA"/>
    <w:rsid w:val="28DE6601"/>
    <w:rsid w:val="2ADB7586"/>
    <w:rsid w:val="2BA924ED"/>
    <w:rsid w:val="2BC674CC"/>
    <w:rsid w:val="2D6418C1"/>
    <w:rsid w:val="2E1132D2"/>
    <w:rsid w:val="2EBF3A83"/>
    <w:rsid w:val="30C7037F"/>
    <w:rsid w:val="3B9241ED"/>
    <w:rsid w:val="3E7503C3"/>
    <w:rsid w:val="41D735DD"/>
    <w:rsid w:val="432C6659"/>
    <w:rsid w:val="4C81527D"/>
    <w:rsid w:val="4C8B5357"/>
    <w:rsid w:val="4D632788"/>
    <w:rsid w:val="4D7202BF"/>
    <w:rsid w:val="4EA50F9A"/>
    <w:rsid w:val="519E1C89"/>
    <w:rsid w:val="69E03887"/>
    <w:rsid w:val="69E17D92"/>
    <w:rsid w:val="6C2B4727"/>
    <w:rsid w:val="79324F77"/>
    <w:rsid w:val="79C63C7A"/>
    <w:rsid w:val="7AC92FA9"/>
    <w:rsid w:val="7B4B69B2"/>
    <w:rsid w:val="7B9F7E20"/>
    <w:rsid w:val="7FB16386"/>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2"/>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2"/>
    <w:basedOn w:val="1"/>
    <w:next w:val="1"/>
    <w:link w:val="63"/>
    <w:unhideWhenUsed/>
    <w:qFormat/>
    <w:uiPriority w:val="0"/>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23"/>
    <w:qFormat/>
    <w:uiPriority w:val="99"/>
    <w:pPr>
      <w:keepNext/>
      <w:keepLines/>
      <w:spacing w:before="260" w:after="260" w:line="416" w:lineRule="atLeast"/>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64"/>
    <w:unhideWhenUsed/>
    <w:qFormat/>
    <w:locked/>
    <w:uiPriority w:val="99"/>
    <w:pPr>
      <w:spacing w:after="120"/>
    </w:pPr>
  </w:style>
  <w:style w:type="paragraph" w:styleId="6">
    <w:name w:val="Body Text Indent"/>
    <w:basedOn w:val="1"/>
    <w:link w:val="24"/>
    <w:qFormat/>
    <w:uiPriority w:val="99"/>
    <w:pPr>
      <w:widowControl w:val="0"/>
      <w:snapToGrid w:val="0"/>
      <w:spacing w:before="283" w:line="560" w:lineRule="exact"/>
      <w:ind w:firstLine="510"/>
    </w:pPr>
    <w:rPr>
      <w:sz w:val="28"/>
    </w:rPr>
  </w:style>
  <w:style w:type="paragraph" w:styleId="7">
    <w:name w:val="Plain Text"/>
    <w:basedOn w:val="1"/>
    <w:link w:val="53"/>
    <w:qFormat/>
    <w:uiPriority w:val="0"/>
    <w:pPr>
      <w:widowControl w:val="0"/>
      <w:spacing w:line="240" w:lineRule="auto"/>
      <w:textAlignment w:val="auto"/>
    </w:pPr>
    <w:rPr>
      <w:rFonts w:ascii="宋体" w:hAnsi="Courier New"/>
      <w:color w:val="auto"/>
      <w:kern w:val="2"/>
    </w:rPr>
  </w:style>
  <w:style w:type="paragraph" w:styleId="8">
    <w:name w:val="Date"/>
    <w:basedOn w:val="1"/>
    <w:next w:val="1"/>
    <w:link w:val="26"/>
    <w:qFormat/>
    <w:uiPriority w:val="99"/>
    <w:pPr>
      <w:ind w:left="100" w:leftChars="2500"/>
    </w:pPr>
  </w:style>
  <w:style w:type="paragraph" w:styleId="9">
    <w:name w:val="Balloon Text"/>
    <w:basedOn w:val="1"/>
    <w:link w:val="27"/>
    <w:qFormat/>
    <w:uiPriority w:val="99"/>
    <w:pPr>
      <w:spacing w:line="240" w:lineRule="auto"/>
    </w:pPr>
    <w:rPr>
      <w:sz w:val="18"/>
      <w:szCs w:val="18"/>
    </w:rPr>
  </w:style>
  <w:style w:type="paragraph" w:styleId="10">
    <w:name w:val="footer"/>
    <w:basedOn w:val="1"/>
    <w:link w:val="28"/>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Body Text 2"/>
    <w:basedOn w:val="1"/>
    <w:link w:val="30"/>
    <w:qFormat/>
    <w:uiPriority w:val="99"/>
    <w:pPr>
      <w:spacing w:after="120" w:line="480" w:lineRule="auto"/>
    </w:pPr>
  </w:style>
  <w:style w:type="paragraph" w:styleId="15">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Hyperlink"/>
    <w:qFormat/>
    <w:uiPriority w:val="99"/>
    <w:rPr>
      <w:rFonts w:cs="Times New Roman"/>
      <w:color w:val="0368A8"/>
      <w:u w:val="none"/>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link w:val="2"/>
    <w:qFormat/>
    <w:locked/>
    <w:uiPriority w:val="99"/>
    <w:rPr>
      <w:rFonts w:cs="Times New Roman"/>
      <w:b/>
      <w:bCs/>
      <w:color w:val="000000"/>
      <w:kern w:val="44"/>
      <w:sz w:val="44"/>
      <w:szCs w:val="44"/>
      <w:u w:val="none" w:color="000000"/>
    </w:rPr>
  </w:style>
  <w:style w:type="character" w:customStyle="1" w:styleId="23">
    <w:name w:val="标题 3 Char"/>
    <w:link w:val="4"/>
    <w:semiHidden/>
    <w:qFormat/>
    <w:locked/>
    <w:uiPriority w:val="99"/>
    <w:rPr>
      <w:rFonts w:cs="Times New Roman"/>
      <w:b/>
      <w:bCs/>
      <w:color w:val="000000"/>
      <w:sz w:val="32"/>
      <w:szCs w:val="32"/>
      <w:u w:val="none" w:color="000000"/>
    </w:rPr>
  </w:style>
  <w:style w:type="character" w:customStyle="1" w:styleId="24">
    <w:name w:val="正文文本缩进 Char"/>
    <w:link w:val="6"/>
    <w:qFormat/>
    <w:locked/>
    <w:uiPriority w:val="99"/>
    <w:rPr>
      <w:rFonts w:cs="Times New Roman"/>
      <w:color w:val="000000"/>
      <w:kern w:val="0"/>
      <w:sz w:val="20"/>
      <w:szCs w:val="20"/>
      <w:u w:val="none" w:color="000000"/>
    </w:rPr>
  </w:style>
  <w:style w:type="character" w:customStyle="1" w:styleId="25">
    <w:name w:val="Plain Text Char"/>
    <w:qFormat/>
    <w:locked/>
    <w:uiPriority w:val="99"/>
    <w:rPr>
      <w:rFonts w:ascii="宋体" w:hAnsi="Courier New" w:eastAsia="宋体" w:cs="Times New Roman"/>
      <w:kern w:val="2"/>
      <w:sz w:val="21"/>
      <w:lang w:val="en-US" w:eastAsia="zh-CN"/>
    </w:rPr>
  </w:style>
  <w:style w:type="character" w:customStyle="1" w:styleId="26">
    <w:name w:val="日期 Char"/>
    <w:link w:val="8"/>
    <w:qFormat/>
    <w:locked/>
    <w:uiPriority w:val="99"/>
    <w:rPr>
      <w:rFonts w:cs="Times New Roman"/>
      <w:color w:val="000000"/>
      <w:sz w:val="21"/>
      <w:u w:val="none" w:color="000000"/>
    </w:rPr>
  </w:style>
  <w:style w:type="character" w:customStyle="1" w:styleId="27">
    <w:name w:val="批注框文本 Char"/>
    <w:link w:val="9"/>
    <w:qFormat/>
    <w:locked/>
    <w:uiPriority w:val="99"/>
    <w:rPr>
      <w:rFonts w:cs="Times New Roman"/>
      <w:color w:val="000000"/>
      <w:sz w:val="18"/>
      <w:szCs w:val="18"/>
      <w:u w:val="none" w:color="000000"/>
    </w:rPr>
  </w:style>
  <w:style w:type="character" w:customStyle="1" w:styleId="28">
    <w:name w:val="页脚 Char"/>
    <w:link w:val="10"/>
    <w:semiHidden/>
    <w:qFormat/>
    <w:locked/>
    <w:uiPriority w:val="99"/>
    <w:rPr>
      <w:rFonts w:cs="Times New Roman"/>
      <w:color w:val="000000"/>
      <w:kern w:val="0"/>
      <w:sz w:val="18"/>
      <w:szCs w:val="18"/>
      <w:u w:val="none" w:color="000000"/>
    </w:rPr>
  </w:style>
  <w:style w:type="character" w:customStyle="1" w:styleId="29">
    <w:name w:val="页眉 Char"/>
    <w:link w:val="11"/>
    <w:semiHidden/>
    <w:qFormat/>
    <w:locked/>
    <w:uiPriority w:val="99"/>
    <w:rPr>
      <w:rFonts w:cs="Times New Roman"/>
      <w:color w:val="000000"/>
      <w:kern w:val="0"/>
      <w:sz w:val="18"/>
      <w:szCs w:val="18"/>
      <w:u w:val="none" w:color="000000"/>
    </w:rPr>
  </w:style>
  <w:style w:type="character" w:customStyle="1" w:styleId="30">
    <w:name w:val="正文文本 2 Char"/>
    <w:link w:val="14"/>
    <w:semiHidden/>
    <w:qFormat/>
    <w:locked/>
    <w:uiPriority w:val="99"/>
    <w:rPr>
      <w:rFonts w:cs="Times New Roman"/>
      <w:color w:val="000000"/>
      <w:kern w:val="0"/>
      <w:sz w:val="20"/>
      <w:szCs w:val="20"/>
      <w:u w:val="none" w:color="000000"/>
    </w:rPr>
  </w:style>
  <w:style w:type="paragraph" w:customStyle="1" w:styleId="31">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2">
    <w:name w:val="章标题"/>
    <w:basedOn w:val="1"/>
    <w:next w:val="33"/>
    <w:qFormat/>
    <w:uiPriority w:val="99"/>
    <w:pPr>
      <w:spacing w:before="158" w:after="153" w:line="323" w:lineRule="atLeast"/>
      <w:jc w:val="center"/>
    </w:pPr>
    <w:rPr>
      <w:rFonts w:ascii="Arial" w:eastAsia="黑体"/>
      <w:sz w:val="31"/>
    </w:rPr>
  </w:style>
  <w:style w:type="paragraph" w:customStyle="1" w:styleId="33">
    <w:name w:val="节标题"/>
    <w:basedOn w:val="1"/>
    <w:next w:val="34"/>
    <w:qFormat/>
    <w:uiPriority w:val="99"/>
    <w:pPr>
      <w:spacing w:line="289" w:lineRule="atLeast"/>
      <w:jc w:val="center"/>
    </w:pPr>
    <w:rPr>
      <w:sz w:val="28"/>
    </w:rPr>
  </w:style>
  <w:style w:type="paragraph" w:customStyle="1" w:styleId="34">
    <w:name w:val="小节标题"/>
    <w:basedOn w:val="1"/>
    <w:next w:val="1"/>
    <w:qFormat/>
    <w:uiPriority w:val="99"/>
    <w:pPr>
      <w:spacing w:before="175" w:after="102" w:line="351" w:lineRule="atLeast"/>
    </w:pPr>
    <w:rPr>
      <w:rFonts w:eastAsia="黑体"/>
    </w:rPr>
  </w:style>
  <w:style w:type="paragraph" w:customStyle="1" w:styleId="35">
    <w:name w:val="目录2"/>
    <w:basedOn w:val="1"/>
    <w:next w:val="1"/>
    <w:qFormat/>
    <w:uiPriority w:val="99"/>
    <w:pPr>
      <w:tabs>
        <w:tab w:val="left" w:leader="dot" w:pos="8503"/>
      </w:tabs>
      <w:spacing w:line="317" w:lineRule="atLeast"/>
      <w:ind w:firstLine="209"/>
    </w:pPr>
  </w:style>
  <w:style w:type="paragraph" w:customStyle="1" w:styleId="36">
    <w:name w:val="目录4"/>
    <w:basedOn w:val="1"/>
    <w:next w:val="1"/>
    <w:qFormat/>
    <w:uiPriority w:val="99"/>
    <w:pPr>
      <w:tabs>
        <w:tab w:val="left" w:leader="dot" w:pos="8503"/>
      </w:tabs>
      <w:spacing w:line="317" w:lineRule="atLeast"/>
      <w:ind w:firstLine="629"/>
    </w:pPr>
  </w:style>
  <w:style w:type="paragraph" w:customStyle="1" w:styleId="37">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8">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39">
    <w:name w:val="目录3"/>
    <w:basedOn w:val="1"/>
    <w:next w:val="1"/>
    <w:qFormat/>
    <w:uiPriority w:val="99"/>
    <w:pPr>
      <w:tabs>
        <w:tab w:val="left" w:leader="dot" w:pos="8503"/>
      </w:tabs>
      <w:spacing w:line="317" w:lineRule="atLeast"/>
      <w:ind w:firstLine="419"/>
    </w:pPr>
  </w:style>
  <w:style w:type="paragraph" w:customStyle="1" w:styleId="40">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1">
    <w:name w:val="文章总标题"/>
    <w:basedOn w:val="1"/>
    <w:next w:val="42"/>
    <w:qFormat/>
    <w:uiPriority w:val="99"/>
    <w:pPr>
      <w:spacing w:before="566" w:after="544" w:line="566" w:lineRule="atLeast"/>
      <w:jc w:val="center"/>
    </w:pPr>
    <w:rPr>
      <w:rFonts w:ascii="Arial" w:eastAsia="黑体"/>
      <w:sz w:val="54"/>
    </w:rPr>
  </w:style>
  <w:style w:type="paragraph" w:customStyle="1" w:styleId="42">
    <w:name w:val="文章附标题"/>
    <w:basedOn w:val="1"/>
    <w:next w:val="32"/>
    <w:qFormat/>
    <w:uiPriority w:val="99"/>
    <w:pPr>
      <w:spacing w:before="187" w:after="175" w:line="374" w:lineRule="atLeast"/>
      <w:jc w:val="center"/>
    </w:pPr>
    <w:rPr>
      <w:sz w:val="36"/>
    </w:rPr>
  </w:style>
  <w:style w:type="paragraph" w:customStyle="1" w:styleId="43">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4">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6">
    <w:name w:val="WPS Plain"/>
    <w:qFormat/>
    <w:uiPriority w:val="99"/>
    <w:rPr>
      <w:rFonts w:ascii="Times New Roman" w:hAnsi="Times New Roman" w:eastAsia="宋体" w:cs="Times New Roman"/>
      <w:lang w:val="en-US" w:eastAsia="zh-CN" w:bidi="ar-SA"/>
    </w:rPr>
  </w:style>
  <w:style w:type="paragraph" w:customStyle="1" w:styleId="47">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0">
    <w:name w:val="链接"/>
    <w:qFormat/>
    <w:uiPriority w:val="99"/>
    <w:rPr>
      <w:rFonts w:ascii="Times New Roman" w:eastAsia="宋体"/>
      <w:color w:val="0000FF"/>
      <w:sz w:val="21"/>
      <w:u w:val="single" w:color="0000FF"/>
      <w:lang w:val="en-US" w:eastAsia="zh-CN"/>
    </w:rPr>
  </w:style>
  <w:style w:type="character" w:customStyle="1" w:styleId="51">
    <w:name w:val="超级链接"/>
    <w:qFormat/>
    <w:uiPriority w:val="99"/>
    <w:rPr>
      <w:rFonts w:ascii="Times New Roman" w:eastAsia="宋体"/>
      <w:color w:val="0000FF"/>
      <w:sz w:val="21"/>
      <w:u w:val="single" w:color="0000FF"/>
      <w:lang w:val="en-US" w:eastAsia="zh-CN"/>
    </w:rPr>
  </w:style>
  <w:style w:type="character" w:customStyle="1" w:styleId="52">
    <w:name w:val="param_td12"/>
    <w:qFormat/>
    <w:uiPriority w:val="99"/>
    <w:rPr>
      <w:rFonts w:cs="Times New Roman"/>
    </w:rPr>
  </w:style>
  <w:style w:type="character" w:customStyle="1" w:styleId="53">
    <w:name w:val="纯文本 Char"/>
    <w:link w:val="7"/>
    <w:qFormat/>
    <w:locked/>
    <w:uiPriority w:val="0"/>
    <w:rPr>
      <w:rFonts w:ascii="宋体" w:hAnsi="Courier New" w:cs="Courier New"/>
      <w:color w:val="000000"/>
      <w:kern w:val="0"/>
      <w:sz w:val="21"/>
      <w:szCs w:val="21"/>
      <w:u w:val="none" w:color="000000"/>
    </w:rPr>
  </w:style>
  <w:style w:type="character" w:customStyle="1" w:styleId="54">
    <w:name w:val="纯文本 Char Char"/>
    <w:qFormat/>
    <w:uiPriority w:val="99"/>
    <w:rPr>
      <w:rFonts w:ascii="宋体" w:hAnsi="Courier New" w:eastAsia="宋体"/>
      <w:kern w:val="2"/>
      <w:sz w:val="21"/>
      <w:lang w:val="en-US" w:eastAsia="zh-CN"/>
    </w:rPr>
  </w:style>
  <w:style w:type="character" w:customStyle="1" w:styleId="55">
    <w:name w:val="Char Char4"/>
    <w:qFormat/>
    <w:uiPriority w:val="99"/>
    <w:rPr>
      <w:rFonts w:ascii="宋体" w:eastAsia="宋体"/>
      <w:kern w:val="2"/>
      <w:sz w:val="28"/>
    </w:rPr>
  </w:style>
  <w:style w:type="character" w:customStyle="1" w:styleId="56">
    <w:name w:val="纯文本 Char1"/>
    <w:qFormat/>
    <w:locked/>
    <w:uiPriority w:val="99"/>
    <w:rPr>
      <w:rFonts w:ascii="宋体" w:hAnsi="Courier New" w:cs="Times New Roman"/>
      <w:color w:val="000000"/>
      <w:kern w:val="0"/>
      <w:sz w:val="21"/>
      <w:u w:val="none" w:color="000000"/>
    </w:rPr>
  </w:style>
  <w:style w:type="paragraph" w:customStyle="1" w:styleId="57">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58">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59">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0">
    <w:name w:val="正文文本 (2)"/>
    <w:basedOn w:val="1"/>
    <w:link w:val="6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1">
    <w:name w:val="正文文本 (2)_"/>
    <w:link w:val="60"/>
    <w:qFormat/>
    <w:uiPriority w:val="0"/>
    <w:rPr>
      <w:rFonts w:ascii="MingLiU" w:hAnsi="MingLiU" w:eastAsia="MingLiU" w:cs="MingLiU"/>
      <w:spacing w:val="30"/>
      <w:sz w:val="30"/>
      <w:szCs w:val="30"/>
      <w:u w:color="000000"/>
      <w:shd w:val="clear" w:color="auto" w:fill="FFFFFF"/>
    </w:rPr>
  </w:style>
  <w:style w:type="paragraph" w:customStyle="1" w:styleId="62">
    <w:name w:val="List Paragraph"/>
    <w:basedOn w:val="1"/>
    <w:unhideWhenUsed/>
    <w:qFormat/>
    <w:uiPriority w:val="99"/>
    <w:pPr>
      <w:ind w:firstLine="420" w:firstLineChars="200"/>
    </w:pPr>
  </w:style>
  <w:style w:type="character" w:customStyle="1" w:styleId="63">
    <w:name w:val="标题 2 Char"/>
    <w:link w:val="3"/>
    <w:semiHidden/>
    <w:qFormat/>
    <w:uiPriority w:val="0"/>
    <w:rPr>
      <w:rFonts w:ascii="Cambria" w:hAnsi="Cambria"/>
      <w:b/>
      <w:bCs/>
      <w:color w:val="000000"/>
      <w:sz w:val="32"/>
      <w:szCs w:val="32"/>
      <w:u w:color="000000"/>
    </w:rPr>
  </w:style>
  <w:style w:type="character" w:customStyle="1" w:styleId="64">
    <w:name w:val="正文文本 Char"/>
    <w:link w:val="5"/>
    <w:semiHidden/>
    <w:qFormat/>
    <w:uiPriority w:val="99"/>
    <w:rPr>
      <w:color w:val="000000"/>
      <w:sz w:val="21"/>
      <w:u w:color="000000"/>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6">
    <w:name w:val="列出段落1"/>
    <w:basedOn w:val="1"/>
    <w:qFormat/>
    <w:uiPriority w:val="0"/>
    <w:pPr>
      <w:widowControl w:val="0"/>
      <w:spacing w:line="240" w:lineRule="auto"/>
      <w:ind w:firstLine="420" w:firstLineChars="200"/>
      <w:textAlignment w:val="auto"/>
    </w:pPr>
    <w:rPr>
      <w:color w:val="auto"/>
      <w:kern w:val="2"/>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8311</Words>
  <Characters>9427</Characters>
  <Lines>413</Lines>
  <Paragraphs>116</Paragraphs>
  <ScaleCrop>false</ScaleCrop>
  <LinksUpToDate>false</LinksUpToDate>
  <CharactersWithSpaces>9610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Administrator</cp:lastModifiedBy>
  <cp:lastPrinted>2025-10-29T03:36:00Z</cp:lastPrinted>
  <dcterms:modified xsi:type="dcterms:W3CDTF">2025-11-06T06:42:50Z</dcterms:modified>
  <cp:revision>547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KSOTemplateDocerSaveRecord">
    <vt:lpwstr>eyJoZGlkIjoiZGZhMWIzNGVmYjY1NDYxYzhmNTM1YTU0OTQ4MjgwOGYiLCJ1c2VySWQiOiI0Mjg5NzQzNDUifQ==</vt:lpwstr>
  </property>
  <property fmtid="{D5CDD505-2E9C-101B-9397-08002B2CF9AE}" pid="4" name="ICV">
    <vt:lpwstr>BFB9B3A335104A1FAE9DCD9CB447E090_12</vt:lpwstr>
  </property>
</Properties>
</file>